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1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0" w:type="dxa"/>
          <w:right w:w="50" w:type="dxa"/>
        </w:tblCellMar>
        <w:tblLook w:val="0000" w:firstRow="0" w:lastRow="0" w:firstColumn="0" w:lastColumn="0" w:noHBand="0" w:noVBand="0"/>
      </w:tblPr>
      <w:tblGrid>
        <w:gridCol w:w="169"/>
        <w:gridCol w:w="85"/>
        <w:gridCol w:w="8387"/>
      </w:tblGrid>
      <w:tr w:rsidR="0096547C" w14:paraId="48533E30"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39942391"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0325484C" w14:textId="77777777" w:rsidR="0096547C" w:rsidRDefault="0096547C" w:rsidP="0096547C">
            <w:pPr>
              <w:rPr>
                <w:sz w:val="20"/>
                <w:szCs w:val="20"/>
              </w:rPr>
            </w:pPr>
            <w:r>
              <w:rPr>
                <w:sz w:val="20"/>
                <w:szCs w:val="20"/>
              </w:rPr>
              <w:t>Report No:</w:t>
            </w:r>
            <w:r w:rsidRPr="00B92FB5">
              <w:rPr>
                <w:sz w:val="20"/>
                <w:szCs w:val="20"/>
              </w:rPr>
              <w:t xml:space="preserve"> 105753-PH.</w:t>
            </w:r>
          </w:p>
        </w:tc>
      </w:tr>
      <w:tr w:rsidR="0096547C" w14:paraId="68E17376"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3C858238" w14:textId="77777777" w:rsidR="0096547C" w:rsidRDefault="0096547C" w:rsidP="0096547C">
            <w:pPr>
              <w:rPr>
                <w:rFonts w:ascii="Times" w:hAnsi="Times" w:cs="Times"/>
                <w:color w:val="FFFFFF"/>
                <w:sz w:val="10"/>
                <w:szCs w:val="10"/>
              </w:rPr>
            </w:pPr>
            <w:r>
              <w:rPr>
                <w:rFonts w:ascii="Times" w:hAnsi="Times" w:cs="Times"/>
                <w:color w:val="FFFFFF"/>
                <w:sz w:val="10"/>
                <w:szCs w:val="10"/>
              </w:rPr>
              <w:t>.</w:t>
            </w:r>
          </w:p>
        </w:tc>
      </w:tr>
      <w:tr w:rsidR="0096547C" w14:paraId="7B6E8FBE"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2C175CE5"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17538DAB" w14:textId="77777777" w:rsidR="0096547C" w:rsidRDefault="0096547C" w:rsidP="0096547C">
            <w:pPr>
              <w:rPr>
                <w:sz w:val="48"/>
                <w:szCs w:val="48"/>
              </w:rPr>
            </w:pPr>
            <w:r>
              <w:rPr>
                <w:sz w:val="48"/>
                <w:szCs w:val="48"/>
              </w:rPr>
              <w:t>Republic of the Philippines</w:t>
            </w:r>
          </w:p>
        </w:tc>
      </w:tr>
      <w:tr w:rsidR="0096547C" w14:paraId="35CDAB1B"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5B8D55D2"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58224569" w14:textId="77777777" w:rsidR="0096547C" w:rsidRDefault="0096547C" w:rsidP="0096547C">
            <w:pPr>
              <w:rPr>
                <w:sz w:val="48"/>
                <w:szCs w:val="48"/>
              </w:rPr>
            </w:pPr>
            <w:r>
              <w:rPr>
                <w:sz w:val="48"/>
                <w:szCs w:val="48"/>
              </w:rPr>
              <w:t>PFM Strategy Implementation Support</w:t>
            </w:r>
          </w:p>
        </w:tc>
      </w:tr>
      <w:tr w:rsidR="0096547C" w14:paraId="35774BBA"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2E29FC1B"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1BB974B9" w14:textId="77777777" w:rsidR="0096547C" w:rsidRPr="001654DE" w:rsidRDefault="0096547C" w:rsidP="0096547C">
            <w:pPr>
              <w:contextualSpacing/>
              <w:rPr>
                <w:rFonts w:ascii="Arial" w:hAnsi="Arial" w:cs="Arial"/>
                <w:sz w:val="34"/>
                <w:szCs w:val="34"/>
              </w:rPr>
            </w:pPr>
            <w:r w:rsidRPr="001654DE">
              <w:rPr>
                <w:rFonts w:ascii="Arial" w:hAnsi="Arial" w:cs="Arial"/>
                <w:sz w:val="34"/>
                <w:szCs w:val="34"/>
              </w:rPr>
              <w:t>Public Financial Management and Accountability Assessment</w:t>
            </w:r>
          </w:p>
          <w:p w14:paraId="34BF99AD" w14:textId="77777777" w:rsidR="0096547C" w:rsidRDefault="0096547C" w:rsidP="0096547C">
            <w:pPr>
              <w:rPr>
                <w:sz w:val="34"/>
                <w:szCs w:val="34"/>
              </w:rPr>
            </w:pPr>
          </w:p>
        </w:tc>
      </w:tr>
      <w:tr w:rsidR="0096547C" w14:paraId="06F65F5B"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3CA0FC28" w14:textId="77777777" w:rsidR="0096547C" w:rsidRDefault="0096547C" w:rsidP="0096547C">
            <w:pPr>
              <w:rPr>
                <w:rFonts w:ascii="Times" w:hAnsi="Times" w:cs="Times"/>
                <w:color w:val="FFFFFF"/>
                <w:sz w:val="60"/>
                <w:szCs w:val="60"/>
              </w:rPr>
            </w:pPr>
            <w:r>
              <w:rPr>
                <w:rFonts w:ascii="Times" w:hAnsi="Times" w:cs="Times"/>
                <w:color w:val="FFFFFF"/>
                <w:sz w:val="60"/>
                <w:szCs w:val="60"/>
              </w:rPr>
              <w:t>.</w:t>
            </w:r>
          </w:p>
        </w:tc>
      </w:tr>
      <w:tr w:rsidR="0096547C" w14:paraId="48BB6BDF"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34B4CAD9"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16D6C7CB" w14:textId="3A7A36AB" w:rsidR="0096547C" w:rsidRDefault="00CE1F67" w:rsidP="0096547C">
            <w:pPr>
              <w:rPr>
                <w:sz w:val="20"/>
                <w:szCs w:val="20"/>
              </w:rPr>
            </w:pPr>
            <w:r>
              <w:rPr>
                <w:sz w:val="20"/>
                <w:szCs w:val="20"/>
              </w:rPr>
              <w:t>June</w:t>
            </w:r>
            <w:r w:rsidR="0096547C">
              <w:rPr>
                <w:sz w:val="20"/>
                <w:szCs w:val="20"/>
              </w:rPr>
              <w:t xml:space="preserve"> 2016</w:t>
            </w:r>
          </w:p>
        </w:tc>
      </w:tr>
      <w:tr w:rsidR="0096547C" w14:paraId="2E5CBB2D"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25FB2239" w14:textId="7F441139" w:rsidR="0096547C" w:rsidRDefault="0096547C" w:rsidP="00431213">
            <w:pPr>
              <w:contextualSpacing/>
              <w:jc w:val="both"/>
              <w:rPr>
                <w:rFonts w:ascii="Times" w:hAnsi="Times" w:cs="Times"/>
                <w:color w:val="FFFFFF"/>
                <w:sz w:val="60"/>
                <w:szCs w:val="60"/>
              </w:rPr>
            </w:pPr>
            <w:r>
              <w:rPr>
                <w:rFonts w:ascii="Times" w:hAnsi="Times" w:cs="Times"/>
                <w:color w:val="FFFFFF"/>
                <w:sz w:val="60"/>
                <w:szCs w:val="60"/>
              </w:rPr>
              <w:t>.</w:t>
            </w:r>
            <w:r w:rsidRPr="005A497D">
              <w:rPr>
                <w:b/>
                <w:sz w:val="32"/>
                <w:szCs w:val="32"/>
              </w:rPr>
              <w:t xml:space="preserve"> </w:t>
            </w:r>
          </w:p>
        </w:tc>
      </w:tr>
      <w:tr w:rsidR="0096547C" w14:paraId="3BD43B36"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3685785A"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3966E7B7" w14:textId="77777777" w:rsidR="0096547C" w:rsidRDefault="0096547C" w:rsidP="0096547C">
            <w:pPr>
              <w:rPr>
                <w:sz w:val="20"/>
                <w:szCs w:val="20"/>
              </w:rPr>
            </w:pPr>
            <w:r>
              <w:rPr>
                <w:sz w:val="20"/>
                <w:szCs w:val="20"/>
              </w:rPr>
              <w:t>GGO14</w:t>
            </w:r>
          </w:p>
        </w:tc>
      </w:tr>
      <w:tr w:rsidR="0096547C" w14:paraId="79C99CF7"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57F05764"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3A5569D3" w14:textId="77777777" w:rsidR="0096547C" w:rsidRDefault="0096547C" w:rsidP="0096547C">
            <w:pPr>
              <w:rPr>
                <w:sz w:val="20"/>
                <w:szCs w:val="20"/>
              </w:rPr>
            </w:pPr>
            <w:r>
              <w:rPr>
                <w:sz w:val="20"/>
                <w:szCs w:val="20"/>
              </w:rPr>
              <w:t>EAST ASIA AND PACIFIC</w:t>
            </w:r>
          </w:p>
        </w:tc>
      </w:tr>
      <w:tr w:rsidR="0096547C" w14:paraId="417C55A5"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46979D5A" w14:textId="77777777" w:rsidR="0096547C" w:rsidRDefault="0096547C" w:rsidP="0096547C">
            <w:pPr>
              <w:rPr>
                <w:rFonts w:ascii="Times" w:hAnsi="Times" w:cs="Times"/>
                <w:color w:val="FFFFFF"/>
                <w:sz w:val="20"/>
                <w:szCs w:val="20"/>
              </w:rPr>
            </w:pPr>
            <w:r>
              <w:rPr>
                <w:rFonts w:ascii="Times" w:hAnsi="Times" w:cs="Times"/>
                <w:color w:val="FFFFFF"/>
                <w:sz w:val="20"/>
                <w:szCs w:val="20"/>
              </w:rPr>
              <w:t>.</w:t>
            </w:r>
          </w:p>
        </w:tc>
      </w:tr>
      <w:tr w:rsidR="0096547C" w14:paraId="6867F50F" w14:textId="77777777" w:rsidTr="0096547C">
        <w:tc>
          <w:tcPr>
            <w:tcW w:w="98" w:type="pct"/>
            <w:tcBorders>
              <w:top w:val="nil"/>
              <w:left w:val="nil"/>
              <w:bottom w:val="nil"/>
              <w:right w:val="nil"/>
            </w:tcBorders>
            <w:shd w:val="clear" w:color="auto" w:fill="FFFFFF"/>
            <w:tcMar>
              <w:top w:w="50" w:type="dxa"/>
              <w:left w:w="50" w:type="dxa"/>
              <w:bottom w:w="50" w:type="dxa"/>
              <w:right w:w="50" w:type="dxa"/>
            </w:tcMar>
            <w:vAlign w:val="center"/>
          </w:tcPr>
          <w:p w14:paraId="59EE6D83" w14:textId="77777777" w:rsidR="0096547C" w:rsidRDefault="0096547C" w:rsidP="0096547C"/>
        </w:tc>
        <w:tc>
          <w:tcPr>
            <w:tcW w:w="4902" w:type="pct"/>
            <w:gridSpan w:val="2"/>
            <w:tcBorders>
              <w:top w:val="nil"/>
              <w:left w:val="nil"/>
              <w:bottom w:val="nil"/>
              <w:right w:val="nil"/>
            </w:tcBorders>
            <w:shd w:val="clear" w:color="auto" w:fill="FFFFFF"/>
            <w:tcMar>
              <w:top w:w="50" w:type="dxa"/>
              <w:left w:w="50" w:type="dxa"/>
              <w:bottom w:w="50" w:type="dxa"/>
              <w:right w:w="50" w:type="dxa"/>
            </w:tcMar>
            <w:vAlign w:val="center"/>
          </w:tcPr>
          <w:p w14:paraId="2AEC1AE0" w14:textId="77777777" w:rsidR="0096547C" w:rsidRDefault="0096547C" w:rsidP="0096547C">
            <w:pPr>
              <w:spacing w:line="320" w:lineRule="atLeast"/>
            </w:pPr>
          </w:p>
          <w:p w14:paraId="3ECFC683" w14:textId="77777777" w:rsidR="0096547C" w:rsidRDefault="0096547C" w:rsidP="0096547C">
            <w:pPr>
              <w:spacing w:line="320" w:lineRule="atLeast"/>
            </w:pPr>
          </w:p>
          <w:p w14:paraId="43FF5FD7" w14:textId="77777777" w:rsidR="0096547C" w:rsidRDefault="0096547C" w:rsidP="0096547C">
            <w:pPr>
              <w:spacing w:line="320" w:lineRule="atLeast"/>
            </w:pPr>
          </w:p>
          <w:p w14:paraId="370C8330" w14:textId="77777777" w:rsidR="0096547C" w:rsidRDefault="0096547C" w:rsidP="0096547C">
            <w:pPr>
              <w:spacing w:line="320" w:lineRule="atLeast"/>
            </w:pPr>
          </w:p>
          <w:p w14:paraId="7611983C" w14:textId="77777777" w:rsidR="0096547C" w:rsidRDefault="0096547C" w:rsidP="0096547C">
            <w:pPr>
              <w:spacing w:line="320" w:lineRule="atLeast"/>
            </w:pPr>
          </w:p>
          <w:p w14:paraId="1C0A20CC" w14:textId="77777777" w:rsidR="0096547C" w:rsidRDefault="0096547C" w:rsidP="0096547C">
            <w:pPr>
              <w:spacing w:line="320" w:lineRule="atLeast"/>
            </w:pPr>
          </w:p>
          <w:p w14:paraId="4B98F445" w14:textId="77777777" w:rsidR="0096547C" w:rsidRDefault="0096547C" w:rsidP="0096547C">
            <w:pPr>
              <w:spacing w:line="320" w:lineRule="atLeast"/>
            </w:pPr>
          </w:p>
          <w:p w14:paraId="45DFE3D1" w14:textId="77777777" w:rsidR="0096547C" w:rsidRDefault="0096547C" w:rsidP="0096547C">
            <w:pPr>
              <w:spacing w:line="320" w:lineRule="atLeast"/>
            </w:pPr>
          </w:p>
          <w:p w14:paraId="3933A038" w14:textId="77777777" w:rsidR="0096547C" w:rsidRDefault="0096547C" w:rsidP="0096547C">
            <w:pPr>
              <w:spacing w:line="320" w:lineRule="atLeast"/>
            </w:pPr>
          </w:p>
          <w:p w14:paraId="0C964F47" w14:textId="77777777" w:rsidR="0096547C" w:rsidRDefault="0096547C" w:rsidP="0096547C">
            <w:pPr>
              <w:spacing w:line="320" w:lineRule="atLeast"/>
            </w:pPr>
          </w:p>
          <w:p w14:paraId="7D6BFC7A" w14:textId="77777777" w:rsidR="0096547C" w:rsidRDefault="0096547C" w:rsidP="0096547C">
            <w:pPr>
              <w:spacing w:line="320" w:lineRule="atLeast"/>
            </w:pPr>
          </w:p>
          <w:p w14:paraId="32C1E289" w14:textId="77777777" w:rsidR="0096547C" w:rsidRDefault="0096547C" w:rsidP="0096547C">
            <w:pPr>
              <w:spacing w:line="320" w:lineRule="atLeast"/>
            </w:pPr>
          </w:p>
          <w:p w14:paraId="531C7251" w14:textId="77777777" w:rsidR="0096547C" w:rsidRDefault="0096547C" w:rsidP="0096547C">
            <w:pPr>
              <w:spacing w:line="320" w:lineRule="atLeast"/>
            </w:pPr>
          </w:p>
          <w:p w14:paraId="055A7162" w14:textId="77777777" w:rsidR="0096547C" w:rsidRDefault="0096547C" w:rsidP="0096547C">
            <w:pPr>
              <w:spacing w:line="320" w:lineRule="atLeast"/>
            </w:pPr>
          </w:p>
          <w:p w14:paraId="79BC7BEA" w14:textId="77777777" w:rsidR="0096547C" w:rsidRPr="005A497D" w:rsidRDefault="0096547C" w:rsidP="0096547C">
            <w:pPr>
              <w:contextualSpacing/>
              <w:jc w:val="both"/>
              <w:rPr>
                <w:b/>
                <w:sz w:val="22"/>
                <w:szCs w:val="22"/>
              </w:rPr>
            </w:pPr>
          </w:p>
          <w:p w14:paraId="4EEAAC81" w14:textId="77777777" w:rsidR="0096547C" w:rsidRPr="001654DE" w:rsidRDefault="0096547C" w:rsidP="0096547C">
            <w:pPr>
              <w:spacing w:before="40" w:after="40"/>
              <w:jc w:val="center"/>
              <w:rPr>
                <w:b/>
                <w:sz w:val="22"/>
                <w:szCs w:val="22"/>
              </w:rPr>
            </w:pPr>
            <w:r w:rsidRPr="001654DE">
              <w:rPr>
                <w:b/>
                <w:sz w:val="22"/>
                <w:szCs w:val="22"/>
              </w:rPr>
              <w:t>A project of the World Bank, with the support of the Australian Government through the</w:t>
            </w:r>
          </w:p>
          <w:p w14:paraId="1BE8AB4E" w14:textId="77777777" w:rsidR="0096547C" w:rsidRPr="001654DE" w:rsidRDefault="0096547C" w:rsidP="0096547C">
            <w:pPr>
              <w:spacing w:before="40" w:after="40"/>
              <w:jc w:val="center"/>
              <w:rPr>
                <w:b/>
                <w:sz w:val="22"/>
                <w:szCs w:val="22"/>
              </w:rPr>
            </w:pPr>
            <w:r w:rsidRPr="001654DE">
              <w:rPr>
                <w:b/>
                <w:sz w:val="22"/>
                <w:szCs w:val="22"/>
              </w:rPr>
              <w:t>Australia-World Bank Philippines Development Trust Fund, Asian Development Bank and International Monetary Fund</w:t>
            </w:r>
          </w:p>
          <w:p w14:paraId="48008C07" w14:textId="77777777" w:rsidR="0096547C" w:rsidRPr="005A497D" w:rsidRDefault="0096547C" w:rsidP="0096547C">
            <w:pPr>
              <w:contextualSpacing/>
              <w:jc w:val="both"/>
              <w:rPr>
                <w:b/>
                <w:sz w:val="22"/>
                <w:szCs w:val="22"/>
              </w:rPr>
            </w:pPr>
          </w:p>
          <w:p w14:paraId="5808C753" w14:textId="77777777" w:rsidR="0096547C" w:rsidRPr="005A497D" w:rsidRDefault="0096547C" w:rsidP="0096547C">
            <w:pPr>
              <w:contextualSpacing/>
              <w:jc w:val="both"/>
              <w:rPr>
                <w:b/>
                <w:sz w:val="22"/>
                <w:szCs w:val="22"/>
              </w:rPr>
            </w:pPr>
          </w:p>
          <w:p w14:paraId="63D3B2BC" w14:textId="77777777" w:rsidR="0096547C" w:rsidRPr="005A497D" w:rsidRDefault="0096547C" w:rsidP="0096547C">
            <w:pPr>
              <w:contextualSpacing/>
              <w:rPr>
                <w:b/>
                <w:sz w:val="22"/>
                <w:szCs w:val="22"/>
              </w:rPr>
            </w:pPr>
            <w:r w:rsidRPr="005A497D">
              <w:rPr>
                <w:b/>
                <w:noProof/>
                <w:sz w:val="22"/>
                <w:szCs w:val="22"/>
              </w:rPr>
              <w:drawing>
                <wp:anchor distT="0" distB="0" distL="114300" distR="114300" simplePos="0" relativeHeight="251766784" behindDoc="0" locked="0" layoutInCell="1" allowOverlap="1" wp14:anchorId="7F556354" wp14:editId="09D08089">
                  <wp:simplePos x="0" y="0"/>
                  <wp:positionH relativeFrom="column">
                    <wp:posOffset>771352</wp:posOffset>
                  </wp:positionH>
                  <wp:positionV relativeFrom="paragraph">
                    <wp:posOffset>79895</wp:posOffset>
                  </wp:positionV>
                  <wp:extent cx="1913659" cy="38792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13659" cy="387927"/>
                          </a:xfrm>
                          <a:prstGeom prst="rect">
                            <a:avLst/>
                          </a:prstGeom>
                        </pic:spPr>
                      </pic:pic>
                    </a:graphicData>
                  </a:graphic>
                </wp:anchor>
              </w:drawing>
            </w:r>
            <w:r w:rsidRPr="005A497D">
              <w:rPr>
                <w:b/>
                <w:noProof/>
                <w:sz w:val="22"/>
                <w:szCs w:val="22"/>
              </w:rPr>
              <w:drawing>
                <wp:anchor distT="0" distB="0" distL="114300" distR="114300" simplePos="0" relativeHeight="251768832" behindDoc="0" locked="0" layoutInCell="1" allowOverlap="1" wp14:anchorId="1EDFB45B" wp14:editId="0716BD76">
                  <wp:simplePos x="0" y="0"/>
                  <wp:positionH relativeFrom="column">
                    <wp:posOffset>4006215</wp:posOffset>
                  </wp:positionH>
                  <wp:positionV relativeFrom="paragraph">
                    <wp:posOffset>76835</wp:posOffset>
                  </wp:positionV>
                  <wp:extent cx="534035" cy="526415"/>
                  <wp:effectExtent l="19050" t="0" r="0" b="0"/>
                  <wp:wrapNone/>
                  <wp:docPr id="3" name="Picture 3" descr="C:\Users\wb217183\AppData\Local\Temp\notesEE10C3\3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217183\AppData\Local\Temp\notesEE10C3\30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 cy="526415"/>
                          </a:xfrm>
                          <a:prstGeom prst="rect">
                            <a:avLst/>
                          </a:prstGeom>
                          <a:noFill/>
                          <a:ln>
                            <a:noFill/>
                          </a:ln>
                        </pic:spPr>
                      </pic:pic>
                    </a:graphicData>
                  </a:graphic>
                </wp:anchor>
              </w:drawing>
            </w:r>
            <w:r w:rsidRPr="005A497D">
              <w:rPr>
                <w:b/>
                <w:noProof/>
                <w:sz w:val="22"/>
                <w:szCs w:val="22"/>
              </w:rPr>
              <w:drawing>
                <wp:anchor distT="0" distB="0" distL="114300" distR="114300" simplePos="0" relativeHeight="251769856" behindDoc="0" locked="0" layoutInCell="1" allowOverlap="1" wp14:anchorId="0E6F0667" wp14:editId="5455492D">
                  <wp:simplePos x="0" y="0"/>
                  <wp:positionH relativeFrom="column">
                    <wp:posOffset>4671406</wp:posOffset>
                  </wp:positionH>
                  <wp:positionV relativeFrom="paragraph">
                    <wp:posOffset>21532</wp:posOffset>
                  </wp:positionV>
                  <wp:extent cx="628304" cy="623455"/>
                  <wp:effectExtent l="19050" t="0" r="346" b="0"/>
                  <wp:wrapNone/>
                  <wp:docPr id="4" name="Picture 3" descr="IMFLog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FLogoEn"/>
                          <pic:cNvPicPr>
                            <a:picLocks noChangeAspect="1" noChangeArrowheads="1"/>
                          </pic:cNvPicPr>
                        </pic:nvPicPr>
                        <pic:blipFill>
                          <a:blip r:embed="rId12"/>
                          <a:srcRect/>
                          <a:stretch>
                            <a:fillRect/>
                          </a:stretch>
                        </pic:blipFill>
                        <pic:spPr bwMode="auto">
                          <a:xfrm>
                            <a:off x="0" y="0"/>
                            <a:ext cx="628304" cy="623455"/>
                          </a:xfrm>
                          <a:prstGeom prst="rect">
                            <a:avLst/>
                          </a:prstGeom>
                          <a:noFill/>
                        </pic:spPr>
                      </pic:pic>
                    </a:graphicData>
                  </a:graphic>
                </wp:anchor>
              </w:drawing>
            </w:r>
            <w:r w:rsidRPr="005A497D">
              <w:rPr>
                <w:b/>
                <w:noProof/>
                <w:sz w:val="22"/>
                <w:szCs w:val="22"/>
              </w:rPr>
              <w:drawing>
                <wp:anchor distT="0" distB="0" distL="114300" distR="114300" simplePos="0" relativeHeight="251767808" behindDoc="0" locked="0" layoutInCell="1" allowOverlap="1" wp14:anchorId="66E5202F" wp14:editId="7F1086EF">
                  <wp:simplePos x="0" y="0"/>
                  <wp:positionH relativeFrom="column">
                    <wp:posOffset>2828752</wp:posOffset>
                  </wp:positionH>
                  <wp:positionV relativeFrom="paragraph">
                    <wp:posOffset>140970</wp:posOffset>
                  </wp:positionV>
                  <wp:extent cx="1004859" cy="415636"/>
                  <wp:effectExtent l="19050" t="0" r="4791" b="0"/>
                  <wp:wrapNone/>
                  <wp:docPr id="7" name="Picture 7" descr="Australian-AID-Identifier_blu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n-AID-Identifier_blue-red"/>
                          <pic:cNvPicPr>
                            <a:picLocks noChangeAspect="1" noChangeArrowheads="1"/>
                          </pic:cNvPicPr>
                        </pic:nvPicPr>
                        <pic:blipFill>
                          <a:blip r:embed="rId13" cstate="print"/>
                          <a:srcRect/>
                          <a:stretch>
                            <a:fillRect/>
                          </a:stretch>
                        </pic:blipFill>
                        <pic:spPr bwMode="auto">
                          <a:xfrm>
                            <a:off x="0" y="0"/>
                            <a:ext cx="1004859" cy="415636"/>
                          </a:xfrm>
                          <a:prstGeom prst="rect">
                            <a:avLst/>
                          </a:prstGeom>
                          <a:noFill/>
                          <a:ln w="9525">
                            <a:noFill/>
                            <a:miter lim="800000"/>
                            <a:headEnd/>
                            <a:tailEnd/>
                          </a:ln>
                        </pic:spPr>
                      </pic:pic>
                    </a:graphicData>
                  </a:graphic>
                </wp:anchor>
              </w:drawing>
            </w:r>
            <w:r w:rsidRPr="005A497D">
              <w:rPr>
                <w:b/>
                <w:noProof/>
                <w:sz w:val="22"/>
                <w:szCs w:val="22"/>
              </w:rPr>
              <w:drawing>
                <wp:inline distT="0" distB="0" distL="0" distR="0" wp14:anchorId="38157330" wp14:editId="29F0D5BA">
                  <wp:extent cx="584700" cy="644237"/>
                  <wp:effectExtent l="19050" t="0" r="58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84343" cy="643844"/>
                          </a:xfrm>
                          <a:prstGeom prst="rect">
                            <a:avLst/>
                          </a:prstGeom>
                          <a:noFill/>
                          <a:ln w="9525">
                            <a:noFill/>
                            <a:miter lim="800000"/>
                            <a:headEnd/>
                            <a:tailEnd/>
                          </a:ln>
                        </pic:spPr>
                      </pic:pic>
                    </a:graphicData>
                  </a:graphic>
                </wp:inline>
              </w:drawing>
            </w:r>
          </w:p>
          <w:p w14:paraId="4B7CD29A" w14:textId="77777777" w:rsidR="0096547C" w:rsidRDefault="0096547C" w:rsidP="0096547C">
            <w:pPr>
              <w:spacing w:line="320" w:lineRule="atLeast"/>
            </w:pPr>
          </w:p>
          <w:p w14:paraId="0EA844E6" w14:textId="77777777" w:rsidR="0096547C" w:rsidRDefault="0096547C" w:rsidP="0096547C">
            <w:pPr>
              <w:spacing w:line="320" w:lineRule="atLeast"/>
            </w:pPr>
          </w:p>
        </w:tc>
      </w:tr>
      <w:tr w:rsidR="0096547C" w14:paraId="490EF470"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7731218E" w14:textId="77777777" w:rsidR="0096547C" w:rsidRDefault="0096547C" w:rsidP="0096547C">
            <w:pPr>
              <w:rPr>
                <w:rFonts w:ascii="Times" w:hAnsi="Times" w:cs="Times"/>
                <w:color w:val="FFFFFF"/>
                <w:sz w:val="20"/>
                <w:szCs w:val="20"/>
              </w:rPr>
            </w:pPr>
          </w:p>
          <w:p w14:paraId="32E12E03" w14:textId="77777777" w:rsidR="0096547C" w:rsidRDefault="0096547C" w:rsidP="0096547C">
            <w:pPr>
              <w:rPr>
                <w:rFonts w:ascii="Times" w:hAnsi="Times" w:cs="Times"/>
                <w:color w:val="FFFFFF"/>
                <w:sz w:val="20"/>
                <w:szCs w:val="20"/>
              </w:rPr>
            </w:pPr>
          </w:p>
          <w:p w14:paraId="03AEF273" w14:textId="77777777" w:rsidR="0096547C" w:rsidRDefault="0096547C" w:rsidP="0096547C">
            <w:pPr>
              <w:rPr>
                <w:rFonts w:ascii="Times" w:hAnsi="Times" w:cs="Times"/>
                <w:color w:val="FFFFFF"/>
                <w:sz w:val="20"/>
                <w:szCs w:val="20"/>
              </w:rPr>
            </w:pPr>
          </w:p>
          <w:p w14:paraId="6997D295" w14:textId="77777777" w:rsidR="0096547C" w:rsidRDefault="0096547C" w:rsidP="0096547C">
            <w:pPr>
              <w:rPr>
                <w:rFonts w:ascii="Times" w:hAnsi="Times" w:cs="Times"/>
                <w:color w:val="FFFFFF"/>
                <w:sz w:val="20"/>
                <w:szCs w:val="20"/>
              </w:rPr>
            </w:pPr>
          </w:p>
          <w:p w14:paraId="00768FCD" w14:textId="77777777" w:rsidR="0096547C" w:rsidRDefault="0096547C" w:rsidP="0096547C">
            <w:pPr>
              <w:rPr>
                <w:rFonts w:ascii="Times" w:hAnsi="Times" w:cs="Times"/>
                <w:color w:val="FFFFFF"/>
                <w:sz w:val="20"/>
                <w:szCs w:val="20"/>
              </w:rPr>
            </w:pPr>
          </w:p>
          <w:p w14:paraId="5F774DA3" w14:textId="77777777" w:rsidR="0096547C" w:rsidRDefault="0096547C" w:rsidP="0096547C">
            <w:pPr>
              <w:rPr>
                <w:rFonts w:ascii="Times" w:hAnsi="Times" w:cs="Times"/>
                <w:color w:val="FFFFFF"/>
                <w:sz w:val="20"/>
                <w:szCs w:val="20"/>
              </w:rPr>
            </w:pPr>
          </w:p>
          <w:p w14:paraId="7EEA5FD2" w14:textId="77777777" w:rsidR="0096547C" w:rsidRDefault="0096547C" w:rsidP="0096547C">
            <w:pPr>
              <w:rPr>
                <w:rFonts w:ascii="Times" w:hAnsi="Times" w:cs="Times"/>
                <w:color w:val="FFFFFF"/>
                <w:sz w:val="20"/>
                <w:szCs w:val="20"/>
              </w:rPr>
            </w:pPr>
          </w:p>
          <w:p w14:paraId="006AFF64" w14:textId="77777777" w:rsidR="0096547C" w:rsidRDefault="0096547C" w:rsidP="0096547C">
            <w:pPr>
              <w:rPr>
                <w:rFonts w:ascii="Times" w:hAnsi="Times" w:cs="Times"/>
                <w:color w:val="FFFFFF"/>
                <w:sz w:val="20"/>
                <w:szCs w:val="20"/>
              </w:rPr>
            </w:pPr>
          </w:p>
          <w:p w14:paraId="23D45BCC" w14:textId="77777777" w:rsidR="0096547C" w:rsidRDefault="0096547C" w:rsidP="0096547C">
            <w:pPr>
              <w:rPr>
                <w:rFonts w:ascii="Times" w:hAnsi="Times" w:cs="Times"/>
                <w:color w:val="FFFFFF"/>
                <w:sz w:val="20"/>
                <w:szCs w:val="20"/>
              </w:rPr>
            </w:pPr>
          </w:p>
          <w:p w14:paraId="24D26AFE" w14:textId="77777777" w:rsidR="0096547C" w:rsidRDefault="0096547C" w:rsidP="0096547C">
            <w:pPr>
              <w:rPr>
                <w:rFonts w:ascii="Times" w:hAnsi="Times" w:cs="Times"/>
                <w:color w:val="FFFFFF"/>
                <w:sz w:val="20"/>
                <w:szCs w:val="20"/>
              </w:rPr>
            </w:pPr>
          </w:p>
          <w:p w14:paraId="375F54FF" w14:textId="77777777" w:rsidR="0096547C" w:rsidRDefault="0096547C" w:rsidP="0096547C">
            <w:pPr>
              <w:rPr>
                <w:rFonts w:ascii="Times" w:hAnsi="Times" w:cs="Times"/>
                <w:color w:val="FFFFFF"/>
                <w:sz w:val="20"/>
                <w:szCs w:val="20"/>
              </w:rPr>
            </w:pPr>
          </w:p>
          <w:p w14:paraId="5F4C9E1A" w14:textId="77777777" w:rsidR="0096547C" w:rsidRDefault="0096547C" w:rsidP="0096547C">
            <w:pPr>
              <w:rPr>
                <w:rFonts w:ascii="Times" w:hAnsi="Times" w:cs="Times"/>
                <w:color w:val="FFFFFF"/>
                <w:sz w:val="20"/>
                <w:szCs w:val="20"/>
              </w:rPr>
            </w:pPr>
          </w:p>
          <w:p w14:paraId="195A3D57" w14:textId="77777777" w:rsidR="0096547C" w:rsidRDefault="0096547C" w:rsidP="0096547C">
            <w:pPr>
              <w:rPr>
                <w:rFonts w:ascii="Times" w:hAnsi="Times" w:cs="Times"/>
                <w:color w:val="FFFFFF"/>
                <w:sz w:val="20"/>
                <w:szCs w:val="20"/>
              </w:rPr>
            </w:pPr>
          </w:p>
          <w:p w14:paraId="35EFE9AE" w14:textId="77777777" w:rsidR="0096547C" w:rsidRDefault="0096547C" w:rsidP="0096547C">
            <w:pPr>
              <w:rPr>
                <w:rFonts w:ascii="Times" w:hAnsi="Times" w:cs="Times"/>
                <w:color w:val="FFFFFF"/>
                <w:sz w:val="20"/>
                <w:szCs w:val="20"/>
              </w:rPr>
            </w:pPr>
          </w:p>
          <w:p w14:paraId="4FE47F18" w14:textId="77777777" w:rsidR="0096547C" w:rsidRDefault="0096547C" w:rsidP="0096547C">
            <w:pPr>
              <w:rPr>
                <w:rFonts w:ascii="Times" w:hAnsi="Times" w:cs="Times"/>
                <w:color w:val="FFFFFF"/>
                <w:sz w:val="20"/>
                <w:szCs w:val="20"/>
              </w:rPr>
            </w:pPr>
          </w:p>
          <w:p w14:paraId="0BEC8F1E" w14:textId="77777777" w:rsidR="0096547C" w:rsidRDefault="0096547C" w:rsidP="0096547C">
            <w:pPr>
              <w:rPr>
                <w:rFonts w:ascii="Times" w:hAnsi="Times" w:cs="Times"/>
                <w:color w:val="FFFFFF"/>
                <w:sz w:val="20"/>
                <w:szCs w:val="20"/>
              </w:rPr>
            </w:pPr>
          </w:p>
          <w:p w14:paraId="0D3B2BBF" w14:textId="77777777" w:rsidR="0096547C" w:rsidRDefault="0096547C" w:rsidP="0096547C">
            <w:pPr>
              <w:rPr>
                <w:rFonts w:ascii="Times" w:hAnsi="Times" w:cs="Times"/>
                <w:color w:val="FFFFFF"/>
                <w:sz w:val="20"/>
                <w:szCs w:val="20"/>
              </w:rPr>
            </w:pPr>
          </w:p>
          <w:p w14:paraId="3209FA8E" w14:textId="77777777" w:rsidR="0096547C" w:rsidRDefault="0096547C" w:rsidP="0096547C">
            <w:pPr>
              <w:rPr>
                <w:rFonts w:ascii="Times" w:hAnsi="Times" w:cs="Times"/>
                <w:color w:val="FFFFFF"/>
                <w:sz w:val="20"/>
                <w:szCs w:val="20"/>
              </w:rPr>
            </w:pPr>
          </w:p>
          <w:p w14:paraId="43DDEDF5" w14:textId="77777777" w:rsidR="0096547C" w:rsidRDefault="0096547C" w:rsidP="0096547C">
            <w:pPr>
              <w:rPr>
                <w:rFonts w:ascii="Times" w:hAnsi="Times" w:cs="Times"/>
                <w:color w:val="FFFFFF"/>
                <w:sz w:val="20"/>
                <w:szCs w:val="20"/>
              </w:rPr>
            </w:pPr>
          </w:p>
          <w:p w14:paraId="33FE97B6" w14:textId="77777777" w:rsidR="0096547C" w:rsidRDefault="0096547C" w:rsidP="0096547C">
            <w:pPr>
              <w:rPr>
                <w:rFonts w:ascii="Times" w:hAnsi="Times" w:cs="Times"/>
                <w:color w:val="FFFFFF"/>
                <w:sz w:val="20"/>
                <w:szCs w:val="20"/>
              </w:rPr>
            </w:pPr>
            <w:r>
              <w:rPr>
                <w:rFonts w:ascii="Times" w:hAnsi="Times" w:cs="Times"/>
                <w:color w:val="FFFFFF"/>
                <w:sz w:val="20"/>
                <w:szCs w:val="20"/>
              </w:rPr>
              <w:t>.</w:t>
            </w:r>
          </w:p>
        </w:tc>
      </w:tr>
      <w:tr w:rsidR="0096547C" w14:paraId="2C8748BF" w14:textId="77777777" w:rsidTr="0096547C">
        <w:tc>
          <w:tcPr>
            <w:tcW w:w="147" w:type="pct"/>
            <w:gridSpan w:val="2"/>
            <w:tcBorders>
              <w:top w:val="nil"/>
              <w:left w:val="nil"/>
              <w:bottom w:val="nil"/>
              <w:right w:val="nil"/>
            </w:tcBorders>
            <w:shd w:val="clear" w:color="auto" w:fill="FFFFFF"/>
            <w:tcMar>
              <w:top w:w="50" w:type="dxa"/>
              <w:left w:w="50" w:type="dxa"/>
              <w:bottom w:w="50" w:type="dxa"/>
              <w:right w:w="50" w:type="dxa"/>
            </w:tcMar>
            <w:vAlign w:val="center"/>
          </w:tcPr>
          <w:p w14:paraId="5DC445ED" w14:textId="77777777" w:rsidR="0096547C" w:rsidRDefault="0096547C" w:rsidP="0096547C"/>
        </w:tc>
        <w:tc>
          <w:tcPr>
            <w:tcW w:w="4853" w:type="pct"/>
            <w:tcBorders>
              <w:top w:val="nil"/>
              <w:left w:val="nil"/>
              <w:bottom w:val="nil"/>
              <w:right w:val="nil"/>
            </w:tcBorders>
            <w:shd w:val="clear" w:color="auto" w:fill="FFFFFF"/>
            <w:tcMar>
              <w:top w:w="50" w:type="dxa"/>
              <w:left w:w="50" w:type="dxa"/>
              <w:bottom w:w="50" w:type="dxa"/>
              <w:right w:w="50" w:type="dxa"/>
            </w:tcMar>
            <w:vAlign w:val="center"/>
          </w:tcPr>
          <w:p w14:paraId="4DBB7BC0" w14:textId="77777777" w:rsidR="0096547C" w:rsidRDefault="0096547C" w:rsidP="0096547C">
            <w:pPr>
              <w:rPr>
                <w:color w:val="245086"/>
                <w:sz w:val="18"/>
                <w:szCs w:val="18"/>
              </w:rPr>
            </w:pPr>
            <w:r>
              <w:rPr>
                <w:b/>
                <w:bCs/>
                <w:color w:val="245086"/>
                <w:sz w:val="18"/>
                <w:szCs w:val="18"/>
              </w:rPr>
              <w:t>Standard Disclaimer:</w:t>
            </w:r>
          </w:p>
        </w:tc>
      </w:tr>
      <w:tr w:rsidR="0096547C" w14:paraId="2D4B78F6"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5CFE929D" w14:textId="77777777" w:rsidR="0096547C" w:rsidRDefault="0096547C" w:rsidP="0096547C">
            <w:pPr>
              <w:rPr>
                <w:rFonts w:ascii="Times" w:hAnsi="Times" w:cs="Times"/>
                <w:color w:val="FFFFFF"/>
                <w:sz w:val="20"/>
                <w:szCs w:val="20"/>
              </w:rPr>
            </w:pPr>
            <w:r>
              <w:rPr>
                <w:rFonts w:ascii="Times" w:hAnsi="Times" w:cs="Times"/>
                <w:color w:val="FFFFFF"/>
                <w:sz w:val="20"/>
                <w:szCs w:val="20"/>
              </w:rPr>
              <w:t>.</w:t>
            </w:r>
          </w:p>
        </w:tc>
      </w:tr>
      <w:tr w:rsidR="0096547C" w14:paraId="26D03819" w14:textId="77777777" w:rsidTr="0096547C">
        <w:tc>
          <w:tcPr>
            <w:tcW w:w="147" w:type="pct"/>
            <w:gridSpan w:val="2"/>
            <w:tcBorders>
              <w:top w:val="nil"/>
              <w:left w:val="nil"/>
              <w:bottom w:val="nil"/>
              <w:right w:val="nil"/>
            </w:tcBorders>
            <w:shd w:val="clear" w:color="auto" w:fill="FFFFFF"/>
            <w:tcMar>
              <w:top w:w="50" w:type="dxa"/>
              <w:left w:w="50" w:type="dxa"/>
              <w:bottom w:w="50" w:type="dxa"/>
              <w:right w:w="50" w:type="dxa"/>
            </w:tcMar>
            <w:vAlign w:val="center"/>
          </w:tcPr>
          <w:p w14:paraId="436C4CBC" w14:textId="77777777" w:rsidR="0096547C" w:rsidRDefault="0096547C" w:rsidP="0096547C"/>
        </w:tc>
        <w:tc>
          <w:tcPr>
            <w:tcW w:w="4853" w:type="pct"/>
            <w:tcBorders>
              <w:top w:val="nil"/>
              <w:left w:val="nil"/>
              <w:bottom w:val="nil"/>
              <w:right w:val="nil"/>
            </w:tcBorders>
            <w:shd w:val="clear" w:color="auto" w:fill="FFFFFF"/>
            <w:tcMar>
              <w:top w:w="50" w:type="dxa"/>
              <w:left w:w="50" w:type="dxa"/>
              <w:bottom w:w="50" w:type="dxa"/>
              <w:right w:w="50" w:type="dxa"/>
            </w:tcMar>
            <w:vAlign w:val="center"/>
          </w:tcPr>
          <w:p w14:paraId="2CC89A32" w14:textId="77777777" w:rsidR="0096547C" w:rsidRDefault="0096547C" w:rsidP="0096547C">
            <w:pPr>
              <w:jc w:val="both"/>
              <w:rPr>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96547C" w14:paraId="5E0388CA"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1D04D8F2" w14:textId="77777777" w:rsidR="0096547C" w:rsidRDefault="0096547C" w:rsidP="0096547C">
            <w:pPr>
              <w:rPr>
                <w:rFonts w:ascii="Times" w:hAnsi="Times" w:cs="Times"/>
                <w:color w:val="FFFFFF"/>
                <w:sz w:val="20"/>
                <w:szCs w:val="20"/>
              </w:rPr>
            </w:pPr>
            <w:r>
              <w:rPr>
                <w:rFonts w:ascii="Times" w:hAnsi="Times" w:cs="Times"/>
                <w:color w:val="FFFFFF"/>
                <w:sz w:val="20"/>
                <w:szCs w:val="20"/>
              </w:rPr>
              <w:t>.</w:t>
            </w:r>
          </w:p>
        </w:tc>
      </w:tr>
      <w:tr w:rsidR="0096547C" w14:paraId="38BEBD4B" w14:textId="77777777" w:rsidTr="0096547C">
        <w:tc>
          <w:tcPr>
            <w:tcW w:w="147" w:type="pct"/>
            <w:gridSpan w:val="2"/>
            <w:tcBorders>
              <w:top w:val="nil"/>
              <w:left w:val="nil"/>
              <w:bottom w:val="nil"/>
              <w:right w:val="nil"/>
            </w:tcBorders>
            <w:shd w:val="clear" w:color="auto" w:fill="FFFFFF"/>
            <w:tcMar>
              <w:top w:w="50" w:type="dxa"/>
              <w:left w:w="50" w:type="dxa"/>
              <w:bottom w:w="50" w:type="dxa"/>
              <w:right w:w="50" w:type="dxa"/>
            </w:tcMar>
            <w:vAlign w:val="center"/>
          </w:tcPr>
          <w:p w14:paraId="48A39529" w14:textId="77777777" w:rsidR="0096547C" w:rsidRDefault="0096547C" w:rsidP="0096547C"/>
        </w:tc>
        <w:tc>
          <w:tcPr>
            <w:tcW w:w="4853" w:type="pct"/>
            <w:tcBorders>
              <w:top w:val="nil"/>
              <w:left w:val="nil"/>
              <w:bottom w:val="nil"/>
              <w:right w:val="nil"/>
            </w:tcBorders>
            <w:shd w:val="clear" w:color="auto" w:fill="FFFFFF"/>
            <w:tcMar>
              <w:top w:w="50" w:type="dxa"/>
              <w:left w:w="50" w:type="dxa"/>
              <w:bottom w:w="50" w:type="dxa"/>
              <w:right w:w="50" w:type="dxa"/>
            </w:tcMar>
            <w:vAlign w:val="center"/>
          </w:tcPr>
          <w:p w14:paraId="469E0F53" w14:textId="77777777" w:rsidR="0096547C" w:rsidRDefault="0096547C" w:rsidP="0096547C">
            <w:pPr>
              <w:rPr>
                <w:color w:val="245086"/>
                <w:sz w:val="18"/>
                <w:szCs w:val="18"/>
              </w:rPr>
            </w:pPr>
            <w:r>
              <w:rPr>
                <w:b/>
                <w:bCs/>
                <w:color w:val="245086"/>
                <w:sz w:val="18"/>
                <w:szCs w:val="18"/>
              </w:rPr>
              <w:t>Copyright Statement:</w:t>
            </w:r>
          </w:p>
        </w:tc>
      </w:tr>
      <w:tr w:rsidR="0096547C" w14:paraId="65BA1DDD" w14:textId="77777777" w:rsidTr="0096547C">
        <w:tc>
          <w:tcPr>
            <w:tcW w:w="5000" w:type="pct"/>
            <w:gridSpan w:val="3"/>
            <w:tcBorders>
              <w:top w:val="nil"/>
              <w:left w:val="nil"/>
              <w:bottom w:val="nil"/>
              <w:right w:val="nil"/>
            </w:tcBorders>
            <w:shd w:val="clear" w:color="auto" w:fill="FFFFFF"/>
            <w:tcMar>
              <w:top w:w="50" w:type="dxa"/>
              <w:left w:w="50" w:type="dxa"/>
              <w:bottom w:w="50" w:type="dxa"/>
              <w:right w:w="50" w:type="dxa"/>
            </w:tcMar>
            <w:vAlign w:val="center"/>
          </w:tcPr>
          <w:p w14:paraId="0870AD6F" w14:textId="77777777" w:rsidR="0096547C" w:rsidRDefault="0096547C" w:rsidP="0096547C">
            <w:pPr>
              <w:rPr>
                <w:rFonts w:ascii="Times" w:hAnsi="Times" w:cs="Times"/>
                <w:color w:val="FFFFFF"/>
                <w:sz w:val="20"/>
                <w:szCs w:val="20"/>
              </w:rPr>
            </w:pPr>
            <w:r>
              <w:rPr>
                <w:rFonts w:ascii="Times" w:hAnsi="Times" w:cs="Times"/>
                <w:color w:val="FFFFFF"/>
                <w:sz w:val="20"/>
                <w:szCs w:val="20"/>
              </w:rPr>
              <w:t>.</w:t>
            </w:r>
          </w:p>
        </w:tc>
      </w:tr>
      <w:tr w:rsidR="0096547C" w14:paraId="15E14D0B" w14:textId="77777777" w:rsidTr="0096547C">
        <w:tc>
          <w:tcPr>
            <w:tcW w:w="147" w:type="pct"/>
            <w:gridSpan w:val="2"/>
            <w:tcBorders>
              <w:top w:val="nil"/>
              <w:left w:val="nil"/>
              <w:bottom w:val="nil"/>
              <w:right w:val="nil"/>
            </w:tcBorders>
            <w:shd w:val="clear" w:color="auto" w:fill="FFFFFF"/>
            <w:tcMar>
              <w:top w:w="50" w:type="dxa"/>
              <w:left w:w="50" w:type="dxa"/>
              <w:bottom w:w="50" w:type="dxa"/>
              <w:right w:w="50" w:type="dxa"/>
            </w:tcMar>
            <w:vAlign w:val="center"/>
          </w:tcPr>
          <w:p w14:paraId="30189D60" w14:textId="77777777" w:rsidR="0096547C" w:rsidRDefault="0096547C" w:rsidP="0096547C"/>
        </w:tc>
        <w:tc>
          <w:tcPr>
            <w:tcW w:w="4853" w:type="pct"/>
            <w:tcBorders>
              <w:top w:val="nil"/>
              <w:left w:val="nil"/>
              <w:bottom w:val="nil"/>
              <w:right w:val="nil"/>
            </w:tcBorders>
            <w:shd w:val="clear" w:color="auto" w:fill="FFFFFF"/>
            <w:tcMar>
              <w:top w:w="50" w:type="dxa"/>
              <w:left w:w="50" w:type="dxa"/>
              <w:bottom w:w="50" w:type="dxa"/>
              <w:right w:w="50" w:type="dxa"/>
            </w:tcMar>
            <w:vAlign w:val="center"/>
          </w:tcPr>
          <w:p w14:paraId="3B5A298B" w14:textId="77777777" w:rsidR="0096547C" w:rsidRDefault="0096547C" w:rsidP="0096547C">
            <w:pPr>
              <w:spacing w:line="240" w:lineRule="atLeast"/>
              <w:jc w:val="both"/>
              <w:rPr>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0CF87FC8" w14:textId="77777777" w:rsidR="0096547C" w:rsidRDefault="0096547C" w:rsidP="0096547C">
            <w:pPr>
              <w:spacing w:line="240" w:lineRule="atLeast"/>
              <w:jc w:val="both"/>
              <w:rPr>
                <w:sz w:val="18"/>
                <w:szCs w:val="18"/>
              </w:rPr>
            </w:pPr>
          </w:p>
          <w:p w14:paraId="344ADDAB" w14:textId="77777777" w:rsidR="0096547C" w:rsidRDefault="0096547C" w:rsidP="0096547C">
            <w:pPr>
              <w:spacing w:line="240" w:lineRule="atLeast"/>
              <w:jc w:val="both"/>
              <w:rPr>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5" w:history="1">
              <w:r>
                <w:rPr>
                  <w:color w:val="000099"/>
                  <w:sz w:val="18"/>
                  <w:szCs w:val="18"/>
                  <w:u w:val="single"/>
                </w:rPr>
                <w:t>http://www.copyright.com/.</w:t>
              </w:r>
            </w:hyperlink>
          </w:p>
          <w:p w14:paraId="3726C3EF" w14:textId="77777777" w:rsidR="0096547C" w:rsidRDefault="0096547C" w:rsidP="0096547C">
            <w:pPr>
              <w:spacing w:line="240" w:lineRule="atLeast"/>
              <w:jc w:val="both"/>
              <w:rPr>
                <w:sz w:val="18"/>
                <w:szCs w:val="18"/>
              </w:rPr>
            </w:pPr>
          </w:p>
          <w:p w14:paraId="6537875B" w14:textId="77777777" w:rsidR="0096547C" w:rsidRDefault="0096547C" w:rsidP="0096547C">
            <w:pPr>
              <w:spacing w:line="240" w:lineRule="atLeast"/>
              <w:jc w:val="both"/>
              <w:rPr>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16" w:history="1">
              <w:r>
                <w:rPr>
                  <w:color w:val="000099"/>
                  <w:sz w:val="18"/>
                  <w:szCs w:val="18"/>
                  <w:u w:val="single"/>
                </w:rPr>
                <w:t>pubrights@worldbank.org.</w:t>
              </w:r>
            </w:hyperlink>
          </w:p>
          <w:p w14:paraId="1E509E9A" w14:textId="77777777" w:rsidR="0096547C" w:rsidRDefault="0096547C" w:rsidP="0096547C">
            <w:pPr>
              <w:spacing w:line="240" w:lineRule="atLeast"/>
              <w:jc w:val="both"/>
              <w:rPr>
                <w:sz w:val="18"/>
                <w:szCs w:val="18"/>
              </w:rPr>
            </w:pPr>
          </w:p>
        </w:tc>
      </w:tr>
    </w:tbl>
    <w:p w14:paraId="1743F985" w14:textId="77777777" w:rsidR="0096547C" w:rsidRDefault="0096547C" w:rsidP="009A012D">
      <w:pPr>
        <w:contextualSpacing/>
        <w:jc w:val="both"/>
        <w:rPr>
          <w:b/>
          <w:sz w:val="28"/>
        </w:rPr>
      </w:pPr>
    </w:p>
    <w:p w14:paraId="25C81898" w14:textId="77777777" w:rsidR="0096547C" w:rsidRDefault="0096547C" w:rsidP="009A012D">
      <w:pPr>
        <w:contextualSpacing/>
        <w:jc w:val="both"/>
        <w:rPr>
          <w:b/>
          <w:sz w:val="28"/>
        </w:rPr>
      </w:pPr>
    </w:p>
    <w:p w14:paraId="08643851" w14:textId="77777777" w:rsidR="0096547C" w:rsidRDefault="0096547C" w:rsidP="009A012D">
      <w:pPr>
        <w:contextualSpacing/>
        <w:jc w:val="both"/>
        <w:rPr>
          <w:b/>
          <w:sz w:val="28"/>
        </w:rPr>
      </w:pPr>
    </w:p>
    <w:p w14:paraId="07D13EA4" w14:textId="77777777" w:rsidR="0096547C" w:rsidRDefault="0096547C" w:rsidP="009A012D">
      <w:pPr>
        <w:contextualSpacing/>
        <w:jc w:val="both"/>
        <w:rPr>
          <w:b/>
          <w:sz w:val="28"/>
        </w:rPr>
      </w:pPr>
    </w:p>
    <w:p w14:paraId="015CCA6F" w14:textId="77777777" w:rsidR="0096547C" w:rsidRDefault="0096547C" w:rsidP="009A012D">
      <w:pPr>
        <w:contextualSpacing/>
        <w:jc w:val="both"/>
        <w:rPr>
          <w:b/>
          <w:sz w:val="28"/>
        </w:rPr>
      </w:pPr>
    </w:p>
    <w:p w14:paraId="5FCEC848" w14:textId="77777777" w:rsidR="0096547C" w:rsidRDefault="0096547C" w:rsidP="009A012D">
      <w:pPr>
        <w:contextualSpacing/>
        <w:jc w:val="both"/>
        <w:rPr>
          <w:b/>
          <w:sz w:val="28"/>
        </w:rPr>
      </w:pPr>
    </w:p>
    <w:p w14:paraId="1AE668B2" w14:textId="77777777" w:rsidR="0096547C" w:rsidRDefault="0096547C" w:rsidP="009A012D">
      <w:pPr>
        <w:contextualSpacing/>
        <w:jc w:val="both"/>
        <w:rPr>
          <w:b/>
          <w:sz w:val="28"/>
        </w:rPr>
      </w:pPr>
    </w:p>
    <w:p w14:paraId="0F60981E" w14:textId="77777777" w:rsidR="00214920" w:rsidRDefault="00214920" w:rsidP="00E363F7">
      <w:pPr>
        <w:jc w:val="center"/>
        <w:rPr>
          <w:b/>
        </w:rPr>
      </w:pPr>
    </w:p>
    <w:p w14:paraId="07B87757" w14:textId="77777777" w:rsidR="00214920" w:rsidRDefault="00214920" w:rsidP="00E363F7">
      <w:pPr>
        <w:jc w:val="center"/>
        <w:rPr>
          <w:b/>
        </w:rPr>
      </w:pPr>
    </w:p>
    <w:p w14:paraId="4AC7002C" w14:textId="77777777" w:rsidR="00214920" w:rsidRDefault="00214920" w:rsidP="00E363F7">
      <w:pPr>
        <w:jc w:val="center"/>
        <w:rPr>
          <w:b/>
        </w:rPr>
      </w:pPr>
    </w:p>
    <w:p w14:paraId="360269E7" w14:textId="77777777" w:rsidR="00A93E50" w:rsidRPr="005A497D" w:rsidRDefault="00B14D1C" w:rsidP="00E363F7">
      <w:pPr>
        <w:jc w:val="center"/>
        <w:rPr>
          <w:b/>
        </w:rPr>
      </w:pPr>
      <w:r w:rsidRPr="005A497D">
        <w:rPr>
          <w:b/>
        </w:rPr>
        <w:lastRenderedPageBreak/>
        <w:t>FISCAL YEAR</w:t>
      </w:r>
    </w:p>
    <w:p w14:paraId="15A58682" w14:textId="77777777" w:rsidR="00B14D1C" w:rsidRPr="005A497D" w:rsidRDefault="00A93E50" w:rsidP="009A012D">
      <w:pPr>
        <w:jc w:val="center"/>
      </w:pPr>
      <w:r w:rsidRPr="005A497D">
        <w:t>J</w:t>
      </w:r>
      <w:r w:rsidR="00AE33F4" w:rsidRPr="005A497D">
        <w:t xml:space="preserve">anuary </w:t>
      </w:r>
      <w:r w:rsidR="00B14D1C" w:rsidRPr="005A497D">
        <w:t xml:space="preserve">1 </w:t>
      </w:r>
      <w:r w:rsidR="00D91936" w:rsidRPr="005A497D">
        <w:t>-</w:t>
      </w:r>
      <w:r w:rsidR="00B14D1C" w:rsidRPr="005A497D">
        <w:t xml:space="preserve"> </w:t>
      </w:r>
      <w:r w:rsidR="00AE33F4" w:rsidRPr="005A497D">
        <w:t>December 31</w:t>
      </w:r>
    </w:p>
    <w:p w14:paraId="0A25D690" w14:textId="77777777" w:rsidR="00B14D1C" w:rsidRPr="00E363F7" w:rsidRDefault="00B14D1C" w:rsidP="009A012D">
      <w:pPr>
        <w:jc w:val="center"/>
        <w:rPr>
          <w:sz w:val="18"/>
        </w:rPr>
      </w:pPr>
    </w:p>
    <w:p w14:paraId="68A501AA" w14:textId="77777777" w:rsidR="00B14D1C" w:rsidRPr="005A497D" w:rsidRDefault="00B14D1C" w:rsidP="009A012D">
      <w:pPr>
        <w:jc w:val="center"/>
        <w:rPr>
          <w:b/>
        </w:rPr>
      </w:pPr>
      <w:r w:rsidRPr="005A497D">
        <w:rPr>
          <w:b/>
        </w:rPr>
        <w:t>CURRENCY EQUIVALENTS</w:t>
      </w:r>
    </w:p>
    <w:p w14:paraId="1D3DCF2C" w14:textId="77777777" w:rsidR="00B14D1C" w:rsidRPr="005A497D" w:rsidRDefault="00B14D1C" w:rsidP="009A012D">
      <w:pPr>
        <w:jc w:val="center"/>
        <w:rPr>
          <w:b/>
        </w:rPr>
      </w:pPr>
      <w:r w:rsidRPr="005A497D">
        <w:t xml:space="preserve">Currency </w:t>
      </w:r>
      <w:r w:rsidR="00330565" w:rsidRPr="005A497D">
        <w:t>unit</w:t>
      </w:r>
      <w:r w:rsidR="00330565" w:rsidRPr="005A497D">
        <w:rPr>
          <w:b/>
        </w:rPr>
        <w:t xml:space="preserve"> </w:t>
      </w:r>
      <w:r w:rsidRPr="005A497D">
        <w:rPr>
          <w:b/>
        </w:rPr>
        <w:t xml:space="preserve">= </w:t>
      </w:r>
      <w:r w:rsidR="00AE33F4" w:rsidRPr="005A497D">
        <w:t>Philippine Peso (PhP)</w:t>
      </w:r>
    </w:p>
    <w:p w14:paraId="67417A7D" w14:textId="4267075E" w:rsidR="00204421" w:rsidRPr="005A497D" w:rsidRDefault="00B14D1C" w:rsidP="009A012D">
      <w:pPr>
        <w:jc w:val="center"/>
      </w:pPr>
      <w:r w:rsidRPr="00934F04">
        <w:t>US</w:t>
      </w:r>
      <w:r w:rsidR="00A770E0" w:rsidRPr="00135245">
        <w:t>D</w:t>
      </w:r>
      <w:r w:rsidRPr="00F76CF9">
        <w:t xml:space="preserve"> 1 =</w:t>
      </w:r>
      <w:r w:rsidR="00E5418B" w:rsidRPr="00F76CF9">
        <w:t xml:space="preserve"> </w:t>
      </w:r>
      <w:r w:rsidR="00820DDB" w:rsidRPr="00F76CF9">
        <w:t xml:space="preserve">PhP </w:t>
      </w:r>
      <w:r w:rsidR="00830FB1">
        <w:t>47.</w:t>
      </w:r>
      <w:r w:rsidR="00CB0E5E">
        <w:t>06</w:t>
      </w:r>
      <w:r w:rsidR="00E40222" w:rsidRPr="00E53F73">
        <w:t xml:space="preserve"> </w:t>
      </w:r>
      <w:r w:rsidR="00330565" w:rsidRPr="00E53F73">
        <w:t>(</w:t>
      </w:r>
      <w:r w:rsidR="002A7868" w:rsidRPr="00E53F73">
        <w:t xml:space="preserve">as </w:t>
      </w:r>
      <w:r w:rsidR="00820DDB" w:rsidRPr="00E53F73">
        <w:t>of</w:t>
      </w:r>
      <w:r w:rsidR="002A7868" w:rsidRPr="00E53F73">
        <w:t xml:space="preserve"> </w:t>
      </w:r>
      <w:r w:rsidR="00CE1F67">
        <w:t>June</w:t>
      </w:r>
      <w:r w:rsidR="001B7116" w:rsidRPr="00E53F73">
        <w:t xml:space="preserve"> </w:t>
      </w:r>
      <w:r w:rsidR="00632A9A">
        <w:t>2</w:t>
      </w:r>
      <w:r w:rsidR="00CB0E5E">
        <w:t>8</w:t>
      </w:r>
      <w:r w:rsidR="0014400A" w:rsidRPr="00E53F73">
        <w:t>,</w:t>
      </w:r>
      <w:r w:rsidR="00820DDB" w:rsidRPr="00E53F73">
        <w:t xml:space="preserve"> 201</w:t>
      </w:r>
      <w:r w:rsidR="00E40222" w:rsidRPr="00E53F73">
        <w:t>6</w:t>
      </w:r>
      <w:r w:rsidR="00330565" w:rsidRPr="00E53F73">
        <w:t>)</w:t>
      </w:r>
    </w:p>
    <w:p w14:paraId="5604ED64" w14:textId="77777777" w:rsidR="00820DDB" w:rsidRPr="00E363F7" w:rsidRDefault="00820DDB" w:rsidP="009A012D">
      <w:pPr>
        <w:jc w:val="center"/>
        <w:rPr>
          <w:sz w:val="18"/>
        </w:rPr>
      </w:pPr>
    </w:p>
    <w:p w14:paraId="19B64929" w14:textId="77777777" w:rsidR="00330565" w:rsidRPr="005A497D" w:rsidRDefault="00330565" w:rsidP="009A012D">
      <w:pPr>
        <w:pStyle w:val="Heading2"/>
        <w:rPr>
          <w:rFonts w:ascii="Times New Roman" w:hAnsi="Times New Roman"/>
          <w:sz w:val="28"/>
          <w:szCs w:val="28"/>
        </w:rPr>
      </w:pPr>
      <w:bookmarkStart w:id="0" w:name="_Toc454811630"/>
      <w:bookmarkStart w:id="1" w:name="_Toc454888775"/>
      <w:r w:rsidRPr="005A497D">
        <w:rPr>
          <w:rFonts w:ascii="Times New Roman" w:hAnsi="Times New Roman"/>
          <w:sz w:val="28"/>
          <w:szCs w:val="28"/>
        </w:rPr>
        <w:t>Acronyms and Abbreviations</w:t>
      </w:r>
      <w:bookmarkEnd w:id="0"/>
      <w:bookmarkEnd w:id="1"/>
    </w:p>
    <w:p w14:paraId="0121707B" w14:textId="77777777" w:rsidR="00B14D1C" w:rsidRPr="00E363F7" w:rsidRDefault="00B14D1C" w:rsidP="009A012D">
      <w:pPr>
        <w:contextualSpacing/>
        <w:jc w:val="both"/>
        <w:rPr>
          <w:sz w:val="18"/>
        </w:rPr>
      </w:pPr>
    </w:p>
    <w:tbl>
      <w:tblPr>
        <w:tblW w:w="8565" w:type="dxa"/>
        <w:tblInd w:w="93" w:type="dxa"/>
        <w:tblLook w:val="04A0" w:firstRow="1" w:lastRow="0" w:firstColumn="1" w:lastColumn="0" w:noHBand="0" w:noVBand="1"/>
      </w:tblPr>
      <w:tblGrid>
        <w:gridCol w:w="1575"/>
        <w:gridCol w:w="6990"/>
      </w:tblGrid>
      <w:tr w:rsidR="003D30F7" w:rsidRPr="005A497D" w14:paraId="37904911" w14:textId="77777777" w:rsidTr="00577670">
        <w:trPr>
          <w:trHeight w:val="283"/>
        </w:trPr>
        <w:tc>
          <w:tcPr>
            <w:tcW w:w="1575" w:type="dxa"/>
            <w:tcBorders>
              <w:top w:val="nil"/>
              <w:left w:val="nil"/>
              <w:bottom w:val="nil"/>
              <w:right w:val="nil"/>
            </w:tcBorders>
            <w:shd w:val="clear" w:color="auto" w:fill="auto"/>
            <w:noWrap/>
            <w:vAlign w:val="center"/>
            <w:hideMark/>
          </w:tcPr>
          <w:p w14:paraId="2041F267" w14:textId="77777777" w:rsidR="003D30F7" w:rsidRPr="00EE3D16" w:rsidRDefault="003D30F7" w:rsidP="00577670">
            <w:pPr>
              <w:rPr>
                <w:color w:val="000000"/>
                <w:sz w:val="20"/>
                <w:szCs w:val="20"/>
                <w:lang w:eastAsia="en-GB"/>
              </w:rPr>
            </w:pPr>
            <w:r w:rsidRPr="00EE3D16">
              <w:rPr>
                <w:color w:val="000000"/>
                <w:sz w:val="20"/>
                <w:szCs w:val="20"/>
                <w:lang w:eastAsia="en-GB"/>
              </w:rPr>
              <w:t>AAR</w:t>
            </w:r>
          </w:p>
        </w:tc>
        <w:tc>
          <w:tcPr>
            <w:tcW w:w="6990" w:type="dxa"/>
            <w:tcBorders>
              <w:top w:val="nil"/>
              <w:left w:val="nil"/>
              <w:bottom w:val="nil"/>
              <w:right w:val="nil"/>
            </w:tcBorders>
            <w:shd w:val="clear" w:color="auto" w:fill="auto"/>
            <w:noWrap/>
            <w:vAlign w:val="center"/>
            <w:hideMark/>
          </w:tcPr>
          <w:p w14:paraId="1CFD2C11" w14:textId="43CC8CB1" w:rsidR="003D30F7" w:rsidRPr="00EE3D16" w:rsidRDefault="003D30F7" w:rsidP="00AA1B35">
            <w:pPr>
              <w:rPr>
                <w:color w:val="000000"/>
                <w:sz w:val="20"/>
                <w:szCs w:val="20"/>
                <w:lang w:eastAsia="en-GB"/>
              </w:rPr>
            </w:pPr>
            <w:r w:rsidRPr="00EE3D16">
              <w:rPr>
                <w:color w:val="000000"/>
                <w:sz w:val="20"/>
                <w:szCs w:val="20"/>
                <w:lang w:eastAsia="en-GB"/>
              </w:rPr>
              <w:t xml:space="preserve">Annual </w:t>
            </w:r>
            <w:r w:rsidR="00AA1B35">
              <w:rPr>
                <w:color w:val="000000"/>
                <w:sz w:val="20"/>
                <w:szCs w:val="20"/>
                <w:lang w:eastAsia="en-GB"/>
              </w:rPr>
              <w:t>A</w:t>
            </w:r>
            <w:r w:rsidR="00AA1B35" w:rsidRPr="00EE3D16">
              <w:rPr>
                <w:color w:val="000000"/>
                <w:sz w:val="20"/>
                <w:szCs w:val="20"/>
                <w:lang w:eastAsia="en-GB"/>
              </w:rPr>
              <w:t xml:space="preserve">udit </w:t>
            </w:r>
            <w:r w:rsidR="00AA1B35">
              <w:rPr>
                <w:color w:val="000000"/>
                <w:sz w:val="20"/>
                <w:szCs w:val="20"/>
                <w:lang w:eastAsia="en-GB"/>
              </w:rPr>
              <w:t>R</w:t>
            </w:r>
            <w:r w:rsidR="00AA1B35" w:rsidRPr="00EE3D16">
              <w:rPr>
                <w:color w:val="000000"/>
                <w:sz w:val="20"/>
                <w:szCs w:val="20"/>
                <w:lang w:eastAsia="en-GB"/>
              </w:rPr>
              <w:t>eport</w:t>
            </w:r>
          </w:p>
        </w:tc>
      </w:tr>
      <w:tr w:rsidR="003D30F7" w:rsidRPr="005A497D" w14:paraId="6799F228" w14:textId="77777777" w:rsidTr="00577670">
        <w:trPr>
          <w:trHeight w:val="283"/>
        </w:trPr>
        <w:tc>
          <w:tcPr>
            <w:tcW w:w="1575" w:type="dxa"/>
            <w:tcBorders>
              <w:top w:val="nil"/>
              <w:left w:val="nil"/>
              <w:bottom w:val="nil"/>
              <w:right w:val="nil"/>
            </w:tcBorders>
            <w:shd w:val="clear" w:color="auto" w:fill="auto"/>
            <w:noWrap/>
            <w:vAlign w:val="center"/>
            <w:hideMark/>
          </w:tcPr>
          <w:p w14:paraId="354FD031" w14:textId="77777777" w:rsidR="003D30F7" w:rsidRPr="00EE3D16" w:rsidRDefault="003D30F7" w:rsidP="00577670">
            <w:pPr>
              <w:rPr>
                <w:color w:val="000000"/>
                <w:sz w:val="20"/>
                <w:szCs w:val="20"/>
                <w:lang w:eastAsia="en-GB"/>
              </w:rPr>
            </w:pPr>
            <w:r w:rsidRPr="00EE3D16">
              <w:rPr>
                <w:color w:val="000000"/>
                <w:sz w:val="20"/>
                <w:szCs w:val="20"/>
                <w:lang w:eastAsia="en-GB"/>
              </w:rPr>
              <w:t>ADB</w:t>
            </w:r>
          </w:p>
        </w:tc>
        <w:tc>
          <w:tcPr>
            <w:tcW w:w="6990" w:type="dxa"/>
            <w:tcBorders>
              <w:top w:val="nil"/>
              <w:left w:val="nil"/>
              <w:bottom w:val="nil"/>
              <w:right w:val="nil"/>
            </w:tcBorders>
            <w:shd w:val="clear" w:color="auto" w:fill="auto"/>
            <w:noWrap/>
            <w:vAlign w:val="center"/>
            <w:hideMark/>
          </w:tcPr>
          <w:p w14:paraId="51F2B86C" w14:textId="77777777" w:rsidR="003D30F7" w:rsidRPr="00EE3D16" w:rsidRDefault="003D30F7" w:rsidP="00577670">
            <w:pPr>
              <w:rPr>
                <w:color w:val="000000"/>
                <w:sz w:val="20"/>
                <w:szCs w:val="20"/>
                <w:lang w:eastAsia="en-GB"/>
              </w:rPr>
            </w:pPr>
            <w:r w:rsidRPr="00EE3D16">
              <w:rPr>
                <w:color w:val="000000"/>
                <w:sz w:val="20"/>
                <w:szCs w:val="20"/>
                <w:lang w:eastAsia="en-GB"/>
              </w:rPr>
              <w:t xml:space="preserve">Asian Development Bank </w:t>
            </w:r>
          </w:p>
        </w:tc>
      </w:tr>
      <w:tr w:rsidR="008B5D3C" w:rsidRPr="005A497D" w14:paraId="7FDA4202" w14:textId="77777777" w:rsidTr="00577670">
        <w:trPr>
          <w:trHeight w:val="283"/>
        </w:trPr>
        <w:tc>
          <w:tcPr>
            <w:tcW w:w="1575" w:type="dxa"/>
            <w:tcBorders>
              <w:top w:val="nil"/>
              <w:left w:val="nil"/>
              <w:bottom w:val="nil"/>
              <w:right w:val="nil"/>
            </w:tcBorders>
            <w:shd w:val="clear" w:color="auto" w:fill="auto"/>
            <w:noWrap/>
            <w:vAlign w:val="center"/>
          </w:tcPr>
          <w:p w14:paraId="3CBBF207" w14:textId="732352EA" w:rsidR="008B5D3C" w:rsidRPr="00EE3D16" w:rsidRDefault="008B5D3C" w:rsidP="00577670">
            <w:pPr>
              <w:rPr>
                <w:sz w:val="20"/>
                <w:szCs w:val="20"/>
              </w:rPr>
            </w:pPr>
            <w:r>
              <w:rPr>
                <w:sz w:val="20"/>
                <w:szCs w:val="20"/>
              </w:rPr>
              <w:t>AFR</w:t>
            </w:r>
          </w:p>
        </w:tc>
        <w:tc>
          <w:tcPr>
            <w:tcW w:w="6990" w:type="dxa"/>
            <w:tcBorders>
              <w:top w:val="nil"/>
              <w:left w:val="nil"/>
              <w:bottom w:val="nil"/>
              <w:right w:val="nil"/>
            </w:tcBorders>
            <w:shd w:val="clear" w:color="auto" w:fill="auto"/>
            <w:noWrap/>
            <w:vAlign w:val="center"/>
          </w:tcPr>
          <w:p w14:paraId="1140D93A" w14:textId="2D30D584" w:rsidR="008B5D3C" w:rsidRPr="00EE3D16" w:rsidRDefault="008B5D3C" w:rsidP="00EB38FB">
            <w:pPr>
              <w:rPr>
                <w:sz w:val="20"/>
                <w:szCs w:val="20"/>
              </w:rPr>
            </w:pPr>
            <w:r>
              <w:rPr>
                <w:sz w:val="20"/>
                <w:szCs w:val="20"/>
              </w:rPr>
              <w:t>Annual Financial Report</w:t>
            </w:r>
          </w:p>
        </w:tc>
      </w:tr>
      <w:tr w:rsidR="003D30F7" w:rsidRPr="005A497D" w14:paraId="6AA5E733" w14:textId="77777777" w:rsidTr="00577670">
        <w:trPr>
          <w:trHeight w:val="283"/>
        </w:trPr>
        <w:tc>
          <w:tcPr>
            <w:tcW w:w="1575" w:type="dxa"/>
            <w:tcBorders>
              <w:top w:val="nil"/>
              <w:left w:val="nil"/>
              <w:bottom w:val="nil"/>
              <w:right w:val="nil"/>
            </w:tcBorders>
            <w:shd w:val="clear" w:color="auto" w:fill="auto"/>
            <w:noWrap/>
            <w:vAlign w:val="center"/>
            <w:hideMark/>
          </w:tcPr>
          <w:p w14:paraId="17EBCA17" w14:textId="77777777" w:rsidR="003D30F7" w:rsidRPr="00EE3D16" w:rsidRDefault="003D30F7" w:rsidP="00577670">
            <w:pPr>
              <w:rPr>
                <w:color w:val="000000"/>
                <w:sz w:val="20"/>
                <w:szCs w:val="20"/>
                <w:lang w:eastAsia="en-GB"/>
              </w:rPr>
            </w:pPr>
            <w:r w:rsidRPr="00EE3D16">
              <w:rPr>
                <w:sz w:val="20"/>
                <w:szCs w:val="20"/>
              </w:rPr>
              <w:t>APCPI</w:t>
            </w:r>
          </w:p>
        </w:tc>
        <w:tc>
          <w:tcPr>
            <w:tcW w:w="6990" w:type="dxa"/>
            <w:tcBorders>
              <w:top w:val="nil"/>
              <w:left w:val="nil"/>
              <w:bottom w:val="nil"/>
              <w:right w:val="nil"/>
            </w:tcBorders>
            <w:shd w:val="clear" w:color="auto" w:fill="auto"/>
            <w:noWrap/>
            <w:vAlign w:val="center"/>
            <w:hideMark/>
          </w:tcPr>
          <w:p w14:paraId="4BB49ADD" w14:textId="77777777" w:rsidR="003D30F7" w:rsidRPr="00EE3D16" w:rsidRDefault="003D30F7" w:rsidP="00EB38FB">
            <w:pPr>
              <w:rPr>
                <w:sz w:val="20"/>
                <w:szCs w:val="20"/>
              </w:rPr>
            </w:pPr>
            <w:r w:rsidRPr="00EE3D16">
              <w:rPr>
                <w:sz w:val="20"/>
                <w:szCs w:val="20"/>
              </w:rPr>
              <w:t>Agency Procurement Compliance and Performance Indicator</w:t>
            </w:r>
          </w:p>
        </w:tc>
      </w:tr>
      <w:tr w:rsidR="003D30F7" w:rsidRPr="005A497D" w14:paraId="02139679" w14:textId="77777777" w:rsidTr="00577670">
        <w:trPr>
          <w:trHeight w:val="283"/>
        </w:trPr>
        <w:tc>
          <w:tcPr>
            <w:tcW w:w="1575" w:type="dxa"/>
            <w:tcBorders>
              <w:top w:val="nil"/>
              <w:left w:val="nil"/>
              <w:bottom w:val="nil"/>
              <w:right w:val="nil"/>
            </w:tcBorders>
            <w:shd w:val="clear" w:color="auto" w:fill="auto"/>
            <w:noWrap/>
            <w:vAlign w:val="center"/>
            <w:hideMark/>
          </w:tcPr>
          <w:p w14:paraId="79A38456" w14:textId="77777777" w:rsidR="003D30F7" w:rsidRPr="00EE3D16" w:rsidRDefault="003D30F7" w:rsidP="00577670">
            <w:pPr>
              <w:rPr>
                <w:color w:val="000000"/>
                <w:sz w:val="20"/>
                <w:szCs w:val="20"/>
                <w:lang w:eastAsia="en-GB"/>
              </w:rPr>
            </w:pPr>
            <w:r w:rsidRPr="00EE3D16">
              <w:rPr>
                <w:color w:val="000000"/>
                <w:sz w:val="20"/>
                <w:szCs w:val="20"/>
                <w:lang w:eastAsia="en-GB"/>
              </w:rPr>
              <w:t>ARAAOD</w:t>
            </w:r>
          </w:p>
        </w:tc>
        <w:tc>
          <w:tcPr>
            <w:tcW w:w="6990" w:type="dxa"/>
            <w:tcBorders>
              <w:top w:val="nil"/>
              <w:left w:val="nil"/>
              <w:bottom w:val="nil"/>
              <w:right w:val="nil"/>
            </w:tcBorders>
            <w:shd w:val="clear" w:color="auto" w:fill="auto"/>
            <w:noWrap/>
            <w:vAlign w:val="center"/>
            <w:hideMark/>
          </w:tcPr>
          <w:p w14:paraId="1118DE44" w14:textId="77777777" w:rsidR="003D30F7" w:rsidRPr="00EE3D16" w:rsidRDefault="003D30F7" w:rsidP="00577670">
            <w:pPr>
              <w:rPr>
                <w:sz w:val="20"/>
                <w:szCs w:val="20"/>
              </w:rPr>
            </w:pPr>
            <w:r w:rsidRPr="00EE3D16">
              <w:rPr>
                <w:sz w:val="20"/>
                <w:szCs w:val="20"/>
              </w:rPr>
              <w:t>Annual Report on Appropriations, Allotment, Obligations and Disbursements</w:t>
            </w:r>
          </w:p>
        </w:tc>
      </w:tr>
      <w:tr w:rsidR="003D30F7" w:rsidRPr="005A497D" w14:paraId="4D5056C1" w14:textId="77777777" w:rsidTr="00577670">
        <w:trPr>
          <w:trHeight w:val="283"/>
        </w:trPr>
        <w:tc>
          <w:tcPr>
            <w:tcW w:w="1575" w:type="dxa"/>
            <w:tcBorders>
              <w:top w:val="nil"/>
              <w:left w:val="nil"/>
              <w:bottom w:val="nil"/>
              <w:right w:val="nil"/>
            </w:tcBorders>
            <w:shd w:val="clear" w:color="auto" w:fill="auto"/>
            <w:noWrap/>
            <w:vAlign w:val="center"/>
            <w:hideMark/>
          </w:tcPr>
          <w:p w14:paraId="4480432C" w14:textId="77777777" w:rsidR="003D30F7" w:rsidRPr="00EE3D16" w:rsidRDefault="003D30F7" w:rsidP="00577670">
            <w:pPr>
              <w:rPr>
                <w:color w:val="000000"/>
                <w:sz w:val="20"/>
                <w:szCs w:val="20"/>
                <w:lang w:eastAsia="en-GB"/>
              </w:rPr>
            </w:pPr>
            <w:r w:rsidRPr="00EE3D16">
              <w:rPr>
                <w:color w:val="000000"/>
                <w:sz w:val="20"/>
                <w:szCs w:val="20"/>
                <w:lang w:eastAsia="en-GB"/>
              </w:rPr>
              <w:t>ARMM</w:t>
            </w:r>
          </w:p>
        </w:tc>
        <w:tc>
          <w:tcPr>
            <w:tcW w:w="6990" w:type="dxa"/>
            <w:tcBorders>
              <w:top w:val="nil"/>
              <w:left w:val="nil"/>
              <w:bottom w:val="nil"/>
              <w:right w:val="nil"/>
            </w:tcBorders>
            <w:shd w:val="clear" w:color="auto" w:fill="auto"/>
            <w:noWrap/>
            <w:vAlign w:val="center"/>
            <w:hideMark/>
          </w:tcPr>
          <w:p w14:paraId="079DD711" w14:textId="41CF2DC5" w:rsidR="003D30F7" w:rsidRPr="00EE3D16" w:rsidRDefault="003D30F7" w:rsidP="008B5D3C">
            <w:pPr>
              <w:rPr>
                <w:sz w:val="20"/>
                <w:szCs w:val="20"/>
              </w:rPr>
            </w:pPr>
            <w:r w:rsidRPr="00EE3D16">
              <w:rPr>
                <w:sz w:val="20"/>
                <w:szCs w:val="20"/>
              </w:rPr>
              <w:t xml:space="preserve">Autonomous Region </w:t>
            </w:r>
            <w:r w:rsidR="008B5D3C">
              <w:rPr>
                <w:sz w:val="20"/>
                <w:szCs w:val="20"/>
              </w:rPr>
              <w:t>in</w:t>
            </w:r>
            <w:r w:rsidRPr="00EE3D16">
              <w:rPr>
                <w:sz w:val="20"/>
                <w:szCs w:val="20"/>
              </w:rPr>
              <w:t xml:space="preserve"> Muslim Mindanao</w:t>
            </w:r>
          </w:p>
        </w:tc>
      </w:tr>
      <w:tr w:rsidR="003D30F7" w:rsidRPr="005A497D" w14:paraId="7FB62E50" w14:textId="77777777" w:rsidTr="00577670">
        <w:trPr>
          <w:trHeight w:val="283"/>
        </w:trPr>
        <w:tc>
          <w:tcPr>
            <w:tcW w:w="1575" w:type="dxa"/>
            <w:tcBorders>
              <w:top w:val="nil"/>
              <w:left w:val="nil"/>
              <w:bottom w:val="nil"/>
              <w:right w:val="nil"/>
            </w:tcBorders>
            <w:shd w:val="clear" w:color="auto" w:fill="auto"/>
            <w:noWrap/>
            <w:vAlign w:val="center"/>
            <w:hideMark/>
          </w:tcPr>
          <w:p w14:paraId="1E1D1111" w14:textId="77777777" w:rsidR="003D30F7" w:rsidRPr="00EE3D16" w:rsidRDefault="003D30F7" w:rsidP="00577670">
            <w:pPr>
              <w:rPr>
                <w:color w:val="000000"/>
                <w:sz w:val="20"/>
                <w:szCs w:val="20"/>
                <w:lang w:eastAsia="en-GB"/>
              </w:rPr>
            </w:pPr>
            <w:r w:rsidRPr="00EE3D16">
              <w:rPr>
                <w:color w:val="000000"/>
                <w:sz w:val="20"/>
                <w:szCs w:val="20"/>
                <w:lang w:eastAsia="en-GB"/>
              </w:rPr>
              <w:t>BED</w:t>
            </w:r>
          </w:p>
        </w:tc>
        <w:tc>
          <w:tcPr>
            <w:tcW w:w="6990" w:type="dxa"/>
            <w:tcBorders>
              <w:top w:val="nil"/>
              <w:left w:val="nil"/>
              <w:bottom w:val="nil"/>
              <w:right w:val="nil"/>
            </w:tcBorders>
            <w:shd w:val="clear" w:color="auto" w:fill="auto"/>
            <w:noWrap/>
            <w:vAlign w:val="center"/>
            <w:hideMark/>
          </w:tcPr>
          <w:p w14:paraId="5C2482AE" w14:textId="77777777" w:rsidR="003D30F7" w:rsidRPr="00EE3D16" w:rsidRDefault="003D30F7" w:rsidP="00577670">
            <w:pPr>
              <w:rPr>
                <w:sz w:val="20"/>
                <w:szCs w:val="20"/>
              </w:rPr>
            </w:pPr>
            <w:r w:rsidRPr="00EE3D16">
              <w:rPr>
                <w:sz w:val="20"/>
                <w:szCs w:val="20"/>
              </w:rPr>
              <w:t>Budget Execution Document</w:t>
            </w:r>
          </w:p>
        </w:tc>
      </w:tr>
      <w:tr w:rsidR="003D30F7" w:rsidRPr="005A497D" w14:paraId="2EE26A65" w14:textId="77777777" w:rsidTr="00577670">
        <w:trPr>
          <w:trHeight w:val="283"/>
        </w:trPr>
        <w:tc>
          <w:tcPr>
            <w:tcW w:w="1575" w:type="dxa"/>
            <w:tcBorders>
              <w:top w:val="nil"/>
              <w:left w:val="nil"/>
              <w:bottom w:val="nil"/>
              <w:right w:val="nil"/>
            </w:tcBorders>
            <w:shd w:val="clear" w:color="auto" w:fill="auto"/>
            <w:noWrap/>
            <w:vAlign w:val="center"/>
            <w:hideMark/>
          </w:tcPr>
          <w:p w14:paraId="0B1BC2DA" w14:textId="77777777" w:rsidR="003D30F7" w:rsidRPr="00EE3D16" w:rsidRDefault="003D30F7" w:rsidP="00577670">
            <w:pPr>
              <w:rPr>
                <w:color w:val="000000"/>
                <w:sz w:val="20"/>
                <w:szCs w:val="20"/>
                <w:lang w:eastAsia="en-GB"/>
              </w:rPr>
            </w:pPr>
            <w:r w:rsidRPr="00EE3D16">
              <w:rPr>
                <w:color w:val="000000"/>
                <w:sz w:val="20"/>
                <w:szCs w:val="20"/>
                <w:lang w:eastAsia="en-GB"/>
              </w:rPr>
              <w:t>BESF</w:t>
            </w:r>
          </w:p>
        </w:tc>
        <w:tc>
          <w:tcPr>
            <w:tcW w:w="6990" w:type="dxa"/>
            <w:tcBorders>
              <w:top w:val="nil"/>
              <w:left w:val="nil"/>
              <w:bottom w:val="nil"/>
              <w:right w:val="nil"/>
            </w:tcBorders>
            <w:shd w:val="clear" w:color="auto" w:fill="auto"/>
            <w:noWrap/>
            <w:vAlign w:val="center"/>
            <w:hideMark/>
          </w:tcPr>
          <w:p w14:paraId="430EEE8D" w14:textId="77777777" w:rsidR="003D30F7" w:rsidRPr="00EE3D16" w:rsidRDefault="003D30F7" w:rsidP="00577670">
            <w:pPr>
              <w:rPr>
                <w:color w:val="000000"/>
                <w:sz w:val="20"/>
                <w:szCs w:val="20"/>
                <w:lang w:eastAsia="en-GB"/>
              </w:rPr>
            </w:pPr>
            <w:r w:rsidRPr="00EE3D16">
              <w:rPr>
                <w:sz w:val="20"/>
                <w:szCs w:val="20"/>
              </w:rPr>
              <w:t>Budget of Expenditures and Sources of Financing</w:t>
            </w:r>
          </w:p>
        </w:tc>
      </w:tr>
      <w:tr w:rsidR="003D30F7" w:rsidRPr="005A497D" w14:paraId="6EEC04CD" w14:textId="77777777" w:rsidTr="00577670">
        <w:trPr>
          <w:trHeight w:val="283"/>
        </w:trPr>
        <w:tc>
          <w:tcPr>
            <w:tcW w:w="1575" w:type="dxa"/>
            <w:tcBorders>
              <w:top w:val="nil"/>
              <w:left w:val="nil"/>
              <w:bottom w:val="nil"/>
              <w:right w:val="nil"/>
            </w:tcBorders>
            <w:shd w:val="clear" w:color="auto" w:fill="auto"/>
            <w:noWrap/>
            <w:vAlign w:val="center"/>
            <w:hideMark/>
          </w:tcPr>
          <w:p w14:paraId="5EC52CEB" w14:textId="77777777" w:rsidR="003D30F7" w:rsidRPr="00EE3D16" w:rsidRDefault="003D30F7" w:rsidP="00577670">
            <w:pPr>
              <w:rPr>
                <w:color w:val="000000"/>
                <w:sz w:val="20"/>
                <w:szCs w:val="20"/>
                <w:lang w:eastAsia="en-GB"/>
              </w:rPr>
            </w:pPr>
            <w:r w:rsidRPr="00EE3D16">
              <w:rPr>
                <w:color w:val="000000"/>
                <w:sz w:val="20"/>
                <w:szCs w:val="20"/>
                <w:lang w:eastAsia="en-GB"/>
              </w:rPr>
              <w:t>BIR</w:t>
            </w:r>
          </w:p>
        </w:tc>
        <w:tc>
          <w:tcPr>
            <w:tcW w:w="6990" w:type="dxa"/>
            <w:tcBorders>
              <w:top w:val="nil"/>
              <w:left w:val="nil"/>
              <w:bottom w:val="nil"/>
              <w:right w:val="nil"/>
            </w:tcBorders>
            <w:shd w:val="clear" w:color="auto" w:fill="auto"/>
            <w:noWrap/>
            <w:vAlign w:val="center"/>
            <w:hideMark/>
          </w:tcPr>
          <w:p w14:paraId="4D591E4B" w14:textId="77777777" w:rsidR="003D30F7" w:rsidRPr="00EE3D16" w:rsidRDefault="003D30F7" w:rsidP="00577670">
            <w:pPr>
              <w:rPr>
                <w:color w:val="000000"/>
                <w:sz w:val="20"/>
                <w:szCs w:val="20"/>
                <w:lang w:eastAsia="en-GB"/>
              </w:rPr>
            </w:pPr>
            <w:r w:rsidRPr="00EE3D16">
              <w:rPr>
                <w:sz w:val="20"/>
                <w:szCs w:val="20"/>
              </w:rPr>
              <w:t>Bureau of Internal Revenue</w:t>
            </w:r>
          </w:p>
        </w:tc>
      </w:tr>
      <w:tr w:rsidR="003D30F7" w:rsidRPr="005A497D" w14:paraId="535B81DC" w14:textId="77777777" w:rsidTr="00577670">
        <w:trPr>
          <w:trHeight w:val="283"/>
        </w:trPr>
        <w:tc>
          <w:tcPr>
            <w:tcW w:w="1575" w:type="dxa"/>
            <w:tcBorders>
              <w:top w:val="nil"/>
              <w:left w:val="nil"/>
              <w:bottom w:val="nil"/>
              <w:right w:val="nil"/>
            </w:tcBorders>
            <w:shd w:val="clear" w:color="auto" w:fill="auto"/>
            <w:noWrap/>
            <w:vAlign w:val="center"/>
            <w:hideMark/>
          </w:tcPr>
          <w:p w14:paraId="6F811957" w14:textId="77777777" w:rsidR="003D30F7" w:rsidRPr="00EE3D16" w:rsidRDefault="003D30F7" w:rsidP="00577670">
            <w:pPr>
              <w:rPr>
                <w:color w:val="000000"/>
                <w:sz w:val="20"/>
                <w:szCs w:val="20"/>
                <w:lang w:eastAsia="en-GB"/>
              </w:rPr>
            </w:pPr>
            <w:r w:rsidRPr="00EE3D16">
              <w:rPr>
                <w:color w:val="000000"/>
                <w:sz w:val="20"/>
                <w:szCs w:val="20"/>
                <w:lang w:eastAsia="en-GB"/>
              </w:rPr>
              <w:t>BLGF</w:t>
            </w:r>
          </w:p>
        </w:tc>
        <w:tc>
          <w:tcPr>
            <w:tcW w:w="6990" w:type="dxa"/>
            <w:tcBorders>
              <w:top w:val="nil"/>
              <w:left w:val="nil"/>
              <w:bottom w:val="nil"/>
              <w:right w:val="nil"/>
            </w:tcBorders>
            <w:shd w:val="clear" w:color="auto" w:fill="auto"/>
            <w:noWrap/>
            <w:vAlign w:val="center"/>
            <w:hideMark/>
          </w:tcPr>
          <w:p w14:paraId="46B61BF6" w14:textId="77777777" w:rsidR="003D30F7" w:rsidRPr="00EE3D16" w:rsidRDefault="003D30F7" w:rsidP="00577670">
            <w:pPr>
              <w:rPr>
                <w:sz w:val="20"/>
                <w:szCs w:val="20"/>
              </w:rPr>
            </w:pPr>
            <w:r w:rsidRPr="00EE3D16">
              <w:rPr>
                <w:sz w:val="20"/>
                <w:szCs w:val="20"/>
              </w:rPr>
              <w:t>Bureau of Local Government Finance</w:t>
            </w:r>
          </w:p>
        </w:tc>
      </w:tr>
      <w:tr w:rsidR="003D30F7" w:rsidRPr="005A497D" w14:paraId="523516F3" w14:textId="77777777" w:rsidTr="00577670">
        <w:trPr>
          <w:trHeight w:val="283"/>
        </w:trPr>
        <w:tc>
          <w:tcPr>
            <w:tcW w:w="1575" w:type="dxa"/>
            <w:tcBorders>
              <w:top w:val="nil"/>
              <w:left w:val="nil"/>
              <w:bottom w:val="nil"/>
              <w:right w:val="nil"/>
            </w:tcBorders>
            <w:shd w:val="clear" w:color="auto" w:fill="auto"/>
            <w:noWrap/>
            <w:vAlign w:val="center"/>
            <w:hideMark/>
          </w:tcPr>
          <w:p w14:paraId="7891B86C" w14:textId="77777777" w:rsidR="003D30F7" w:rsidRPr="00EE3D16" w:rsidRDefault="003D30F7" w:rsidP="00577670">
            <w:pPr>
              <w:rPr>
                <w:color w:val="000000"/>
                <w:sz w:val="20"/>
                <w:szCs w:val="20"/>
                <w:lang w:eastAsia="en-GB"/>
              </w:rPr>
            </w:pPr>
            <w:r w:rsidRPr="00EE3D16">
              <w:rPr>
                <w:color w:val="000000"/>
                <w:sz w:val="20"/>
                <w:szCs w:val="20"/>
                <w:lang w:eastAsia="en-GB"/>
              </w:rPr>
              <w:t>BoC</w:t>
            </w:r>
          </w:p>
        </w:tc>
        <w:tc>
          <w:tcPr>
            <w:tcW w:w="6990" w:type="dxa"/>
            <w:tcBorders>
              <w:top w:val="nil"/>
              <w:left w:val="nil"/>
              <w:bottom w:val="nil"/>
              <w:right w:val="nil"/>
            </w:tcBorders>
            <w:shd w:val="clear" w:color="auto" w:fill="auto"/>
            <w:noWrap/>
            <w:vAlign w:val="center"/>
            <w:hideMark/>
          </w:tcPr>
          <w:p w14:paraId="095D0FD5" w14:textId="77777777" w:rsidR="003D30F7" w:rsidRPr="00EE3D16" w:rsidRDefault="003D30F7" w:rsidP="00577670">
            <w:pPr>
              <w:rPr>
                <w:color w:val="000000"/>
                <w:sz w:val="20"/>
                <w:szCs w:val="20"/>
                <w:lang w:eastAsia="en-GB"/>
              </w:rPr>
            </w:pPr>
            <w:r w:rsidRPr="00EE3D16">
              <w:rPr>
                <w:sz w:val="20"/>
                <w:szCs w:val="20"/>
              </w:rPr>
              <w:t>Bureau of Customs</w:t>
            </w:r>
          </w:p>
        </w:tc>
      </w:tr>
      <w:tr w:rsidR="000445BA" w:rsidRPr="005A497D" w14:paraId="7242E7A9" w14:textId="77777777" w:rsidTr="00577670">
        <w:trPr>
          <w:trHeight w:val="283"/>
        </w:trPr>
        <w:tc>
          <w:tcPr>
            <w:tcW w:w="1575" w:type="dxa"/>
            <w:tcBorders>
              <w:top w:val="nil"/>
              <w:left w:val="nil"/>
              <w:bottom w:val="nil"/>
              <w:right w:val="nil"/>
            </w:tcBorders>
            <w:shd w:val="clear" w:color="auto" w:fill="auto"/>
            <w:noWrap/>
            <w:vAlign w:val="center"/>
          </w:tcPr>
          <w:p w14:paraId="1597CFCF" w14:textId="5EC97983" w:rsidR="000445BA" w:rsidRPr="00EE3D16" w:rsidRDefault="000445BA" w:rsidP="00577670">
            <w:pPr>
              <w:rPr>
                <w:color w:val="000000"/>
                <w:sz w:val="20"/>
                <w:szCs w:val="20"/>
                <w:lang w:eastAsia="en-GB"/>
              </w:rPr>
            </w:pPr>
            <w:r>
              <w:rPr>
                <w:color w:val="000000"/>
                <w:sz w:val="20"/>
                <w:szCs w:val="20"/>
                <w:lang w:eastAsia="en-GB"/>
              </w:rPr>
              <w:t>BOT</w:t>
            </w:r>
          </w:p>
        </w:tc>
        <w:tc>
          <w:tcPr>
            <w:tcW w:w="6990" w:type="dxa"/>
            <w:tcBorders>
              <w:top w:val="nil"/>
              <w:left w:val="nil"/>
              <w:bottom w:val="nil"/>
              <w:right w:val="nil"/>
            </w:tcBorders>
            <w:shd w:val="clear" w:color="auto" w:fill="auto"/>
            <w:noWrap/>
            <w:vAlign w:val="center"/>
          </w:tcPr>
          <w:p w14:paraId="7C0BF856" w14:textId="72477094" w:rsidR="000445BA" w:rsidRPr="00EE3D16" w:rsidRDefault="000445BA" w:rsidP="00577670">
            <w:pPr>
              <w:rPr>
                <w:sz w:val="20"/>
                <w:szCs w:val="20"/>
              </w:rPr>
            </w:pPr>
            <w:r>
              <w:rPr>
                <w:sz w:val="20"/>
                <w:szCs w:val="20"/>
              </w:rPr>
              <w:t>Build-operate-transfer</w:t>
            </w:r>
          </w:p>
        </w:tc>
      </w:tr>
      <w:tr w:rsidR="003D30F7" w:rsidRPr="005A497D" w14:paraId="42EFFAAA" w14:textId="77777777" w:rsidTr="00577670">
        <w:trPr>
          <w:trHeight w:val="283"/>
        </w:trPr>
        <w:tc>
          <w:tcPr>
            <w:tcW w:w="1575" w:type="dxa"/>
            <w:tcBorders>
              <w:top w:val="nil"/>
              <w:left w:val="nil"/>
              <w:bottom w:val="nil"/>
              <w:right w:val="nil"/>
            </w:tcBorders>
            <w:shd w:val="clear" w:color="auto" w:fill="auto"/>
            <w:noWrap/>
            <w:vAlign w:val="center"/>
            <w:hideMark/>
          </w:tcPr>
          <w:p w14:paraId="59BE476F" w14:textId="77777777" w:rsidR="003D30F7" w:rsidRPr="00EE3D16" w:rsidRDefault="003D30F7" w:rsidP="00577670">
            <w:pPr>
              <w:rPr>
                <w:color w:val="000000"/>
                <w:sz w:val="20"/>
                <w:szCs w:val="20"/>
                <w:lang w:eastAsia="en-GB"/>
              </w:rPr>
            </w:pPr>
            <w:r w:rsidRPr="00EE3D16">
              <w:rPr>
                <w:color w:val="000000"/>
                <w:sz w:val="20"/>
                <w:szCs w:val="20"/>
                <w:lang w:eastAsia="en-GB"/>
              </w:rPr>
              <w:t>BSP</w:t>
            </w:r>
          </w:p>
        </w:tc>
        <w:tc>
          <w:tcPr>
            <w:tcW w:w="6990" w:type="dxa"/>
            <w:tcBorders>
              <w:top w:val="nil"/>
              <w:left w:val="nil"/>
              <w:bottom w:val="nil"/>
              <w:right w:val="nil"/>
            </w:tcBorders>
            <w:shd w:val="clear" w:color="auto" w:fill="auto"/>
            <w:noWrap/>
            <w:vAlign w:val="center"/>
            <w:hideMark/>
          </w:tcPr>
          <w:p w14:paraId="73C76163" w14:textId="77777777" w:rsidR="003D30F7" w:rsidRPr="00EE3D16" w:rsidRDefault="003D30F7" w:rsidP="00577670">
            <w:pPr>
              <w:rPr>
                <w:color w:val="000000"/>
                <w:sz w:val="20"/>
                <w:szCs w:val="20"/>
                <w:lang w:eastAsia="en-GB"/>
              </w:rPr>
            </w:pPr>
            <w:r w:rsidRPr="00EE3D16">
              <w:rPr>
                <w:sz w:val="20"/>
                <w:szCs w:val="20"/>
              </w:rPr>
              <w:t>Bangko Sentral ng Pilipinas</w:t>
            </w:r>
          </w:p>
        </w:tc>
      </w:tr>
      <w:tr w:rsidR="003D30F7" w:rsidRPr="005A497D" w14:paraId="46AD64F0" w14:textId="77777777" w:rsidTr="00577670">
        <w:trPr>
          <w:trHeight w:val="283"/>
        </w:trPr>
        <w:tc>
          <w:tcPr>
            <w:tcW w:w="1575" w:type="dxa"/>
            <w:tcBorders>
              <w:top w:val="nil"/>
              <w:left w:val="nil"/>
              <w:bottom w:val="nil"/>
              <w:right w:val="nil"/>
            </w:tcBorders>
            <w:shd w:val="clear" w:color="auto" w:fill="auto"/>
            <w:noWrap/>
            <w:vAlign w:val="center"/>
            <w:hideMark/>
          </w:tcPr>
          <w:p w14:paraId="69772824" w14:textId="77777777" w:rsidR="003D30F7" w:rsidRPr="00EE3D16" w:rsidRDefault="003D30F7" w:rsidP="00577670">
            <w:pPr>
              <w:rPr>
                <w:color w:val="000000"/>
                <w:sz w:val="20"/>
                <w:szCs w:val="20"/>
                <w:lang w:eastAsia="en-GB"/>
              </w:rPr>
            </w:pPr>
            <w:r w:rsidRPr="00EE3D16">
              <w:rPr>
                <w:color w:val="000000"/>
                <w:sz w:val="20"/>
                <w:szCs w:val="20"/>
                <w:lang w:eastAsia="en-GB"/>
              </w:rPr>
              <w:t>BTr</w:t>
            </w:r>
          </w:p>
        </w:tc>
        <w:tc>
          <w:tcPr>
            <w:tcW w:w="6990" w:type="dxa"/>
            <w:tcBorders>
              <w:top w:val="nil"/>
              <w:left w:val="nil"/>
              <w:bottom w:val="nil"/>
              <w:right w:val="nil"/>
            </w:tcBorders>
            <w:shd w:val="clear" w:color="auto" w:fill="auto"/>
            <w:noWrap/>
            <w:vAlign w:val="center"/>
            <w:hideMark/>
          </w:tcPr>
          <w:p w14:paraId="1B4BD169" w14:textId="457C0231" w:rsidR="003D30F7" w:rsidRPr="00EE3D16" w:rsidRDefault="003D30F7" w:rsidP="00577670">
            <w:pPr>
              <w:rPr>
                <w:color w:val="000000"/>
                <w:sz w:val="20"/>
                <w:szCs w:val="20"/>
                <w:lang w:eastAsia="en-GB"/>
              </w:rPr>
            </w:pPr>
            <w:r w:rsidRPr="00EE3D16">
              <w:rPr>
                <w:sz w:val="20"/>
                <w:szCs w:val="20"/>
              </w:rPr>
              <w:t xml:space="preserve">Bureau of </w:t>
            </w:r>
            <w:r w:rsidR="008B5D3C">
              <w:rPr>
                <w:sz w:val="20"/>
                <w:szCs w:val="20"/>
              </w:rPr>
              <w:t xml:space="preserve">the </w:t>
            </w:r>
            <w:r w:rsidRPr="00EE3D16">
              <w:rPr>
                <w:sz w:val="20"/>
                <w:szCs w:val="20"/>
              </w:rPr>
              <w:t>Treasury</w:t>
            </w:r>
          </w:p>
        </w:tc>
      </w:tr>
      <w:tr w:rsidR="003D30F7" w:rsidRPr="005A497D" w14:paraId="61100936" w14:textId="77777777" w:rsidTr="00577670">
        <w:trPr>
          <w:trHeight w:val="283"/>
        </w:trPr>
        <w:tc>
          <w:tcPr>
            <w:tcW w:w="1575" w:type="dxa"/>
            <w:tcBorders>
              <w:top w:val="nil"/>
              <w:left w:val="nil"/>
              <w:bottom w:val="nil"/>
              <w:right w:val="nil"/>
            </w:tcBorders>
            <w:shd w:val="clear" w:color="auto" w:fill="auto"/>
            <w:noWrap/>
            <w:vAlign w:val="center"/>
            <w:hideMark/>
          </w:tcPr>
          <w:p w14:paraId="05062315" w14:textId="77777777" w:rsidR="003D30F7" w:rsidRPr="00EE3D16" w:rsidRDefault="003D30F7" w:rsidP="00577670">
            <w:pPr>
              <w:rPr>
                <w:color w:val="000000"/>
                <w:sz w:val="20"/>
                <w:szCs w:val="20"/>
                <w:lang w:eastAsia="en-GB"/>
              </w:rPr>
            </w:pPr>
            <w:r w:rsidRPr="00EE3D16">
              <w:rPr>
                <w:color w:val="000000"/>
                <w:sz w:val="20"/>
                <w:szCs w:val="20"/>
                <w:lang w:eastAsia="en-GB"/>
              </w:rPr>
              <w:t>CIIP</w:t>
            </w:r>
          </w:p>
        </w:tc>
        <w:tc>
          <w:tcPr>
            <w:tcW w:w="6990" w:type="dxa"/>
            <w:tcBorders>
              <w:top w:val="nil"/>
              <w:left w:val="nil"/>
              <w:bottom w:val="nil"/>
              <w:right w:val="nil"/>
            </w:tcBorders>
            <w:shd w:val="clear" w:color="auto" w:fill="auto"/>
            <w:noWrap/>
            <w:vAlign w:val="center"/>
            <w:hideMark/>
          </w:tcPr>
          <w:p w14:paraId="577C9294" w14:textId="77777777" w:rsidR="003D30F7" w:rsidRPr="00EE3D16" w:rsidRDefault="003D30F7" w:rsidP="00577670">
            <w:pPr>
              <w:rPr>
                <w:sz w:val="20"/>
                <w:szCs w:val="20"/>
              </w:rPr>
            </w:pPr>
            <w:r w:rsidRPr="00EE3D16">
              <w:rPr>
                <w:sz w:val="20"/>
                <w:szCs w:val="20"/>
              </w:rPr>
              <w:t>Comprehensive and Integrated Infrastructure Program</w:t>
            </w:r>
          </w:p>
        </w:tc>
      </w:tr>
      <w:tr w:rsidR="003D30F7" w:rsidRPr="005A497D" w14:paraId="1E9C94EC" w14:textId="77777777" w:rsidTr="00577670">
        <w:trPr>
          <w:trHeight w:val="283"/>
        </w:trPr>
        <w:tc>
          <w:tcPr>
            <w:tcW w:w="1575" w:type="dxa"/>
            <w:tcBorders>
              <w:top w:val="nil"/>
              <w:left w:val="nil"/>
              <w:bottom w:val="nil"/>
              <w:right w:val="nil"/>
            </w:tcBorders>
            <w:shd w:val="clear" w:color="auto" w:fill="auto"/>
            <w:noWrap/>
            <w:vAlign w:val="center"/>
            <w:hideMark/>
          </w:tcPr>
          <w:p w14:paraId="3F3E4777" w14:textId="77777777" w:rsidR="003D30F7" w:rsidRPr="00EE3D16" w:rsidRDefault="003D30F7" w:rsidP="00577670">
            <w:pPr>
              <w:rPr>
                <w:color w:val="000000"/>
                <w:sz w:val="20"/>
                <w:szCs w:val="20"/>
                <w:lang w:eastAsia="en-GB"/>
              </w:rPr>
            </w:pPr>
            <w:r>
              <w:rPr>
                <w:color w:val="000000"/>
                <w:sz w:val="20"/>
                <w:szCs w:val="20"/>
                <w:lang w:eastAsia="en-GB"/>
              </w:rPr>
              <w:t>CoA</w:t>
            </w:r>
          </w:p>
        </w:tc>
        <w:tc>
          <w:tcPr>
            <w:tcW w:w="6990" w:type="dxa"/>
            <w:tcBorders>
              <w:top w:val="nil"/>
              <w:left w:val="nil"/>
              <w:bottom w:val="nil"/>
              <w:right w:val="nil"/>
            </w:tcBorders>
            <w:shd w:val="clear" w:color="auto" w:fill="auto"/>
            <w:noWrap/>
            <w:vAlign w:val="center"/>
            <w:hideMark/>
          </w:tcPr>
          <w:p w14:paraId="53487AD1" w14:textId="77777777" w:rsidR="003D30F7" w:rsidRPr="00EE3D16" w:rsidRDefault="003D30F7" w:rsidP="00577670">
            <w:pPr>
              <w:rPr>
                <w:color w:val="000000"/>
                <w:sz w:val="20"/>
                <w:szCs w:val="20"/>
                <w:lang w:eastAsia="en-GB"/>
              </w:rPr>
            </w:pPr>
            <w:r w:rsidRPr="00EE3D16">
              <w:rPr>
                <w:sz w:val="20"/>
                <w:szCs w:val="20"/>
              </w:rPr>
              <w:t>Commission on Audit</w:t>
            </w:r>
          </w:p>
        </w:tc>
      </w:tr>
      <w:tr w:rsidR="003D30F7" w:rsidRPr="005A497D" w14:paraId="05259F3D" w14:textId="77777777" w:rsidTr="00D46430">
        <w:trPr>
          <w:trHeight w:val="283"/>
        </w:trPr>
        <w:tc>
          <w:tcPr>
            <w:tcW w:w="1575" w:type="dxa"/>
            <w:tcBorders>
              <w:top w:val="nil"/>
              <w:left w:val="nil"/>
              <w:bottom w:val="nil"/>
              <w:right w:val="nil"/>
            </w:tcBorders>
            <w:shd w:val="clear" w:color="auto" w:fill="auto"/>
            <w:noWrap/>
            <w:vAlign w:val="center"/>
            <w:hideMark/>
          </w:tcPr>
          <w:p w14:paraId="7809D1E9" w14:textId="77777777" w:rsidR="003D30F7" w:rsidRPr="00EE3D16" w:rsidRDefault="003D30F7" w:rsidP="00577670">
            <w:pPr>
              <w:rPr>
                <w:color w:val="000000"/>
                <w:sz w:val="20"/>
                <w:szCs w:val="20"/>
                <w:lang w:eastAsia="en-GB"/>
              </w:rPr>
            </w:pPr>
            <w:r>
              <w:rPr>
                <w:color w:val="000000"/>
                <w:sz w:val="20"/>
                <w:szCs w:val="20"/>
                <w:lang w:eastAsia="en-GB"/>
              </w:rPr>
              <w:t>COFOG</w:t>
            </w:r>
          </w:p>
        </w:tc>
        <w:tc>
          <w:tcPr>
            <w:tcW w:w="6990" w:type="dxa"/>
            <w:tcBorders>
              <w:top w:val="nil"/>
              <w:left w:val="nil"/>
              <w:bottom w:val="nil"/>
              <w:right w:val="nil"/>
            </w:tcBorders>
            <w:shd w:val="clear" w:color="auto" w:fill="auto"/>
            <w:noWrap/>
            <w:vAlign w:val="center"/>
          </w:tcPr>
          <w:p w14:paraId="2BC6CFFB" w14:textId="77777777" w:rsidR="003D30F7" w:rsidRPr="00D46430" w:rsidRDefault="003D30F7" w:rsidP="00577670">
            <w:pPr>
              <w:rPr>
                <w:color w:val="000000"/>
                <w:sz w:val="20"/>
                <w:szCs w:val="20"/>
                <w:lang w:eastAsia="en-GB"/>
              </w:rPr>
            </w:pPr>
            <w:r w:rsidRPr="0043657F">
              <w:rPr>
                <w:sz w:val="20"/>
                <w:szCs w:val="20"/>
              </w:rPr>
              <w:t>Classification of the Functions of Government</w:t>
            </w:r>
          </w:p>
        </w:tc>
      </w:tr>
      <w:tr w:rsidR="003D30F7" w:rsidRPr="005A497D" w14:paraId="6CC32084" w14:textId="77777777" w:rsidTr="00577670">
        <w:trPr>
          <w:trHeight w:val="283"/>
        </w:trPr>
        <w:tc>
          <w:tcPr>
            <w:tcW w:w="1575" w:type="dxa"/>
            <w:tcBorders>
              <w:top w:val="nil"/>
              <w:left w:val="nil"/>
              <w:bottom w:val="nil"/>
              <w:right w:val="nil"/>
            </w:tcBorders>
            <w:shd w:val="clear" w:color="auto" w:fill="auto"/>
            <w:noWrap/>
            <w:vAlign w:val="center"/>
          </w:tcPr>
          <w:p w14:paraId="0F5A8C7A" w14:textId="77777777" w:rsidR="003D30F7" w:rsidRPr="00EE3D16" w:rsidRDefault="003D30F7" w:rsidP="00577670">
            <w:pPr>
              <w:rPr>
                <w:color w:val="000000"/>
                <w:sz w:val="20"/>
                <w:szCs w:val="20"/>
                <w:lang w:eastAsia="en-GB"/>
              </w:rPr>
            </w:pPr>
            <w:r w:rsidRPr="00EE3D16">
              <w:rPr>
                <w:color w:val="000000"/>
                <w:sz w:val="20"/>
                <w:szCs w:val="20"/>
                <w:lang w:eastAsia="en-GB"/>
              </w:rPr>
              <w:t>COMELEC</w:t>
            </w:r>
          </w:p>
        </w:tc>
        <w:tc>
          <w:tcPr>
            <w:tcW w:w="6990" w:type="dxa"/>
            <w:tcBorders>
              <w:top w:val="nil"/>
              <w:left w:val="nil"/>
              <w:bottom w:val="nil"/>
              <w:right w:val="nil"/>
            </w:tcBorders>
            <w:shd w:val="clear" w:color="auto" w:fill="auto"/>
            <w:noWrap/>
            <w:vAlign w:val="center"/>
          </w:tcPr>
          <w:p w14:paraId="1FCBE955" w14:textId="77777777" w:rsidR="003D30F7" w:rsidRPr="00EE3D16" w:rsidRDefault="003D30F7" w:rsidP="00577670">
            <w:pPr>
              <w:rPr>
                <w:color w:val="000000"/>
                <w:sz w:val="20"/>
                <w:szCs w:val="20"/>
                <w:lang w:eastAsia="en-GB"/>
              </w:rPr>
            </w:pPr>
            <w:r w:rsidRPr="00EE3D16">
              <w:rPr>
                <w:color w:val="000000"/>
                <w:sz w:val="20"/>
                <w:szCs w:val="20"/>
                <w:lang w:eastAsia="en-GB"/>
              </w:rPr>
              <w:t>Commission on Elections</w:t>
            </w:r>
          </w:p>
        </w:tc>
      </w:tr>
      <w:tr w:rsidR="003D30F7" w:rsidRPr="005A497D" w14:paraId="281A4C76" w14:textId="77777777" w:rsidTr="00577670">
        <w:trPr>
          <w:trHeight w:val="283"/>
        </w:trPr>
        <w:tc>
          <w:tcPr>
            <w:tcW w:w="1575" w:type="dxa"/>
            <w:tcBorders>
              <w:top w:val="nil"/>
              <w:left w:val="nil"/>
              <w:bottom w:val="nil"/>
              <w:right w:val="nil"/>
            </w:tcBorders>
            <w:shd w:val="clear" w:color="auto" w:fill="auto"/>
            <w:noWrap/>
            <w:vAlign w:val="center"/>
            <w:hideMark/>
          </w:tcPr>
          <w:p w14:paraId="14C36277" w14:textId="77777777" w:rsidR="003D30F7" w:rsidRPr="00EE3D16" w:rsidRDefault="003D30F7" w:rsidP="00577670">
            <w:pPr>
              <w:rPr>
                <w:color w:val="000000"/>
                <w:sz w:val="20"/>
                <w:szCs w:val="20"/>
                <w:lang w:eastAsia="en-GB"/>
              </w:rPr>
            </w:pPr>
            <w:r w:rsidRPr="00EE3D16">
              <w:rPr>
                <w:color w:val="000000"/>
                <w:sz w:val="20"/>
                <w:szCs w:val="20"/>
                <w:lang w:eastAsia="en-GB"/>
              </w:rPr>
              <w:t>CPI</w:t>
            </w:r>
          </w:p>
        </w:tc>
        <w:tc>
          <w:tcPr>
            <w:tcW w:w="6990" w:type="dxa"/>
            <w:tcBorders>
              <w:top w:val="nil"/>
              <w:left w:val="nil"/>
              <w:bottom w:val="nil"/>
              <w:right w:val="nil"/>
            </w:tcBorders>
            <w:shd w:val="clear" w:color="auto" w:fill="auto"/>
            <w:noWrap/>
            <w:vAlign w:val="center"/>
            <w:hideMark/>
          </w:tcPr>
          <w:p w14:paraId="26A5221C" w14:textId="77777777" w:rsidR="003D30F7" w:rsidRPr="00EE3D16" w:rsidRDefault="003D30F7" w:rsidP="00577670">
            <w:pPr>
              <w:rPr>
                <w:color w:val="000000"/>
                <w:sz w:val="20"/>
                <w:szCs w:val="20"/>
                <w:lang w:eastAsia="en-GB"/>
              </w:rPr>
            </w:pPr>
            <w:r w:rsidRPr="00EE3D16">
              <w:rPr>
                <w:color w:val="000000"/>
                <w:sz w:val="20"/>
                <w:szCs w:val="20"/>
                <w:lang w:eastAsia="en-GB"/>
              </w:rPr>
              <w:t xml:space="preserve">Consumer Price Index </w:t>
            </w:r>
          </w:p>
        </w:tc>
      </w:tr>
      <w:tr w:rsidR="003D30F7" w:rsidRPr="005A497D" w14:paraId="1235BC85" w14:textId="77777777" w:rsidTr="00577670">
        <w:trPr>
          <w:trHeight w:val="283"/>
        </w:trPr>
        <w:tc>
          <w:tcPr>
            <w:tcW w:w="1575" w:type="dxa"/>
            <w:tcBorders>
              <w:top w:val="nil"/>
              <w:left w:val="nil"/>
              <w:bottom w:val="nil"/>
              <w:right w:val="nil"/>
            </w:tcBorders>
            <w:shd w:val="clear" w:color="auto" w:fill="auto"/>
            <w:noWrap/>
            <w:vAlign w:val="center"/>
          </w:tcPr>
          <w:p w14:paraId="13F41EDD" w14:textId="77777777" w:rsidR="003D30F7" w:rsidRPr="00EE3D16" w:rsidRDefault="003D30F7" w:rsidP="00577670">
            <w:pPr>
              <w:rPr>
                <w:color w:val="000000"/>
                <w:sz w:val="20"/>
                <w:szCs w:val="20"/>
                <w:lang w:eastAsia="en-GB"/>
              </w:rPr>
            </w:pPr>
            <w:r w:rsidRPr="00EE3D16">
              <w:rPr>
                <w:color w:val="000000"/>
                <w:sz w:val="20"/>
                <w:szCs w:val="20"/>
                <w:lang w:eastAsia="en-GB"/>
              </w:rPr>
              <w:t>CSO</w:t>
            </w:r>
          </w:p>
        </w:tc>
        <w:tc>
          <w:tcPr>
            <w:tcW w:w="6990" w:type="dxa"/>
            <w:tcBorders>
              <w:top w:val="nil"/>
              <w:left w:val="nil"/>
              <w:bottom w:val="nil"/>
              <w:right w:val="nil"/>
            </w:tcBorders>
            <w:shd w:val="clear" w:color="auto" w:fill="auto"/>
            <w:noWrap/>
            <w:vAlign w:val="center"/>
          </w:tcPr>
          <w:p w14:paraId="1750CF84" w14:textId="77777777" w:rsidR="003D30F7" w:rsidRPr="00EE3D16" w:rsidRDefault="003D30F7" w:rsidP="00577670">
            <w:pPr>
              <w:rPr>
                <w:sz w:val="20"/>
                <w:szCs w:val="20"/>
              </w:rPr>
            </w:pPr>
            <w:r w:rsidRPr="00EE3D16">
              <w:rPr>
                <w:sz w:val="20"/>
                <w:szCs w:val="20"/>
              </w:rPr>
              <w:t>Civil Society Organization</w:t>
            </w:r>
          </w:p>
        </w:tc>
      </w:tr>
      <w:tr w:rsidR="003D30F7" w:rsidRPr="005A497D" w14:paraId="7A3479DE" w14:textId="77777777" w:rsidTr="00577670">
        <w:trPr>
          <w:trHeight w:val="283"/>
        </w:trPr>
        <w:tc>
          <w:tcPr>
            <w:tcW w:w="1575" w:type="dxa"/>
            <w:tcBorders>
              <w:top w:val="nil"/>
              <w:left w:val="nil"/>
              <w:bottom w:val="nil"/>
              <w:right w:val="nil"/>
            </w:tcBorders>
            <w:shd w:val="clear" w:color="auto" w:fill="auto"/>
            <w:noWrap/>
            <w:vAlign w:val="center"/>
          </w:tcPr>
          <w:p w14:paraId="328DEB52" w14:textId="77777777" w:rsidR="003D30F7" w:rsidRPr="00EE3D16" w:rsidRDefault="003D30F7" w:rsidP="00577670">
            <w:pPr>
              <w:rPr>
                <w:color w:val="000000"/>
                <w:sz w:val="20"/>
                <w:szCs w:val="20"/>
                <w:lang w:eastAsia="en-GB"/>
              </w:rPr>
            </w:pPr>
            <w:r w:rsidRPr="00EE3D16">
              <w:rPr>
                <w:color w:val="000000"/>
                <w:sz w:val="20"/>
                <w:szCs w:val="20"/>
                <w:lang w:eastAsia="en-GB"/>
              </w:rPr>
              <w:t>DAR</w:t>
            </w:r>
          </w:p>
        </w:tc>
        <w:tc>
          <w:tcPr>
            <w:tcW w:w="6990" w:type="dxa"/>
            <w:tcBorders>
              <w:top w:val="nil"/>
              <w:left w:val="nil"/>
              <w:bottom w:val="nil"/>
              <w:right w:val="nil"/>
            </w:tcBorders>
            <w:shd w:val="clear" w:color="auto" w:fill="auto"/>
            <w:noWrap/>
            <w:vAlign w:val="center"/>
          </w:tcPr>
          <w:p w14:paraId="09897AB0" w14:textId="77777777" w:rsidR="003D30F7" w:rsidRPr="00EE3D16" w:rsidRDefault="003D30F7" w:rsidP="00577670">
            <w:pPr>
              <w:rPr>
                <w:sz w:val="20"/>
                <w:szCs w:val="20"/>
              </w:rPr>
            </w:pPr>
            <w:r w:rsidRPr="00EE3D16">
              <w:rPr>
                <w:sz w:val="20"/>
                <w:szCs w:val="20"/>
              </w:rPr>
              <w:t>Department of Agrarian Reform</w:t>
            </w:r>
          </w:p>
        </w:tc>
      </w:tr>
      <w:tr w:rsidR="003D30F7" w:rsidRPr="005A497D" w14:paraId="3B306DE6" w14:textId="77777777" w:rsidTr="00577670">
        <w:trPr>
          <w:trHeight w:val="283"/>
        </w:trPr>
        <w:tc>
          <w:tcPr>
            <w:tcW w:w="1575" w:type="dxa"/>
            <w:tcBorders>
              <w:top w:val="nil"/>
              <w:left w:val="nil"/>
              <w:bottom w:val="nil"/>
              <w:right w:val="nil"/>
            </w:tcBorders>
            <w:shd w:val="clear" w:color="auto" w:fill="auto"/>
            <w:noWrap/>
            <w:vAlign w:val="center"/>
          </w:tcPr>
          <w:p w14:paraId="4A3421E0" w14:textId="77777777" w:rsidR="003D30F7" w:rsidRPr="00EE3D16" w:rsidRDefault="003D30F7" w:rsidP="00577670">
            <w:pPr>
              <w:rPr>
                <w:color w:val="000000"/>
                <w:sz w:val="20"/>
                <w:szCs w:val="20"/>
                <w:lang w:eastAsia="en-GB"/>
              </w:rPr>
            </w:pPr>
            <w:r>
              <w:rPr>
                <w:color w:val="000000"/>
                <w:sz w:val="20"/>
                <w:szCs w:val="20"/>
                <w:lang w:eastAsia="en-GB"/>
              </w:rPr>
              <w:t>DBCC</w:t>
            </w:r>
          </w:p>
        </w:tc>
        <w:tc>
          <w:tcPr>
            <w:tcW w:w="6990" w:type="dxa"/>
            <w:tcBorders>
              <w:top w:val="nil"/>
              <w:left w:val="nil"/>
              <w:bottom w:val="nil"/>
              <w:right w:val="nil"/>
            </w:tcBorders>
            <w:shd w:val="clear" w:color="auto" w:fill="auto"/>
            <w:noWrap/>
            <w:vAlign w:val="center"/>
          </w:tcPr>
          <w:p w14:paraId="4D045B53" w14:textId="77777777" w:rsidR="003D30F7" w:rsidRPr="00EE3D16" w:rsidRDefault="003D30F7" w:rsidP="00577670">
            <w:pPr>
              <w:rPr>
                <w:sz w:val="20"/>
                <w:szCs w:val="20"/>
              </w:rPr>
            </w:pPr>
            <w:r>
              <w:rPr>
                <w:sz w:val="20"/>
                <w:szCs w:val="20"/>
              </w:rPr>
              <w:t>Development Budget Coordinating Committee</w:t>
            </w:r>
          </w:p>
        </w:tc>
      </w:tr>
      <w:tr w:rsidR="003D30F7" w:rsidRPr="005A497D" w14:paraId="1D2AD123" w14:textId="77777777" w:rsidTr="00577670">
        <w:trPr>
          <w:trHeight w:val="283"/>
        </w:trPr>
        <w:tc>
          <w:tcPr>
            <w:tcW w:w="1575" w:type="dxa"/>
            <w:tcBorders>
              <w:top w:val="nil"/>
              <w:left w:val="nil"/>
              <w:bottom w:val="nil"/>
              <w:right w:val="nil"/>
            </w:tcBorders>
            <w:shd w:val="clear" w:color="auto" w:fill="auto"/>
            <w:noWrap/>
            <w:vAlign w:val="center"/>
          </w:tcPr>
          <w:p w14:paraId="4BF4D5DD" w14:textId="77777777" w:rsidR="003D30F7" w:rsidRPr="00EE3D16" w:rsidRDefault="003D30F7" w:rsidP="00577670">
            <w:pPr>
              <w:rPr>
                <w:color w:val="000000"/>
                <w:sz w:val="20"/>
                <w:szCs w:val="20"/>
                <w:lang w:eastAsia="en-GB"/>
              </w:rPr>
            </w:pPr>
            <w:r w:rsidRPr="00EE3D16">
              <w:rPr>
                <w:color w:val="000000"/>
                <w:sz w:val="20"/>
                <w:szCs w:val="20"/>
                <w:lang w:eastAsia="en-GB"/>
              </w:rPr>
              <w:t>DBM</w:t>
            </w:r>
          </w:p>
        </w:tc>
        <w:tc>
          <w:tcPr>
            <w:tcW w:w="6990" w:type="dxa"/>
            <w:tcBorders>
              <w:top w:val="nil"/>
              <w:left w:val="nil"/>
              <w:bottom w:val="nil"/>
              <w:right w:val="nil"/>
            </w:tcBorders>
            <w:shd w:val="clear" w:color="auto" w:fill="auto"/>
            <w:noWrap/>
            <w:vAlign w:val="center"/>
          </w:tcPr>
          <w:p w14:paraId="0ABD59CD" w14:textId="193E2956" w:rsidR="003D30F7" w:rsidRPr="00EE3D16" w:rsidRDefault="003D30F7" w:rsidP="00024F47">
            <w:pPr>
              <w:rPr>
                <w:sz w:val="20"/>
                <w:szCs w:val="20"/>
              </w:rPr>
            </w:pPr>
            <w:r w:rsidRPr="00EE3D16">
              <w:rPr>
                <w:sz w:val="20"/>
                <w:szCs w:val="20"/>
              </w:rPr>
              <w:t xml:space="preserve">Department of Budget </w:t>
            </w:r>
            <w:r w:rsidR="00024F47">
              <w:rPr>
                <w:sz w:val="20"/>
                <w:szCs w:val="20"/>
              </w:rPr>
              <w:t>and</w:t>
            </w:r>
            <w:r w:rsidR="00024F47" w:rsidRPr="00EE3D16">
              <w:rPr>
                <w:sz w:val="20"/>
                <w:szCs w:val="20"/>
              </w:rPr>
              <w:t xml:space="preserve"> </w:t>
            </w:r>
            <w:r w:rsidRPr="00EE3D16">
              <w:rPr>
                <w:sz w:val="20"/>
                <w:szCs w:val="20"/>
              </w:rPr>
              <w:t>Management</w:t>
            </w:r>
          </w:p>
        </w:tc>
      </w:tr>
      <w:tr w:rsidR="003D30F7" w:rsidRPr="005A497D" w14:paraId="036D8426" w14:textId="77777777" w:rsidTr="00577670">
        <w:trPr>
          <w:trHeight w:val="283"/>
        </w:trPr>
        <w:tc>
          <w:tcPr>
            <w:tcW w:w="1575" w:type="dxa"/>
            <w:tcBorders>
              <w:top w:val="nil"/>
              <w:left w:val="nil"/>
              <w:bottom w:val="nil"/>
              <w:right w:val="nil"/>
            </w:tcBorders>
            <w:shd w:val="clear" w:color="auto" w:fill="auto"/>
            <w:noWrap/>
            <w:vAlign w:val="center"/>
          </w:tcPr>
          <w:p w14:paraId="0EA5E005" w14:textId="77777777" w:rsidR="003D30F7" w:rsidRPr="00EE3D16" w:rsidRDefault="003D30F7" w:rsidP="00577670">
            <w:pPr>
              <w:rPr>
                <w:color w:val="000000"/>
                <w:sz w:val="20"/>
                <w:szCs w:val="20"/>
                <w:lang w:eastAsia="en-GB"/>
              </w:rPr>
            </w:pPr>
            <w:r w:rsidRPr="00EE3D16">
              <w:rPr>
                <w:color w:val="000000"/>
                <w:sz w:val="20"/>
                <w:szCs w:val="20"/>
                <w:lang w:eastAsia="en-GB"/>
              </w:rPr>
              <w:t>DENR</w:t>
            </w:r>
          </w:p>
        </w:tc>
        <w:tc>
          <w:tcPr>
            <w:tcW w:w="6990" w:type="dxa"/>
            <w:tcBorders>
              <w:top w:val="nil"/>
              <w:left w:val="nil"/>
              <w:bottom w:val="nil"/>
              <w:right w:val="nil"/>
            </w:tcBorders>
            <w:shd w:val="clear" w:color="auto" w:fill="auto"/>
            <w:noWrap/>
            <w:vAlign w:val="center"/>
          </w:tcPr>
          <w:p w14:paraId="0C8FCB0E" w14:textId="77777777" w:rsidR="003D30F7" w:rsidRPr="00EE3D16" w:rsidRDefault="003D30F7" w:rsidP="00577670">
            <w:pPr>
              <w:rPr>
                <w:sz w:val="20"/>
                <w:szCs w:val="20"/>
              </w:rPr>
            </w:pPr>
            <w:r w:rsidRPr="00EE3D16">
              <w:rPr>
                <w:sz w:val="20"/>
                <w:szCs w:val="20"/>
              </w:rPr>
              <w:t>Department of Environment and Natural Resources</w:t>
            </w:r>
          </w:p>
        </w:tc>
      </w:tr>
      <w:tr w:rsidR="003D30F7" w:rsidRPr="005A497D" w14:paraId="7D867156" w14:textId="77777777" w:rsidTr="00577670">
        <w:trPr>
          <w:trHeight w:val="283"/>
        </w:trPr>
        <w:tc>
          <w:tcPr>
            <w:tcW w:w="1575" w:type="dxa"/>
            <w:tcBorders>
              <w:top w:val="nil"/>
              <w:left w:val="nil"/>
              <w:bottom w:val="nil"/>
              <w:right w:val="nil"/>
            </w:tcBorders>
            <w:shd w:val="clear" w:color="auto" w:fill="auto"/>
            <w:noWrap/>
            <w:vAlign w:val="center"/>
          </w:tcPr>
          <w:p w14:paraId="1B7351CA" w14:textId="77777777" w:rsidR="003D30F7" w:rsidRPr="00EE3D16" w:rsidRDefault="003D30F7" w:rsidP="00577670">
            <w:pPr>
              <w:rPr>
                <w:color w:val="000000"/>
                <w:sz w:val="20"/>
                <w:szCs w:val="20"/>
                <w:lang w:eastAsia="en-GB"/>
              </w:rPr>
            </w:pPr>
            <w:r w:rsidRPr="00EE3D16">
              <w:rPr>
                <w:color w:val="000000"/>
                <w:sz w:val="20"/>
                <w:szCs w:val="20"/>
                <w:lang w:eastAsia="en-GB"/>
              </w:rPr>
              <w:t>DepEd</w:t>
            </w:r>
          </w:p>
        </w:tc>
        <w:tc>
          <w:tcPr>
            <w:tcW w:w="6990" w:type="dxa"/>
            <w:tcBorders>
              <w:top w:val="nil"/>
              <w:left w:val="nil"/>
              <w:bottom w:val="nil"/>
              <w:right w:val="nil"/>
            </w:tcBorders>
            <w:shd w:val="clear" w:color="auto" w:fill="auto"/>
            <w:noWrap/>
            <w:vAlign w:val="center"/>
          </w:tcPr>
          <w:p w14:paraId="32157DC3" w14:textId="77777777" w:rsidR="003D30F7" w:rsidRPr="00EE3D16" w:rsidRDefault="003D30F7" w:rsidP="00577670">
            <w:pPr>
              <w:rPr>
                <w:sz w:val="20"/>
                <w:szCs w:val="20"/>
              </w:rPr>
            </w:pPr>
            <w:r w:rsidRPr="00EE3D16">
              <w:rPr>
                <w:sz w:val="20"/>
                <w:szCs w:val="20"/>
              </w:rPr>
              <w:t>Department of Education</w:t>
            </w:r>
          </w:p>
        </w:tc>
      </w:tr>
      <w:tr w:rsidR="003D30F7" w:rsidRPr="005A497D" w14:paraId="2BB45A05" w14:textId="77777777" w:rsidTr="00577670">
        <w:trPr>
          <w:trHeight w:val="283"/>
        </w:trPr>
        <w:tc>
          <w:tcPr>
            <w:tcW w:w="1575" w:type="dxa"/>
            <w:tcBorders>
              <w:top w:val="nil"/>
              <w:left w:val="nil"/>
              <w:bottom w:val="nil"/>
              <w:right w:val="nil"/>
            </w:tcBorders>
            <w:shd w:val="clear" w:color="auto" w:fill="auto"/>
            <w:noWrap/>
            <w:vAlign w:val="center"/>
          </w:tcPr>
          <w:p w14:paraId="29B6E5BB" w14:textId="77777777" w:rsidR="003D30F7" w:rsidRPr="00EE3D16" w:rsidRDefault="003D30F7" w:rsidP="00577670">
            <w:pPr>
              <w:rPr>
                <w:color w:val="000000"/>
                <w:sz w:val="20"/>
                <w:szCs w:val="20"/>
                <w:lang w:eastAsia="en-GB"/>
              </w:rPr>
            </w:pPr>
            <w:r w:rsidRPr="00EE3D16">
              <w:rPr>
                <w:color w:val="000000"/>
                <w:sz w:val="20"/>
                <w:szCs w:val="20"/>
                <w:lang w:eastAsia="en-GB"/>
              </w:rPr>
              <w:t>DFA</w:t>
            </w:r>
          </w:p>
        </w:tc>
        <w:tc>
          <w:tcPr>
            <w:tcW w:w="6990" w:type="dxa"/>
            <w:tcBorders>
              <w:top w:val="nil"/>
              <w:left w:val="nil"/>
              <w:bottom w:val="nil"/>
              <w:right w:val="nil"/>
            </w:tcBorders>
            <w:shd w:val="clear" w:color="auto" w:fill="auto"/>
            <w:noWrap/>
            <w:vAlign w:val="center"/>
          </w:tcPr>
          <w:p w14:paraId="68980994" w14:textId="77777777" w:rsidR="003D30F7" w:rsidRPr="00EE3D16" w:rsidRDefault="003D30F7" w:rsidP="00577670">
            <w:pPr>
              <w:rPr>
                <w:sz w:val="20"/>
                <w:szCs w:val="20"/>
              </w:rPr>
            </w:pPr>
            <w:r w:rsidRPr="00EE3D16">
              <w:rPr>
                <w:sz w:val="20"/>
                <w:szCs w:val="20"/>
              </w:rPr>
              <w:t>Department of Foreign Affairs</w:t>
            </w:r>
          </w:p>
        </w:tc>
      </w:tr>
      <w:tr w:rsidR="003D30F7" w:rsidRPr="005A497D" w14:paraId="42A8E6EC" w14:textId="77777777" w:rsidTr="00577670">
        <w:trPr>
          <w:trHeight w:val="283"/>
        </w:trPr>
        <w:tc>
          <w:tcPr>
            <w:tcW w:w="1575" w:type="dxa"/>
            <w:tcBorders>
              <w:top w:val="nil"/>
              <w:left w:val="nil"/>
              <w:bottom w:val="nil"/>
              <w:right w:val="nil"/>
            </w:tcBorders>
            <w:shd w:val="clear" w:color="auto" w:fill="auto"/>
            <w:noWrap/>
            <w:vAlign w:val="center"/>
          </w:tcPr>
          <w:p w14:paraId="40EE30D5" w14:textId="77777777" w:rsidR="003D30F7" w:rsidRPr="00EE3D16" w:rsidRDefault="003D30F7" w:rsidP="00577670">
            <w:pPr>
              <w:rPr>
                <w:color w:val="000000"/>
                <w:sz w:val="20"/>
                <w:szCs w:val="20"/>
                <w:lang w:eastAsia="en-GB"/>
              </w:rPr>
            </w:pPr>
            <w:r w:rsidRPr="00EE3D16">
              <w:rPr>
                <w:color w:val="000000"/>
                <w:sz w:val="20"/>
                <w:szCs w:val="20"/>
                <w:lang w:eastAsia="en-GB"/>
              </w:rPr>
              <w:t>DFAT</w:t>
            </w:r>
          </w:p>
        </w:tc>
        <w:tc>
          <w:tcPr>
            <w:tcW w:w="6990" w:type="dxa"/>
            <w:tcBorders>
              <w:top w:val="nil"/>
              <w:left w:val="nil"/>
              <w:bottom w:val="nil"/>
              <w:right w:val="nil"/>
            </w:tcBorders>
            <w:shd w:val="clear" w:color="auto" w:fill="auto"/>
            <w:noWrap/>
            <w:vAlign w:val="center"/>
          </w:tcPr>
          <w:p w14:paraId="0CD42C01" w14:textId="304BB05D" w:rsidR="003D30F7" w:rsidRPr="00EE3D16" w:rsidRDefault="003D30F7" w:rsidP="00577670">
            <w:pPr>
              <w:rPr>
                <w:sz w:val="20"/>
                <w:szCs w:val="20"/>
              </w:rPr>
            </w:pPr>
            <w:r w:rsidRPr="00EE3D16">
              <w:rPr>
                <w:sz w:val="20"/>
                <w:szCs w:val="20"/>
              </w:rPr>
              <w:t>Department of Foreign Affairs and Trade</w:t>
            </w:r>
            <w:r w:rsidR="00F76CF9">
              <w:rPr>
                <w:sz w:val="20"/>
                <w:szCs w:val="20"/>
              </w:rPr>
              <w:t xml:space="preserve"> (Australia)</w:t>
            </w:r>
          </w:p>
        </w:tc>
      </w:tr>
      <w:tr w:rsidR="003D30F7" w:rsidRPr="005A497D" w14:paraId="4EB5CF08" w14:textId="77777777" w:rsidTr="00577670">
        <w:trPr>
          <w:trHeight w:val="283"/>
        </w:trPr>
        <w:tc>
          <w:tcPr>
            <w:tcW w:w="1575" w:type="dxa"/>
            <w:tcBorders>
              <w:top w:val="nil"/>
              <w:left w:val="nil"/>
              <w:bottom w:val="nil"/>
              <w:right w:val="nil"/>
            </w:tcBorders>
            <w:shd w:val="clear" w:color="auto" w:fill="auto"/>
            <w:noWrap/>
            <w:vAlign w:val="center"/>
          </w:tcPr>
          <w:p w14:paraId="64AFCD4A" w14:textId="77777777" w:rsidR="003D30F7" w:rsidRPr="00EE3D16" w:rsidRDefault="003D30F7" w:rsidP="00577670">
            <w:pPr>
              <w:rPr>
                <w:color w:val="000000"/>
                <w:sz w:val="20"/>
                <w:szCs w:val="20"/>
                <w:lang w:eastAsia="en-GB"/>
              </w:rPr>
            </w:pPr>
            <w:r w:rsidRPr="00EE3D16">
              <w:rPr>
                <w:color w:val="000000"/>
                <w:sz w:val="20"/>
                <w:szCs w:val="20"/>
                <w:lang w:eastAsia="en-GB"/>
              </w:rPr>
              <w:t>DILG</w:t>
            </w:r>
          </w:p>
        </w:tc>
        <w:tc>
          <w:tcPr>
            <w:tcW w:w="6990" w:type="dxa"/>
            <w:tcBorders>
              <w:top w:val="nil"/>
              <w:left w:val="nil"/>
              <w:bottom w:val="nil"/>
              <w:right w:val="nil"/>
            </w:tcBorders>
            <w:shd w:val="clear" w:color="auto" w:fill="auto"/>
            <w:noWrap/>
            <w:vAlign w:val="center"/>
          </w:tcPr>
          <w:p w14:paraId="47637CC1" w14:textId="77777777" w:rsidR="003D30F7" w:rsidRPr="00EE3D16" w:rsidRDefault="003D30F7" w:rsidP="00577670">
            <w:pPr>
              <w:rPr>
                <w:sz w:val="20"/>
                <w:szCs w:val="20"/>
              </w:rPr>
            </w:pPr>
            <w:r w:rsidRPr="00EE3D16">
              <w:rPr>
                <w:sz w:val="20"/>
                <w:szCs w:val="20"/>
              </w:rPr>
              <w:t>Department of the Interior and Local Government</w:t>
            </w:r>
          </w:p>
        </w:tc>
      </w:tr>
      <w:tr w:rsidR="003D30F7" w:rsidRPr="005A497D" w14:paraId="673CBD75" w14:textId="77777777" w:rsidTr="00577670">
        <w:trPr>
          <w:trHeight w:val="283"/>
        </w:trPr>
        <w:tc>
          <w:tcPr>
            <w:tcW w:w="1575" w:type="dxa"/>
            <w:tcBorders>
              <w:top w:val="nil"/>
              <w:left w:val="nil"/>
              <w:bottom w:val="nil"/>
              <w:right w:val="nil"/>
            </w:tcBorders>
            <w:shd w:val="clear" w:color="auto" w:fill="auto"/>
            <w:noWrap/>
            <w:vAlign w:val="center"/>
          </w:tcPr>
          <w:p w14:paraId="2FD4345C" w14:textId="77777777" w:rsidR="003D30F7" w:rsidRPr="00EE3D16" w:rsidRDefault="003D30F7" w:rsidP="00577670">
            <w:pPr>
              <w:rPr>
                <w:color w:val="000000"/>
                <w:sz w:val="20"/>
                <w:szCs w:val="20"/>
                <w:lang w:eastAsia="en-GB"/>
              </w:rPr>
            </w:pPr>
            <w:r w:rsidRPr="00EE3D16">
              <w:rPr>
                <w:color w:val="000000"/>
                <w:sz w:val="20"/>
                <w:szCs w:val="20"/>
                <w:lang w:eastAsia="en-GB"/>
              </w:rPr>
              <w:t>DND</w:t>
            </w:r>
          </w:p>
        </w:tc>
        <w:tc>
          <w:tcPr>
            <w:tcW w:w="6990" w:type="dxa"/>
            <w:tcBorders>
              <w:top w:val="nil"/>
              <w:left w:val="nil"/>
              <w:bottom w:val="nil"/>
              <w:right w:val="nil"/>
            </w:tcBorders>
            <w:shd w:val="clear" w:color="auto" w:fill="auto"/>
            <w:noWrap/>
            <w:vAlign w:val="center"/>
          </w:tcPr>
          <w:p w14:paraId="7AE967B6" w14:textId="77777777" w:rsidR="003D30F7" w:rsidRPr="00EE3D16" w:rsidRDefault="003D30F7" w:rsidP="00577670">
            <w:pPr>
              <w:rPr>
                <w:sz w:val="20"/>
                <w:szCs w:val="20"/>
              </w:rPr>
            </w:pPr>
            <w:r w:rsidRPr="00EE3D16">
              <w:rPr>
                <w:sz w:val="20"/>
                <w:szCs w:val="20"/>
              </w:rPr>
              <w:t>Department of National Defense</w:t>
            </w:r>
          </w:p>
        </w:tc>
      </w:tr>
      <w:tr w:rsidR="003D30F7" w:rsidRPr="005A497D" w14:paraId="480BECF1" w14:textId="77777777" w:rsidTr="00577670">
        <w:trPr>
          <w:trHeight w:val="283"/>
        </w:trPr>
        <w:tc>
          <w:tcPr>
            <w:tcW w:w="1575" w:type="dxa"/>
            <w:tcBorders>
              <w:top w:val="nil"/>
              <w:left w:val="nil"/>
              <w:bottom w:val="nil"/>
              <w:right w:val="nil"/>
            </w:tcBorders>
            <w:shd w:val="clear" w:color="auto" w:fill="auto"/>
            <w:noWrap/>
            <w:vAlign w:val="center"/>
          </w:tcPr>
          <w:p w14:paraId="203D1396" w14:textId="229A1E8C" w:rsidR="003D30F7" w:rsidRPr="00EE3D16" w:rsidRDefault="003D30F7" w:rsidP="00577670">
            <w:pPr>
              <w:rPr>
                <w:color w:val="000000"/>
                <w:sz w:val="20"/>
                <w:szCs w:val="20"/>
                <w:lang w:eastAsia="en-GB"/>
              </w:rPr>
            </w:pPr>
            <w:r>
              <w:rPr>
                <w:color w:val="000000"/>
                <w:sz w:val="20"/>
                <w:szCs w:val="20"/>
                <w:lang w:eastAsia="en-GB"/>
              </w:rPr>
              <w:t>DoA</w:t>
            </w:r>
          </w:p>
        </w:tc>
        <w:tc>
          <w:tcPr>
            <w:tcW w:w="6990" w:type="dxa"/>
            <w:tcBorders>
              <w:top w:val="nil"/>
              <w:left w:val="nil"/>
              <w:bottom w:val="nil"/>
              <w:right w:val="nil"/>
            </w:tcBorders>
            <w:shd w:val="clear" w:color="auto" w:fill="auto"/>
            <w:noWrap/>
            <w:vAlign w:val="center"/>
          </w:tcPr>
          <w:p w14:paraId="6225326A" w14:textId="77777777" w:rsidR="003D30F7" w:rsidRPr="00EE3D16" w:rsidRDefault="003D30F7" w:rsidP="00577670">
            <w:pPr>
              <w:rPr>
                <w:sz w:val="20"/>
                <w:szCs w:val="20"/>
              </w:rPr>
            </w:pPr>
            <w:r w:rsidRPr="00EE3D16">
              <w:rPr>
                <w:sz w:val="20"/>
                <w:szCs w:val="20"/>
              </w:rPr>
              <w:t>Department of Agriculture</w:t>
            </w:r>
          </w:p>
        </w:tc>
      </w:tr>
      <w:tr w:rsidR="003D30F7" w:rsidRPr="005A497D" w14:paraId="33F4D52F" w14:textId="77777777" w:rsidTr="00577670">
        <w:trPr>
          <w:trHeight w:val="283"/>
        </w:trPr>
        <w:tc>
          <w:tcPr>
            <w:tcW w:w="1575" w:type="dxa"/>
            <w:tcBorders>
              <w:top w:val="nil"/>
              <w:left w:val="nil"/>
              <w:bottom w:val="nil"/>
              <w:right w:val="nil"/>
            </w:tcBorders>
            <w:shd w:val="clear" w:color="auto" w:fill="auto"/>
            <w:noWrap/>
            <w:vAlign w:val="center"/>
          </w:tcPr>
          <w:p w14:paraId="0C8DAAA0" w14:textId="77777777" w:rsidR="003D30F7" w:rsidRPr="00EE3D16" w:rsidRDefault="003D30F7" w:rsidP="00577670">
            <w:pPr>
              <w:rPr>
                <w:color w:val="000000"/>
                <w:sz w:val="20"/>
                <w:szCs w:val="20"/>
                <w:lang w:eastAsia="en-GB"/>
              </w:rPr>
            </w:pPr>
            <w:r w:rsidRPr="00EE3D16">
              <w:rPr>
                <w:color w:val="000000"/>
                <w:sz w:val="20"/>
                <w:szCs w:val="20"/>
                <w:lang w:eastAsia="en-GB"/>
              </w:rPr>
              <w:t>DoF</w:t>
            </w:r>
          </w:p>
        </w:tc>
        <w:tc>
          <w:tcPr>
            <w:tcW w:w="6990" w:type="dxa"/>
            <w:tcBorders>
              <w:top w:val="nil"/>
              <w:left w:val="nil"/>
              <w:bottom w:val="nil"/>
              <w:right w:val="nil"/>
            </w:tcBorders>
            <w:shd w:val="clear" w:color="auto" w:fill="auto"/>
            <w:noWrap/>
            <w:vAlign w:val="center"/>
          </w:tcPr>
          <w:p w14:paraId="31D78422" w14:textId="77777777" w:rsidR="003D30F7" w:rsidRPr="00EE3D16" w:rsidRDefault="003D30F7" w:rsidP="00577670">
            <w:pPr>
              <w:rPr>
                <w:sz w:val="20"/>
                <w:szCs w:val="20"/>
              </w:rPr>
            </w:pPr>
            <w:r w:rsidRPr="00EE3D16">
              <w:rPr>
                <w:sz w:val="20"/>
                <w:szCs w:val="20"/>
              </w:rPr>
              <w:t>Department of Finance</w:t>
            </w:r>
          </w:p>
        </w:tc>
      </w:tr>
      <w:tr w:rsidR="003D30F7" w:rsidRPr="005A497D" w14:paraId="4783E487" w14:textId="77777777" w:rsidTr="00577670">
        <w:trPr>
          <w:trHeight w:val="283"/>
        </w:trPr>
        <w:tc>
          <w:tcPr>
            <w:tcW w:w="1575" w:type="dxa"/>
            <w:tcBorders>
              <w:top w:val="nil"/>
              <w:left w:val="nil"/>
              <w:bottom w:val="nil"/>
              <w:right w:val="nil"/>
            </w:tcBorders>
            <w:shd w:val="clear" w:color="auto" w:fill="auto"/>
            <w:noWrap/>
            <w:vAlign w:val="center"/>
          </w:tcPr>
          <w:p w14:paraId="52A334D4" w14:textId="77777777" w:rsidR="003D30F7" w:rsidRPr="00EE3D16" w:rsidRDefault="003D30F7" w:rsidP="00577670">
            <w:pPr>
              <w:rPr>
                <w:color w:val="000000"/>
                <w:sz w:val="20"/>
                <w:szCs w:val="20"/>
                <w:lang w:eastAsia="en-GB"/>
              </w:rPr>
            </w:pPr>
            <w:r w:rsidRPr="00EE3D16">
              <w:rPr>
                <w:color w:val="000000"/>
                <w:sz w:val="20"/>
                <w:szCs w:val="20"/>
                <w:lang w:eastAsia="en-GB"/>
              </w:rPr>
              <w:t>DoH</w:t>
            </w:r>
          </w:p>
        </w:tc>
        <w:tc>
          <w:tcPr>
            <w:tcW w:w="6990" w:type="dxa"/>
            <w:tcBorders>
              <w:top w:val="nil"/>
              <w:left w:val="nil"/>
              <w:bottom w:val="nil"/>
              <w:right w:val="nil"/>
            </w:tcBorders>
            <w:shd w:val="clear" w:color="auto" w:fill="auto"/>
            <w:noWrap/>
            <w:vAlign w:val="center"/>
          </w:tcPr>
          <w:p w14:paraId="5A2E912A" w14:textId="77777777" w:rsidR="003D30F7" w:rsidRPr="00EE3D16" w:rsidRDefault="003D30F7" w:rsidP="00577670">
            <w:pPr>
              <w:rPr>
                <w:sz w:val="20"/>
                <w:szCs w:val="20"/>
              </w:rPr>
            </w:pPr>
            <w:r w:rsidRPr="00EE3D16">
              <w:rPr>
                <w:sz w:val="20"/>
                <w:szCs w:val="20"/>
              </w:rPr>
              <w:t>Department of Health</w:t>
            </w:r>
          </w:p>
        </w:tc>
      </w:tr>
      <w:tr w:rsidR="003D30F7" w:rsidRPr="005A497D" w14:paraId="39D3EFF8" w14:textId="77777777" w:rsidTr="00577670">
        <w:trPr>
          <w:trHeight w:val="283"/>
        </w:trPr>
        <w:tc>
          <w:tcPr>
            <w:tcW w:w="1575" w:type="dxa"/>
            <w:tcBorders>
              <w:top w:val="nil"/>
              <w:left w:val="nil"/>
              <w:bottom w:val="nil"/>
              <w:right w:val="nil"/>
            </w:tcBorders>
            <w:shd w:val="clear" w:color="auto" w:fill="auto"/>
            <w:noWrap/>
            <w:vAlign w:val="center"/>
          </w:tcPr>
          <w:p w14:paraId="29E2FAF1" w14:textId="77777777" w:rsidR="003D30F7" w:rsidRPr="00EE3D16" w:rsidRDefault="003D30F7" w:rsidP="00577670">
            <w:pPr>
              <w:rPr>
                <w:color w:val="000000"/>
                <w:sz w:val="20"/>
                <w:szCs w:val="20"/>
                <w:lang w:eastAsia="en-GB"/>
              </w:rPr>
            </w:pPr>
            <w:r w:rsidRPr="00EE3D16">
              <w:rPr>
                <w:color w:val="000000"/>
                <w:sz w:val="20"/>
                <w:szCs w:val="20"/>
                <w:lang w:eastAsia="en-GB"/>
              </w:rPr>
              <w:t>DoJ</w:t>
            </w:r>
          </w:p>
        </w:tc>
        <w:tc>
          <w:tcPr>
            <w:tcW w:w="6990" w:type="dxa"/>
            <w:tcBorders>
              <w:top w:val="nil"/>
              <w:left w:val="nil"/>
              <w:bottom w:val="nil"/>
              <w:right w:val="nil"/>
            </w:tcBorders>
            <w:shd w:val="clear" w:color="auto" w:fill="auto"/>
            <w:noWrap/>
            <w:vAlign w:val="center"/>
          </w:tcPr>
          <w:p w14:paraId="03C1B89C" w14:textId="77777777" w:rsidR="003D30F7" w:rsidRPr="00EE3D16" w:rsidRDefault="003D30F7" w:rsidP="00D91CA9">
            <w:pPr>
              <w:rPr>
                <w:sz w:val="20"/>
                <w:szCs w:val="20"/>
              </w:rPr>
            </w:pPr>
            <w:r w:rsidRPr="00EE3D16">
              <w:rPr>
                <w:sz w:val="20"/>
                <w:szCs w:val="20"/>
              </w:rPr>
              <w:t>Department of Justice</w:t>
            </w:r>
          </w:p>
        </w:tc>
      </w:tr>
      <w:tr w:rsidR="00451229" w:rsidRPr="005A497D" w14:paraId="66A4BEAC" w14:textId="77777777" w:rsidTr="00577670">
        <w:trPr>
          <w:trHeight w:val="283"/>
        </w:trPr>
        <w:tc>
          <w:tcPr>
            <w:tcW w:w="1575" w:type="dxa"/>
            <w:tcBorders>
              <w:top w:val="nil"/>
              <w:left w:val="nil"/>
              <w:bottom w:val="nil"/>
              <w:right w:val="nil"/>
            </w:tcBorders>
            <w:shd w:val="clear" w:color="auto" w:fill="auto"/>
            <w:noWrap/>
            <w:vAlign w:val="center"/>
          </w:tcPr>
          <w:p w14:paraId="36F82FA1" w14:textId="4380007A" w:rsidR="00451229" w:rsidRPr="00EE3D16" w:rsidRDefault="00451229" w:rsidP="00577670">
            <w:pPr>
              <w:rPr>
                <w:color w:val="000000"/>
                <w:sz w:val="20"/>
                <w:szCs w:val="20"/>
                <w:lang w:eastAsia="en-GB"/>
              </w:rPr>
            </w:pPr>
            <w:r>
              <w:rPr>
                <w:color w:val="000000"/>
                <w:sz w:val="20"/>
                <w:szCs w:val="20"/>
                <w:lang w:eastAsia="en-GB"/>
              </w:rPr>
              <w:t>DOLE</w:t>
            </w:r>
          </w:p>
        </w:tc>
        <w:tc>
          <w:tcPr>
            <w:tcW w:w="6990" w:type="dxa"/>
            <w:tcBorders>
              <w:top w:val="nil"/>
              <w:left w:val="nil"/>
              <w:bottom w:val="nil"/>
              <w:right w:val="nil"/>
            </w:tcBorders>
            <w:shd w:val="clear" w:color="auto" w:fill="auto"/>
            <w:noWrap/>
            <w:vAlign w:val="center"/>
          </w:tcPr>
          <w:p w14:paraId="6A47FC3E" w14:textId="72CFF44B" w:rsidR="00451229" w:rsidRPr="00EE3D16" w:rsidRDefault="001762EE" w:rsidP="00577670">
            <w:pPr>
              <w:rPr>
                <w:sz w:val="20"/>
                <w:szCs w:val="20"/>
              </w:rPr>
            </w:pPr>
            <w:r>
              <w:rPr>
                <w:sz w:val="20"/>
                <w:szCs w:val="20"/>
              </w:rPr>
              <w:t>Department of Labor and Employment</w:t>
            </w:r>
          </w:p>
        </w:tc>
      </w:tr>
      <w:tr w:rsidR="003D30F7" w:rsidRPr="005A497D" w14:paraId="1B5482B0" w14:textId="77777777" w:rsidTr="00577670">
        <w:trPr>
          <w:trHeight w:val="283"/>
        </w:trPr>
        <w:tc>
          <w:tcPr>
            <w:tcW w:w="1575" w:type="dxa"/>
            <w:tcBorders>
              <w:top w:val="nil"/>
              <w:left w:val="nil"/>
              <w:bottom w:val="nil"/>
              <w:right w:val="nil"/>
            </w:tcBorders>
            <w:shd w:val="clear" w:color="auto" w:fill="auto"/>
            <w:noWrap/>
            <w:vAlign w:val="center"/>
          </w:tcPr>
          <w:p w14:paraId="12A9D8E2" w14:textId="77777777" w:rsidR="003D30F7" w:rsidRPr="00EE3D16" w:rsidRDefault="003D30F7" w:rsidP="00577670">
            <w:pPr>
              <w:rPr>
                <w:color w:val="000000"/>
                <w:sz w:val="20"/>
                <w:szCs w:val="20"/>
                <w:lang w:eastAsia="en-GB"/>
              </w:rPr>
            </w:pPr>
            <w:r w:rsidRPr="00EE3D16">
              <w:rPr>
                <w:color w:val="000000"/>
                <w:sz w:val="20"/>
                <w:szCs w:val="20"/>
                <w:lang w:eastAsia="en-GB"/>
              </w:rPr>
              <w:t>DOST</w:t>
            </w:r>
          </w:p>
        </w:tc>
        <w:tc>
          <w:tcPr>
            <w:tcW w:w="6990" w:type="dxa"/>
            <w:tcBorders>
              <w:top w:val="nil"/>
              <w:left w:val="nil"/>
              <w:bottom w:val="nil"/>
              <w:right w:val="nil"/>
            </w:tcBorders>
            <w:shd w:val="clear" w:color="auto" w:fill="auto"/>
            <w:noWrap/>
            <w:vAlign w:val="center"/>
          </w:tcPr>
          <w:p w14:paraId="18F21D23" w14:textId="77777777" w:rsidR="003D30F7" w:rsidRPr="00EE3D16" w:rsidRDefault="003D30F7" w:rsidP="00577670">
            <w:pPr>
              <w:rPr>
                <w:sz w:val="20"/>
                <w:szCs w:val="20"/>
              </w:rPr>
            </w:pPr>
            <w:r w:rsidRPr="00EE3D16">
              <w:rPr>
                <w:sz w:val="20"/>
                <w:szCs w:val="20"/>
              </w:rPr>
              <w:t>Department of Science and Technology</w:t>
            </w:r>
          </w:p>
        </w:tc>
      </w:tr>
      <w:tr w:rsidR="003D30F7" w:rsidRPr="005A497D" w14:paraId="7E443FD5" w14:textId="77777777" w:rsidTr="00577670">
        <w:trPr>
          <w:trHeight w:val="283"/>
        </w:trPr>
        <w:tc>
          <w:tcPr>
            <w:tcW w:w="1575" w:type="dxa"/>
            <w:tcBorders>
              <w:top w:val="nil"/>
              <w:left w:val="nil"/>
              <w:bottom w:val="nil"/>
              <w:right w:val="nil"/>
            </w:tcBorders>
            <w:shd w:val="clear" w:color="auto" w:fill="auto"/>
            <w:noWrap/>
            <w:vAlign w:val="center"/>
          </w:tcPr>
          <w:p w14:paraId="14264B8B" w14:textId="77777777" w:rsidR="003D30F7" w:rsidRPr="00EE3D16" w:rsidRDefault="003D30F7" w:rsidP="00577670">
            <w:pPr>
              <w:rPr>
                <w:color w:val="000000"/>
                <w:sz w:val="20"/>
                <w:szCs w:val="20"/>
                <w:lang w:eastAsia="en-GB"/>
              </w:rPr>
            </w:pPr>
            <w:r w:rsidRPr="00EE3D16">
              <w:rPr>
                <w:color w:val="000000"/>
                <w:sz w:val="20"/>
                <w:szCs w:val="20"/>
                <w:lang w:eastAsia="en-GB"/>
              </w:rPr>
              <w:t>DOTC</w:t>
            </w:r>
          </w:p>
        </w:tc>
        <w:tc>
          <w:tcPr>
            <w:tcW w:w="6990" w:type="dxa"/>
            <w:tcBorders>
              <w:top w:val="nil"/>
              <w:left w:val="nil"/>
              <w:bottom w:val="nil"/>
              <w:right w:val="nil"/>
            </w:tcBorders>
            <w:shd w:val="clear" w:color="auto" w:fill="auto"/>
            <w:noWrap/>
            <w:vAlign w:val="center"/>
          </w:tcPr>
          <w:p w14:paraId="1C2CD06A" w14:textId="77777777" w:rsidR="003D30F7" w:rsidRPr="00EE3D16" w:rsidRDefault="003D30F7" w:rsidP="00577670">
            <w:pPr>
              <w:rPr>
                <w:sz w:val="20"/>
                <w:szCs w:val="20"/>
              </w:rPr>
            </w:pPr>
            <w:r w:rsidRPr="00EE3D16">
              <w:rPr>
                <w:sz w:val="20"/>
                <w:szCs w:val="20"/>
              </w:rPr>
              <w:t>Department of Transportation and Communications</w:t>
            </w:r>
          </w:p>
        </w:tc>
      </w:tr>
      <w:tr w:rsidR="003D30F7" w:rsidRPr="005A497D" w14:paraId="1BBDCF5A" w14:textId="77777777" w:rsidTr="00577670">
        <w:trPr>
          <w:trHeight w:val="283"/>
        </w:trPr>
        <w:tc>
          <w:tcPr>
            <w:tcW w:w="1575" w:type="dxa"/>
            <w:tcBorders>
              <w:top w:val="nil"/>
              <w:left w:val="nil"/>
              <w:bottom w:val="nil"/>
              <w:right w:val="nil"/>
            </w:tcBorders>
            <w:shd w:val="clear" w:color="auto" w:fill="auto"/>
            <w:noWrap/>
            <w:vAlign w:val="center"/>
          </w:tcPr>
          <w:p w14:paraId="1B51B99B" w14:textId="77777777" w:rsidR="003D30F7" w:rsidRPr="00EE3D16" w:rsidRDefault="003D30F7" w:rsidP="00577670">
            <w:pPr>
              <w:rPr>
                <w:color w:val="000000"/>
                <w:sz w:val="20"/>
                <w:szCs w:val="20"/>
                <w:lang w:eastAsia="en-GB"/>
              </w:rPr>
            </w:pPr>
            <w:r w:rsidRPr="00EE3D16">
              <w:rPr>
                <w:color w:val="000000"/>
                <w:sz w:val="20"/>
                <w:szCs w:val="20"/>
                <w:lang w:eastAsia="en-GB"/>
              </w:rPr>
              <w:t>DPWH</w:t>
            </w:r>
          </w:p>
        </w:tc>
        <w:tc>
          <w:tcPr>
            <w:tcW w:w="6990" w:type="dxa"/>
            <w:tcBorders>
              <w:top w:val="nil"/>
              <w:left w:val="nil"/>
              <w:bottom w:val="nil"/>
              <w:right w:val="nil"/>
            </w:tcBorders>
            <w:shd w:val="clear" w:color="auto" w:fill="auto"/>
            <w:noWrap/>
            <w:vAlign w:val="center"/>
          </w:tcPr>
          <w:p w14:paraId="294A2017" w14:textId="0D92A81F" w:rsidR="003D30F7" w:rsidRPr="00EE3D16" w:rsidRDefault="003D30F7" w:rsidP="005108BC">
            <w:pPr>
              <w:rPr>
                <w:sz w:val="20"/>
                <w:szCs w:val="20"/>
              </w:rPr>
            </w:pPr>
            <w:r w:rsidRPr="00EE3D16">
              <w:rPr>
                <w:sz w:val="20"/>
                <w:szCs w:val="20"/>
              </w:rPr>
              <w:t xml:space="preserve">Department of Public Works </w:t>
            </w:r>
            <w:r>
              <w:rPr>
                <w:sz w:val="20"/>
                <w:szCs w:val="20"/>
              </w:rPr>
              <w:t>and</w:t>
            </w:r>
            <w:r w:rsidRPr="00EE3D16">
              <w:rPr>
                <w:sz w:val="20"/>
                <w:szCs w:val="20"/>
              </w:rPr>
              <w:t xml:space="preserve"> Highways</w:t>
            </w:r>
          </w:p>
        </w:tc>
      </w:tr>
      <w:tr w:rsidR="003D30F7" w:rsidRPr="005A497D" w14:paraId="50DB4A83" w14:textId="77777777" w:rsidTr="00577670">
        <w:trPr>
          <w:trHeight w:val="283"/>
        </w:trPr>
        <w:tc>
          <w:tcPr>
            <w:tcW w:w="1575" w:type="dxa"/>
            <w:tcBorders>
              <w:top w:val="nil"/>
              <w:left w:val="nil"/>
              <w:bottom w:val="nil"/>
              <w:right w:val="nil"/>
            </w:tcBorders>
            <w:shd w:val="clear" w:color="auto" w:fill="auto"/>
            <w:noWrap/>
            <w:vAlign w:val="center"/>
            <w:hideMark/>
          </w:tcPr>
          <w:p w14:paraId="5BC85DA0" w14:textId="77777777" w:rsidR="003D30F7" w:rsidRPr="00EE3D16" w:rsidRDefault="003D30F7" w:rsidP="00577670">
            <w:pPr>
              <w:rPr>
                <w:color w:val="000000"/>
                <w:sz w:val="20"/>
                <w:szCs w:val="20"/>
                <w:lang w:eastAsia="en-GB"/>
              </w:rPr>
            </w:pPr>
            <w:r w:rsidRPr="00EE3D16">
              <w:rPr>
                <w:color w:val="000000"/>
                <w:sz w:val="20"/>
                <w:szCs w:val="20"/>
                <w:lang w:eastAsia="en-GB"/>
              </w:rPr>
              <w:t>DSWD</w:t>
            </w:r>
          </w:p>
        </w:tc>
        <w:tc>
          <w:tcPr>
            <w:tcW w:w="6990" w:type="dxa"/>
            <w:tcBorders>
              <w:top w:val="nil"/>
              <w:left w:val="nil"/>
              <w:bottom w:val="nil"/>
              <w:right w:val="nil"/>
            </w:tcBorders>
            <w:shd w:val="clear" w:color="auto" w:fill="auto"/>
            <w:noWrap/>
            <w:vAlign w:val="center"/>
            <w:hideMark/>
          </w:tcPr>
          <w:p w14:paraId="30BCAA3A" w14:textId="77777777" w:rsidR="003D30F7" w:rsidRPr="00EE3D16" w:rsidRDefault="003D30F7" w:rsidP="00577670">
            <w:pPr>
              <w:rPr>
                <w:sz w:val="20"/>
                <w:szCs w:val="20"/>
              </w:rPr>
            </w:pPr>
            <w:r w:rsidRPr="00EE3D16">
              <w:rPr>
                <w:sz w:val="20"/>
                <w:szCs w:val="20"/>
              </w:rPr>
              <w:t>Department of Social Welfare and Development</w:t>
            </w:r>
          </w:p>
        </w:tc>
      </w:tr>
      <w:tr w:rsidR="003D30F7" w:rsidRPr="005A497D" w14:paraId="250CBDAA" w14:textId="77777777" w:rsidTr="00577670">
        <w:trPr>
          <w:trHeight w:val="283"/>
        </w:trPr>
        <w:tc>
          <w:tcPr>
            <w:tcW w:w="1575" w:type="dxa"/>
            <w:tcBorders>
              <w:top w:val="nil"/>
              <w:left w:val="nil"/>
              <w:bottom w:val="nil"/>
              <w:right w:val="nil"/>
            </w:tcBorders>
            <w:shd w:val="clear" w:color="auto" w:fill="auto"/>
            <w:noWrap/>
            <w:vAlign w:val="center"/>
            <w:hideMark/>
          </w:tcPr>
          <w:p w14:paraId="07C65C75" w14:textId="77777777" w:rsidR="003D30F7" w:rsidRPr="00EE3D16" w:rsidRDefault="003D30F7" w:rsidP="00577670">
            <w:pPr>
              <w:rPr>
                <w:color w:val="000000"/>
                <w:sz w:val="20"/>
                <w:szCs w:val="20"/>
                <w:lang w:eastAsia="en-GB"/>
              </w:rPr>
            </w:pPr>
            <w:r w:rsidRPr="000D0E8D">
              <w:rPr>
                <w:i/>
                <w:sz w:val="20"/>
                <w:szCs w:val="20"/>
              </w:rPr>
              <w:t>e</w:t>
            </w:r>
            <w:r w:rsidRPr="00EE3D16">
              <w:rPr>
                <w:sz w:val="20"/>
                <w:szCs w:val="20"/>
              </w:rPr>
              <w:t>FPS</w:t>
            </w:r>
          </w:p>
        </w:tc>
        <w:tc>
          <w:tcPr>
            <w:tcW w:w="6990" w:type="dxa"/>
            <w:tcBorders>
              <w:top w:val="nil"/>
              <w:left w:val="nil"/>
              <w:bottom w:val="nil"/>
              <w:right w:val="nil"/>
            </w:tcBorders>
            <w:shd w:val="clear" w:color="auto" w:fill="auto"/>
            <w:noWrap/>
            <w:vAlign w:val="center"/>
            <w:hideMark/>
          </w:tcPr>
          <w:p w14:paraId="5FD5B850" w14:textId="77777777" w:rsidR="003D30F7" w:rsidRPr="00EE3D16" w:rsidRDefault="003D30F7" w:rsidP="00EE1652">
            <w:pPr>
              <w:rPr>
                <w:sz w:val="20"/>
                <w:szCs w:val="20"/>
              </w:rPr>
            </w:pPr>
            <w:r w:rsidRPr="00EE3D16">
              <w:rPr>
                <w:sz w:val="20"/>
                <w:szCs w:val="20"/>
              </w:rPr>
              <w:t>Electronic Filing and Payment System</w:t>
            </w:r>
          </w:p>
        </w:tc>
      </w:tr>
      <w:tr w:rsidR="003D30F7" w:rsidRPr="005A497D" w14:paraId="7E2FD634" w14:textId="77777777" w:rsidTr="00577670">
        <w:trPr>
          <w:trHeight w:val="283"/>
        </w:trPr>
        <w:tc>
          <w:tcPr>
            <w:tcW w:w="1575" w:type="dxa"/>
            <w:tcBorders>
              <w:top w:val="nil"/>
              <w:left w:val="nil"/>
              <w:bottom w:val="nil"/>
              <w:right w:val="nil"/>
            </w:tcBorders>
            <w:shd w:val="clear" w:color="auto" w:fill="auto"/>
            <w:noWrap/>
            <w:vAlign w:val="center"/>
            <w:hideMark/>
          </w:tcPr>
          <w:p w14:paraId="74D4EC1C" w14:textId="77777777" w:rsidR="003D30F7" w:rsidRPr="00EE3D16" w:rsidRDefault="003D30F7" w:rsidP="00577670">
            <w:pPr>
              <w:rPr>
                <w:color w:val="000000"/>
                <w:sz w:val="20"/>
                <w:szCs w:val="20"/>
                <w:lang w:eastAsia="en-GB"/>
              </w:rPr>
            </w:pPr>
            <w:r w:rsidRPr="000D0E8D">
              <w:rPr>
                <w:i/>
                <w:color w:val="000000"/>
                <w:sz w:val="20"/>
                <w:szCs w:val="20"/>
                <w:lang w:eastAsia="en-GB"/>
              </w:rPr>
              <w:t>e</w:t>
            </w:r>
            <w:r w:rsidRPr="00EE3D16">
              <w:rPr>
                <w:color w:val="000000"/>
                <w:sz w:val="20"/>
                <w:szCs w:val="20"/>
                <w:lang w:eastAsia="en-GB"/>
              </w:rPr>
              <w:t>LAMS</w:t>
            </w:r>
          </w:p>
        </w:tc>
        <w:tc>
          <w:tcPr>
            <w:tcW w:w="6990" w:type="dxa"/>
            <w:tcBorders>
              <w:top w:val="nil"/>
              <w:left w:val="nil"/>
              <w:bottom w:val="nil"/>
              <w:right w:val="nil"/>
            </w:tcBorders>
            <w:shd w:val="clear" w:color="auto" w:fill="auto"/>
            <w:noWrap/>
            <w:vAlign w:val="center"/>
            <w:hideMark/>
          </w:tcPr>
          <w:p w14:paraId="2772E7B5" w14:textId="77777777" w:rsidR="003D30F7" w:rsidRPr="00EE3D16" w:rsidRDefault="003D30F7" w:rsidP="00577670">
            <w:pPr>
              <w:rPr>
                <w:sz w:val="20"/>
                <w:szCs w:val="20"/>
              </w:rPr>
            </w:pPr>
            <w:r w:rsidRPr="00EE3D16">
              <w:rPr>
                <w:sz w:val="20"/>
                <w:szCs w:val="20"/>
              </w:rPr>
              <w:t>Electronic Letter of Authority Monitoring System</w:t>
            </w:r>
          </w:p>
        </w:tc>
      </w:tr>
      <w:tr w:rsidR="003D30F7" w:rsidRPr="005A497D" w14:paraId="47C50B61" w14:textId="77777777" w:rsidTr="00577670">
        <w:trPr>
          <w:trHeight w:val="283"/>
        </w:trPr>
        <w:tc>
          <w:tcPr>
            <w:tcW w:w="1575" w:type="dxa"/>
            <w:tcBorders>
              <w:top w:val="nil"/>
              <w:left w:val="nil"/>
              <w:bottom w:val="nil"/>
              <w:right w:val="nil"/>
            </w:tcBorders>
            <w:shd w:val="clear" w:color="auto" w:fill="auto"/>
            <w:noWrap/>
            <w:vAlign w:val="center"/>
            <w:hideMark/>
          </w:tcPr>
          <w:p w14:paraId="0C3985BA" w14:textId="77777777" w:rsidR="003D30F7" w:rsidRPr="00EE3D16" w:rsidRDefault="003D30F7" w:rsidP="00D825C4">
            <w:pPr>
              <w:rPr>
                <w:color w:val="000000"/>
                <w:sz w:val="20"/>
                <w:szCs w:val="20"/>
                <w:lang w:eastAsia="en-GB"/>
              </w:rPr>
            </w:pPr>
            <w:r w:rsidRPr="000D0E8D">
              <w:rPr>
                <w:i/>
                <w:color w:val="000000"/>
                <w:sz w:val="20"/>
                <w:szCs w:val="20"/>
                <w:lang w:eastAsia="en-GB"/>
              </w:rPr>
              <w:t>e</w:t>
            </w:r>
            <w:r w:rsidRPr="00EE3D16">
              <w:rPr>
                <w:color w:val="000000"/>
                <w:sz w:val="20"/>
                <w:szCs w:val="20"/>
                <w:lang w:eastAsia="en-GB"/>
              </w:rPr>
              <w:t>MDS</w:t>
            </w:r>
          </w:p>
        </w:tc>
        <w:tc>
          <w:tcPr>
            <w:tcW w:w="6990" w:type="dxa"/>
            <w:tcBorders>
              <w:top w:val="nil"/>
              <w:left w:val="nil"/>
              <w:bottom w:val="nil"/>
              <w:right w:val="nil"/>
            </w:tcBorders>
            <w:shd w:val="clear" w:color="auto" w:fill="auto"/>
            <w:noWrap/>
            <w:vAlign w:val="center"/>
            <w:hideMark/>
          </w:tcPr>
          <w:p w14:paraId="15CBD55D" w14:textId="77777777" w:rsidR="003D30F7" w:rsidRPr="00EE3D16" w:rsidRDefault="003D30F7" w:rsidP="00577670">
            <w:pPr>
              <w:rPr>
                <w:sz w:val="20"/>
                <w:szCs w:val="20"/>
              </w:rPr>
            </w:pPr>
            <w:r w:rsidRPr="00EE3D16">
              <w:rPr>
                <w:sz w:val="20"/>
                <w:szCs w:val="20"/>
              </w:rPr>
              <w:t>Electronic Modified Disbursement System</w:t>
            </w:r>
          </w:p>
        </w:tc>
      </w:tr>
      <w:tr w:rsidR="003D30F7" w:rsidRPr="005A497D" w14:paraId="08E56C2D" w14:textId="77777777" w:rsidTr="00577670">
        <w:trPr>
          <w:trHeight w:val="283"/>
        </w:trPr>
        <w:tc>
          <w:tcPr>
            <w:tcW w:w="1575" w:type="dxa"/>
            <w:tcBorders>
              <w:top w:val="nil"/>
              <w:left w:val="nil"/>
              <w:bottom w:val="nil"/>
              <w:right w:val="nil"/>
            </w:tcBorders>
            <w:shd w:val="clear" w:color="auto" w:fill="auto"/>
            <w:noWrap/>
            <w:vAlign w:val="center"/>
            <w:hideMark/>
          </w:tcPr>
          <w:p w14:paraId="6D5263B9" w14:textId="77777777" w:rsidR="003D30F7" w:rsidRPr="00EE3D16" w:rsidRDefault="003D30F7" w:rsidP="00577670">
            <w:pPr>
              <w:rPr>
                <w:color w:val="000000"/>
                <w:sz w:val="20"/>
                <w:szCs w:val="20"/>
                <w:lang w:eastAsia="en-GB"/>
              </w:rPr>
            </w:pPr>
            <w:r w:rsidRPr="000D0E8D">
              <w:rPr>
                <w:i/>
                <w:color w:val="000000"/>
                <w:sz w:val="20"/>
                <w:szCs w:val="20"/>
                <w:lang w:eastAsia="en-GB"/>
              </w:rPr>
              <w:t>e</w:t>
            </w:r>
            <w:r w:rsidRPr="00EE3D16">
              <w:rPr>
                <w:color w:val="000000"/>
                <w:sz w:val="20"/>
                <w:szCs w:val="20"/>
                <w:lang w:eastAsia="en-GB"/>
              </w:rPr>
              <w:t>NGAS</w:t>
            </w:r>
          </w:p>
        </w:tc>
        <w:tc>
          <w:tcPr>
            <w:tcW w:w="6990" w:type="dxa"/>
            <w:tcBorders>
              <w:top w:val="nil"/>
              <w:left w:val="nil"/>
              <w:bottom w:val="nil"/>
              <w:right w:val="nil"/>
            </w:tcBorders>
            <w:shd w:val="clear" w:color="auto" w:fill="auto"/>
            <w:noWrap/>
            <w:vAlign w:val="center"/>
            <w:hideMark/>
          </w:tcPr>
          <w:p w14:paraId="0CC8A819" w14:textId="77777777" w:rsidR="003D30F7" w:rsidRPr="00EE3D16" w:rsidRDefault="003D30F7" w:rsidP="00577670">
            <w:pPr>
              <w:rPr>
                <w:color w:val="000000"/>
                <w:sz w:val="20"/>
                <w:szCs w:val="20"/>
                <w:lang w:eastAsia="en-GB"/>
              </w:rPr>
            </w:pPr>
            <w:r w:rsidRPr="00EE3D16">
              <w:rPr>
                <w:sz w:val="20"/>
                <w:szCs w:val="20"/>
              </w:rPr>
              <w:t>Electronic New Government Accounting System</w:t>
            </w:r>
          </w:p>
        </w:tc>
      </w:tr>
      <w:tr w:rsidR="003D30F7" w:rsidRPr="005A497D" w14:paraId="09093177" w14:textId="77777777" w:rsidTr="00577670">
        <w:trPr>
          <w:trHeight w:val="283"/>
        </w:trPr>
        <w:tc>
          <w:tcPr>
            <w:tcW w:w="1575" w:type="dxa"/>
            <w:tcBorders>
              <w:top w:val="nil"/>
              <w:left w:val="nil"/>
              <w:bottom w:val="nil"/>
              <w:right w:val="nil"/>
            </w:tcBorders>
            <w:shd w:val="clear" w:color="auto" w:fill="auto"/>
            <w:noWrap/>
            <w:vAlign w:val="center"/>
            <w:hideMark/>
          </w:tcPr>
          <w:p w14:paraId="6473AA73" w14:textId="77777777" w:rsidR="003D30F7" w:rsidRPr="00EE3D16" w:rsidRDefault="003D30F7" w:rsidP="00577670">
            <w:pPr>
              <w:rPr>
                <w:color w:val="000000"/>
                <w:sz w:val="20"/>
                <w:szCs w:val="20"/>
                <w:lang w:eastAsia="en-GB"/>
              </w:rPr>
            </w:pPr>
            <w:r w:rsidRPr="00EE3D16">
              <w:rPr>
                <w:color w:val="000000"/>
                <w:sz w:val="20"/>
                <w:szCs w:val="20"/>
                <w:lang w:eastAsia="en-GB"/>
              </w:rPr>
              <w:lastRenderedPageBreak/>
              <w:t>EO</w:t>
            </w:r>
          </w:p>
        </w:tc>
        <w:tc>
          <w:tcPr>
            <w:tcW w:w="6990" w:type="dxa"/>
            <w:tcBorders>
              <w:top w:val="nil"/>
              <w:left w:val="nil"/>
              <w:bottom w:val="nil"/>
              <w:right w:val="nil"/>
            </w:tcBorders>
            <w:shd w:val="clear" w:color="auto" w:fill="auto"/>
            <w:noWrap/>
            <w:vAlign w:val="center"/>
            <w:hideMark/>
          </w:tcPr>
          <w:p w14:paraId="445EEF25" w14:textId="77777777" w:rsidR="003D30F7" w:rsidRPr="00EE3D16" w:rsidRDefault="003D30F7" w:rsidP="00577670">
            <w:pPr>
              <w:rPr>
                <w:sz w:val="20"/>
                <w:szCs w:val="20"/>
              </w:rPr>
            </w:pPr>
            <w:r w:rsidRPr="00EE3D16">
              <w:rPr>
                <w:sz w:val="20"/>
                <w:szCs w:val="20"/>
              </w:rPr>
              <w:t>Executive Order</w:t>
            </w:r>
          </w:p>
        </w:tc>
      </w:tr>
      <w:tr w:rsidR="003D30F7" w:rsidRPr="005A497D" w14:paraId="4E8B128E" w14:textId="77777777" w:rsidTr="00577670">
        <w:trPr>
          <w:trHeight w:val="283"/>
        </w:trPr>
        <w:tc>
          <w:tcPr>
            <w:tcW w:w="1575" w:type="dxa"/>
            <w:tcBorders>
              <w:top w:val="nil"/>
              <w:left w:val="nil"/>
              <w:bottom w:val="nil"/>
              <w:right w:val="nil"/>
            </w:tcBorders>
            <w:shd w:val="clear" w:color="auto" w:fill="auto"/>
            <w:noWrap/>
            <w:vAlign w:val="center"/>
            <w:hideMark/>
          </w:tcPr>
          <w:p w14:paraId="40BB5F99" w14:textId="77777777" w:rsidR="003D30F7" w:rsidRPr="00EE3D16" w:rsidRDefault="003D30F7" w:rsidP="00577670">
            <w:pPr>
              <w:rPr>
                <w:color w:val="000000"/>
                <w:sz w:val="20"/>
                <w:szCs w:val="20"/>
                <w:lang w:eastAsia="en-GB"/>
              </w:rPr>
            </w:pPr>
            <w:r w:rsidRPr="00EE3D16">
              <w:rPr>
                <w:color w:val="000000"/>
                <w:sz w:val="20"/>
                <w:szCs w:val="20"/>
                <w:lang w:eastAsia="en-GB"/>
              </w:rPr>
              <w:t>GAA</w:t>
            </w:r>
          </w:p>
        </w:tc>
        <w:tc>
          <w:tcPr>
            <w:tcW w:w="6990" w:type="dxa"/>
            <w:tcBorders>
              <w:top w:val="nil"/>
              <w:left w:val="nil"/>
              <w:bottom w:val="nil"/>
              <w:right w:val="nil"/>
            </w:tcBorders>
            <w:shd w:val="clear" w:color="auto" w:fill="auto"/>
            <w:noWrap/>
            <w:vAlign w:val="center"/>
            <w:hideMark/>
          </w:tcPr>
          <w:p w14:paraId="6F4F415A" w14:textId="77777777" w:rsidR="003D30F7" w:rsidRPr="00EE3D16" w:rsidRDefault="003D30F7" w:rsidP="00577670">
            <w:pPr>
              <w:rPr>
                <w:color w:val="000000"/>
                <w:sz w:val="20"/>
                <w:szCs w:val="20"/>
                <w:lang w:eastAsia="en-GB"/>
              </w:rPr>
            </w:pPr>
            <w:r w:rsidRPr="00EE3D16">
              <w:rPr>
                <w:sz w:val="20"/>
                <w:szCs w:val="20"/>
              </w:rPr>
              <w:t>General Appropriations Act</w:t>
            </w:r>
          </w:p>
        </w:tc>
      </w:tr>
      <w:tr w:rsidR="008416A3" w:rsidRPr="005A497D" w14:paraId="47EB5FB7" w14:textId="77777777" w:rsidTr="00577670">
        <w:trPr>
          <w:trHeight w:val="283"/>
        </w:trPr>
        <w:tc>
          <w:tcPr>
            <w:tcW w:w="1575" w:type="dxa"/>
            <w:tcBorders>
              <w:top w:val="nil"/>
              <w:left w:val="nil"/>
              <w:bottom w:val="nil"/>
              <w:right w:val="nil"/>
            </w:tcBorders>
            <w:shd w:val="clear" w:color="auto" w:fill="auto"/>
            <w:noWrap/>
            <w:vAlign w:val="center"/>
          </w:tcPr>
          <w:p w14:paraId="0E6F8A67" w14:textId="2BC3C01B" w:rsidR="008416A3" w:rsidRPr="00EE3D16" w:rsidRDefault="008416A3" w:rsidP="00577670">
            <w:pPr>
              <w:rPr>
                <w:color w:val="000000"/>
                <w:sz w:val="20"/>
                <w:szCs w:val="20"/>
                <w:lang w:eastAsia="en-GB"/>
              </w:rPr>
            </w:pPr>
            <w:r>
              <w:rPr>
                <w:color w:val="000000"/>
                <w:sz w:val="20"/>
                <w:szCs w:val="20"/>
                <w:lang w:eastAsia="en-GB"/>
              </w:rPr>
              <w:t>GAM</w:t>
            </w:r>
          </w:p>
        </w:tc>
        <w:tc>
          <w:tcPr>
            <w:tcW w:w="6990" w:type="dxa"/>
            <w:tcBorders>
              <w:top w:val="nil"/>
              <w:left w:val="nil"/>
              <w:bottom w:val="nil"/>
              <w:right w:val="nil"/>
            </w:tcBorders>
            <w:shd w:val="clear" w:color="auto" w:fill="auto"/>
            <w:noWrap/>
            <w:vAlign w:val="center"/>
          </w:tcPr>
          <w:p w14:paraId="681D524E" w14:textId="0FAD905F" w:rsidR="008416A3" w:rsidRPr="00EE3D16" w:rsidRDefault="008416A3" w:rsidP="00577670">
            <w:pPr>
              <w:rPr>
                <w:sz w:val="20"/>
                <w:szCs w:val="20"/>
              </w:rPr>
            </w:pPr>
            <w:r>
              <w:rPr>
                <w:sz w:val="20"/>
                <w:szCs w:val="20"/>
              </w:rPr>
              <w:t>Government Accounting Manual</w:t>
            </w:r>
          </w:p>
        </w:tc>
      </w:tr>
      <w:tr w:rsidR="003D30F7" w:rsidRPr="005A497D" w14:paraId="56C2231C" w14:textId="77777777" w:rsidTr="00577670">
        <w:trPr>
          <w:trHeight w:val="283"/>
        </w:trPr>
        <w:tc>
          <w:tcPr>
            <w:tcW w:w="1575" w:type="dxa"/>
            <w:tcBorders>
              <w:top w:val="nil"/>
              <w:left w:val="nil"/>
              <w:bottom w:val="nil"/>
              <w:right w:val="nil"/>
            </w:tcBorders>
            <w:shd w:val="clear" w:color="auto" w:fill="auto"/>
            <w:noWrap/>
            <w:vAlign w:val="center"/>
            <w:hideMark/>
          </w:tcPr>
          <w:p w14:paraId="4853AAFA" w14:textId="77777777" w:rsidR="003D30F7" w:rsidRPr="00EE3D16" w:rsidRDefault="003D30F7" w:rsidP="00577670">
            <w:pPr>
              <w:rPr>
                <w:color w:val="000000"/>
                <w:sz w:val="20"/>
                <w:szCs w:val="20"/>
                <w:lang w:eastAsia="en-GB"/>
              </w:rPr>
            </w:pPr>
            <w:r w:rsidRPr="00EE3D16">
              <w:rPr>
                <w:color w:val="000000"/>
                <w:sz w:val="20"/>
                <w:szCs w:val="20"/>
                <w:lang w:eastAsia="en-GB"/>
              </w:rPr>
              <w:t>GCG</w:t>
            </w:r>
          </w:p>
        </w:tc>
        <w:tc>
          <w:tcPr>
            <w:tcW w:w="6990" w:type="dxa"/>
            <w:tcBorders>
              <w:top w:val="nil"/>
              <w:left w:val="nil"/>
              <w:bottom w:val="nil"/>
              <w:right w:val="nil"/>
            </w:tcBorders>
            <w:shd w:val="clear" w:color="auto" w:fill="auto"/>
            <w:noWrap/>
            <w:vAlign w:val="center"/>
            <w:hideMark/>
          </w:tcPr>
          <w:p w14:paraId="4CD3070C" w14:textId="77777777" w:rsidR="003D30F7" w:rsidRPr="00EE3D16" w:rsidRDefault="003D30F7" w:rsidP="00577670">
            <w:pPr>
              <w:rPr>
                <w:color w:val="000000"/>
                <w:sz w:val="20"/>
                <w:szCs w:val="20"/>
                <w:lang w:eastAsia="en-GB"/>
              </w:rPr>
            </w:pPr>
            <w:r w:rsidRPr="00EE3D16">
              <w:rPr>
                <w:sz w:val="20"/>
                <w:szCs w:val="20"/>
              </w:rPr>
              <w:t>Governance Commission for GOCCs</w:t>
            </w:r>
          </w:p>
        </w:tc>
      </w:tr>
      <w:tr w:rsidR="003D30F7" w:rsidRPr="005A497D" w14:paraId="4366238D" w14:textId="77777777" w:rsidTr="00577670">
        <w:trPr>
          <w:trHeight w:val="283"/>
        </w:trPr>
        <w:tc>
          <w:tcPr>
            <w:tcW w:w="1575" w:type="dxa"/>
            <w:tcBorders>
              <w:top w:val="nil"/>
              <w:left w:val="nil"/>
              <w:bottom w:val="nil"/>
              <w:right w:val="nil"/>
            </w:tcBorders>
            <w:shd w:val="clear" w:color="auto" w:fill="auto"/>
            <w:noWrap/>
            <w:vAlign w:val="center"/>
            <w:hideMark/>
          </w:tcPr>
          <w:p w14:paraId="70C9DB83" w14:textId="77777777" w:rsidR="003D30F7" w:rsidRPr="00EE3D16" w:rsidRDefault="003D30F7" w:rsidP="00577670">
            <w:pPr>
              <w:rPr>
                <w:color w:val="000000"/>
                <w:sz w:val="20"/>
                <w:szCs w:val="20"/>
                <w:lang w:eastAsia="en-GB"/>
              </w:rPr>
            </w:pPr>
            <w:r w:rsidRPr="00EE3D16">
              <w:rPr>
                <w:color w:val="000000"/>
                <w:sz w:val="20"/>
                <w:szCs w:val="20"/>
                <w:lang w:eastAsia="en-GB"/>
              </w:rPr>
              <w:t>GDP</w:t>
            </w:r>
          </w:p>
        </w:tc>
        <w:tc>
          <w:tcPr>
            <w:tcW w:w="6990" w:type="dxa"/>
            <w:tcBorders>
              <w:top w:val="nil"/>
              <w:left w:val="nil"/>
              <w:bottom w:val="nil"/>
              <w:right w:val="nil"/>
            </w:tcBorders>
            <w:shd w:val="clear" w:color="auto" w:fill="auto"/>
            <w:noWrap/>
            <w:vAlign w:val="center"/>
            <w:hideMark/>
          </w:tcPr>
          <w:p w14:paraId="0AF7117A" w14:textId="77777777" w:rsidR="003D30F7" w:rsidRPr="00EE3D16" w:rsidRDefault="003D30F7" w:rsidP="00577670">
            <w:pPr>
              <w:rPr>
                <w:color w:val="000000"/>
                <w:sz w:val="20"/>
                <w:szCs w:val="20"/>
                <w:lang w:eastAsia="en-GB"/>
              </w:rPr>
            </w:pPr>
            <w:r w:rsidRPr="00EE3D16">
              <w:rPr>
                <w:color w:val="000000"/>
                <w:sz w:val="20"/>
                <w:szCs w:val="20"/>
                <w:lang w:eastAsia="en-GB"/>
              </w:rPr>
              <w:t xml:space="preserve">Gross Domestic Product </w:t>
            </w:r>
          </w:p>
        </w:tc>
      </w:tr>
      <w:tr w:rsidR="003D30F7" w:rsidRPr="005A497D" w14:paraId="40517964" w14:textId="77777777" w:rsidTr="00577670">
        <w:trPr>
          <w:trHeight w:val="283"/>
        </w:trPr>
        <w:tc>
          <w:tcPr>
            <w:tcW w:w="1575" w:type="dxa"/>
            <w:tcBorders>
              <w:top w:val="nil"/>
              <w:left w:val="nil"/>
              <w:bottom w:val="nil"/>
              <w:right w:val="nil"/>
            </w:tcBorders>
            <w:shd w:val="clear" w:color="auto" w:fill="auto"/>
            <w:noWrap/>
            <w:vAlign w:val="center"/>
            <w:hideMark/>
          </w:tcPr>
          <w:p w14:paraId="406EB4D6" w14:textId="77777777" w:rsidR="003D30F7" w:rsidRPr="00EE3D16" w:rsidRDefault="003D30F7" w:rsidP="00577670">
            <w:pPr>
              <w:rPr>
                <w:color w:val="000000"/>
                <w:sz w:val="20"/>
                <w:szCs w:val="20"/>
                <w:lang w:eastAsia="en-GB"/>
              </w:rPr>
            </w:pPr>
            <w:r w:rsidRPr="00EE3D16">
              <w:rPr>
                <w:color w:val="000000"/>
                <w:sz w:val="20"/>
                <w:szCs w:val="20"/>
                <w:lang w:eastAsia="en-GB"/>
              </w:rPr>
              <w:t>GFS</w:t>
            </w:r>
          </w:p>
        </w:tc>
        <w:tc>
          <w:tcPr>
            <w:tcW w:w="6990" w:type="dxa"/>
            <w:tcBorders>
              <w:top w:val="nil"/>
              <w:left w:val="nil"/>
              <w:bottom w:val="nil"/>
              <w:right w:val="nil"/>
            </w:tcBorders>
            <w:shd w:val="clear" w:color="auto" w:fill="auto"/>
            <w:noWrap/>
            <w:vAlign w:val="center"/>
            <w:hideMark/>
          </w:tcPr>
          <w:p w14:paraId="721C3CB2" w14:textId="77777777" w:rsidR="003D30F7" w:rsidRPr="00EE3D16" w:rsidRDefault="003D30F7" w:rsidP="00577670">
            <w:pPr>
              <w:rPr>
                <w:color w:val="000000"/>
                <w:sz w:val="20"/>
                <w:szCs w:val="20"/>
                <w:lang w:eastAsia="en-GB"/>
              </w:rPr>
            </w:pPr>
            <w:r w:rsidRPr="00EE3D16">
              <w:rPr>
                <w:color w:val="000000"/>
                <w:sz w:val="20"/>
                <w:szCs w:val="20"/>
                <w:lang w:eastAsia="en-GB"/>
              </w:rPr>
              <w:t>Government Finance Statistics</w:t>
            </w:r>
          </w:p>
        </w:tc>
      </w:tr>
      <w:tr w:rsidR="003D30F7" w:rsidRPr="005A497D" w14:paraId="38CF0D23" w14:textId="77777777" w:rsidTr="008F153D">
        <w:trPr>
          <w:trHeight w:val="283"/>
        </w:trPr>
        <w:tc>
          <w:tcPr>
            <w:tcW w:w="1575" w:type="dxa"/>
            <w:tcBorders>
              <w:top w:val="nil"/>
              <w:left w:val="nil"/>
              <w:bottom w:val="nil"/>
              <w:right w:val="nil"/>
            </w:tcBorders>
            <w:shd w:val="clear" w:color="auto" w:fill="auto"/>
            <w:noWrap/>
            <w:vAlign w:val="center"/>
            <w:hideMark/>
          </w:tcPr>
          <w:p w14:paraId="10AACD91" w14:textId="77777777" w:rsidR="003D30F7" w:rsidRPr="00EE3D16" w:rsidRDefault="003D30F7" w:rsidP="008F153D">
            <w:pPr>
              <w:rPr>
                <w:color w:val="000000"/>
                <w:sz w:val="20"/>
                <w:szCs w:val="20"/>
                <w:lang w:eastAsia="en-GB"/>
              </w:rPr>
            </w:pPr>
            <w:r>
              <w:rPr>
                <w:color w:val="000000"/>
                <w:sz w:val="20"/>
                <w:szCs w:val="20"/>
                <w:lang w:eastAsia="en-GB"/>
              </w:rPr>
              <w:t>GGAC</w:t>
            </w:r>
          </w:p>
        </w:tc>
        <w:tc>
          <w:tcPr>
            <w:tcW w:w="6990" w:type="dxa"/>
            <w:tcBorders>
              <w:top w:val="nil"/>
              <w:left w:val="nil"/>
              <w:bottom w:val="nil"/>
              <w:right w:val="nil"/>
            </w:tcBorders>
            <w:shd w:val="clear" w:color="auto" w:fill="auto"/>
            <w:noWrap/>
            <w:vAlign w:val="center"/>
            <w:hideMark/>
          </w:tcPr>
          <w:p w14:paraId="039CFE29" w14:textId="37E4326B" w:rsidR="003D30F7" w:rsidRPr="00EE3D16" w:rsidRDefault="003D30F7" w:rsidP="001B7116">
            <w:pPr>
              <w:rPr>
                <w:sz w:val="20"/>
                <w:szCs w:val="20"/>
              </w:rPr>
            </w:pPr>
            <w:r>
              <w:rPr>
                <w:sz w:val="20"/>
                <w:szCs w:val="20"/>
              </w:rPr>
              <w:t>Good Governance and Anti-Corruption (C</w:t>
            </w:r>
            <w:r w:rsidR="001B7116">
              <w:rPr>
                <w:sz w:val="20"/>
                <w:szCs w:val="20"/>
              </w:rPr>
              <w:t>abinet C</w:t>
            </w:r>
            <w:r>
              <w:rPr>
                <w:sz w:val="20"/>
                <w:szCs w:val="20"/>
              </w:rPr>
              <w:t>luster)</w:t>
            </w:r>
          </w:p>
        </w:tc>
      </w:tr>
      <w:tr w:rsidR="003D30F7" w:rsidRPr="005A497D" w14:paraId="47AFFCE5" w14:textId="77777777" w:rsidTr="00577670">
        <w:trPr>
          <w:trHeight w:val="283"/>
        </w:trPr>
        <w:tc>
          <w:tcPr>
            <w:tcW w:w="1575" w:type="dxa"/>
            <w:tcBorders>
              <w:top w:val="nil"/>
              <w:left w:val="nil"/>
              <w:bottom w:val="nil"/>
              <w:right w:val="nil"/>
            </w:tcBorders>
            <w:shd w:val="clear" w:color="auto" w:fill="auto"/>
            <w:noWrap/>
            <w:vAlign w:val="center"/>
          </w:tcPr>
          <w:p w14:paraId="7A37D1ED" w14:textId="77777777" w:rsidR="003D30F7" w:rsidRPr="00EE3D16" w:rsidRDefault="003D30F7" w:rsidP="00577670">
            <w:pPr>
              <w:rPr>
                <w:color w:val="000000"/>
                <w:sz w:val="20"/>
                <w:szCs w:val="20"/>
                <w:lang w:eastAsia="en-GB"/>
              </w:rPr>
            </w:pPr>
            <w:r w:rsidRPr="00EE3D16">
              <w:rPr>
                <w:color w:val="000000"/>
                <w:sz w:val="20"/>
                <w:szCs w:val="20"/>
                <w:lang w:eastAsia="en-GB"/>
              </w:rPr>
              <w:t>GIFMIS</w:t>
            </w:r>
          </w:p>
        </w:tc>
        <w:tc>
          <w:tcPr>
            <w:tcW w:w="6990" w:type="dxa"/>
            <w:tcBorders>
              <w:top w:val="nil"/>
              <w:left w:val="nil"/>
              <w:bottom w:val="nil"/>
              <w:right w:val="nil"/>
            </w:tcBorders>
            <w:shd w:val="clear" w:color="auto" w:fill="auto"/>
            <w:noWrap/>
            <w:vAlign w:val="center"/>
          </w:tcPr>
          <w:p w14:paraId="4A7D659C" w14:textId="77777777" w:rsidR="003D30F7" w:rsidRPr="00EE3D16" w:rsidRDefault="003D30F7" w:rsidP="00577670">
            <w:pPr>
              <w:rPr>
                <w:color w:val="000000"/>
                <w:sz w:val="20"/>
                <w:szCs w:val="20"/>
                <w:lang w:eastAsia="en-GB"/>
              </w:rPr>
            </w:pPr>
            <w:r w:rsidRPr="00EE3D16">
              <w:rPr>
                <w:color w:val="000000"/>
                <w:sz w:val="20"/>
                <w:szCs w:val="20"/>
                <w:lang w:eastAsia="en-GB"/>
              </w:rPr>
              <w:t>Government Integrated Financial Management Information System</w:t>
            </w:r>
          </w:p>
        </w:tc>
      </w:tr>
      <w:tr w:rsidR="003D30F7" w:rsidRPr="005A497D" w14:paraId="6ABCDC33" w14:textId="77777777" w:rsidTr="00577670">
        <w:trPr>
          <w:trHeight w:val="283"/>
        </w:trPr>
        <w:tc>
          <w:tcPr>
            <w:tcW w:w="1575" w:type="dxa"/>
            <w:tcBorders>
              <w:top w:val="nil"/>
              <w:left w:val="nil"/>
              <w:bottom w:val="nil"/>
              <w:right w:val="nil"/>
            </w:tcBorders>
            <w:shd w:val="clear" w:color="auto" w:fill="auto"/>
            <w:noWrap/>
            <w:vAlign w:val="center"/>
            <w:hideMark/>
          </w:tcPr>
          <w:p w14:paraId="4585B442" w14:textId="77777777" w:rsidR="003D30F7" w:rsidRPr="00EE3D16" w:rsidRDefault="003D30F7" w:rsidP="00577670">
            <w:pPr>
              <w:rPr>
                <w:color w:val="000000"/>
                <w:sz w:val="20"/>
                <w:szCs w:val="20"/>
                <w:lang w:eastAsia="en-GB"/>
              </w:rPr>
            </w:pPr>
            <w:r w:rsidRPr="00EE3D16">
              <w:rPr>
                <w:color w:val="000000"/>
                <w:sz w:val="20"/>
                <w:szCs w:val="20"/>
                <w:lang w:eastAsia="en-GB"/>
              </w:rPr>
              <w:t>GMIS</w:t>
            </w:r>
          </w:p>
        </w:tc>
        <w:tc>
          <w:tcPr>
            <w:tcW w:w="6990" w:type="dxa"/>
            <w:tcBorders>
              <w:top w:val="nil"/>
              <w:left w:val="nil"/>
              <w:bottom w:val="nil"/>
              <w:right w:val="nil"/>
            </w:tcBorders>
            <w:shd w:val="clear" w:color="auto" w:fill="auto"/>
            <w:noWrap/>
            <w:vAlign w:val="center"/>
            <w:hideMark/>
          </w:tcPr>
          <w:p w14:paraId="3561245D" w14:textId="77777777" w:rsidR="003D30F7" w:rsidRPr="00EE3D16" w:rsidRDefault="003D30F7" w:rsidP="00577670">
            <w:pPr>
              <w:rPr>
                <w:color w:val="000000"/>
                <w:sz w:val="20"/>
                <w:szCs w:val="20"/>
                <w:lang w:eastAsia="en-GB"/>
              </w:rPr>
            </w:pPr>
            <w:r w:rsidRPr="00EE3D16">
              <w:rPr>
                <w:color w:val="000000"/>
                <w:sz w:val="20"/>
                <w:szCs w:val="20"/>
                <w:lang w:eastAsia="en-GB"/>
              </w:rPr>
              <w:t>Government Manpower Information System</w:t>
            </w:r>
          </w:p>
        </w:tc>
      </w:tr>
      <w:tr w:rsidR="003D30F7" w:rsidRPr="005A497D" w14:paraId="65389BDF" w14:textId="77777777" w:rsidTr="00577670">
        <w:trPr>
          <w:trHeight w:val="283"/>
        </w:trPr>
        <w:tc>
          <w:tcPr>
            <w:tcW w:w="1575" w:type="dxa"/>
            <w:tcBorders>
              <w:top w:val="nil"/>
              <w:left w:val="nil"/>
              <w:bottom w:val="nil"/>
              <w:right w:val="nil"/>
            </w:tcBorders>
            <w:shd w:val="clear" w:color="auto" w:fill="auto"/>
            <w:noWrap/>
            <w:vAlign w:val="center"/>
            <w:hideMark/>
          </w:tcPr>
          <w:p w14:paraId="6A587740" w14:textId="77777777" w:rsidR="003D30F7" w:rsidRPr="00EE3D16" w:rsidRDefault="003D30F7" w:rsidP="00577670">
            <w:pPr>
              <w:rPr>
                <w:color w:val="000000"/>
                <w:sz w:val="20"/>
                <w:szCs w:val="20"/>
                <w:lang w:eastAsia="en-GB"/>
              </w:rPr>
            </w:pPr>
            <w:r w:rsidRPr="00EE3D16">
              <w:rPr>
                <w:color w:val="000000"/>
                <w:sz w:val="20"/>
                <w:szCs w:val="20"/>
                <w:lang w:eastAsia="en-GB"/>
              </w:rPr>
              <w:t>GNI</w:t>
            </w:r>
          </w:p>
        </w:tc>
        <w:tc>
          <w:tcPr>
            <w:tcW w:w="6990" w:type="dxa"/>
            <w:tcBorders>
              <w:top w:val="nil"/>
              <w:left w:val="nil"/>
              <w:bottom w:val="nil"/>
              <w:right w:val="nil"/>
            </w:tcBorders>
            <w:shd w:val="clear" w:color="auto" w:fill="auto"/>
            <w:noWrap/>
            <w:vAlign w:val="center"/>
            <w:hideMark/>
          </w:tcPr>
          <w:p w14:paraId="5EE3D393" w14:textId="77777777" w:rsidR="003D30F7" w:rsidRPr="00EE3D16" w:rsidRDefault="003D30F7" w:rsidP="00577670">
            <w:pPr>
              <w:rPr>
                <w:color w:val="000000"/>
                <w:sz w:val="20"/>
                <w:szCs w:val="20"/>
                <w:lang w:eastAsia="en-GB"/>
              </w:rPr>
            </w:pPr>
            <w:r w:rsidRPr="00EE3D16">
              <w:rPr>
                <w:color w:val="000000"/>
                <w:sz w:val="20"/>
                <w:szCs w:val="20"/>
                <w:lang w:eastAsia="en-GB"/>
              </w:rPr>
              <w:t>Gross National Income</w:t>
            </w:r>
          </w:p>
        </w:tc>
      </w:tr>
      <w:tr w:rsidR="003D30F7" w:rsidRPr="005A497D" w14:paraId="0DEC69F0" w14:textId="77777777" w:rsidTr="00577670">
        <w:trPr>
          <w:trHeight w:val="283"/>
        </w:trPr>
        <w:tc>
          <w:tcPr>
            <w:tcW w:w="1575" w:type="dxa"/>
            <w:tcBorders>
              <w:top w:val="nil"/>
              <w:left w:val="nil"/>
              <w:bottom w:val="nil"/>
              <w:right w:val="nil"/>
            </w:tcBorders>
            <w:shd w:val="clear" w:color="auto" w:fill="auto"/>
            <w:noWrap/>
            <w:vAlign w:val="center"/>
            <w:hideMark/>
          </w:tcPr>
          <w:p w14:paraId="47C0A250" w14:textId="77777777" w:rsidR="003D30F7" w:rsidRPr="00EE3D16" w:rsidRDefault="003D30F7" w:rsidP="00577670">
            <w:pPr>
              <w:rPr>
                <w:color w:val="000000"/>
                <w:sz w:val="20"/>
                <w:szCs w:val="20"/>
                <w:lang w:eastAsia="en-GB"/>
              </w:rPr>
            </w:pPr>
            <w:r w:rsidRPr="00EE3D16">
              <w:rPr>
                <w:color w:val="000000"/>
                <w:sz w:val="20"/>
                <w:szCs w:val="20"/>
                <w:lang w:eastAsia="en-GB"/>
              </w:rPr>
              <w:t>GOCC</w:t>
            </w:r>
          </w:p>
        </w:tc>
        <w:tc>
          <w:tcPr>
            <w:tcW w:w="6990" w:type="dxa"/>
            <w:tcBorders>
              <w:top w:val="nil"/>
              <w:left w:val="nil"/>
              <w:bottom w:val="nil"/>
              <w:right w:val="nil"/>
            </w:tcBorders>
            <w:shd w:val="clear" w:color="auto" w:fill="auto"/>
            <w:noWrap/>
            <w:vAlign w:val="center"/>
            <w:hideMark/>
          </w:tcPr>
          <w:p w14:paraId="441FAAE8" w14:textId="78A6269F" w:rsidR="003D30F7" w:rsidRPr="00EE3D16" w:rsidRDefault="003D30F7" w:rsidP="008B5D3C">
            <w:pPr>
              <w:rPr>
                <w:color w:val="000000"/>
                <w:sz w:val="20"/>
                <w:szCs w:val="20"/>
                <w:lang w:eastAsia="en-GB"/>
              </w:rPr>
            </w:pPr>
            <w:r w:rsidRPr="00EE3D16">
              <w:rPr>
                <w:sz w:val="20"/>
                <w:szCs w:val="20"/>
              </w:rPr>
              <w:t>Government-</w:t>
            </w:r>
            <w:r>
              <w:rPr>
                <w:sz w:val="20"/>
                <w:szCs w:val="20"/>
              </w:rPr>
              <w:t>o</w:t>
            </w:r>
            <w:r w:rsidRPr="00EE3D16">
              <w:rPr>
                <w:sz w:val="20"/>
                <w:szCs w:val="20"/>
              </w:rPr>
              <w:t xml:space="preserve">wned or </w:t>
            </w:r>
            <w:r>
              <w:rPr>
                <w:sz w:val="20"/>
                <w:szCs w:val="20"/>
              </w:rPr>
              <w:t>c</w:t>
            </w:r>
            <w:r w:rsidRPr="00EE3D16">
              <w:rPr>
                <w:sz w:val="20"/>
                <w:szCs w:val="20"/>
              </w:rPr>
              <w:t xml:space="preserve">ontrolled </w:t>
            </w:r>
            <w:r>
              <w:rPr>
                <w:sz w:val="20"/>
                <w:szCs w:val="20"/>
              </w:rPr>
              <w:t>c</w:t>
            </w:r>
            <w:r w:rsidRPr="00EE3D16">
              <w:rPr>
                <w:sz w:val="20"/>
                <w:szCs w:val="20"/>
              </w:rPr>
              <w:t>orporation</w:t>
            </w:r>
          </w:p>
        </w:tc>
      </w:tr>
      <w:tr w:rsidR="003D30F7" w:rsidRPr="005A497D" w14:paraId="35BAEF95" w14:textId="77777777" w:rsidTr="00577670">
        <w:trPr>
          <w:trHeight w:val="283"/>
        </w:trPr>
        <w:tc>
          <w:tcPr>
            <w:tcW w:w="1575" w:type="dxa"/>
            <w:tcBorders>
              <w:top w:val="nil"/>
              <w:left w:val="nil"/>
              <w:bottom w:val="nil"/>
              <w:right w:val="nil"/>
            </w:tcBorders>
            <w:shd w:val="clear" w:color="auto" w:fill="auto"/>
            <w:noWrap/>
            <w:vAlign w:val="center"/>
            <w:hideMark/>
          </w:tcPr>
          <w:p w14:paraId="78A97657" w14:textId="77777777" w:rsidR="003D30F7" w:rsidRPr="00EE3D16" w:rsidRDefault="003D30F7" w:rsidP="00577670">
            <w:pPr>
              <w:rPr>
                <w:color w:val="000000"/>
                <w:sz w:val="20"/>
                <w:szCs w:val="20"/>
                <w:lang w:eastAsia="en-GB"/>
              </w:rPr>
            </w:pPr>
            <w:r w:rsidRPr="00EE3D16">
              <w:rPr>
                <w:color w:val="000000"/>
                <w:sz w:val="20"/>
                <w:szCs w:val="20"/>
                <w:lang w:eastAsia="en-GB"/>
              </w:rPr>
              <w:t>GPPB</w:t>
            </w:r>
          </w:p>
        </w:tc>
        <w:tc>
          <w:tcPr>
            <w:tcW w:w="6990" w:type="dxa"/>
            <w:tcBorders>
              <w:top w:val="nil"/>
              <w:left w:val="nil"/>
              <w:bottom w:val="nil"/>
              <w:right w:val="nil"/>
            </w:tcBorders>
            <w:shd w:val="clear" w:color="auto" w:fill="auto"/>
            <w:noWrap/>
            <w:vAlign w:val="center"/>
            <w:hideMark/>
          </w:tcPr>
          <w:p w14:paraId="182DF273" w14:textId="77777777" w:rsidR="003D30F7" w:rsidRPr="00EE3D16" w:rsidRDefault="003D30F7" w:rsidP="00577670">
            <w:pPr>
              <w:rPr>
                <w:color w:val="000000"/>
                <w:sz w:val="20"/>
                <w:szCs w:val="20"/>
                <w:lang w:eastAsia="en-GB"/>
              </w:rPr>
            </w:pPr>
            <w:r w:rsidRPr="00EE3D16">
              <w:rPr>
                <w:sz w:val="20"/>
                <w:szCs w:val="20"/>
              </w:rPr>
              <w:t>Government Procurement Policy Board</w:t>
            </w:r>
          </w:p>
        </w:tc>
      </w:tr>
      <w:tr w:rsidR="003D30F7" w:rsidRPr="005A497D" w14:paraId="4FF69E4B" w14:textId="77777777" w:rsidTr="00577670">
        <w:trPr>
          <w:trHeight w:val="283"/>
        </w:trPr>
        <w:tc>
          <w:tcPr>
            <w:tcW w:w="1575" w:type="dxa"/>
            <w:tcBorders>
              <w:top w:val="nil"/>
              <w:left w:val="nil"/>
              <w:bottom w:val="nil"/>
              <w:right w:val="nil"/>
            </w:tcBorders>
            <w:shd w:val="clear" w:color="auto" w:fill="auto"/>
            <w:noWrap/>
            <w:vAlign w:val="center"/>
            <w:hideMark/>
          </w:tcPr>
          <w:p w14:paraId="5F85FDBF" w14:textId="77777777" w:rsidR="003D30F7" w:rsidRPr="00EE3D16" w:rsidRDefault="003D30F7" w:rsidP="00577670">
            <w:pPr>
              <w:rPr>
                <w:color w:val="000000"/>
                <w:sz w:val="20"/>
                <w:szCs w:val="20"/>
                <w:lang w:eastAsia="en-GB"/>
              </w:rPr>
            </w:pPr>
            <w:r w:rsidRPr="00EE3D16">
              <w:rPr>
                <w:color w:val="000000"/>
                <w:sz w:val="20"/>
                <w:szCs w:val="20"/>
                <w:lang w:eastAsia="en-GB"/>
              </w:rPr>
              <w:t>GPRA</w:t>
            </w:r>
          </w:p>
        </w:tc>
        <w:tc>
          <w:tcPr>
            <w:tcW w:w="6990" w:type="dxa"/>
            <w:tcBorders>
              <w:top w:val="nil"/>
              <w:left w:val="nil"/>
              <w:bottom w:val="nil"/>
              <w:right w:val="nil"/>
            </w:tcBorders>
            <w:shd w:val="clear" w:color="auto" w:fill="auto"/>
            <w:noWrap/>
            <w:vAlign w:val="center"/>
            <w:hideMark/>
          </w:tcPr>
          <w:p w14:paraId="32646154" w14:textId="77777777" w:rsidR="003D30F7" w:rsidRPr="00EE3D16" w:rsidRDefault="003D30F7" w:rsidP="00577670">
            <w:pPr>
              <w:rPr>
                <w:sz w:val="20"/>
                <w:szCs w:val="20"/>
              </w:rPr>
            </w:pPr>
            <w:r w:rsidRPr="00EE3D16">
              <w:rPr>
                <w:sz w:val="20"/>
                <w:szCs w:val="20"/>
              </w:rPr>
              <w:t>Government Procurement Reform Act</w:t>
            </w:r>
          </w:p>
        </w:tc>
      </w:tr>
      <w:tr w:rsidR="003D30F7" w:rsidRPr="005A497D" w14:paraId="2C83BD9F" w14:textId="77777777" w:rsidTr="00577670">
        <w:trPr>
          <w:trHeight w:val="283"/>
        </w:trPr>
        <w:tc>
          <w:tcPr>
            <w:tcW w:w="1575" w:type="dxa"/>
            <w:tcBorders>
              <w:top w:val="nil"/>
              <w:left w:val="nil"/>
              <w:bottom w:val="nil"/>
              <w:right w:val="nil"/>
            </w:tcBorders>
            <w:shd w:val="clear" w:color="auto" w:fill="auto"/>
            <w:noWrap/>
            <w:vAlign w:val="center"/>
            <w:hideMark/>
          </w:tcPr>
          <w:p w14:paraId="432387BA" w14:textId="77777777" w:rsidR="003D30F7" w:rsidRPr="00EE3D16" w:rsidRDefault="003D30F7" w:rsidP="00577670">
            <w:pPr>
              <w:rPr>
                <w:color w:val="000000"/>
                <w:sz w:val="20"/>
                <w:szCs w:val="20"/>
                <w:lang w:eastAsia="en-GB"/>
              </w:rPr>
            </w:pPr>
            <w:r w:rsidRPr="00EE3D16">
              <w:rPr>
                <w:color w:val="000000"/>
                <w:sz w:val="20"/>
                <w:szCs w:val="20"/>
                <w:lang w:eastAsia="en-GB"/>
              </w:rPr>
              <w:t>ICC</w:t>
            </w:r>
          </w:p>
        </w:tc>
        <w:tc>
          <w:tcPr>
            <w:tcW w:w="6990" w:type="dxa"/>
            <w:tcBorders>
              <w:top w:val="nil"/>
              <w:left w:val="nil"/>
              <w:bottom w:val="nil"/>
              <w:right w:val="nil"/>
            </w:tcBorders>
            <w:shd w:val="clear" w:color="auto" w:fill="auto"/>
            <w:noWrap/>
            <w:vAlign w:val="center"/>
            <w:hideMark/>
          </w:tcPr>
          <w:p w14:paraId="451AB44D" w14:textId="77777777" w:rsidR="003D30F7" w:rsidRPr="00EE3D16" w:rsidRDefault="003D30F7" w:rsidP="00577670">
            <w:pPr>
              <w:rPr>
                <w:color w:val="000000"/>
                <w:sz w:val="20"/>
                <w:szCs w:val="20"/>
                <w:lang w:eastAsia="en-GB"/>
              </w:rPr>
            </w:pPr>
            <w:r w:rsidRPr="00EE3D16">
              <w:rPr>
                <w:color w:val="000000"/>
                <w:sz w:val="20"/>
                <w:szCs w:val="20"/>
                <w:lang w:eastAsia="en-GB"/>
              </w:rPr>
              <w:t>Investment Coordination Committee</w:t>
            </w:r>
          </w:p>
        </w:tc>
      </w:tr>
      <w:tr w:rsidR="003D30F7" w:rsidRPr="005A497D" w14:paraId="4314768D" w14:textId="77777777" w:rsidTr="00577670">
        <w:trPr>
          <w:trHeight w:val="283"/>
        </w:trPr>
        <w:tc>
          <w:tcPr>
            <w:tcW w:w="1575" w:type="dxa"/>
            <w:tcBorders>
              <w:top w:val="nil"/>
              <w:left w:val="nil"/>
              <w:bottom w:val="nil"/>
              <w:right w:val="nil"/>
            </w:tcBorders>
            <w:shd w:val="clear" w:color="auto" w:fill="auto"/>
            <w:noWrap/>
            <w:vAlign w:val="center"/>
            <w:hideMark/>
          </w:tcPr>
          <w:p w14:paraId="59DCB553" w14:textId="77777777" w:rsidR="003D30F7" w:rsidRPr="00EE3D16" w:rsidRDefault="003D30F7" w:rsidP="00577670">
            <w:pPr>
              <w:rPr>
                <w:color w:val="000000"/>
                <w:sz w:val="20"/>
                <w:szCs w:val="20"/>
                <w:lang w:eastAsia="en-GB"/>
              </w:rPr>
            </w:pPr>
            <w:r w:rsidRPr="00EE3D16">
              <w:rPr>
                <w:color w:val="000000"/>
                <w:sz w:val="20"/>
                <w:szCs w:val="20"/>
                <w:lang w:eastAsia="en-GB"/>
              </w:rPr>
              <w:t>IMF</w:t>
            </w:r>
          </w:p>
        </w:tc>
        <w:tc>
          <w:tcPr>
            <w:tcW w:w="6990" w:type="dxa"/>
            <w:tcBorders>
              <w:top w:val="nil"/>
              <w:left w:val="nil"/>
              <w:bottom w:val="nil"/>
              <w:right w:val="nil"/>
            </w:tcBorders>
            <w:shd w:val="clear" w:color="auto" w:fill="auto"/>
            <w:noWrap/>
            <w:vAlign w:val="center"/>
            <w:hideMark/>
          </w:tcPr>
          <w:p w14:paraId="0325254C" w14:textId="77777777" w:rsidR="003D30F7" w:rsidRPr="00EE3D16" w:rsidRDefault="003D30F7" w:rsidP="00577670">
            <w:pPr>
              <w:rPr>
                <w:sz w:val="20"/>
                <w:szCs w:val="20"/>
              </w:rPr>
            </w:pPr>
            <w:r w:rsidRPr="00EE3D16">
              <w:rPr>
                <w:sz w:val="20"/>
                <w:szCs w:val="20"/>
              </w:rPr>
              <w:t>International Monetary Fund</w:t>
            </w:r>
          </w:p>
        </w:tc>
      </w:tr>
      <w:tr w:rsidR="0032029B" w:rsidRPr="005A497D" w14:paraId="2A6DD445" w14:textId="77777777" w:rsidTr="00577670">
        <w:trPr>
          <w:trHeight w:val="283"/>
        </w:trPr>
        <w:tc>
          <w:tcPr>
            <w:tcW w:w="1575" w:type="dxa"/>
            <w:tcBorders>
              <w:top w:val="nil"/>
              <w:left w:val="nil"/>
              <w:bottom w:val="nil"/>
              <w:right w:val="nil"/>
            </w:tcBorders>
            <w:shd w:val="clear" w:color="auto" w:fill="auto"/>
            <w:noWrap/>
            <w:vAlign w:val="center"/>
          </w:tcPr>
          <w:p w14:paraId="335AB72D" w14:textId="52753534" w:rsidR="0032029B" w:rsidRPr="00EE3D16" w:rsidRDefault="0032029B" w:rsidP="00577670">
            <w:pPr>
              <w:rPr>
                <w:color w:val="000000"/>
                <w:sz w:val="20"/>
                <w:szCs w:val="20"/>
                <w:lang w:eastAsia="en-GB"/>
              </w:rPr>
            </w:pPr>
            <w:r>
              <w:rPr>
                <w:color w:val="000000"/>
                <w:sz w:val="20"/>
                <w:szCs w:val="20"/>
                <w:lang w:eastAsia="en-GB"/>
              </w:rPr>
              <w:t>INTOSAI</w:t>
            </w:r>
          </w:p>
        </w:tc>
        <w:tc>
          <w:tcPr>
            <w:tcW w:w="6990" w:type="dxa"/>
            <w:tcBorders>
              <w:top w:val="nil"/>
              <w:left w:val="nil"/>
              <w:bottom w:val="nil"/>
              <w:right w:val="nil"/>
            </w:tcBorders>
            <w:shd w:val="clear" w:color="auto" w:fill="auto"/>
            <w:noWrap/>
            <w:vAlign w:val="center"/>
          </w:tcPr>
          <w:p w14:paraId="3A31FAC3" w14:textId="561C0697" w:rsidR="0032029B" w:rsidRPr="00EE3D16" w:rsidRDefault="0032029B" w:rsidP="00577670">
            <w:pPr>
              <w:rPr>
                <w:sz w:val="20"/>
                <w:szCs w:val="20"/>
              </w:rPr>
            </w:pPr>
            <w:r>
              <w:rPr>
                <w:sz w:val="20"/>
                <w:szCs w:val="20"/>
              </w:rPr>
              <w:t>International Organization of Supreme Audit Institutions</w:t>
            </w:r>
          </w:p>
        </w:tc>
      </w:tr>
      <w:tr w:rsidR="003D30F7" w:rsidRPr="005A497D" w14:paraId="61B83CE1" w14:textId="77777777" w:rsidTr="00577670">
        <w:trPr>
          <w:trHeight w:val="283"/>
        </w:trPr>
        <w:tc>
          <w:tcPr>
            <w:tcW w:w="1575" w:type="dxa"/>
            <w:tcBorders>
              <w:top w:val="nil"/>
              <w:left w:val="nil"/>
              <w:bottom w:val="nil"/>
              <w:right w:val="nil"/>
            </w:tcBorders>
            <w:shd w:val="clear" w:color="auto" w:fill="auto"/>
            <w:noWrap/>
            <w:vAlign w:val="center"/>
            <w:hideMark/>
          </w:tcPr>
          <w:p w14:paraId="0314E3EF" w14:textId="77777777" w:rsidR="003D30F7" w:rsidRPr="00EE3D16" w:rsidRDefault="003D30F7" w:rsidP="00577670">
            <w:pPr>
              <w:rPr>
                <w:color w:val="000000"/>
                <w:sz w:val="20"/>
                <w:szCs w:val="20"/>
                <w:lang w:eastAsia="en-GB"/>
              </w:rPr>
            </w:pPr>
            <w:r w:rsidRPr="00EE3D16">
              <w:rPr>
                <w:color w:val="000000"/>
                <w:sz w:val="20"/>
                <w:szCs w:val="20"/>
                <w:lang w:eastAsia="en-GB"/>
              </w:rPr>
              <w:t>IPSAS</w:t>
            </w:r>
          </w:p>
        </w:tc>
        <w:tc>
          <w:tcPr>
            <w:tcW w:w="6990" w:type="dxa"/>
            <w:tcBorders>
              <w:top w:val="nil"/>
              <w:left w:val="nil"/>
              <w:bottom w:val="nil"/>
              <w:right w:val="nil"/>
            </w:tcBorders>
            <w:shd w:val="clear" w:color="auto" w:fill="auto"/>
            <w:noWrap/>
            <w:vAlign w:val="center"/>
            <w:hideMark/>
          </w:tcPr>
          <w:p w14:paraId="5378F0BC" w14:textId="77777777" w:rsidR="003D30F7" w:rsidRPr="00EE3D16" w:rsidRDefault="003D30F7" w:rsidP="00577670">
            <w:pPr>
              <w:rPr>
                <w:sz w:val="20"/>
                <w:szCs w:val="20"/>
              </w:rPr>
            </w:pPr>
            <w:r w:rsidRPr="00EE3D16">
              <w:rPr>
                <w:sz w:val="20"/>
                <w:szCs w:val="20"/>
              </w:rPr>
              <w:t>International Public Sector Accounting Standards</w:t>
            </w:r>
          </w:p>
        </w:tc>
      </w:tr>
      <w:tr w:rsidR="003D30F7" w:rsidRPr="00EE3D16" w14:paraId="532FD11E" w14:textId="77777777" w:rsidTr="00577670">
        <w:trPr>
          <w:trHeight w:val="283"/>
        </w:trPr>
        <w:tc>
          <w:tcPr>
            <w:tcW w:w="1575" w:type="dxa"/>
            <w:tcBorders>
              <w:top w:val="nil"/>
              <w:left w:val="nil"/>
              <w:bottom w:val="nil"/>
              <w:right w:val="nil"/>
            </w:tcBorders>
            <w:shd w:val="clear" w:color="auto" w:fill="auto"/>
            <w:noWrap/>
            <w:vAlign w:val="center"/>
            <w:hideMark/>
          </w:tcPr>
          <w:p w14:paraId="740479BF" w14:textId="77777777" w:rsidR="003D30F7" w:rsidRPr="00EE3D16" w:rsidRDefault="003D30F7" w:rsidP="00577670">
            <w:pPr>
              <w:rPr>
                <w:color w:val="000000"/>
                <w:sz w:val="20"/>
                <w:szCs w:val="20"/>
                <w:lang w:eastAsia="en-GB"/>
              </w:rPr>
            </w:pPr>
            <w:r w:rsidRPr="00EE3D16">
              <w:rPr>
                <w:color w:val="000000"/>
                <w:sz w:val="20"/>
                <w:szCs w:val="20"/>
                <w:lang w:eastAsia="en-GB"/>
              </w:rPr>
              <w:t>ISSAI</w:t>
            </w:r>
          </w:p>
        </w:tc>
        <w:tc>
          <w:tcPr>
            <w:tcW w:w="6990" w:type="dxa"/>
            <w:tcBorders>
              <w:top w:val="nil"/>
              <w:left w:val="nil"/>
              <w:bottom w:val="nil"/>
              <w:right w:val="nil"/>
            </w:tcBorders>
            <w:shd w:val="clear" w:color="auto" w:fill="auto"/>
            <w:noWrap/>
            <w:vAlign w:val="center"/>
            <w:hideMark/>
          </w:tcPr>
          <w:p w14:paraId="6ABF97CF" w14:textId="77777777" w:rsidR="003D30F7" w:rsidRPr="00EE3D16" w:rsidRDefault="003D30F7" w:rsidP="00577670">
            <w:pPr>
              <w:rPr>
                <w:sz w:val="20"/>
                <w:szCs w:val="20"/>
              </w:rPr>
            </w:pPr>
            <w:r w:rsidRPr="00EE3D16">
              <w:rPr>
                <w:sz w:val="20"/>
                <w:szCs w:val="20"/>
              </w:rPr>
              <w:t>International Standards of Supreme Audit Institutions</w:t>
            </w:r>
          </w:p>
        </w:tc>
      </w:tr>
      <w:tr w:rsidR="003D30F7" w:rsidRPr="00EE3D16" w14:paraId="05822C54" w14:textId="77777777" w:rsidTr="00577670">
        <w:trPr>
          <w:trHeight w:val="283"/>
        </w:trPr>
        <w:tc>
          <w:tcPr>
            <w:tcW w:w="1575" w:type="dxa"/>
            <w:tcBorders>
              <w:top w:val="nil"/>
              <w:left w:val="nil"/>
              <w:bottom w:val="nil"/>
              <w:right w:val="nil"/>
            </w:tcBorders>
            <w:shd w:val="clear" w:color="auto" w:fill="auto"/>
            <w:noWrap/>
            <w:vAlign w:val="center"/>
            <w:hideMark/>
          </w:tcPr>
          <w:p w14:paraId="6C763B78" w14:textId="77777777" w:rsidR="003D30F7" w:rsidRPr="00EE3D16" w:rsidRDefault="003D30F7" w:rsidP="00577670">
            <w:pPr>
              <w:rPr>
                <w:color w:val="000000"/>
                <w:sz w:val="20"/>
                <w:szCs w:val="20"/>
                <w:lang w:eastAsia="en-GB"/>
              </w:rPr>
            </w:pPr>
            <w:r w:rsidRPr="00EE3D16">
              <w:rPr>
                <w:color w:val="000000"/>
                <w:sz w:val="20"/>
                <w:szCs w:val="20"/>
                <w:lang w:eastAsia="en-GB"/>
              </w:rPr>
              <w:t>IT</w:t>
            </w:r>
          </w:p>
        </w:tc>
        <w:tc>
          <w:tcPr>
            <w:tcW w:w="6990" w:type="dxa"/>
            <w:tcBorders>
              <w:top w:val="nil"/>
              <w:left w:val="nil"/>
              <w:bottom w:val="nil"/>
              <w:right w:val="nil"/>
            </w:tcBorders>
            <w:shd w:val="clear" w:color="auto" w:fill="auto"/>
            <w:noWrap/>
            <w:vAlign w:val="center"/>
            <w:hideMark/>
          </w:tcPr>
          <w:p w14:paraId="0ED4670E" w14:textId="1924898A" w:rsidR="003D30F7" w:rsidRPr="00EE3D16" w:rsidRDefault="003D30F7" w:rsidP="0032029B">
            <w:pPr>
              <w:rPr>
                <w:sz w:val="20"/>
                <w:szCs w:val="20"/>
              </w:rPr>
            </w:pPr>
            <w:r w:rsidRPr="00EE3D16">
              <w:rPr>
                <w:sz w:val="20"/>
                <w:szCs w:val="20"/>
              </w:rPr>
              <w:t xml:space="preserve">Information </w:t>
            </w:r>
            <w:r w:rsidR="0032029B">
              <w:rPr>
                <w:sz w:val="20"/>
                <w:szCs w:val="20"/>
              </w:rPr>
              <w:t>T</w:t>
            </w:r>
            <w:r w:rsidRPr="00EE3D16">
              <w:rPr>
                <w:sz w:val="20"/>
                <w:szCs w:val="20"/>
              </w:rPr>
              <w:t>echnology</w:t>
            </w:r>
          </w:p>
        </w:tc>
      </w:tr>
      <w:tr w:rsidR="003D30F7" w:rsidRPr="00EE3D16" w14:paraId="4A19D313" w14:textId="77777777" w:rsidTr="00577670">
        <w:trPr>
          <w:trHeight w:val="283"/>
        </w:trPr>
        <w:tc>
          <w:tcPr>
            <w:tcW w:w="1575" w:type="dxa"/>
            <w:tcBorders>
              <w:top w:val="nil"/>
              <w:left w:val="nil"/>
              <w:bottom w:val="nil"/>
              <w:right w:val="nil"/>
            </w:tcBorders>
            <w:shd w:val="clear" w:color="auto" w:fill="auto"/>
            <w:noWrap/>
            <w:vAlign w:val="center"/>
            <w:hideMark/>
          </w:tcPr>
          <w:p w14:paraId="6DEB3461" w14:textId="77777777" w:rsidR="003D30F7" w:rsidRPr="00EE3D16" w:rsidRDefault="003D30F7" w:rsidP="00577670">
            <w:pPr>
              <w:rPr>
                <w:color w:val="000000"/>
                <w:sz w:val="20"/>
                <w:szCs w:val="20"/>
                <w:lang w:eastAsia="en-GB"/>
              </w:rPr>
            </w:pPr>
            <w:r w:rsidRPr="00EE3D16">
              <w:rPr>
                <w:color w:val="000000"/>
                <w:sz w:val="20"/>
                <w:szCs w:val="20"/>
                <w:lang w:eastAsia="en-GB"/>
              </w:rPr>
              <w:t>LBM</w:t>
            </w:r>
          </w:p>
        </w:tc>
        <w:tc>
          <w:tcPr>
            <w:tcW w:w="6990" w:type="dxa"/>
            <w:tcBorders>
              <w:top w:val="nil"/>
              <w:left w:val="nil"/>
              <w:bottom w:val="nil"/>
              <w:right w:val="nil"/>
            </w:tcBorders>
            <w:shd w:val="clear" w:color="auto" w:fill="auto"/>
            <w:noWrap/>
            <w:vAlign w:val="center"/>
            <w:hideMark/>
          </w:tcPr>
          <w:p w14:paraId="73457156" w14:textId="5BCC1A52" w:rsidR="003D30F7" w:rsidRPr="00EE3D16" w:rsidRDefault="003D30F7" w:rsidP="0032029B">
            <w:pPr>
              <w:rPr>
                <w:sz w:val="20"/>
                <w:szCs w:val="20"/>
              </w:rPr>
            </w:pPr>
            <w:r w:rsidRPr="00EE3D16">
              <w:rPr>
                <w:sz w:val="20"/>
                <w:szCs w:val="20"/>
              </w:rPr>
              <w:t xml:space="preserve">Local </w:t>
            </w:r>
            <w:r w:rsidR="0032029B">
              <w:rPr>
                <w:sz w:val="20"/>
                <w:szCs w:val="20"/>
              </w:rPr>
              <w:t>B</w:t>
            </w:r>
            <w:r w:rsidRPr="00EE3D16">
              <w:rPr>
                <w:sz w:val="20"/>
                <w:szCs w:val="20"/>
              </w:rPr>
              <w:t xml:space="preserve">udget </w:t>
            </w:r>
            <w:r w:rsidR="0032029B">
              <w:rPr>
                <w:sz w:val="20"/>
                <w:szCs w:val="20"/>
              </w:rPr>
              <w:t>M</w:t>
            </w:r>
            <w:r w:rsidRPr="00EE3D16">
              <w:rPr>
                <w:sz w:val="20"/>
                <w:szCs w:val="20"/>
              </w:rPr>
              <w:t>emorandum</w:t>
            </w:r>
          </w:p>
        </w:tc>
      </w:tr>
      <w:tr w:rsidR="003D30F7" w:rsidRPr="00EE3D16" w14:paraId="73E9983B" w14:textId="77777777" w:rsidTr="00577670">
        <w:trPr>
          <w:trHeight w:val="283"/>
        </w:trPr>
        <w:tc>
          <w:tcPr>
            <w:tcW w:w="1575" w:type="dxa"/>
            <w:tcBorders>
              <w:top w:val="nil"/>
              <w:left w:val="nil"/>
              <w:bottom w:val="nil"/>
              <w:right w:val="nil"/>
            </w:tcBorders>
            <w:shd w:val="clear" w:color="auto" w:fill="auto"/>
            <w:noWrap/>
            <w:vAlign w:val="center"/>
            <w:hideMark/>
          </w:tcPr>
          <w:p w14:paraId="5BC349DB" w14:textId="77777777" w:rsidR="003D30F7" w:rsidRPr="00EE3D16" w:rsidRDefault="003D30F7" w:rsidP="00577670">
            <w:pPr>
              <w:rPr>
                <w:color w:val="000000"/>
                <w:sz w:val="20"/>
                <w:szCs w:val="20"/>
                <w:lang w:eastAsia="en-GB"/>
              </w:rPr>
            </w:pPr>
            <w:r w:rsidRPr="00EE3D16">
              <w:rPr>
                <w:color w:val="000000"/>
                <w:sz w:val="20"/>
                <w:szCs w:val="20"/>
                <w:lang w:eastAsia="en-GB"/>
              </w:rPr>
              <w:t>LGU</w:t>
            </w:r>
          </w:p>
        </w:tc>
        <w:tc>
          <w:tcPr>
            <w:tcW w:w="6990" w:type="dxa"/>
            <w:tcBorders>
              <w:top w:val="nil"/>
              <w:left w:val="nil"/>
              <w:bottom w:val="nil"/>
              <w:right w:val="nil"/>
            </w:tcBorders>
            <w:shd w:val="clear" w:color="auto" w:fill="auto"/>
            <w:noWrap/>
            <w:vAlign w:val="center"/>
            <w:hideMark/>
          </w:tcPr>
          <w:p w14:paraId="6DF53B1C" w14:textId="5940F842" w:rsidR="003D30F7" w:rsidRPr="00EE3D16" w:rsidRDefault="003D30F7" w:rsidP="00083BC1">
            <w:pPr>
              <w:rPr>
                <w:sz w:val="20"/>
                <w:szCs w:val="20"/>
              </w:rPr>
            </w:pPr>
            <w:r w:rsidRPr="00EE3D16">
              <w:rPr>
                <w:sz w:val="20"/>
                <w:szCs w:val="20"/>
              </w:rPr>
              <w:t xml:space="preserve">Local </w:t>
            </w:r>
            <w:r w:rsidR="0032029B">
              <w:rPr>
                <w:sz w:val="20"/>
                <w:szCs w:val="20"/>
              </w:rPr>
              <w:t>G</w:t>
            </w:r>
            <w:r w:rsidRPr="00EE3D16">
              <w:rPr>
                <w:sz w:val="20"/>
                <w:szCs w:val="20"/>
              </w:rPr>
              <w:t xml:space="preserve">overnment </w:t>
            </w:r>
            <w:r w:rsidR="0032029B">
              <w:rPr>
                <w:sz w:val="20"/>
                <w:szCs w:val="20"/>
              </w:rPr>
              <w:t>U</w:t>
            </w:r>
            <w:r w:rsidRPr="00EE3D16">
              <w:rPr>
                <w:sz w:val="20"/>
                <w:szCs w:val="20"/>
              </w:rPr>
              <w:t>nit</w:t>
            </w:r>
          </w:p>
        </w:tc>
      </w:tr>
      <w:tr w:rsidR="0015142A" w:rsidRPr="00EE3D16" w14:paraId="4BCA748D" w14:textId="77777777" w:rsidTr="00577670">
        <w:trPr>
          <w:trHeight w:val="283"/>
        </w:trPr>
        <w:tc>
          <w:tcPr>
            <w:tcW w:w="1575" w:type="dxa"/>
            <w:tcBorders>
              <w:top w:val="nil"/>
              <w:left w:val="nil"/>
              <w:bottom w:val="nil"/>
              <w:right w:val="nil"/>
            </w:tcBorders>
            <w:shd w:val="clear" w:color="auto" w:fill="auto"/>
            <w:noWrap/>
            <w:vAlign w:val="center"/>
          </w:tcPr>
          <w:p w14:paraId="53346BB6" w14:textId="30E62A27" w:rsidR="0015142A" w:rsidRPr="00EE3D16" w:rsidRDefault="0015142A" w:rsidP="00577670">
            <w:pPr>
              <w:rPr>
                <w:color w:val="000000"/>
                <w:sz w:val="20"/>
                <w:szCs w:val="20"/>
                <w:lang w:eastAsia="en-GB"/>
              </w:rPr>
            </w:pPr>
            <w:r>
              <w:rPr>
                <w:color w:val="000000"/>
                <w:sz w:val="20"/>
                <w:szCs w:val="20"/>
                <w:lang w:eastAsia="en-GB"/>
              </w:rPr>
              <w:t>LIBOR</w:t>
            </w:r>
          </w:p>
        </w:tc>
        <w:tc>
          <w:tcPr>
            <w:tcW w:w="6990" w:type="dxa"/>
            <w:tcBorders>
              <w:top w:val="nil"/>
              <w:left w:val="nil"/>
              <w:bottom w:val="nil"/>
              <w:right w:val="nil"/>
            </w:tcBorders>
            <w:shd w:val="clear" w:color="auto" w:fill="auto"/>
            <w:noWrap/>
            <w:vAlign w:val="center"/>
          </w:tcPr>
          <w:p w14:paraId="1D150E18" w14:textId="553EB4EC" w:rsidR="0015142A" w:rsidRPr="00EE3D16" w:rsidRDefault="0015142A" w:rsidP="0015142A">
            <w:pPr>
              <w:rPr>
                <w:sz w:val="20"/>
                <w:szCs w:val="20"/>
              </w:rPr>
            </w:pPr>
            <w:r>
              <w:rPr>
                <w:sz w:val="20"/>
                <w:szCs w:val="20"/>
              </w:rPr>
              <w:t>London Interbank Offered Rate</w:t>
            </w:r>
          </w:p>
        </w:tc>
      </w:tr>
      <w:tr w:rsidR="003D30F7" w:rsidRPr="00EE3D16" w14:paraId="7DDB737F" w14:textId="77777777" w:rsidTr="00577670">
        <w:trPr>
          <w:trHeight w:val="283"/>
        </w:trPr>
        <w:tc>
          <w:tcPr>
            <w:tcW w:w="1575" w:type="dxa"/>
            <w:tcBorders>
              <w:top w:val="nil"/>
              <w:left w:val="nil"/>
              <w:bottom w:val="nil"/>
              <w:right w:val="nil"/>
            </w:tcBorders>
            <w:shd w:val="clear" w:color="auto" w:fill="auto"/>
            <w:noWrap/>
            <w:vAlign w:val="center"/>
            <w:hideMark/>
          </w:tcPr>
          <w:p w14:paraId="63820166" w14:textId="77777777" w:rsidR="003D30F7" w:rsidRPr="00EE3D16" w:rsidRDefault="003D30F7" w:rsidP="00577670">
            <w:pPr>
              <w:rPr>
                <w:color w:val="000000"/>
                <w:sz w:val="20"/>
                <w:szCs w:val="20"/>
                <w:lang w:eastAsia="en-GB"/>
              </w:rPr>
            </w:pPr>
            <w:r w:rsidRPr="00EE3D16">
              <w:rPr>
                <w:color w:val="000000"/>
                <w:sz w:val="20"/>
                <w:szCs w:val="20"/>
                <w:lang w:eastAsia="en-GB"/>
              </w:rPr>
              <w:t>MDS</w:t>
            </w:r>
          </w:p>
        </w:tc>
        <w:tc>
          <w:tcPr>
            <w:tcW w:w="6990" w:type="dxa"/>
            <w:tcBorders>
              <w:top w:val="nil"/>
              <w:left w:val="nil"/>
              <w:bottom w:val="nil"/>
              <w:right w:val="nil"/>
            </w:tcBorders>
            <w:shd w:val="clear" w:color="auto" w:fill="auto"/>
            <w:noWrap/>
            <w:vAlign w:val="center"/>
            <w:hideMark/>
          </w:tcPr>
          <w:p w14:paraId="0D7C8A89" w14:textId="3D22C5F9" w:rsidR="003D30F7" w:rsidRPr="00EE3D16" w:rsidRDefault="003D30F7" w:rsidP="00151BA0">
            <w:pPr>
              <w:rPr>
                <w:sz w:val="20"/>
                <w:szCs w:val="20"/>
              </w:rPr>
            </w:pPr>
            <w:r w:rsidRPr="00EE3D16">
              <w:rPr>
                <w:sz w:val="20"/>
                <w:szCs w:val="20"/>
              </w:rPr>
              <w:t xml:space="preserve">Modified </w:t>
            </w:r>
            <w:r w:rsidR="00151BA0">
              <w:rPr>
                <w:sz w:val="20"/>
                <w:szCs w:val="20"/>
              </w:rPr>
              <w:t>D</w:t>
            </w:r>
            <w:r w:rsidR="00151BA0" w:rsidRPr="00EE3D16">
              <w:rPr>
                <w:sz w:val="20"/>
                <w:szCs w:val="20"/>
              </w:rPr>
              <w:t xml:space="preserve">isbursement </w:t>
            </w:r>
            <w:r w:rsidR="00151BA0">
              <w:rPr>
                <w:sz w:val="20"/>
                <w:szCs w:val="20"/>
              </w:rPr>
              <w:t>S</w:t>
            </w:r>
            <w:r w:rsidR="00151BA0" w:rsidRPr="00EE3D16">
              <w:rPr>
                <w:sz w:val="20"/>
                <w:szCs w:val="20"/>
              </w:rPr>
              <w:t>ystem</w:t>
            </w:r>
          </w:p>
        </w:tc>
      </w:tr>
      <w:tr w:rsidR="003D30F7" w:rsidRPr="00EE3D16" w14:paraId="4EC831EC" w14:textId="77777777" w:rsidTr="00577670">
        <w:trPr>
          <w:trHeight w:val="283"/>
        </w:trPr>
        <w:tc>
          <w:tcPr>
            <w:tcW w:w="1575" w:type="dxa"/>
            <w:tcBorders>
              <w:top w:val="nil"/>
              <w:left w:val="nil"/>
              <w:bottom w:val="nil"/>
              <w:right w:val="nil"/>
            </w:tcBorders>
            <w:shd w:val="clear" w:color="auto" w:fill="auto"/>
            <w:noWrap/>
            <w:vAlign w:val="center"/>
            <w:hideMark/>
          </w:tcPr>
          <w:p w14:paraId="66EAC526" w14:textId="77777777" w:rsidR="003D30F7" w:rsidRPr="00EE3D16" w:rsidRDefault="003D30F7" w:rsidP="00577670">
            <w:pPr>
              <w:rPr>
                <w:color w:val="000000"/>
                <w:sz w:val="20"/>
                <w:szCs w:val="20"/>
                <w:lang w:eastAsia="en-GB"/>
              </w:rPr>
            </w:pPr>
            <w:r w:rsidRPr="00EE3D16">
              <w:rPr>
                <w:color w:val="000000"/>
                <w:sz w:val="20"/>
                <w:szCs w:val="20"/>
                <w:lang w:eastAsia="en-GB"/>
              </w:rPr>
              <w:t>MFO</w:t>
            </w:r>
          </w:p>
        </w:tc>
        <w:tc>
          <w:tcPr>
            <w:tcW w:w="6990" w:type="dxa"/>
            <w:tcBorders>
              <w:top w:val="nil"/>
              <w:left w:val="nil"/>
              <w:bottom w:val="nil"/>
              <w:right w:val="nil"/>
            </w:tcBorders>
            <w:shd w:val="clear" w:color="auto" w:fill="auto"/>
            <w:noWrap/>
            <w:vAlign w:val="center"/>
            <w:hideMark/>
          </w:tcPr>
          <w:p w14:paraId="579A1FF0" w14:textId="694C19EB" w:rsidR="003D30F7" w:rsidRPr="00EE3D16" w:rsidRDefault="003D30F7" w:rsidP="0032029B">
            <w:pPr>
              <w:rPr>
                <w:sz w:val="20"/>
                <w:szCs w:val="20"/>
              </w:rPr>
            </w:pPr>
            <w:r w:rsidRPr="00EE3D16">
              <w:rPr>
                <w:sz w:val="20"/>
                <w:szCs w:val="20"/>
              </w:rPr>
              <w:t xml:space="preserve">Major </w:t>
            </w:r>
            <w:r w:rsidR="0032029B">
              <w:rPr>
                <w:sz w:val="20"/>
                <w:szCs w:val="20"/>
              </w:rPr>
              <w:t>F</w:t>
            </w:r>
            <w:r w:rsidRPr="00EE3D16">
              <w:rPr>
                <w:sz w:val="20"/>
                <w:szCs w:val="20"/>
              </w:rPr>
              <w:t xml:space="preserve">inal </w:t>
            </w:r>
            <w:r w:rsidR="0032029B">
              <w:rPr>
                <w:sz w:val="20"/>
                <w:szCs w:val="20"/>
              </w:rPr>
              <w:t>O</w:t>
            </w:r>
            <w:r w:rsidRPr="00EE3D16">
              <w:rPr>
                <w:sz w:val="20"/>
                <w:szCs w:val="20"/>
              </w:rPr>
              <w:t>utput</w:t>
            </w:r>
          </w:p>
        </w:tc>
      </w:tr>
      <w:tr w:rsidR="003D30F7" w:rsidRPr="00EE3D16" w14:paraId="297118A4" w14:textId="77777777" w:rsidTr="00577670">
        <w:trPr>
          <w:trHeight w:val="283"/>
        </w:trPr>
        <w:tc>
          <w:tcPr>
            <w:tcW w:w="1575" w:type="dxa"/>
            <w:tcBorders>
              <w:top w:val="nil"/>
              <w:left w:val="nil"/>
              <w:bottom w:val="nil"/>
              <w:right w:val="nil"/>
            </w:tcBorders>
            <w:shd w:val="clear" w:color="auto" w:fill="auto"/>
            <w:noWrap/>
            <w:vAlign w:val="center"/>
            <w:hideMark/>
          </w:tcPr>
          <w:p w14:paraId="71300E9C" w14:textId="77777777" w:rsidR="003D30F7" w:rsidRPr="00EE3D16" w:rsidRDefault="003D30F7" w:rsidP="00577670">
            <w:pPr>
              <w:rPr>
                <w:color w:val="000000"/>
                <w:sz w:val="20"/>
                <w:szCs w:val="20"/>
                <w:lang w:eastAsia="en-GB"/>
              </w:rPr>
            </w:pPr>
            <w:r w:rsidRPr="00EE3D16">
              <w:rPr>
                <w:color w:val="000000"/>
                <w:sz w:val="20"/>
                <w:szCs w:val="20"/>
                <w:lang w:eastAsia="en-GB"/>
              </w:rPr>
              <w:t>MTEF</w:t>
            </w:r>
          </w:p>
        </w:tc>
        <w:tc>
          <w:tcPr>
            <w:tcW w:w="6990" w:type="dxa"/>
            <w:tcBorders>
              <w:top w:val="nil"/>
              <w:left w:val="nil"/>
              <w:bottom w:val="nil"/>
              <w:right w:val="nil"/>
            </w:tcBorders>
            <w:shd w:val="clear" w:color="auto" w:fill="auto"/>
            <w:noWrap/>
            <w:vAlign w:val="center"/>
            <w:hideMark/>
          </w:tcPr>
          <w:p w14:paraId="5BAD7BBE" w14:textId="4113938B" w:rsidR="003D30F7" w:rsidRPr="00EE3D16" w:rsidRDefault="003D30F7" w:rsidP="00D46430">
            <w:pPr>
              <w:rPr>
                <w:sz w:val="20"/>
                <w:szCs w:val="20"/>
              </w:rPr>
            </w:pPr>
            <w:r w:rsidRPr="00EE3D16">
              <w:rPr>
                <w:sz w:val="20"/>
                <w:szCs w:val="20"/>
              </w:rPr>
              <w:t>Medium-</w:t>
            </w:r>
            <w:r>
              <w:rPr>
                <w:sz w:val="20"/>
                <w:szCs w:val="20"/>
              </w:rPr>
              <w:t>t</w:t>
            </w:r>
            <w:r w:rsidRPr="00EE3D16">
              <w:rPr>
                <w:sz w:val="20"/>
                <w:szCs w:val="20"/>
              </w:rPr>
              <w:t xml:space="preserve">erm </w:t>
            </w:r>
            <w:r>
              <w:rPr>
                <w:sz w:val="20"/>
                <w:szCs w:val="20"/>
              </w:rPr>
              <w:t>e</w:t>
            </w:r>
            <w:r w:rsidRPr="00EE3D16">
              <w:rPr>
                <w:sz w:val="20"/>
                <w:szCs w:val="20"/>
              </w:rPr>
              <w:t xml:space="preserve">xpenditure </w:t>
            </w:r>
            <w:r>
              <w:rPr>
                <w:sz w:val="20"/>
                <w:szCs w:val="20"/>
              </w:rPr>
              <w:t>f</w:t>
            </w:r>
            <w:r w:rsidRPr="00EE3D16">
              <w:rPr>
                <w:sz w:val="20"/>
                <w:szCs w:val="20"/>
              </w:rPr>
              <w:t>ramework</w:t>
            </w:r>
          </w:p>
        </w:tc>
      </w:tr>
      <w:tr w:rsidR="003D30F7" w:rsidRPr="00EE3D16" w14:paraId="3E9D2AA2" w14:textId="77777777" w:rsidTr="00577670">
        <w:trPr>
          <w:trHeight w:val="283"/>
        </w:trPr>
        <w:tc>
          <w:tcPr>
            <w:tcW w:w="1575" w:type="dxa"/>
            <w:tcBorders>
              <w:top w:val="nil"/>
              <w:left w:val="nil"/>
              <w:bottom w:val="nil"/>
              <w:right w:val="nil"/>
            </w:tcBorders>
            <w:shd w:val="clear" w:color="auto" w:fill="auto"/>
            <w:noWrap/>
            <w:vAlign w:val="center"/>
            <w:hideMark/>
          </w:tcPr>
          <w:p w14:paraId="72CB25A4" w14:textId="77777777" w:rsidR="003D30F7" w:rsidRPr="00EE3D16" w:rsidRDefault="003D30F7" w:rsidP="00577670">
            <w:pPr>
              <w:rPr>
                <w:color w:val="000000"/>
                <w:sz w:val="20"/>
                <w:szCs w:val="20"/>
                <w:lang w:eastAsia="en-GB"/>
              </w:rPr>
            </w:pPr>
            <w:r w:rsidRPr="00EE3D16">
              <w:rPr>
                <w:color w:val="000000"/>
                <w:sz w:val="20"/>
                <w:szCs w:val="20"/>
                <w:lang w:eastAsia="en-GB"/>
              </w:rPr>
              <w:t>MTFF</w:t>
            </w:r>
          </w:p>
        </w:tc>
        <w:tc>
          <w:tcPr>
            <w:tcW w:w="6990" w:type="dxa"/>
            <w:tcBorders>
              <w:top w:val="nil"/>
              <w:left w:val="nil"/>
              <w:bottom w:val="nil"/>
              <w:right w:val="nil"/>
            </w:tcBorders>
            <w:shd w:val="clear" w:color="auto" w:fill="auto"/>
            <w:noWrap/>
            <w:vAlign w:val="center"/>
            <w:hideMark/>
          </w:tcPr>
          <w:p w14:paraId="766FEB27" w14:textId="045EB426" w:rsidR="003D30F7" w:rsidRPr="00EE3D16" w:rsidRDefault="003D30F7" w:rsidP="00D46430">
            <w:pPr>
              <w:rPr>
                <w:color w:val="000000"/>
                <w:sz w:val="20"/>
                <w:szCs w:val="20"/>
                <w:lang w:eastAsia="en-GB"/>
              </w:rPr>
            </w:pPr>
            <w:r w:rsidRPr="00EE3D16">
              <w:rPr>
                <w:color w:val="000000"/>
                <w:sz w:val="20"/>
                <w:szCs w:val="20"/>
                <w:lang w:eastAsia="en-GB"/>
              </w:rPr>
              <w:t>Medium-</w:t>
            </w:r>
            <w:r>
              <w:rPr>
                <w:color w:val="000000"/>
                <w:sz w:val="20"/>
                <w:szCs w:val="20"/>
                <w:lang w:eastAsia="en-GB"/>
              </w:rPr>
              <w:t>t</w:t>
            </w:r>
            <w:r w:rsidRPr="00EE3D16">
              <w:rPr>
                <w:color w:val="000000"/>
                <w:sz w:val="20"/>
                <w:szCs w:val="20"/>
                <w:lang w:eastAsia="en-GB"/>
              </w:rPr>
              <w:t xml:space="preserve">erm </w:t>
            </w:r>
            <w:r>
              <w:rPr>
                <w:color w:val="000000"/>
                <w:sz w:val="20"/>
                <w:szCs w:val="20"/>
                <w:lang w:eastAsia="en-GB"/>
              </w:rPr>
              <w:t>f</w:t>
            </w:r>
            <w:r w:rsidRPr="00EE3D16">
              <w:rPr>
                <w:color w:val="000000"/>
                <w:sz w:val="20"/>
                <w:szCs w:val="20"/>
                <w:lang w:eastAsia="en-GB"/>
              </w:rPr>
              <w:t xml:space="preserve">iscal </w:t>
            </w:r>
            <w:r>
              <w:rPr>
                <w:color w:val="000000"/>
                <w:sz w:val="20"/>
                <w:szCs w:val="20"/>
                <w:lang w:eastAsia="en-GB"/>
              </w:rPr>
              <w:t>f</w:t>
            </w:r>
            <w:r w:rsidRPr="00EE3D16">
              <w:rPr>
                <w:color w:val="000000"/>
                <w:sz w:val="20"/>
                <w:szCs w:val="20"/>
                <w:lang w:eastAsia="en-GB"/>
              </w:rPr>
              <w:t xml:space="preserve">ramework </w:t>
            </w:r>
          </w:p>
        </w:tc>
      </w:tr>
      <w:tr w:rsidR="003D30F7" w:rsidRPr="00EE3D16" w14:paraId="3767AFE0" w14:textId="77777777" w:rsidTr="00577670">
        <w:trPr>
          <w:trHeight w:val="283"/>
        </w:trPr>
        <w:tc>
          <w:tcPr>
            <w:tcW w:w="1575" w:type="dxa"/>
            <w:tcBorders>
              <w:top w:val="nil"/>
              <w:left w:val="nil"/>
              <w:bottom w:val="nil"/>
              <w:right w:val="nil"/>
            </w:tcBorders>
            <w:shd w:val="clear" w:color="auto" w:fill="auto"/>
            <w:noWrap/>
            <w:vAlign w:val="center"/>
            <w:hideMark/>
          </w:tcPr>
          <w:p w14:paraId="2E795F3F" w14:textId="77777777" w:rsidR="003D30F7" w:rsidRPr="00EE3D16" w:rsidRDefault="003D30F7" w:rsidP="00577670">
            <w:pPr>
              <w:rPr>
                <w:color w:val="000000"/>
                <w:sz w:val="20"/>
                <w:szCs w:val="20"/>
                <w:lang w:eastAsia="en-GB"/>
              </w:rPr>
            </w:pPr>
            <w:r w:rsidRPr="00EE3D16">
              <w:rPr>
                <w:color w:val="000000"/>
                <w:sz w:val="20"/>
                <w:szCs w:val="20"/>
                <w:lang w:eastAsia="en-GB"/>
              </w:rPr>
              <w:t>NEDA</w:t>
            </w:r>
          </w:p>
        </w:tc>
        <w:tc>
          <w:tcPr>
            <w:tcW w:w="6990" w:type="dxa"/>
            <w:tcBorders>
              <w:top w:val="nil"/>
              <w:left w:val="nil"/>
              <w:bottom w:val="nil"/>
              <w:right w:val="nil"/>
            </w:tcBorders>
            <w:shd w:val="clear" w:color="auto" w:fill="auto"/>
            <w:noWrap/>
            <w:vAlign w:val="center"/>
            <w:hideMark/>
          </w:tcPr>
          <w:p w14:paraId="0147B7ED" w14:textId="77777777" w:rsidR="003D30F7" w:rsidRPr="00EE3D16" w:rsidRDefault="003D30F7" w:rsidP="00577670">
            <w:pPr>
              <w:rPr>
                <w:sz w:val="20"/>
                <w:szCs w:val="20"/>
              </w:rPr>
            </w:pPr>
            <w:r w:rsidRPr="00EE3D16">
              <w:rPr>
                <w:sz w:val="20"/>
                <w:szCs w:val="20"/>
              </w:rPr>
              <w:t>National Economic and Development Authority</w:t>
            </w:r>
          </w:p>
        </w:tc>
      </w:tr>
      <w:tr w:rsidR="003D30F7" w:rsidRPr="00EE3D16" w14:paraId="0CDC1563" w14:textId="77777777" w:rsidTr="00577670">
        <w:trPr>
          <w:trHeight w:val="283"/>
        </w:trPr>
        <w:tc>
          <w:tcPr>
            <w:tcW w:w="1575" w:type="dxa"/>
            <w:tcBorders>
              <w:top w:val="nil"/>
              <w:left w:val="nil"/>
              <w:bottom w:val="nil"/>
              <w:right w:val="nil"/>
            </w:tcBorders>
            <w:shd w:val="clear" w:color="auto" w:fill="auto"/>
            <w:noWrap/>
            <w:vAlign w:val="center"/>
            <w:hideMark/>
          </w:tcPr>
          <w:p w14:paraId="1FD307BC" w14:textId="77777777" w:rsidR="003D30F7" w:rsidRPr="00EE3D16" w:rsidRDefault="003D30F7" w:rsidP="00577670">
            <w:pPr>
              <w:rPr>
                <w:color w:val="000000"/>
                <w:sz w:val="20"/>
                <w:szCs w:val="20"/>
                <w:lang w:eastAsia="en-GB"/>
              </w:rPr>
            </w:pPr>
            <w:r w:rsidRPr="00EE3D16">
              <w:rPr>
                <w:color w:val="000000"/>
                <w:sz w:val="20"/>
                <w:szCs w:val="20"/>
                <w:lang w:eastAsia="en-GB"/>
              </w:rPr>
              <w:t>NEP</w:t>
            </w:r>
          </w:p>
        </w:tc>
        <w:tc>
          <w:tcPr>
            <w:tcW w:w="6990" w:type="dxa"/>
            <w:tcBorders>
              <w:top w:val="nil"/>
              <w:left w:val="nil"/>
              <w:bottom w:val="nil"/>
              <w:right w:val="nil"/>
            </w:tcBorders>
            <w:shd w:val="clear" w:color="auto" w:fill="auto"/>
            <w:noWrap/>
            <w:vAlign w:val="center"/>
            <w:hideMark/>
          </w:tcPr>
          <w:p w14:paraId="7DDC70B0" w14:textId="77777777" w:rsidR="003D30F7" w:rsidRPr="00EE3D16" w:rsidRDefault="003D30F7" w:rsidP="00577670">
            <w:pPr>
              <w:rPr>
                <w:sz w:val="20"/>
                <w:szCs w:val="20"/>
              </w:rPr>
            </w:pPr>
            <w:r w:rsidRPr="00EE3D16">
              <w:rPr>
                <w:sz w:val="20"/>
                <w:szCs w:val="20"/>
              </w:rPr>
              <w:t>National Expenditure Program</w:t>
            </w:r>
          </w:p>
        </w:tc>
      </w:tr>
      <w:tr w:rsidR="003D30F7" w:rsidRPr="00EE3D16" w14:paraId="55E60463" w14:textId="77777777" w:rsidTr="00577670">
        <w:trPr>
          <w:trHeight w:val="283"/>
        </w:trPr>
        <w:tc>
          <w:tcPr>
            <w:tcW w:w="1575" w:type="dxa"/>
            <w:tcBorders>
              <w:top w:val="nil"/>
              <w:left w:val="nil"/>
              <w:bottom w:val="nil"/>
              <w:right w:val="nil"/>
            </w:tcBorders>
            <w:shd w:val="clear" w:color="auto" w:fill="auto"/>
            <w:noWrap/>
            <w:vAlign w:val="center"/>
            <w:hideMark/>
          </w:tcPr>
          <w:p w14:paraId="722D3DC5" w14:textId="77777777" w:rsidR="003D30F7" w:rsidRPr="00EE3D16" w:rsidRDefault="003D30F7" w:rsidP="00577670">
            <w:pPr>
              <w:rPr>
                <w:color w:val="000000"/>
                <w:sz w:val="20"/>
                <w:szCs w:val="20"/>
                <w:lang w:eastAsia="en-GB"/>
              </w:rPr>
            </w:pPr>
            <w:r w:rsidRPr="00EE3D16">
              <w:rPr>
                <w:color w:val="000000"/>
                <w:sz w:val="20"/>
                <w:szCs w:val="20"/>
                <w:lang w:eastAsia="en-GB"/>
              </w:rPr>
              <w:t>NGA</w:t>
            </w:r>
          </w:p>
        </w:tc>
        <w:tc>
          <w:tcPr>
            <w:tcW w:w="6990" w:type="dxa"/>
            <w:tcBorders>
              <w:top w:val="nil"/>
              <w:left w:val="nil"/>
              <w:bottom w:val="nil"/>
              <w:right w:val="nil"/>
            </w:tcBorders>
            <w:shd w:val="clear" w:color="auto" w:fill="auto"/>
            <w:noWrap/>
            <w:vAlign w:val="center"/>
            <w:hideMark/>
          </w:tcPr>
          <w:p w14:paraId="4CA7A15B" w14:textId="1459AF26" w:rsidR="003D30F7" w:rsidRPr="00EE3D16" w:rsidRDefault="003D30F7" w:rsidP="00151BA0">
            <w:pPr>
              <w:rPr>
                <w:sz w:val="20"/>
                <w:szCs w:val="20"/>
              </w:rPr>
            </w:pPr>
            <w:r w:rsidRPr="00EE3D16">
              <w:rPr>
                <w:sz w:val="20"/>
                <w:szCs w:val="20"/>
              </w:rPr>
              <w:t xml:space="preserve">National </w:t>
            </w:r>
            <w:r w:rsidR="00151BA0">
              <w:rPr>
                <w:sz w:val="20"/>
                <w:szCs w:val="20"/>
              </w:rPr>
              <w:t>g</w:t>
            </w:r>
            <w:r w:rsidR="00151BA0" w:rsidRPr="00EE3D16">
              <w:rPr>
                <w:sz w:val="20"/>
                <w:szCs w:val="20"/>
              </w:rPr>
              <w:t xml:space="preserve">overnment </w:t>
            </w:r>
            <w:r w:rsidR="00151BA0">
              <w:rPr>
                <w:sz w:val="20"/>
                <w:szCs w:val="20"/>
              </w:rPr>
              <w:t>a</w:t>
            </w:r>
            <w:r w:rsidR="00151BA0" w:rsidRPr="00EE3D16">
              <w:rPr>
                <w:sz w:val="20"/>
                <w:szCs w:val="20"/>
              </w:rPr>
              <w:t>gency</w:t>
            </w:r>
          </w:p>
        </w:tc>
      </w:tr>
      <w:tr w:rsidR="003D30F7" w:rsidRPr="005A497D" w14:paraId="3D34A98E" w14:textId="77777777" w:rsidTr="00577670">
        <w:trPr>
          <w:trHeight w:val="283"/>
        </w:trPr>
        <w:tc>
          <w:tcPr>
            <w:tcW w:w="1575" w:type="dxa"/>
            <w:tcBorders>
              <w:top w:val="nil"/>
              <w:left w:val="nil"/>
              <w:bottom w:val="nil"/>
              <w:right w:val="nil"/>
            </w:tcBorders>
            <w:shd w:val="clear" w:color="auto" w:fill="auto"/>
            <w:noWrap/>
            <w:vAlign w:val="center"/>
            <w:hideMark/>
          </w:tcPr>
          <w:p w14:paraId="74432C1E" w14:textId="77777777" w:rsidR="003D30F7" w:rsidRPr="00EE3D16" w:rsidRDefault="003D30F7" w:rsidP="00577670">
            <w:pPr>
              <w:rPr>
                <w:color w:val="000000"/>
                <w:sz w:val="20"/>
                <w:szCs w:val="20"/>
                <w:lang w:eastAsia="en-GB"/>
              </w:rPr>
            </w:pPr>
            <w:r w:rsidRPr="00EE3D16">
              <w:rPr>
                <w:color w:val="000000"/>
                <w:sz w:val="20"/>
                <w:szCs w:val="20"/>
                <w:lang w:eastAsia="en-GB"/>
              </w:rPr>
              <w:t>NGAS</w:t>
            </w:r>
          </w:p>
        </w:tc>
        <w:tc>
          <w:tcPr>
            <w:tcW w:w="6990" w:type="dxa"/>
            <w:tcBorders>
              <w:top w:val="nil"/>
              <w:left w:val="nil"/>
              <w:bottom w:val="nil"/>
              <w:right w:val="nil"/>
            </w:tcBorders>
            <w:shd w:val="clear" w:color="auto" w:fill="auto"/>
            <w:noWrap/>
            <w:vAlign w:val="center"/>
            <w:hideMark/>
          </w:tcPr>
          <w:p w14:paraId="50007927" w14:textId="77777777" w:rsidR="003D30F7" w:rsidRPr="00EE3D16" w:rsidRDefault="003D30F7" w:rsidP="00577670">
            <w:pPr>
              <w:rPr>
                <w:sz w:val="20"/>
                <w:szCs w:val="20"/>
              </w:rPr>
            </w:pPr>
            <w:r w:rsidRPr="00EE3D16">
              <w:rPr>
                <w:sz w:val="20"/>
                <w:szCs w:val="20"/>
              </w:rPr>
              <w:t>New Government Accounting System</w:t>
            </w:r>
          </w:p>
        </w:tc>
      </w:tr>
      <w:tr w:rsidR="003D30F7" w:rsidRPr="005A497D" w14:paraId="5976B588" w14:textId="77777777" w:rsidTr="00577670">
        <w:trPr>
          <w:trHeight w:val="283"/>
        </w:trPr>
        <w:tc>
          <w:tcPr>
            <w:tcW w:w="1575" w:type="dxa"/>
            <w:tcBorders>
              <w:top w:val="nil"/>
              <w:left w:val="nil"/>
              <w:bottom w:val="nil"/>
              <w:right w:val="nil"/>
            </w:tcBorders>
            <w:shd w:val="clear" w:color="auto" w:fill="auto"/>
            <w:noWrap/>
            <w:vAlign w:val="center"/>
            <w:hideMark/>
          </w:tcPr>
          <w:p w14:paraId="28598501" w14:textId="77777777" w:rsidR="003D30F7" w:rsidRPr="00EE3D16" w:rsidRDefault="003D30F7" w:rsidP="00577670">
            <w:pPr>
              <w:rPr>
                <w:color w:val="000000"/>
                <w:sz w:val="20"/>
                <w:szCs w:val="20"/>
                <w:lang w:eastAsia="en-GB"/>
              </w:rPr>
            </w:pPr>
            <w:r w:rsidRPr="00EE3D16">
              <w:rPr>
                <w:color w:val="000000"/>
                <w:sz w:val="20"/>
                <w:szCs w:val="20"/>
                <w:lang w:eastAsia="en-GB"/>
              </w:rPr>
              <w:t>NGICS</w:t>
            </w:r>
          </w:p>
        </w:tc>
        <w:tc>
          <w:tcPr>
            <w:tcW w:w="6990" w:type="dxa"/>
            <w:tcBorders>
              <w:top w:val="nil"/>
              <w:left w:val="nil"/>
              <w:bottom w:val="nil"/>
              <w:right w:val="nil"/>
            </w:tcBorders>
            <w:shd w:val="clear" w:color="auto" w:fill="auto"/>
            <w:noWrap/>
            <w:vAlign w:val="center"/>
            <w:hideMark/>
          </w:tcPr>
          <w:p w14:paraId="0D5037BB" w14:textId="77777777" w:rsidR="003D30F7" w:rsidRPr="00EE3D16" w:rsidRDefault="003D30F7" w:rsidP="00577670">
            <w:pPr>
              <w:rPr>
                <w:sz w:val="20"/>
                <w:szCs w:val="20"/>
              </w:rPr>
            </w:pPr>
            <w:r w:rsidRPr="00EE3D16">
              <w:rPr>
                <w:sz w:val="20"/>
                <w:szCs w:val="20"/>
              </w:rPr>
              <w:t>National Guidelines on Internal Control Systems</w:t>
            </w:r>
          </w:p>
        </w:tc>
      </w:tr>
      <w:tr w:rsidR="003D30F7" w:rsidRPr="005A497D" w14:paraId="22747CB2" w14:textId="77777777" w:rsidTr="00F6556E">
        <w:trPr>
          <w:trHeight w:val="283"/>
        </w:trPr>
        <w:tc>
          <w:tcPr>
            <w:tcW w:w="1575" w:type="dxa"/>
            <w:tcBorders>
              <w:top w:val="nil"/>
              <w:left w:val="nil"/>
              <w:bottom w:val="nil"/>
              <w:right w:val="nil"/>
            </w:tcBorders>
            <w:shd w:val="clear" w:color="auto" w:fill="auto"/>
            <w:noWrap/>
            <w:vAlign w:val="center"/>
            <w:hideMark/>
          </w:tcPr>
          <w:p w14:paraId="3A1F0FE1" w14:textId="77777777" w:rsidR="003D30F7" w:rsidRPr="00EE3D16" w:rsidRDefault="003D30F7" w:rsidP="00F6556E">
            <w:pPr>
              <w:rPr>
                <w:color w:val="000000"/>
                <w:sz w:val="20"/>
                <w:szCs w:val="20"/>
                <w:lang w:eastAsia="en-GB"/>
              </w:rPr>
            </w:pPr>
            <w:r w:rsidRPr="00EE3D16">
              <w:rPr>
                <w:color w:val="000000"/>
                <w:sz w:val="20"/>
                <w:szCs w:val="20"/>
                <w:lang w:eastAsia="en-GB"/>
              </w:rPr>
              <w:t>ODA</w:t>
            </w:r>
          </w:p>
        </w:tc>
        <w:tc>
          <w:tcPr>
            <w:tcW w:w="6990" w:type="dxa"/>
            <w:tcBorders>
              <w:top w:val="nil"/>
              <w:left w:val="nil"/>
              <w:bottom w:val="nil"/>
              <w:right w:val="nil"/>
            </w:tcBorders>
            <w:shd w:val="clear" w:color="auto" w:fill="auto"/>
            <w:noWrap/>
            <w:vAlign w:val="center"/>
            <w:hideMark/>
          </w:tcPr>
          <w:p w14:paraId="54B0ECAD" w14:textId="497F0B57" w:rsidR="003D30F7" w:rsidRPr="00EE3D16" w:rsidRDefault="003D30F7" w:rsidP="00083BC1">
            <w:pPr>
              <w:rPr>
                <w:sz w:val="20"/>
                <w:szCs w:val="20"/>
              </w:rPr>
            </w:pPr>
            <w:r w:rsidRPr="00EE3D16">
              <w:rPr>
                <w:sz w:val="20"/>
                <w:szCs w:val="20"/>
              </w:rPr>
              <w:t xml:space="preserve">Official </w:t>
            </w:r>
            <w:r w:rsidR="00083BC1">
              <w:rPr>
                <w:sz w:val="20"/>
                <w:szCs w:val="20"/>
              </w:rPr>
              <w:t>d</w:t>
            </w:r>
            <w:r w:rsidRPr="00EE3D16">
              <w:rPr>
                <w:sz w:val="20"/>
                <w:szCs w:val="20"/>
              </w:rPr>
              <w:t xml:space="preserve">evelopment </w:t>
            </w:r>
            <w:r w:rsidR="00083BC1">
              <w:rPr>
                <w:sz w:val="20"/>
                <w:szCs w:val="20"/>
              </w:rPr>
              <w:t>a</w:t>
            </w:r>
            <w:r w:rsidRPr="00EE3D16">
              <w:rPr>
                <w:sz w:val="20"/>
                <w:szCs w:val="20"/>
              </w:rPr>
              <w:t>ssistance</w:t>
            </w:r>
          </w:p>
        </w:tc>
      </w:tr>
      <w:tr w:rsidR="003D30F7" w:rsidRPr="005A497D" w14:paraId="77C438D0" w14:textId="77777777" w:rsidTr="00577670">
        <w:trPr>
          <w:trHeight w:val="283"/>
        </w:trPr>
        <w:tc>
          <w:tcPr>
            <w:tcW w:w="1575" w:type="dxa"/>
            <w:tcBorders>
              <w:top w:val="nil"/>
              <w:left w:val="nil"/>
              <w:bottom w:val="nil"/>
              <w:right w:val="nil"/>
            </w:tcBorders>
            <w:shd w:val="clear" w:color="auto" w:fill="auto"/>
            <w:noWrap/>
            <w:vAlign w:val="center"/>
            <w:hideMark/>
          </w:tcPr>
          <w:p w14:paraId="69E075F4" w14:textId="77777777" w:rsidR="003D30F7" w:rsidRPr="00EE3D16" w:rsidRDefault="003D30F7" w:rsidP="00577670">
            <w:pPr>
              <w:rPr>
                <w:color w:val="000000"/>
                <w:sz w:val="20"/>
                <w:szCs w:val="20"/>
                <w:lang w:eastAsia="en-GB"/>
              </w:rPr>
            </w:pPr>
            <w:r w:rsidRPr="00EE3D16">
              <w:rPr>
                <w:color w:val="000000"/>
                <w:sz w:val="20"/>
                <w:szCs w:val="20"/>
                <w:lang w:eastAsia="en-GB"/>
              </w:rPr>
              <w:t>OSBPS</w:t>
            </w:r>
          </w:p>
        </w:tc>
        <w:tc>
          <w:tcPr>
            <w:tcW w:w="6990" w:type="dxa"/>
            <w:tcBorders>
              <w:top w:val="nil"/>
              <w:left w:val="nil"/>
              <w:bottom w:val="nil"/>
              <w:right w:val="nil"/>
            </w:tcBorders>
            <w:shd w:val="clear" w:color="auto" w:fill="auto"/>
            <w:noWrap/>
            <w:vAlign w:val="center"/>
            <w:hideMark/>
          </w:tcPr>
          <w:p w14:paraId="631A01CE" w14:textId="77777777" w:rsidR="003D30F7" w:rsidRPr="00EE3D16" w:rsidRDefault="003D30F7" w:rsidP="00577670">
            <w:pPr>
              <w:rPr>
                <w:sz w:val="20"/>
                <w:szCs w:val="20"/>
              </w:rPr>
            </w:pPr>
            <w:r w:rsidRPr="00EE3D16">
              <w:rPr>
                <w:sz w:val="20"/>
                <w:szCs w:val="20"/>
              </w:rPr>
              <w:t>Online Submission of Budget Proposal System</w:t>
            </w:r>
          </w:p>
        </w:tc>
      </w:tr>
      <w:tr w:rsidR="00D661D7" w:rsidRPr="005A497D" w14:paraId="46D7FE8E" w14:textId="77777777" w:rsidTr="00577670">
        <w:trPr>
          <w:trHeight w:val="283"/>
        </w:trPr>
        <w:tc>
          <w:tcPr>
            <w:tcW w:w="1575" w:type="dxa"/>
            <w:tcBorders>
              <w:top w:val="nil"/>
              <w:left w:val="nil"/>
              <w:bottom w:val="nil"/>
              <w:right w:val="nil"/>
            </w:tcBorders>
            <w:shd w:val="clear" w:color="auto" w:fill="auto"/>
            <w:noWrap/>
            <w:vAlign w:val="center"/>
          </w:tcPr>
          <w:p w14:paraId="5418A810" w14:textId="674D67F3" w:rsidR="00D661D7" w:rsidRPr="00EE3D16" w:rsidRDefault="00D661D7" w:rsidP="00577670">
            <w:pPr>
              <w:rPr>
                <w:color w:val="000000"/>
                <w:sz w:val="20"/>
                <w:szCs w:val="20"/>
                <w:lang w:eastAsia="en-GB"/>
              </w:rPr>
            </w:pPr>
            <w:r>
              <w:rPr>
                <w:color w:val="000000"/>
                <w:sz w:val="20"/>
                <w:szCs w:val="20"/>
                <w:lang w:eastAsia="en-GB"/>
              </w:rPr>
              <w:t>PAP</w:t>
            </w:r>
          </w:p>
        </w:tc>
        <w:tc>
          <w:tcPr>
            <w:tcW w:w="6990" w:type="dxa"/>
            <w:tcBorders>
              <w:top w:val="nil"/>
              <w:left w:val="nil"/>
              <w:bottom w:val="nil"/>
              <w:right w:val="nil"/>
            </w:tcBorders>
            <w:shd w:val="clear" w:color="auto" w:fill="auto"/>
            <w:noWrap/>
            <w:vAlign w:val="center"/>
          </w:tcPr>
          <w:p w14:paraId="50F44A6C" w14:textId="66361FB0" w:rsidR="00D661D7" w:rsidRPr="00EE3D16" w:rsidRDefault="00D661D7" w:rsidP="00577670">
            <w:pPr>
              <w:rPr>
                <w:sz w:val="20"/>
                <w:szCs w:val="20"/>
              </w:rPr>
            </w:pPr>
            <w:r>
              <w:rPr>
                <w:sz w:val="20"/>
                <w:szCs w:val="20"/>
              </w:rPr>
              <w:t>Program, activity, and project</w:t>
            </w:r>
          </w:p>
        </w:tc>
      </w:tr>
      <w:tr w:rsidR="003D30F7" w:rsidRPr="005A497D" w14:paraId="62599EF2" w14:textId="77777777" w:rsidTr="00577670">
        <w:trPr>
          <w:trHeight w:val="283"/>
        </w:trPr>
        <w:tc>
          <w:tcPr>
            <w:tcW w:w="1575" w:type="dxa"/>
            <w:tcBorders>
              <w:top w:val="nil"/>
              <w:left w:val="nil"/>
              <w:bottom w:val="nil"/>
              <w:right w:val="nil"/>
            </w:tcBorders>
            <w:shd w:val="clear" w:color="auto" w:fill="auto"/>
            <w:noWrap/>
            <w:vAlign w:val="center"/>
            <w:hideMark/>
          </w:tcPr>
          <w:p w14:paraId="3DC482DE" w14:textId="77777777" w:rsidR="003D30F7" w:rsidRPr="00EE3D16" w:rsidRDefault="003D30F7" w:rsidP="00577670">
            <w:pPr>
              <w:rPr>
                <w:color w:val="000000"/>
                <w:sz w:val="20"/>
                <w:szCs w:val="20"/>
                <w:lang w:eastAsia="en-GB"/>
              </w:rPr>
            </w:pPr>
            <w:r w:rsidRPr="00EE3D16">
              <w:rPr>
                <w:color w:val="000000"/>
                <w:sz w:val="20"/>
                <w:szCs w:val="20"/>
                <w:lang w:eastAsia="en-GB"/>
              </w:rPr>
              <w:t>PDAF</w:t>
            </w:r>
          </w:p>
        </w:tc>
        <w:tc>
          <w:tcPr>
            <w:tcW w:w="6990" w:type="dxa"/>
            <w:tcBorders>
              <w:top w:val="nil"/>
              <w:left w:val="nil"/>
              <w:bottom w:val="nil"/>
              <w:right w:val="nil"/>
            </w:tcBorders>
            <w:shd w:val="clear" w:color="auto" w:fill="auto"/>
            <w:noWrap/>
            <w:vAlign w:val="center"/>
            <w:hideMark/>
          </w:tcPr>
          <w:p w14:paraId="36DD4981" w14:textId="77777777" w:rsidR="003D30F7" w:rsidRPr="00EE3D16" w:rsidRDefault="003D30F7" w:rsidP="00577670">
            <w:pPr>
              <w:rPr>
                <w:sz w:val="20"/>
                <w:szCs w:val="20"/>
              </w:rPr>
            </w:pPr>
            <w:r w:rsidRPr="00EE3D16">
              <w:rPr>
                <w:sz w:val="20"/>
                <w:szCs w:val="20"/>
              </w:rPr>
              <w:t>Priority Development Assistance Fund</w:t>
            </w:r>
          </w:p>
        </w:tc>
      </w:tr>
      <w:tr w:rsidR="003D30F7" w:rsidRPr="005A497D" w14:paraId="521B95F3" w14:textId="77777777" w:rsidTr="00577670">
        <w:trPr>
          <w:trHeight w:val="283"/>
        </w:trPr>
        <w:tc>
          <w:tcPr>
            <w:tcW w:w="1575" w:type="dxa"/>
            <w:tcBorders>
              <w:top w:val="nil"/>
              <w:left w:val="nil"/>
              <w:bottom w:val="nil"/>
              <w:right w:val="nil"/>
            </w:tcBorders>
            <w:shd w:val="clear" w:color="auto" w:fill="auto"/>
            <w:noWrap/>
            <w:vAlign w:val="center"/>
            <w:hideMark/>
          </w:tcPr>
          <w:p w14:paraId="233395E3" w14:textId="77777777" w:rsidR="003D30F7" w:rsidRPr="00EE3D16" w:rsidRDefault="003D30F7" w:rsidP="00577670">
            <w:pPr>
              <w:rPr>
                <w:color w:val="000000"/>
                <w:sz w:val="20"/>
                <w:szCs w:val="20"/>
                <w:lang w:eastAsia="en-GB"/>
              </w:rPr>
            </w:pPr>
            <w:r w:rsidRPr="00EE3D16">
              <w:rPr>
                <w:color w:val="000000"/>
                <w:sz w:val="20"/>
                <w:szCs w:val="20"/>
                <w:lang w:eastAsia="en-GB"/>
              </w:rPr>
              <w:t>PEFA</w:t>
            </w:r>
          </w:p>
        </w:tc>
        <w:tc>
          <w:tcPr>
            <w:tcW w:w="6990" w:type="dxa"/>
            <w:tcBorders>
              <w:top w:val="nil"/>
              <w:left w:val="nil"/>
              <w:bottom w:val="nil"/>
              <w:right w:val="nil"/>
            </w:tcBorders>
            <w:shd w:val="clear" w:color="auto" w:fill="auto"/>
            <w:noWrap/>
            <w:vAlign w:val="center"/>
            <w:hideMark/>
          </w:tcPr>
          <w:p w14:paraId="0D09F57E" w14:textId="77777777" w:rsidR="003D30F7" w:rsidRPr="00EE3D16" w:rsidRDefault="003D30F7" w:rsidP="00577670">
            <w:pPr>
              <w:rPr>
                <w:color w:val="000000"/>
                <w:sz w:val="20"/>
                <w:szCs w:val="20"/>
                <w:lang w:eastAsia="en-GB"/>
              </w:rPr>
            </w:pPr>
            <w:r w:rsidRPr="00EE3D16">
              <w:rPr>
                <w:color w:val="000000"/>
                <w:sz w:val="20"/>
                <w:szCs w:val="20"/>
                <w:lang w:eastAsia="en-GB"/>
              </w:rPr>
              <w:t xml:space="preserve">Public Expenditure and Financial Accountability </w:t>
            </w:r>
          </w:p>
        </w:tc>
      </w:tr>
      <w:tr w:rsidR="003D30F7" w:rsidRPr="005A497D" w14:paraId="47A7EA0A" w14:textId="77777777" w:rsidTr="00577670">
        <w:trPr>
          <w:trHeight w:val="283"/>
        </w:trPr>
        <w:tc>
          <w:tcPr>
            <w:tcW w:w="1575" w:type="dxa"/>
            <w:tcBorders>
              <w:top w:val="nil"/>
              <w:left w:val="nil"/>
              <w:bottom w:val="nil"/>
              <w:right w:val="nil"/>
            </w:tcBorders>
            <w:shd w:val="clear" w:color="auto" w:fill="auto"/>
            <w:noWrap/>
            <w:vAlign w:val="center"/>
            <w:hideMark/>
          </w:tcPr>
          <w:p w14:paraId="07546771" w14:textId="77777777" w:rsidR="003D30F7" w:rsidRPr="00EE3D16" w:rsidRDefault="003D30F7" w:rsidP="00577670">
            <w:pPr>
              <w:rPr>
                <w:color w:val="000000"/>
                <w:sz w:val="20"/>
                <w:szCs w:val="20"/>
                <w:lang w:eastAsia="en-GB"/>
              </w:rPr>
            </w:pPr>
            <w:r w:rsidRPr="00EE3D16">
              <w:rPr>
                <w:color w:val="000000"/>
                <w:sz w:val="20"/>
                <w:szCs w:val="20"/>
                <w:lang w:eastAsia="en-GB"/>
              </w:rPr>
              <w:t>PFM</w:t>
            </w:r>
          </w:p>
        </w:tc>
        <w:tc>
          <w:tcPr>
            <w:tcW w:w="6990" w:type="dxa"/>
            <w:tcBorders>
              <w:top w:val="nil"/>
              <w:left w:val="nil"/>
              <w:bottom w:val="nil"/>
              <w:right w:val="nil"/>
            </w:tcBorders>
            <w:shd w:val="clear" w:color="auto" w:fill="auto"/>
            <w:noWrap/>
            <w:vAlign w:val="center"/>
            <w:hideMark/>
          </w:tcPr>
          <w:p w14:paraId="4C111D90" w14:textId="235F1399" w:rsidR="003D30F7" w:rsidRPr="00EE3D16" w:rsidRDefault="003D30F7" w:rsidP="0032029B">
            <w:pPr>
              <w:rPr>
                <w:color w:val="000000"/>
                <w:sz w:val="20"/>
                <w:szCs w:val="20"/>
                <w:lang w:eastAsia="en-GB"/>
              </w:rPr>
            </w:pPr>
            <w:r w:rsidRPr="00EE3D16">
              <w:rPr>
                <w:color w:val="000000"/>
                <w:sz w:val="20"/>
                <w:szCs w:val="20"/>
                <w:lang w:eastAsia="en-GB"/>
              </w:rPr>
              <w:t xml:space="preserve">Public </w:t>
            </w:r>
            <w:r w:rsidR="0032029B">
              <w:rPr>
                <w:color w:val="000000"/>
                <w:sz w:val="20"/>
                <w:szCs w:val="20"/>
                <w:lang w:eastAsia="en-GB"/>
              </w:rPr>
              <w:t>F</w:t>
            </w:r>
            <w:r w:rsidRPr="00EE3D16">
              <w:rPr>
                <w:color w:val="000000"/>
                <w:sz w:val="20"/>
                <w:szCs w:val="20"/>
                <w:lang w:eastAsia="en-GB"/>
              </w:rPr>
              <w:t xml:space="preserve">inancial </w:t>
            </w:r>
            <w:r w:rsidR="0032029B">
              <w:rPr>
                <w:color w:val="000000"/>
                <w:sz w:val="20"/>
                <w:szCs w:val="20"/>
                <w:lang w:eastAsia="en-GB"/>
              </w:rPr>
              <w:t>M</w:t>
            </w:r>
            <w:r w:rsidRPr="00EE3D16">
              <w:rPr>
                <w:color w:val="000000"/>
                <w:sz w:val="20"/>
                <w:szCs w:val="20"/>
                <w:lang w:eastAsia="en-GB"/>
              </w:rPr>
              <w:t>anagement</w:t>
            </w:r>
          </w:p>
        </w:tc>
      </w:tr>
      <w:tr w:rsidR="003D30F7" w:rsidRPr="005A497D" w14:paraId="3D85B3E1" w14:textId="77777777" w:rsidTr="00F6556E">
        <w:trPr>
          <w:trHeight w:val="283"/>
        </w:trPr>
        <w:tc>
          <w:tcPr>
            <w:tcW w:w="1575" w:type="dxa"/>
            <w:tcBorders>
              <w:top w:val="nil"/>
              <w:left w:val="nil"/>
              <w:bottom w:val="nil"/>
              <w:right w:val="nil"/>
            </w:tcBorders>
            <w:shd w:val="clear" w:color="auto" w:fill="auto"/>
            <w:noWrap/>
            <w:vAlign w:val="center"/>
            <w:hideMark/>
          </w:tcPr>
          <w:p w14:paraId="0FCA5B7A" w14:textId="77777777" w:rsidR="003D30F7" w:rsidRPr="00EE3D16" w:rsidRDefault="003D30F7" w:rsidP="00F6556E">
            <w:pPr>
              <w:rPr>
                <w:color w:val="000000"/>
                <w:sz w:val="20"/>
                <w:szCs w:val="20"/>
                <w:lang w:eastAsia="en-GB"/>
              </w:rPr>
            </w:pPr>
            <w:r w:rsidRPr="00EE3D16">
              <w:rPr>
                <w:color w:val="000000"/>
                <w:sz w:val="20"/>
                <w:szCs w:val="20"/>
                <w:lang w:eastAsia="en-GB"/>
              </w:rPr>
              <w:t>PGIAM</w:t>
            </w:r>
          </w:p>
        </w:tc>
        <w:tc>
          <w:tcPr>
            <w:tcW w:w="6990" w:type="dxa"/>
            <w:tcBorders>
              <w:top w:val="nil"/>
              <w:left w:val="nil"/>
              <w:bottom w:val="nil"/>
              <w:right w:val="nil"/>
            </w:tcBorders>
            <w:shd w:val="clear" w:color="auto" w:fill="auto"/>
            <w:noWrap/>
            <w:vAlign w:val="center"/>
            <w:hideMark/>
          </w:tcPr>
          <w:p w14:paraId="612402A1" w14:textId="77777777" w:rsidR="003D30F7" w:rsidRPr="00EE3D16" w:rsidRDefault="003D30F7" w:rsidP="00F6556E">
            <w:pPr>
              <w:rPr>
                <w:sz w:val="20"/>
                <w:szCs w:val="20"/>
              </w:rPr>
            </w:pPr>
            <w:r w:rsidRPr="00EE3D16">
              <w:rPr>
                <w:sz w:val="20"/>
                <w:szCs w:val="20"/>
              </w:rPr>
              <w:t>Philippine Government Internal Audit Manual</w:t>
            </w:r>
          </w:p>
        </w:tc>
      </w:tr>
      <w:tr w:rsidR="003D30F7" w:rsidRPr="005A497D" w14:paraId="7C1D8005" w14:textId="77777777" w:rsidTr="00577670">
        <w:trPr>
          <w:trHeight w:val="283"/>
        </w:trPr>
        <w:tc>
          <w:tcPr>
            <w:tcW w:w="1575" w:type="dxa"/>
            <w:tcBorders>
              <w:top w:val="nil"/>
              <w:left w:val="nil"/>
              <w:bottom w:val="nil"/>
              <w:right w:val="nil"/>
            </w:tcBorders>
            <w:shd w:val="clear" w:color="auto" w:fill="auto"/>
            <w:noWrap/>
            <w:vAlign w:val="center"/>
            <w:hideMark/>
          </w:tcPr>
          <w:p w14:paraId="4D528CF7" w14:textId="77777777" w:rsidR="003D30F7" w:rsidRPr="00EE3D16" w:rsidRDefault="003D30F7" w:rsidP="00577670">
            <w:pPr>
              <w:rPr>
                <w:color w:val="000000"/>
                <w:sz w:val="20"/>
                <w:szCs w:val="20"/>
                <w:lang w:eastAsia="en-GB"/>
              </w:rPr>
            </w:pPr>
            <w:r w:rsidRPr="00EE3D16">
              <w:rPr>
                <w:sz w:val="20"/>
                <w:szCs w:val="20"/>
              </w:rPr>
              <w:t>PhilGEPS</w:t>
            </w:r>
          </w:p>
        </w:tc>
        <w:tc>
          <w:tcPr>
            <w:tcW w:w="6990" w:type="dxa"/>
            <w:tcBorders>
              <w:top w:val="nil"/>
              <w:left w:val="nil"/>
              <w:bottom w:val="nil"/>
              <w:right w:val="nil"/>
            </w:tcBorders>
            <w:shd w:val="clear" w:color="auto" w:fill="auto"/>
            <w:noWrap/>
            <w:vAlign w:val="center"/>
            <w:hideMark/>
          </w:tcPr>
          <w:p w14:paraId="72F6AB7B" w14:textId="77777777" w:rsidR="003D30F7" w:rsidRPr="00EE3D16" w:rsidRDefault="003D30F7" w:rsidP="00432830">
            <w:pPr>
              <w:rPr>
                <w:sz w:val="20"/>
                <w:szCs w:val="20"/>
              </w:rPr>
            </w:pPr>
            <w:r w:rsidRPr="00EE3D16">
              <w:rPr>
                <w:sz w:val="20"/>
                <w:szCs w:val="20"/>
              </w:rPr>
              <w:t>Philippine Government Electronic Procurement System</w:t>
            </w:r>
          </w:p>
        </w:tc>
      </w:tr>
      <w:tr w:rsidR="003D30F7" w:rsidRPr="005A497D" w14:paraId="6A1D172C" w14:textId="77777777" w:rsidTr="00577670">
        <w:trPr>
          <w:trHeight w:val="283"/>
        </w:trPr>
        <w:tc>
          <w:tcPr>
            <w:tcW w:w="1575" w:type="dxa"/>
            <w:tcBorders>
              <w:top w:val="nil"/>
              <w:left w:val="nil"/>
              <w:bottom w:val="nil"/>
              <w:right w:val="nil"/>
            </w:tcBorders>
            <w:shd w:val="clear" w:color="auto" w:fill="auto"/>
            <w:noWrap/>
            <w:vAlign w:val="center"/>
            <w:hideMark/>
          </w:tcPr>
          <w:p w14:paraId="12C54737" w14:textId="77777777" w:rsidR="003D30F7" w:rsidRPr="00EE3D16" w:rsidRDefault="003D30F7" w:rsidP="00577670">
            <w:pPr>
              <w:rPr>
                <w:color w:val="000000"/>
                <w:sz w:val="20"/>
                <w:szCs w:val="20"/>
                <w:lang w:eastAsia="en-GB"/>
              </w:rPr>
            </w:pPr>
            <w:r w:rsidRPr="00EE3D16">
              <w:rPr>
                <w:color w:val="000000"/>
                <w:sz w:val="20"/>
                <w:szCs w:val="20"/>
                <w:lang w:eastAsia="en-GB"/>
              </w:rPr>
              <w:t>PI</w:t>
            </w:r>
          </w:p>
        </w:tc>
        <w:tc>
          <w:tcPr>
            <w:tcW w:w="6990" w:type="dxa"/>
            <w:tcBorders>
              <w:top w:val="nil"/>
              <w:left w:val="nil"/>
              <w:bottom w:val="nil"/>
              <w:right w:val="nil"/>
            </w:tcBorders>
            <w:shd w:val="clear" w:color="auto" w:fill="auto"/>
            <w:noWrap/>
            <w:vAlign w:val="center"/>
            <w:hideMark/>
          </w:tcPr>
          <w:p w14:paraId="3549C526" w14:textId="69BF1B50" w:rsidR="003D30F7" w:rsidRPr="00EE3D16" w:rsidRDefault="003D30F7" w:rsidP="00083BC1">
            <w:pPr>
              <w:rPr>
                <w:color w:val="000000"/>
                <w:sz w:val="20"/>
                <w:szCs w:val="20"/>
                <w:lang w:eastAsia="en-GB"/>
              </w:rPr>
            </w:pPr>
            <w:r w:rsidRPr="00EE3D16">
              <w:rPr>
                <w:color w:val="000000"/>
                <w:sz w:val="20"/>
                <w:szCs w:val="20"/>
                <w:lang w:eastAsia="en-GB"/>
              </w:rPr>
              <w:t xml:space="preserve">Performance </w:t>
            </w:r>
            <w:r w:rsidR="00083BC1">
              <w:rPr>
                <w:color w:val="000000"/>
                <w:sz w:val="20"/>
                <w:szCs w:val="20"/>
                <w:lang w:eastAsia="en-GB"/>
              </w:rPr>
              <w:t>i</w:t>
            </w:r>
            <w:r w:rsidRPr="00EE3D16">
              <w:rPr>
                <w:color w:val="000000"/>
                <w:sz w:val="20"/>
                <w:szCs w:val="20"/>
                <w:lang w:eastAsia="en-GB"/>
              </w:rPr>
              <w:t>ndicator</w:t>
            </w:r>
          </w:p>
        </w:tc>
      </w:tr>
      <w:tr w:rsidR="003D30F7" w:rsidRPr="005A497D" w14:paraId="0E5BD406" w14:textId="77777777" w:rsidTr="00577670">
        <w:trPr>
          <w:trHeight w:val="283"/>
        </w:trPr>
        <w:tc>
          <w:tcPr>
            <w:tcW w:w="1575" w:type="dxa"/>
            <w:tcBorders>
              <w:top w:val="nil"/>
              <w:left w:val="nil"/>
              <w:bottom w:val="nil"/>
              <w:right w:val="nil"/>
            </w:tcBorders>
            <w:shd w:val="clear" w:color="auto" w:fill="auto"/>
            <w:noWrap/>
            <w:vAlign w:val="center"/>
            <w:hideMark/>
          </w:tcPr>
          <w:p w14:paraId="790EE10D" w14:textId="77777777" w:rsidR="003D30F7" w:rsidRPr="00EE3D16" w:rsidRDefault="003D30F7" w:rsidP="00577670">
            <w:pPr>
              <w:rPr>
                <w:color w:val="000000"/>
                <w:sz w:val="20"/>
                <w:szCs w:val="20"/>
                <w:lang w:eastAsia="en-GB"/>
              </w:rPr>
            </w:pPr>
            <w:r w:rsidRPr="00EE3D16">
              <w:rPr>
                <w:color w:val="000000"/>
                <w:sz w:val="20"/>
                <w:szCs w:val="20"/>
                <w:lang w:eastAsia="en-GB"/>
              </w:rPr>
              <w:t>PPP</w:t>
            </w:r>
          </w:p>
        </w:tc>
        <w:tc>
          <w:tcPr>
            <w:tcW w:w="6990" w:type="dxa"/>
            <w:tcBorders>
              <w:top w:val="nil"/>
              <w:left w:val="nil"/>
              <w:bottom w:val="nil"/>
              <w:right w:val="nil"/>
            </w:tcBorders>
            <w:shd w:val="clear" w:color="auto" w:fill="auto"/>
            <w:noWrap/>
            <w:vAlign w:val="center"/>
            <w:hideMark/>
          </w:tcPr>
          <w:p w14:paraId="4ADCA968" w14:textId="4FA0F8E1" w:rsidR="003D30F7" w:rsidRPr="00EE3D16" w:rsidRDefault="00083BC1" w:rsidP="00151BA0">
            <w:pPr>
              <w:rPr>
                <w:sz w:val="20"/>
                <w:szCs w:val="20"/>
              </w:rPr>
            </w:pPr>
            <w:r>
              <w:rPr>
                <w:sz w:val="20"/>
                <w:szCs w:val="20"/>
              </w:rPr>
              <w:t>Public</w:t>
            </w:r>
            <w:r w:rsidR="00151BA0">
              <w:rPr>
                <w:sz w:val="20"/>
                <w:szCs w:val="20"/>
              </w:rPr>
              <w:t>–</w:t>
            </w:r>
            <w:r>
              <w:rPr>
                <w:sz w:val="20"/>
                <w:szCs w:val="20"/>
              </w:rPr>
              <w:t>p</w:t>
            </w:r>
            <w:r w:rsidR="003D30F7" w:rsidRPr="00EE3D16">
              <w:rPr>
                <w:sz w:val="20"/>
                <w:szCs w:val="20"/>
              </w:rPr>
              <w:t xml:space="preserve">rivate </w:t>
            </w:r>
            <w:r>
              <w:rPr>
                <w:sz w:val="20"/>
                <w:szCs w:val="20"/>
              </w:rPr>
              <w:t>p</w:t>
            </w:r>
            <w:r w:rsidR="003D30F7" w:rsidRPr="00EE3D16">
              <w:rPr>
                <w:sz w:val="20"/>
                <w:szCs w:val="20"/>
              </w:rPr>
              <w:t>artnership</w:t>
            </w:r>
          </w:p>
        </w:tc>
      </w:tr>
      <w:tr w:rsidR="003D30F7" w:rsidRPr="005A497D" w14:paraId="74BF1928" w14:textId="77777777" w:rsidTr="00577670">
        <w:trPr>
          <w:trHeight w:val="283"/>
        </w:trPr>
        <w:tc>
          <w:tcPr>
            <w:tcW w:w="1575" w:type="dxa"/>
            <w:tcBorders>
              <w:top w:val="nil"/>
              <w:left w:val="nil"/>
              <w:bottom w:val="nil"/>
              <w:right w:val="nil"/>
            </w:tcBorders>
            <w:shd w:val="clear" w:color="auto" w:fill="auto"/>
            <w:noWrap/>
            <w:vAlign w:val="center"/>
            <w:hideMark/>
          </w:tcPr>
          <w:p w14:paraId="73E1AA77" w14:textId="77777777" w:rsidR="003D30F7" w:rsidRPr="00EE3D16" w:rsidRDefault="003D30F7" w:rsidP="00577670">
            <w:pPr>
              <w:rPr>
                <w:color w:val="000000"/>
                <w:sz w:val="20"/>
                <w:szCs w:val="20"/>
                <w:lang w:eastAsia="en-GB"/>
              </w:rPr>
            </w:pPr>
            <w:r w:rsidRPr="00EE3D16">
              <w:rPr>
                <w:color w:val="000000"/>
                <w:sz w:val="20"/>
                <w:szCs w:val="20"/>
                <w:lang w:eastAsia="en-GB"/>
              </w:rPr>
              <w:t>PPSAS</w:t>
            </w:r>
          </w:p>
        </w:tc>
        <w:tc>
          <w:tcPr>
            <w:tcW w:w="6990" w:type="dxa"/>
            <w:tcBorders>
              <w:top w:val="nil"/>
              <w:left w:val="nil"/>
              <w:bottom w:val="nil"/>
              <w:right w:val="nil"/>
            </w:tcBorders>
            <w:shd w:val="clear" w:color="auto" w:fill="auto"/>
            <w:noWrap/>
            <w:vAlign w:val="center"/>
            <w:hideMark/>
          </w:tcPr>
          <w:p w14:paraId="33559197" w14:textId="6D78B2CB" w:rsidR="003D30F7" w:rsidRPr="00EE3D16" w:rsidRDefault="003D30F7" w:rsidP="00577670">
            <w:pPr>
              <w:rPr>
                <w:sz w:val="20"/>
                <w:szCs w:val="20"/>
              </w:rPr>
            </w:pPr>
            <w:r w:rsidRPr="00EE3D16">
              <w:rPr>
                <w:sz w:val="20"/>
                <w:szCs w:val="20"/>
              </w:rPr>
              <w:t>Philippine Public Sector Accounting Standard</w:t>
            </w:r>
          </w:p>
        </w:tc>
      </w:tr>
      <w:tr w:rsidR="003D30F7" w:rsidRPr="005A497D" w14:paraId="04CD4ABE" w14:textId="77777777" w:rsidTr="00577670">
        <w:trPr>
          <w:trHeight w:val="283"/>
        </w:trPr>
        <w:tc>
          <w:tcPr>
            <w:tcW w:w="1575" w:type="dxa"/>
            <w:tcBorders>
              <w:top w:val="nil"/>
              <w:left w:val="nil"/>
              <w:bottom w:val="nil"/>
              <w:right w:val="nil"/>
            </w:tcBorders>
            <w:shd w:val="clear" w:color="auto" w:fill="auto"/>
            <w:noWrap/>
            <w:vAlign w:val="center"/>
            <w:hideMark/>
          </w:tcPr>
          <w:p w14:paraId="6235026C" w14:textId="77777777" w:rsidR="003D30F7" w:rsidRPr="00EE3D16" w:rsidRDefault="003D30F7" w:rsidP="00577670">
            <w:pPr>
              <w:rPr>
                <w:color w:val="000000"/>
                <w:sz w:val="20"/>
                <w:szCs w:val="20"/>
                <w:lang w:eastAsia="en-GB"/>
              </w:rPr>
            </w:pPr>
            <w:r w:rsidRPr="00EE3D16">
              <w:rPr>
                <w:color w:val="000000"/>
                <w:sz w:val="20"/>
                <w:szCs w:val="20"/>
                <w:lang w:eastAsia="en-GB"/>
              </w:rPr>
              <w:t>PPSSA</w:t>
            </w:r>
          </w:p>
        </w:tc>
        <w:tc>
          <w:tcPr>
            <w:tcW w:w="6990" w:type="dxa"/>
            <w:tcBorders>
              <w:top w:val="nil"/>
              <w:left w:val="nil"/>
              <w:bottom w:val="nil"/>
              <w:right w:val="nil"/>
            </w:tcBorders>
            <w:shd w:val="clear" w:color="auto" w:fill="auto"/>
            <w:noWrap/>
            <w:vAlign w:val="center"/>
            <w:hideMark/>
          </w:tcPr>
          <w:p w14:paraId="26AAE2D8" w14:textId="4A6FF488" w:rsidR="003D30F7" w:rsidRPr="00EE3D16" w:rsidRDefault="003D30F7" w:rsidP="00577670">
            <w:pPr>
              <w:rPr>
                <w:sz w:val="20"/>
                <w:szCs w:val="20"/>
              </w:rPr>
            </w:pPr>
            <w:r w:rsidRPr="00EE3D16">
              <w:rPr>
                <w:sz w:val="20"/>
                <w:szCs w:val="20"/>
              </w:rPr>
              <w:t>Philippine Public Sector Standard on Auditing</w:t>
            </w:r>
          </w:p>
        </w:tc>
      </w:tr>
      <w:tr w:rsidR="003D30F7" w:rsidRPr="005A497D" w14:paraId="147EEAAB" w14:textId="77777777" w:rsidTr="00577670">
        <w:trPr>
          <w:trHeight w:val="283"/>
        </w:trPr>
        <w:tc>
          <w:tcPr>
            <w:tcW w:w="1575" w:type="dxa"/>
            <w:tcBorders>
              <w:top w:val="nil"/>
              <w:left w:val="nil"/>
              <w:bottom w:val="nil"/>
              <w:right w:val="nil"/>
            </w:tcBorders>
            <w:shd w:val="clear" w:color="auto" w:fill="auto"/>
            <w:noWrap/>
            <w:vAlign w:val="center"/>
            <w:hideMark/>
          </w:tcPr>
          <w:p w14:paraId="52B91F6F" w14:textId="77777777" w:rsidR="003D30F7" w:rsidRPr="00EE3D16" w:rsidRDefault="003D30F7" w:rsidP="00577670">
            <w:pPr>
              <w:rPr>
                <w:color w:val="000000"/>
                <w:sz w:val="20"/>
                <w:szCs w:val="20"/>
                <w:lang w:eastAsia="en-GB"/>
              </w:rPr>
            </w:pPr>
            <w:r w:rsidRPr="00EE3D16">
              <w:rPr>
                <w:color w:val="000000"/>
                <w:sz w:val="20"/>
                <w:szCs w:val="20"/>
                <w:lang w:eastAsia="en-GB"/>
              </w:rPr>
              <w:t>RA</w:t>
            </w:r>
          </w:p>
        </w:tc>
        <w:tc>
          <w:tcPr>
            <w:tcW w:w="6990" w:type="dxa"/>
            <w:tcBorders>
              <w:top w:val="nil"/>
              <w:left w:val="nil"/>
              <w:bottom w:val="nil"/>
              <w:right w:val="nil"/>
            </w:tcBorders>
            <w:shd w:val="clear" w:color="auto" w:fill="auto"/>
            <w:noWrap/>
            <w:vAlign w:val="center"/>
            <w:hideMark/>
          </w:tcPr>
          <w:p w14:paraId="22F7B8F2" w14:textId="77777777" w:rsidR="003D30F7" w:rsidRPr="00EE3D16" w:rsidRDefault="003D30F7" w:rsidP="00577670">
            <w:pPr>
              <w:rPr>
                <w:sz w:val="20"/>
                <w:szCs w:val="20"/>
              </w:rPr>
            </w:pPr>
            <w:r w:rsidRPr="00EE3D16">
              <w:rPr>
                <w:sz w:val="20"/>
                <w:szCs w:val="20"/>
              </w:rPr>
              <w:t>Republic Act</w:t>
            </w:r>
          </w:p>
        </w:tc>
      </w:tr>
      <w:tr w:rsidR="003D30F7" w:rsidRPr="005A497D" w14:paraId="1E9B725D" w14:textId="77777777" w:rsidTr="00577670">
        <w:trPr>
          <w:trHeight w:val="283"/>
        </w:trPr>
        <w:tc>
          <w:tcPr>
            <w:tcW w:w="1575" w:type="dxa"/>
            <w:tcBorders>
              <w:top w:val="nil"/>
              <w:left w:val="nil"/>
              <w:bottom w:val="nil"/>
              <w:right w:val="nil"/>
            </w:tcBorders>
            <w:shd w:val="clear" w:color="auto" w:fill="auto"/>
            <w:noWrap/>
            <w:vAlign w:val="center"/>
            <w:hideMark/>
          </w:tcPr>
          <w:p w14:paraId="63FD51EC" w14:textId="77777777" w:rsidR="003D30F7" w:rsidRPr="00EE3D16" w:rsidRDefault="003D30F7" w:rsidP="00577670">
            <w:pPr>
              <w:rPr>
                <w:color w:val="000000"/>
                <w:sz w:val="20"/>
                <w:szCs w:val="20"/>
                <w:lang w:eastAsia="en-GB"/>
              </w:rPr>
            </w:pPr>
            <w:r w:rsidRPr="00EE3D16">
              <w:rPr>
                <w:color w:val="000000"/>
                <w:sz w:val="20"/>
                <w:szCs w:val="20"/>
                <w:lang w:eastAsia="en-GB"/>
              </w:rPr>
              <w:t>RATE</w:t>
            </w:r>
          </w:p>
        </w:tc>
        <w:tc>
          <w:tcPr>
            <w:tcW w:w="6990" w:type="dxa"/>
            <w:tcBorders>
              <w:top w:val="nil"/>
              <w:left w:val="nil"/>
              <w:bottom w:val="nil"/>
              <w:right w:val="nil"/>
            </w:tcBorders>
            <w:shd w:val="clear" w:color="auto" w:fill="auto"/>
            <w:noWrap/>
            <w:vAlign w:val="center"/>
            <w:hideMark/>
          </w:tcPr>
          <w:p w14:paraId="083CC698" w14:textId="0D69F51C" w:rsidR="003D30F7" w:rsidRPr="00EE3D16" w:rsidRDefault="003D30F7" w:rsidP="00577670">
            <w:pPr>
              <w:rPr>
                <w:sz w:val="20"/>
                <w:szCs w:val="20"/>
              </w:rPr>
            </w:pPr>
            <w:r w:rsidRPr="00EE3D16">
              <w:rPr>
                <w:sz w:val="20"/>
                <w:szCs w:val="20"/>
              </w:rPr>
              <w:t>Run</w:t>
            </w:r>
            <w:r>
              <w:rPr>
                <w:sz w:val="20"/>
                <w:szCs w:val="20"/>
              </w:rPr>
              <w:t>-</w:t>
            </w:r>
            <w:r w:rsidRPr="00EE3D16">
              <w:rPr>
                <w:sz w:val="20"/>
                <w:szCs w:val="20"/>
              </w:rPr>
              <w:t>After</w:t>
            </w:r>
            <w:r>
              <w:rPr>
                <w:sz w:val="20"/>
                <w:szCs w:val="20"/>
              </w:rPr>
              <w:t>-</w:t>
            </w:r>
            <w:r w:rsidRPr="00EE3D16">
              <w:rPr>
                <w:sz w:val="20"/>
                <w:szCs w:val="20"/>
              </w:rPr>
              <w:t>Tax</w:t>
            </w:r>
            <w:r>
              <w:rPr>
                <w:sz w:val="20"/>
                <w:szCs w:val="20"/>
              </w:rPr>
              <w:t>-</w:t>
            </w:r>
            <w:r w:rsidRPr="00EE3D16">
              <w:rPr>
                <w:sz w:val="20"/>
                <w:szCs w:val="20"/>
              </w:rPr>
              <w:t>Evaders</w:t>
            </w:r>
          </w:p>
        </w:tc>
      </w:tr>
      <w:tr w:rsidR="003D30F7" w:rsidRPr="005A497D" w14:paraId="252BC13C" w14:textId="77777777" w:rsidTr="00577670">
        <w:trPr>
          <w:trHeight w:val="283"/>
        </w:trPr>
        <w:tc>
          <w:tcPr>
            <w:tcW w:w="1575" w:type="dxa"/>
            <w:tcBorders>
              <w:top w:val="nil"/>
              <w:left w:val="nil"/>
              <w:bottom w:val="nil"/>
              <w:right w:val="nil"/>
            </w:tcBorders>
            <w:shd w:val="clear" w:color="auto" w:fill="auto"/>
            <w:noWrap/>
            <w:vAlign w:val="center"/>
            <w:hideMark/>
          </w:tcPr>
          <w:p w14:paraId="4C7F15A7" w14:textId="77777777" w:rsidR="003D30F7" w:rsidRPr="00EE3D16" w:rsidRDefault="003D30F7" w:rsidP="00577670">
            <w:pPr>
              <w:rPr>
                <w:color w:val="000000"/>
                <w:sz w:val="20"/>
                <w:szCs w:val="20"/>
                <w:lang w:eastAsia="en-GB"/>
              </w:rPr>
            </w:pPr>
            <w:r w:rsidRPr="00EE3D16">
              <w:rPr>
                <w:color w:val="000000"/>
                <w:sz w:val="20"/>
                <w:szCs w:val="20"/>
                <w:lang w:eastAsia="en-GB"/>
              </w:rPr>
              <w:t>RATS</w:t>
            </w:r>
          </w:p>
        </w:tc>
        <w:tc>
          <w:tcPr>
            <w:tcW w:w="6990" w:type="dxa"/>
            <w:tcBorders>
              <w:top w:val="nil"/>
              <w:left w:val="nil"/>
              <w:bottom w:val="nil"/>
              <w:right w:val="nil"/>
            </w:tcBorders>
            <w:shd w:val="clear" w:color="auto" w:fill="auto"/>
            <w:noWrap/>
            <w:vAlign w:val="center"/>
            <w:hideMark/>
          </w:tcPr>
          <w:p w14:paraId="426E8687" w14:textId="77777777" w:rsidR="003D30F7" w:rsidRPr="00EE3D16" w:rsidRDefault="003D30F7" w:rsidP="00577670">
            <w:pPr>
              <w:rPr>
                <w:sz w:val="20"/>
                <w:szCs w:val="20"/>
              </w:rPr>
            </w:pPr>
            <w:r w:rsidRPr="00EE3D16">
              <w:rPr>
                <w:sz w:val="20"/>
                <w:szCs w:val="20"/>
              </w:rPr>
              <w:t>Run-After-The-Smugglers</w:t>
            </w:r>
          </w:p>
        </w:tc>
      </w:tr>
      <w:tr w:rsidR="003D30F7" w:rsidRPr="005A497D" w14:paraId="2FFFB58E" w14:textId="77777777" w:rsidTr="00577670">
        <w:trPr>
          <w:trHeight w:val="283"/>
        </w:trPr>
        <w:tc>
          <w:tcPr>
            <w:tcW w:w="1575" w:type="dxa"/>
            <w:tcBorders>
              <w:top w:val="nil"/>
              <w:left w:val="nil"/>
              <w:bottom w:val="nil"/>
              <w:right w:val="nil"/>
            </w:tcBorders>
            <w:shd w:val="clear" w:color="auto" w:fill="auto"/>
            <w:noWrap/>
            <w:vAlign w:val="center"/>
            <w:hideMark/>
          </w:tcPr>
          <w:p w14:paraId="1AA0EC9F" w14:textId="77777777" w:rsidR="003D30F7" w:rsidRPr="00EE3D16" w:rsidRDefault="003D30F7" w:rsidP="00577670">
            <w:pPr>
              <w:rPr>
                <w:color w:val="000000"/>
                <w:sz w:val="20"/>
                <w:szCs w:val="20"/>
                <w:lang w:eastAsia="en-GB"/>
              </w:rPr>
            </w:pPr>
            <w:r w:rsidRPr="00EE3D16">
              <w:rPr>
                <w:color w:val="000000"/>
                <w:sz w:val="20"/>
                <w:szCs w:val="20"/>
                <w:lang w:eastAsia="en-GB"/>
              </w:rPr>
              <w:t>RMO</w:t>
            </w:r>
          </w:p>
        </w:tc>
        <w:tc>
          <w:tcPr>
            <w:tcW w:w="6990" w:type="dxa"/>
            <w:tcBorders>
              <w:top w:val="nil"/>
              <w:left w:val="nil"/>
              <w:bottom w:val="nil"/>
              <w:right w:val="nil"/>
            </w:tcBorders>
            <w:shd w:val="clear" w:color="auto" w:fill="auto"/>
            <w:noWrap/>
            <w:vAlign w:val="center"/>
            <w:hideMark/>
          </w:tcPr>
          <w:p w14:paraId="2AA250BA" w14:textId="77777777" w:rsidR="003D30F7" w:rsidRPr="00EE3D16" w:rsidRDefault="003D30F7" w:rsidP="00577670">
            <w:pPr>
              <w:rPr>
                <w:sz w:val="20"/>
                <w:szCs w:val="20"/>
              </w:rPr>
            </w:pPr>
            <w:r w:rsidRPr="00EE3D16">
              <w:rPr>
                <w:sz w:val="20"/>
                <w:szCs w:val="20"/>
              </w:rPr>
              <w:t>Revenue Memorandum Order</w:t>
            </w:r>
          </w:p>
        </w:tc>
      </w:tr>
      <w:tr w:rsidR="00451229" w:rsidRPr="005A497D" w14:paraId="6B1415CB" w14:textId="77777777" w:rsidTr="00577670">
        <w:trPr>
          <w:trHeight w:val="283"/>
        </w:trPr>
        <w:tc>
          <w:tcPr>
            <w:tcW w:w="1575" w:type="dxa"/>
            <w:tcBorders>
              <w:top w:val="nil"/>
              <w:left w:val="nil"/>
              <w:bottom w:val="nil"/>
              <w:right w:val="nil"/>
            </w:tcBorders>
            <w:shd w:val="clear" w:color="auto" w:fill="auto"/>
            <w:noWrap/>
            <w:vAlign w:val="center"/>
          </w:tcPr>
          <w:p w14:paraId="7F1CE989" w14:textId="4B14B284" w:rsidR="00451229" w:rsidRPr="00EE3D16" w:rsidRDefault="00451229" w:rsidP="00577670">
            <w:pPr>
              <w:rPr>
                <w:color w:val="000000"/>
                <w:sz w:val="20"/>
                <w:szCs w:val="20"/>
                <w:lang w:eastAsia="en-GB"/>
              </w:rPr>
            </w:pPr>
            <w:r>
              <w:rPr>
                <w:color w:val="000000"/>
                <w:sz w:val="20"/>
                <w:szCs w:val="20"/>
                <w:lang w:eastAsia="en-GB"/>
              </w:rPr>
              <w:t>TESDA</w:t>
            </w:r>
          </w:p>
        </w:tc>
        <w:tc>
          <w:tcPr>
            <w:tcW w:w="6990" w:type="dxa"/>
            <w:tcBorders>
              <w:top w:val="nil"/>
              <w:left w:val="nil"/>
              <w:bottom w:val="nil"/>
              <w:right w:val="nil"/>
            </w:tcBorders>
            <w:shd w:val="clear" w:color="auto" w:fill="auto"/>
            <w:noWrap/>
            <w:vAlign w:val="center"/>
          </w:tcPr>
          <w:p w14:paraId="13381F43" w14:textId="6BCD89E7" w:rsidR="00451229" w:rsidRPr="00EE3D16" w:rsidRDefault="00AA1B35" w:rsidP="005108BC">
            <w:pPr>
              <w:rPr>
                <w:sz w:val="20"/>
                <w:szCs w:val="20"/>
              </w:rPr>
            </w:pPr>
            <w:r>
              <w:rPr>
                <w:sz w:val="20"/>
                <w:szCs w:val="20"/>
              </w:rPr>
              <w:t>Technical Education and Skills Development Authority</w:t>
            </w:r>
          </w:p>
        </w:tc>
      </w:tr>
      <w:tr w:rsidR="003D30F7" w:rsidRPr="005A497D" w14:paraId="16851A92" w14:textId="77777777" w:rsidTr="00577670">
        <w:trPr>
          <w:trHeight w:val="283"/>
        </w:trPr>
        <w:tc>
          <w:tcPr>
            <w:tcW w:w="1575" w:type="dxa"/>
            <w:tcBorders>
              <w:top w:val="nil"/>
              <w:left w:val="nil"/>
              <w:bottom w:val="nil"/>
              <w:right w:val="nil"/>
            </w:tcBorders>
            <w:shd w:val="clear" w:color="auto" w:fill="auto"/>
            <w:noWrap/>
            <w:vAlign w:val="center"/>
            <w:hideMark/>
          </w:tcPr>
          <w:p w14:paraId="17520BA4" w14:textId="77777777" w:rsidR="003D30F7" w:rsidRPr="00EE3D16" w:rsidRDefault="003D30F7" w:rsidP="00577670">
            <w:pPr>
              <w:rPr>
                <w:color w:val="000000"/>
                <w:sz w:val="20"/>
                <w:szCs w:val="20"/>
                <w:lang w:eastAsia="en-GB"/>
              </w:rPr>
            </w:pPr>
            <w:r w:rsidRPr="00EE3D16">
              <w:rPr>
                <w:color w:val="000000"/>
                <w:sz w:val="20"/>
                <w:szCs w:val="20"/>
                <w:lang w:eastAsia="en-GB"/>
              </w:rPr>
              <w:t>TSA</w:t>
            </w:r>
          </w:p>
        </w:tc>
        <w:tc>
          <w:tcPr>
            <w:tcW w:w="6990" w:type="dxa"/>
            <w:tcBorders>
              <w:top w:val="nil"/>
              <w:left w:val="nil"/>
              <w:bottom w:val="nil"/>
              <w:right w:val="nil"/>
            </w:tcBorders>
            <w:shd w:val="clear" w:color="auto" w:fill="auto"/>
            <w:noWrap/>
            <w:vAlign w:val="center"/>
            <w:hideMark/>
          </w:tcPr>
          <w:p w14:paraId="41954501" w14:textId="6687A29E" w:rsidR="003D30F7" w:rsidRPr="00EE3D16" w:rsidRDefault="003D30F7" w:rsidP="0032029B">
            <w:pPr>
              <w:rPr>
                <w:sz w:val="20"/>
                <w:szCs w:val="20"/>
              </w:rPr>
            </w:pPr>
            <w:r w:rsidRPr="00EE3D16">
              <w:rPr>
                <w:sz w:val="20"/>
                <w:szCs w:val="20"/>
              </w:rPr>
              <w:t xml:space="preserve">Treasury </w:t>
            </w:r>
            <w:r w:rsidR="0032029B">
              <w:rPr>
                <w:sz w:val="20"/>
                <w:szCs w:val="20"/>
              </w:rPr>
              <w:t>S</w:t>
            </w:r>
            <w:r w:rsidRPr="00EE3D16">
              <w:rPr>
                <w:sz w:val="20"/>
                <w:szCs w:val="20"/>
              </w:rPr>
              <w:t xml:space="preserve">ingle </w:t>
            </w:r>
            <w:r w:rsidR="0032029B">
              <w:rPr>
                <w:sz w:val="20"/>
                <w:szCs w:val="20"/>
              </w:rPr>
              <w:t>A</w:t>
            </w:r>
            <w:r w:rsidRPr="00EE3D16">
              <w:rPr>
                <w:sz w:val="20"/>
                <w:szCs w:val="20"/>
              </w:rPr>
              <w:t>ccount</w:t>
            </w:r>
          </w:p>
        </w:tc>
      </w:tr>
      <w:tr w:rsidR="003D30F7" w:rsidRPr="005A497D" w14:paraId="76565AF5" w14:textId="77777777" w:rsidTr="00577670">
        <w:trPr>
          <w:trHeight w:val="283"/>
        </w:trPr>
        <w:tc>
          <w:tcPr>
            <w:tcW w:w="1575" w:type="dxa"/>
            <w:tcBorders>
              <w:top w:val="nil"/>
              <w:left w:val="nil"/>
              <w:bottom w:val="nil"/>
              <w:right w:val="nil"/>
            </w:tcBorders>
            <w:shd w:val="clear" w:color="auto" w:fill="auto"/>
            <w:noWrap/>
            <w:vAlign w:val="center"/>
            <w:hideMark/>
          </w:tcPr>
          <w:p w14:paraId="0B591966" w14:textId="77777777" w:rsidR="003D30F7" w:rsidRPr="00EE3D16" w:rsidRDefault="003D30F7" w:rsidP="00577670">
            <w:pPr>
              <w:rPr>
                <w:color w:val="000000"/>
                <w:sz w:val="20"/>
                <w:szCs w:val="20"/>
                <w:lang w:eastAsia="en-GB"/>
              </w:rPr>
            </w:pPr>
            <w:r w:rsidRPr="00EE3D16">
              <w:rPr>
                <w:color w:val="000000"/>
                <w:sz w:val="20"/>
                <w:szCs w:val="20"/>
                <w:lang w:eastAsia="en-GB"/>
              </w:rPr>
              <w:t>UACS</w:t>
            </w:r>
          </w:p>
        </w:tc>
        <w:tc>
          <w:tcPr>
            <w:tcW w:w="6990" w:type="dxa"/>
            <w:tcBorders>
              <w:top w:val="nil"/>
              <w:left w:val="nil"/>
              <w:bottom w:val="nil"/>
              <w:right w:val="nil"/>
            </w:tcBorders>
            <w:shd w:val="clear" w:color="auto" w:fill="auto"/>
            <w:noWrap/>
            <w:vAlign w:val="center"/>
            <w:hideMark/>
          </w:tcPr>
          <w:p w14:paraId="74302708" w14:textId="77777777" w:rsidR="003D30F7" w:rsidRPr="00EE3D16" w:rsidRDefault="003D30F7" w:rsidP="00577670">
            <w:pPr>
              <w:rPr>
                <w:sz w:val="20"/>
                <w:szCs w:val="20"/>
              </w:rPr>
            </w:pPr>
            <w:r w:rsidRPr="00EE3D16">
              <w:rPr>
                <w:sz w:val="20"/>
                <w:szCs w:val="20"/>
              </w:rPr>
              <w:t>Unified Accounts Code Structure</w:t>
            </w:r>
          </w:p>
        </w:tc>
      </w:tr>
    </w:tbl>
    <w:p w14:paraId="733FE2BE" w14:textId="6E6D84EB" w:rsidR="002102B9" w:rsidRPr="005A497D" w:rsidRDefault="002102B9" w:rsidP="009A012D">
      <w:pPr>
        <w:contextualSpacing/>
        <w:jc w:val="both"/>
      </w:pPr>
    </w:p>
    <w:p w14:paraId="74EA818A" w14:textId="77777777" w:rsidR="00844D39" w:rsidRPr="005A497D" w:rsidRDefault="00844D39" w:rsidP="007E6541">
      <w:pPr>
        <w:pStyle w:val="Heading1"/>
        <w:framePr w:wrap="around"/>
        <w:jc w:val="left"/>
        <w:sectPr w:rsidR="00844D39" w:rsidRPr="005A497D" w:rsidSect="00522D61">
          <w:headerReference w:type="default" r:id="rId17"/>
          <w:footerReference w:type="even" r:id="rId18"/>
          <w:footerReference w:type="default" r:id="rId19"/>
          <w:footerReference w:type="first" r:id="rId20"/>
          <w:footnotePr>
            <w:numRestart w:val="eachSect"/>
          </w:footnotePr>
          <w:endnotePr>
            <w:numFmt w:val="decimal"/>
          </w:endnotePr>
          <w:pgSz w:w="11909" w:h="16834" w:code="9"/>
          <w:pgMar w:top="1080" w:right="1728" w:bottom="1267" w:left="1728" w:header="576" w:footer="720" w:gutter="0"/>
          <w:pgNumType w:fmt="lowerRoman" w:start="1"/>
          <w:cols w:space="720"/>
          <w:titlePg/>
          <w:docGrid w:linePitch="326"/>
        </w:sectPr>
      </w:pPr>
    </w:p>
    <w:p w14:paraId="63788856" w14:textId="77777777" w:rsidR="00316D78" w:rsidRPr="005A497D" w:rsidRDefault="003930F5" w:rsidP="009A012D">
      <w:pPr>
        <w:pStyle w:val="TOCHeading"/>
        <w:framePr w:hSpace="0" w:wrap="auto" w:vAnchor="margin" w:hAnchor="text" w:xAlign="left" w:yAlign="inline"/>
        <w:spacing w:before="0" w:line="240" w:lineRule="auto"/>
        <w:rPr>
          <w:rFonts w:ascii="Times New Roman" w:hAnsi="Times New Roman"/>
          <w:color w:val="auto"/>
          <w:sz w:val="32"/>
          <w:szCs w:val="32"/>
        </w:rPr>
      </w:pPr>
      <w:bookmarkStart w:id="2" w:name="_Toc162338228"/>
      <w:bookmarkStart w:id="3" w:name="_Toc144092642"/>
      <w:r w:rsidRPr="005A497D">
        <w:rPr>
          <w:rFonts w:ascii="Times New Roman" w:hAnsi="Times New Roman"/>
          <w:color w:val="auto"/>
          <w:sz w:val="32"/>
          <w:szCs w:val="32"/>
        </w:rPr>
        <w:t>Contents</w:t>
      </w:r>
    </w:p>
    <w:p w14:paraId="2213392A" w14:textId="77777777" w:rsidR="00C05F15" w:rsidRPr="005A497D" w:rsidRDefault="00C05F15" w:rsidP="00C05F15"/>
    <w:p w14:paraId="00058C12" w14:textId="77777777" w:rsidR="00E363F7" w:rsidRDefault="005531E2">
      <w:pPr>
        <w:pStyle w:val="TOC2"/>
        <w:rPr>
          <w:rFonts w:asciiTheme="minorHAnsi" w:eastAsiaTheme="minorEastAsia" w:hAnsiTheme="minorHAnsi" w:cstheme="minorBidi"/>
          <w:b w:val="0"/>
          <w:bCs w:val="0"/>
        </w:rPr>
      </w:pPr>
      <w:r w:rsidRPr="005A497D">
        <w:fldChar w:fldCharType="begin"/>
      </w:r>
      <w:r w:rsidR="001D2E2B" w:rsidRPr="005A497D">
        <w:instrText xml:space="preserve"> TOC \o "1-3" \h \z \u </w:instrText>
      </w:r>
      <w:r w:rsidRPr="005A497D">
        <w:fldChar w:fldCharType="separate"/>
      </w:r>
      <w:hyperlink w:anchor="_Toc454888775" w:history="1">
        <w:r w:rsidR="00E363F7" w:rsidRPr="005968F9">
          <w:rPr>
            <w:rStyle w:val="Hyperlink"/>
          </w:rPr>
          <w:t>Acronyms and Abbreviations</w:t>
        </w:r>
        <w:r w:rsidR="00E363F7">
          <w:rPr>
            <w:webHidden/>
          </w:rPr>
          <w:tab/>
        </w:r>
        <w:r w:rsidR="00E363F7">
          <w:rPr>
            <w:webHidden/>
          </w:rPr>
          <w:fldChar w:fldCharType="begin"/>
        </w:r>
        <w:r w:rsidR="00E363F7">
          <w:rPr>
            <w:webHidden/>
          </w:rPr>
          <w:instrText xml:space="preserve"> PAGEREF _Toc454888775 \h </w:instrText>
        </w:r>
        <w:r w:rsidR="00E363F7">
          <w:rPr>
            <w:webHidden/>
          </w:rPr>
        </w:r>
        <w:r w:rsidR="00E363F7">
          <w:rPr>
            <w:webHidden/>
          </w:rPr>
          <w:fldChar w:fldCharType="separate"/>
        </w:r>
        <w:r w:rsidR="00A51E64">
          <w:rPr>
            <w:webHidden/>
          </w:rPr>
          <w:t>iii</w:t>
        </w:r>
        <w:r w:rsidR="00E363F7">
          <w:rPr>
            <w:webHidden/>
          </w:rPr>
          <w:fldChar w:fldCharType="end"/>
        </w:r>
      </w:hyperlink>
    </w:p>
    <w:p w14:paraId="6FDB3C51" w14:textId="77777777" w:rsidR="00E363F7" w:rsidRDefault="00567312">
      <w:pPr>
        <w:pStyle w:val="TOC2"/>
        <w:rPr>
          <w:rFonts w:asciiTheme="minorHAnsi" w:eastAsiaTheme="minorEastAsia" w:hAnsiTheme="minorHAnsi" w:cstheme="minorBidi"/>
          <w:b w:val="0"/>
          <w:bCs w:val="0"/>
        </w:rPr>
      </w:pPr>
      <w:hyperlink w:anchor="_Toc454888776" w:history="1">
        <w:r w:rsidR="00E363F7" w:rsidRPr="005968F9">
          <w:rPr>
            <w:rStyle w:val="Hyperlink"/>
          </w:rPr>
          <w:t>Acknowledgments</w:t>
        </w:r>
        <w:r w:rsidR="00E363F7">
          <w:rPr>
            <w:webHidden/>
          </w:rPr>
          <w:tab/>
        </w:r>
        <w:r w:rsidR="00E363F7">
          <w:rPr>
            <w:webHidden/>
          </w:rPr>
          <w:fldChar w:fldCharType="begin"/>
        </w:r>
        <w:r w:rsidR="00E363F7">
          <w:rPr>
            <w:webHidden/>
          </w:rPr>
          <w:instrText xml:space="preserve"> PAGEREF _Toc454888776 \h </w:instrText>
        </w:r>
        <w:r w:rsidR="00E363F7">
          <w:rPr>
            <w:webHidden/>
          </w:rPr>
        </w:r>
        <w:r w:rsidR="00E363F7">
          <w:rPr>
            <w:webHidden/>
          </w:rPr>
          <w:fldChar w:fldCharType="separate"/>
        </w:r>
        <w:r w:rsidR="00A51E64">
          <w:rPr>
            <w:webHidden/>
          </w:rPr>
          <w:t>xiv</w:t>
        </w:r>
        <w:r w:rsidR="00E363F7">
          <w:rPr>
            <w:webHidden/>
          </w:rPr>
          <w:fldChar w:fldCharType="end"/>
        </w:r>
      </w:hyperlink>
    </w:p>
    <w:p w14:paraId="48A5EEF4" w14:textId="77777777" w:rsidR="00E363F7" w:rsidRDefault="00567312">
      <w:pPr>
        <w:pStyle w:val="TOC2"/>
        <w:rPr>
          <w:rFonts w:asciiTheme="minorHAnsi" w:eastAsiaTheme="minorEastAsia" w:hAnsiTheme="minorHAnsi" w:cstheme="minorBidi"/>
          <w:b w:val="0"/>
          <w:bCs w:val="0"/>
        </w:rPr>
      </w:pPr>
      <w:hyperlink w:anchor="_Toc454888777" w:history="1">
        <w:r w:rsidR="00E363F7" w:rsidRPr="005968F9">
          <w:rPr>
            <w:rStyle w:val="Hyperlink"/>
          </w:rPr>
          <w:t>Executive Summary</w:t>
        </w:r>
        <w:r w:rsidR="00E363F7">
          <w:rPr>
            <w:webHidden/>
          </w:rPr>
          <w:tab/>
        </w:r>
        <w:r w:rsidR="00E363F7">
          <w:rPr>
            <w:webHidden/>
          </w:rPr>
          <w:fldChar w:fldCharType="begin"/>
        </w:r>
        <w:r w:rsidR="00E363F7">
          <w:rPr>
            <w:webHidden/>
          </w:rPr>
          <w:instrText xml:space="preserve"> PAGEREF _Toc454888777 \h </w:instrText>
        </w:r>
        <w:r w:rsidR="00E363F7">
          <w:rPr>
            <w:webHidden/>
          </w:rPr>
        </w:r>
        <w:r w:rsidR="00E363F7">
          <w:rPr>
            <w:webHidden/>
          </w:rPr>
          <w:fldChar w:fldCharType="separate"/>
        </w:r>
        <w:r w:rsidR="00A51E64">
          <w:rPr>
            <w:webHidden/>
          </w:rPr>
          <w:t>xvi</w:t>
        </w:r>
        <w:r w:rsidR="00E363F7">
          <w:rPr>
            <w:webHidden/>
          </w:rPr>
          <w:fldChar w:fldCharType="end"/>
        </w:r>
      </w:hyperlink>
    </w:p>
    <w:p w14:paraId="20CCF443" w14:textId="77777777" w:rsidR="00E363F7" w:rsidRDefault="00567312">
      <w:pPr>
        <w:pStyle w:val="TOC2"/>
        <w:rPr>
          <w:rFonts w:asciiTheme="minorHAnsi" w:eastAsiaTheme="minorEastAsia" w:hAnsiTheme="minorHAnsi" w:cstheme="minorBidi"/>
          <w:b w:val="0"/>
          <w:bCs w:val="0"/>
        </w:rPr>
      </w:pPr>
      <w:hyperlink w:anchor="_Toc454888778" w:history="1">
        <w:r w:rsidR="00E363F7" w:rsidRPr="005968F9">
          <w:rPr>
            <w:rStyle w:val="Hyperlink"/>
          </w:rPr>
          <w:t>Chapter 1. Introduction</w:t>
        </w:r>
        <w:r w:rsidR="00E363F7">
          <w:rPr>
            <w:webHidden/>
          </w:rPr>
          <w:tab/>
        </w:r>
        <w:r w:rsidR="00E363F7">
          <w:rPr>
            <w:webHidden/>
          </w:rPr>
          <w:fldChar w:fldCharType="begin"/>
        </w:r>
        <w:r w:rsidR="00E363F7">
          <w:rPr>
            <w:webHidden/>
          </w:rPr>
          <w:instrText xml:space="preserve"> PAGEREF _Toc454888778 \h </w:instrText>
        </w:r>
        <w:r w:rsidR="00E363F7">
          <w:rPr>
            <w:webHidden/>
          </w:rPr>
        </w:r>
        <w:r w:rsidR="00E363F7">
          <w:rPr>
            <w:webHidden/>
          </w:rPr>
          <w:fldChar w:fldCharType="separate"/>
        </w:r>
        <w:r w:rsidR="00A51E64">
          <w:rPr>
            <w:webHidden/>
          </w:rPr>
          <w:t>1</w:t>
        </w:r>
        <w:r w:rsidR="00E363F7">
          <w:rPr>
            <w:webHidden/>
          </w:rPr>
          <w:fldChar w:fldCharType="end"/>
        </w:r>
      </w:hyperlink>
    </w:p>
    <w:p w14:paraId="71C37E36" w14:textId="77777777" w:rsidR="00E363F7" w:rsidRDefault="00567312">
      <w:pPr>
        <w:pStyle w:val="TOC3"/>
        <w:rPr>
          <w:rFonts w:asciiTheme="minorHAnsi" w:eastAsiaTheme="minorEastAsia" w:hAnsiTheme="minorHAnsi" w:cstheme="minorBidi"/>
          <w:noProof/>
        </w:rPr>
      </w:pPr>
      <w:hyperlink w:anchor="_Toc454888779" w:history="1">
        <w:r w:rsidR="00E363F7" w:rsidRPr="005968F9">
          <w:rPr>
            <w:rStyle w:val="Hyperlink"/>
            <w:noProof/>
          </w:rPr>
          <w:t>1.1 Rationale for and Purpose of the Assessment</w:t>
        </w:r>
        <w:r w:rsidR="00E363F7">
          <w:rPr>
            <w:noProof/>
            <w:webHidden/>
          </w:rPr>
          <w:tab/>
        </w:r>
        <w:r w:rsidR="00E363F7">
          <w:rPr>
            <w:noProof/>
            <w:webHidden/>
          </w:rPr>
          <w:fldChar w:fldCharType="begin"/>
        </w:r>
        <w:r w:rsidR="00E363F7">
          <w:rPr>
            <w:noProof/>
            <w:webHidden/>
          </w:rPr>
          <w:instrText xml:space="preserve"> PAGEREF _Toc454888779 \h </w:instrText>
        </w:r>
        <w:r w:rsidR="00E363F7">
          <w:rPr>
            <w:noProof/>
            <w:webHidden/>
          </w:rPr>
        </w:r>
        <w:r w:rsidR="00E363F7">
          <w:rPr>
            <w:noProof/>
            <w:webHidden/>
          </w:rPr>
          <w:fldChar w:fldCharType="separate"/>
        </w:r>
        <w:r w:rsidR="00A51E64">
          <w:rPr>
            <w:noProof/>
            <w:webHidden/>
          </w:rPr>
          <w:t>1</w:t>
        </w:r>
        <w:r w:rsidR="00E363F7">
          <w:rPr>
            <w:noProof/>
            <w:webHidden/>
          </w:rPr>
          <w:fldChar w:fldCharType="end"/>
        </w:r>
      </w:hyperlink>
    </w:p>
    <w:p w14:paraId="73CDCF95" w14:textId="77777777" w:rsidR="00E363F7" w:rsidRDefault="00567312">
      <w:pPr>
        <w:pStyle w:val="TOC3"/>
        <w:rPr>
          <w:rFonts w:asciiTheme="minorHAnsi" w:eastAsiaTheme="minorEastAsia" w:hAnsiTheme="minorHAnsi" w:cstheme="minorBidi"/>
          <w:noProof/>
        </w:rPr>
      </w:pPr>
      <w:hyperlink w:anchor="_Toc454888780" w:history="1">
        <w:r w:rsidR="00E363F7" w:rsidRPr="005968F9">
          <w:rPr>
            <w:rStyle w:val="Hyperlink"/>
            <w:noProof/>
          </w:rPr>
          <w:t>1.2 Assessment Management and Quality Assurance</w:t>
        </w:r>
        <w:r w:rsidR="00E363F7">
          <w:rPr>
            <w:noProof/>
            <w:webHidden/>
          </w:rPr>
          <w:tab/>
        </w:r>
        <w:r w:rsidR="00E363F7">
          <w:rPr>
            <w:noProof/>
            <w:webHidden/>
          </w:rPr>
          <w:fldChar w:fldCharType="begin"/>
        </w:r>
        <w:r w:rsidR="00E363F7">
          <w:rPr>
            <w:noProof/>
            <w:webHidden/>
          </w:rPr>
          <w:instrText xml:space="preserve"> PAGEREF _Toc454888780 \h </w:instrText>
        </w:r>
        <w:r w:rsidR="00E363F7">
          <w:rPr>
            <w:noProof/>
            <w:webHidden/>
          </w:rPr>
        </w:r>
        <w:r w:rsidR="00E363F7">
          <w:rPr>
            <w:noProof/>
            <w:webHidden/>
          </w:rPr>
          <w:fldChar w:fldCharType="separate"/>
        </w:r>
        <w:r w:rsidR="00A51E64">
          <w:rPr>
            <w:noProof/>
            <w:webHidden/>
          </w:rPr>
          <w:t>1</w:t>
        </w:r>
        <w:r w:rsidR="00E363F7">
          <w:rPr>
            <w:noProof/>
            <w:webHidden/>
          </w:rPr>
          <w:fldChar w:fldCharType="end"/>
        </w:r>
      </w:hyperlink>
    </w:p>
    <w:p w14:paraId="39A16B9C" w14:textId="77777777" w:rsidR="00E363F7" w:rsidRDefault="00567312">
      <w:pPr>
        <w:pStyle w:val="TOC3"/>
        <w:rPr>
          <w:rFonts w:asciiTheme="minorHAnsi" w:eastAsiaTheme="minorEastAsia" w:hAnsiTheme="minorHAnsi" w:cstheme="minorBidi"/>
          <w:noProof/>
        </w:rPr>
      </w:pPr>
      <w:hyperlink w:anchor="_Toc454888781" w:history="1">
        <w:r w:rsidR="00E363F7" w:rsidRPr="005968F9">
          <w:rPr>
            <w:rStyle w:val="Hyperlink"/>
            <w:noProof/>
          </w:rPr>
          <w:t>1.3 Assessment Methodology, Coverage, and Scheduling</w:t>
        </w:r>
        <w:r w:rsidR="00E363F7">
          <w:rPr>
            <w:noProof/>
            <w:webHidden/>
          </w:rPr>
          <w:tab/>
        </w:r>
        <w:r w:rsidR="00E363F7">
          <w:rPr>
            <w:noProof/>
            <w:webHidden/>
          </w:rPr>
          <w:fldChar w:fldCharType="begin"/>
        </w:r>
        <w:r w:rsidR="00E363F7">
          <w:rPr>
            <w:noProof/>
            <w:webHidden/>
          </w:rPr>
          <w:instrText xml:space="preserve"> PAGEREF _Toc454888781 \h </w:instrText>
        </w:r>
        <w:r w:rsidR="00E363F7">
          <w:rPr>
            <w:noProof/>
            <w:webHidden/>
          </w:rPr>
        </w:r>
        <w:r w:rsidR="00E363F7">
          <w:rPr>
            <w:noProof/>
            <w:webHidden/>
          </w:rPr>
          <w:fldChar w:fldCharType="separate"/>
        </w:r>
        <w:r w:rsidR="00A51E64">
          <w:rPr>
            <w:noProof/>
            <w:webHidden/>
          </w:rPr>
          <w:t>2</w:t>
        </w:r>
        <w:r w:rsidR="00E363F7">
          <w:rPr>
            <w:noProof/>
            <w:webHidden/>
          </w:rPr>
          <w:fldChar w:fldCharType="end"/>
        </w:r>
      </w:hyperlink>
    </w:p>
    <w:p w14:paraId="00AA097B" w14:textId="77777777" w:rsidR="00E363F7" w:rsidRDefault="00567312">
      <w:pPr>
        <w:pStyle w:val="TOC2"/>
        <w:rPr>
          <w:rFonts w:asciiTheme="minorHAnsi" w:eastAsiaTheme="minorEastAsia" w:hAnsiTheme="minorHAnsi" w:cstheme="minorBidi"/>
          <w:b w:val="0"/>
          <w:bCs w:val="0"/>
        </w:rPr>
      </w:pPr>
      <w:hyperlink w:anchor="_Toc454888782" w:history="1">
        <w:r w:rsidR="00E363F7" w:rsidRPr="005968F9">
          <w:rPr>
            <w:rStyle w:val="Hyperlink"/>
          </w:rPr>
          <w:t>Chapter 2. Country Background Information</w:t>
        </w:r>
        <w:r w:rsidR="00E363F7">
          <w:rPr>
            <w:webHidden/>
          </w:rPr>
          <w:tab/>
        </w:r>
        <w:r w:rsidR="00E363F7">
          <w:rPr>
            <w:webHidden/>
          </w:rPr>
          <w:fldChar w:fldCharType="begin"/>
        </w:r>
        <w:r w:rsidR="00E363F7">
          <w:rPr>
            <w:webHidden/>
          </w:rPr>
          <w:instrText xml:space="preserve"> PAGEREF _Toc454888782 \h </w:instrText>
        </w:r>
        <w:r w:rsidR="00E363F7">
          <w:rPr>
            <w:webHidden/>
          </w:rPr>
        </w:r>
        <w:r w:rsidR="00E363F7">
          <w:rPr>
            <w:webHidden/>
          </w:rPr>
          <w:fldChar w:fldCharType="separate"/>
        </w:r>
        <w:r w:rsidR="00A51E64">
          <w:rPr>
            <w:webHidden/>
          </w:rPr>
          <w:t>4</w:t>
        </w:r>
        <w:r w:rsidR="00E363F7">
          <w:rPr>
            <w:webHidden/>
          </w:rPr>
          <w:fldChar w:fldCharType="end"/>
        </w:r>
      </w:hyperlink>
    </w:p>
    <w:p w14:paraId="163A63F1" w14:textId="77777777" w:rsidR="00E363F7" w:rsidRDefault="00567312">
      <w:pPr>
        <w:pStyle w:val="TOC3"/>
        <w:rPr>
          <w:rFonts w:asciiTheme="minorHAnsi" w:eastAsiaTheme="minorEastAsia" w:hAnsiTheme="minorHAnsi" w:cstheme="minorBidi"/>
          <w:noProof/>
        </w:rPr>
      </w:pPr>
      <w:hyperlink w:anchor="_Toc454888783" w:history="1">
        <w:r w:rsidR="00E363F7" w:rsidRPr="005968F9">
          <w:rPr>
            <w:rStyle w:val="Hyperlink"/>
            <w:noProof/>
          </w:rPr>
          <w:t>2.1 Country Economic Situation</w:t>
        </w:r>
        <w:r w:rsidR="00E363F7">
          <w:rPr>
            <w:noProof/>
            <w:webHidden/>
          </w:rPr>
          <w:tab/>
        </w:r>
        <w:r w:rsidR="00E363F7">
          <w:rPr>
            <w:noProof/>
            <w:webHidden/>
          </w:rPr>
          <w:fldChar w:fldCharType="begin"/>
        </w:r>
        <w:r w:rsidR="00E363F7">
          <w:rPr>
            <w:noProof/>
            <w:webHidden/>
          </w:rPr>
          <w:instrText xml:space="preserve"> PAGEREF _Toc454888783 \h </w:instrText>
        </w:r>
        <w:r w:rsidR="00E363F7">
          <w:rPr>
            <w:noProof/>
            <w:webHidden/>
          </w:rPr>
        </w:r>
        <w:r w:rsidR="00E363F7">
          <w:rPr>
            <w:noProof/>
            <w:webHidden/>
          </w:rPr>
          <w:fldChar w:fldCharType="separate"/>
        </w:r>
        <w:r w:rsidR="00A51E64">
          <w:rPr>
            <w:noProof/>
            <w:webHidden/>
          </w:rPr>
          <w:t>4</w:t>
        </w:r>
        <w:r w:rsidR="00E363F7">
          <w:rPr>
            <w:noProof/>
            <w:webHidden/>
          </w:rPr>
          <w:fldChar w:fldCharType="end"/>
        </w:r>
      </w:hyperlink>
    </w:p>
    <w:p w14:paraId="5918C721" w14:textId="77777777" w:rsidR="00E363F7" w:rsidRDefault="00567312">
      <w:pPr>
        <w:pStyle w:val="TOC3"/>
        <w:rPr>
          <w:rFonts w:asciiTheme="minorHAnsi" w:eastAsiaTheme="minorEastAsia" w:hAnsiTheme="minorHAnsi" w:cstheme="minorBidi"/>
          <w:noProof/>
        </w:rPr>
      </w:pPr>
      <w:hyperlink w:anchor="_Toc454888784" w:history="1">
        <w:r w:rsidR="00E363F7" w:rsidRPr="005968F9">
          <w:rPr>
            <w:rStyle w:val="Hyperlink"/>
            <w:noProof/>
          </w:rPr>
          <w:t>2.2 Fiscal and Budgetary Trends</w:t>
        </w:r>
        <w:r w:rsidR="00E363F7">
          <w:rPr>
            <w:noProof/>
            <w:webHidden/>
          </w:rPr>
          <w:tab/>
        </w:r>
        <w:r w:rsidR="00E363F7">
          <w:rPr>
            <w:noProof/>
            <w:webHidden/>
          </w:rPr>
          <w:fldChar w:fldCharType="begin"/>
        </w:r>
        <w:r w:rsidR="00E363F7">
          <w:rPr>
            <w:noProof/>
            <w:webHidden/>
          </w:rPr>
          <w:instrText xml:space="preserve"> PAGEREF _Toc454888784 \h </w:instrText>
        </w:r>
        <w:r w:rsidR="00E363F7">
          <w:rPr>
            <w:noProof/>
            <w:webHidden/>
          </w:rPr>
        </w:r>
        <w:r w:rsidR="00E363F7">
          <w:rPr>
            <w:noProof/>
            <w:webHidden/>
          </w:rPr>
          <w:fldChar w:fldCharType="separate"/>
        </w:r>
        <w:r w:rsidR="00A51E64">
          <w:rPr>
            <w:noProof/>
            <w:webHidden/>
          </w:rPr>
          <w:t>5</w:t>
        </w:r>
        <w:r w:rsidR="00E363F7">
          <w:rPr>
            <w:noProof/>
            <w:webHidden/>
          </w:rPr>
          <w:fldChar w:fldCharType="end"/>
        </w:r>
      </w:hyperlink>
    </w:p>
    <w:p w14:paraId="269C1345" w14:textId="77777777" w:rsidR="00E363F7" w:rsidRDefault="00567312">
      <w:pPr>
        <w:pStyle w:val="TOC3"/>
        <w:rPr>
          <w:rFonts w:asciiTheme="minorHAnsi" w:eastAsiaTheme="minorEastAsia" w:hAnsiTheme="minorHAnsi" w:cstheme="minorBidi"/>
          <w:noProof/>
        </w:rPr>
      </w:pPr>
      <w:hyperlink w:anchor="_Toc454888785" w:history="1">
        <w:r w:rsidR="00E363F7" w:rsidRPr="005968F9">
          <w:rPr>
            <w:rStyle w:val="Hyperlink"/>
            <w:noProof/>
          </w:rPr>
          <w:t>2.3 Legal and regulatory arrangements for PFM</w:t>
        </w:r>
        <w:r w:rsidR="00E363F7">
          <w:rPr>
            <w:noProof/>
            <w:webHidden/>
          </w:rPr>
          <w:tab/>
        </w:r>
        <w:r w:rsidR="00E363F7">
          <w:rPr>
            <w:noProof/>
            <w:webHidden/>
          </w:rPr>
          <w:fldChar w:fldCharType="begin"/>
        </w:r>
        <w:r w:rsidR="00E363F7">
          <w:rPr>
            <w:noProof/>
            <w:webHidden/>
          </w:rPr>
          <w:instrText xml:space="preserve"> PAGEREF _Toc454888785 \h </w:instrText>
        </w:r>
        <w:r w:rsidR="00E363F7">
          <w:rPr>
            <w:noProof/>
            <w:webHidden/>
          </w:rPr>
        </w:r>
        <w:r w:rsidR="00E363F7">
          <w:rPr>
            <w:noProof/>
            <w:webHidden/>
          </w:rPr>
          <w:fldChar w:fldCharType="separate"/>
        </w:r>
        <w:r w:rsidR="00A51E64">
          <w:rPr>
            <w:noProof/>
            <w:webHidden/>
          </w:rPr>
          <w:t>9</w:t>
        </w:r>
        <w:r w:rsidR="00E363F7">
          <w:rPr>
            <w:noProof/>
            <w:webHidden/>
          </w:rPr>
          <w:fldChar w:fldCharType="end"/>
        </w:r>
      </w:hyperlink>
    </w:p>
    <w:p w14:paraId="4C9C0ACB" w14:textId="77777777" w:rsidR="00E363F7" w:rsidRDefault="00567312">
      <w:pPr>
        <w:pStyle w:val="TOC3"/>
        <w:rPr>
          <w:rFonts w:asciiTheme="minorHAnsi" w:eastAsiaTheme="minorEastAsia" w:hAnsiTheme="minorHAnsi" w:cstheme="minorBidi"/>
          <w:noProof/>
        </w:rPr>
      </w:pPr>
      <w:hyperlink w:anchor="_Toc454888786" w:history="1">
        <w:r w:rsidR="00E363F7" w:rsidRPr="005968F9">
          <w:rPr>
            <w:rStyle w:val="Hyperlink"/>
            <w:noProof/>
          </w:rPr>
          <w:t>2.4 Institutional arrangements for PFM</w:t>
        </w:r>
        <w:r w:rsidR="00E363F7">
          <w:rPr>
            <w:noProof/>
            <w:webHidden/>
          </w:rPr>
          <w:tab/>
        </w:r>
        <w:r w:rsidR="00E363F7">
          <w:rPr>
            <w:noProof/>
            <w:webHidden/>
          </w:rPr>
          <w:fldChar w:fldCharType="begin"/>
        </w:r>
        <w:r w:rsidR="00E363F7">
          <w:rPr>
            <w:noProof/>
            <w:webHidden/>
          </w:rPr>
          <w:instrText xml:space="preserve"> PAGEREF _Toc454888786 \h </w:instrText>
        </w:r>
        <w:r w:rsidR="00E363F7">
          <w:rPr>
            <w:noProof/>
            <w:webHidden/>
          </w:rPr>
        </w:r>
        <w:r w:rsidR="00E363F7">
          <w:rPr>
            <w:noProof/>
            <w:webHidden/>
          </w:rPr>
          <w:fldChar w:fldCharType="separate"/>
        </w:r>
        <w:r w:rsidR="00A51E64">
          <w:rPr>
            <w:noProof/>
            <w:webHidden/>
          </w:rPr>
          <w:t>14</w:t>
        </w:r>
        <w:r w:rsidR="00E363F7">
          <w:rPr>
            <w:noProof/>
            <w:webHidden/>
          </w:rPr>
          <w:fldChar w:fldCharType="end"/>
        </w:r>
      </w:hyperlink>
    </w:p>
    <w:p w14:paraId="1956E796" w14:textId="77777777" w:rsidR="00E363F7" w:rsidRDefault="00567312">
      <w:pPr>
        <w:pStyle w:val="TOC2"/>
        <w:rPr>
          <w:rFonts w:asciiTheme="minorHAnsi" w:eastAsiaTheme="minorEastAsia" w:hAnsiTheme="minorHAnsi" w:cstheme="minorBidi"/>
          <w:b w:val="0"/>
          <w:bCs w:val="0"/>
        </w:rPr>
      </w:pPr>
      <w:hyperlink w:anchor="_Toc454888787" w:history="1">
        <w:r w:rsidR="00E363F7" w:rsidRPr="005968F9">
          <w:rPr>
            <w:rStyle w:val="Hyperlink"/>
          </w:rPr>
          <w:t>Chapter 3. Assessment of PFM Systems, Processes and Institutions</w:t>
        </w:r>
        <w:r w:rsidR="00E363F7">
          <w:rPr>
            <w:webHidden/>
          </w:rPr>
          <w:tab/>
        </w:r>
        <w:r w:rsidR="00E363F7">
          <w:rPr>
            <w:webHidden/>
          </w:rPr>
          <w:fldChar w:fldCharType="begin"/>
        </w:r>
        <w:r w:rsidR="00E363F7">
          <w:rPr>
            <w:webHidden/>
          </w:rPr>
          <w:instrText xml:space="preserve"> PAGEREF _Toc454888787 \h </w:instrText>
        </w:r>
        <w:r w:rsidR="00E363F7">
          <w:rPr>
            <w:webHidden/>
          </w:rPr>
        </w:r>
        <w:r w:rsidR="00E363F7">
          <w:rPr>
            <w:webHidden/>
          </w:rPr>
          <w:fldChar w:fldCharType="separate"/>
        </w:r>
        <w:r w:rsidR="00A51E64">
          <w:rPr>
            <w:webHidden/>
          </w:rPr>
          <w:t>17</w:t>
        </w:r>
        <w:r w:rsidR="00E363F7">
          <w:rPr>
            <w:webHidden/>
          </w:rPr>
          <w:fldChar w:fldCharType="end"/>
        </w:r>
      </w:hyperlink>
    </w:p>
    <w:p w14:paraId="35FF372A" w14:textId="77777777" w:rsidR="00E363F7" w:rsidRDefault="00567312">
      <w:pPr>
        <w:pStyle w:val="TOC2"/>
        <w:rPr>
          <w:rFonts w:asciiTheme="minorHAnsi" w:eastAsiaTheme="minorEastAsia" w:hAnsiTheme="minorHAnsi" w:cstheme="minorBidi"/>
          <w:b w:val="0"/>
          <w:bCs w:val="0"/>
        </w:rPr>
      </w:pPr>
      <w:hyperlink w:anchor="_Toc454888788" w:history="1">
        <w:r w:rsidR="00E363F7" w:rsidRPr="005968F9">
          <w:rPr>
            <w:rStyle w:val="Hyperlink"/>
          </w:rPr>
          <w:t>Pillar I. Budget Reliability</w:t>
        </w:r>
        <w:r w:rsidR="00E363F7">
          <w:rPr>
            <w:webHidden/>
          </w:rPr>
          <w:tab/>
        </w:r>
        <w:r w:rsidR="00E363F7">
          <w:rPr>
            <w:webHidden/>
          </w:rPr>
          <w:fldChar w:fldCharType="begin"/>
        </w:r>
        <w:r w:rsidR="00E363F7">
          <w:rPr>
            <w:webHidden/>
          </w:rPr>
          <w:instrText xml:space="preserve"> PAGEREF _Toc454888788 \h </w:instrText>
        </w:r>
        <w:r w:rsidR="00E363F7">
          <w:rPr>
            <w:webHidden/>
          </w:rPr>
        </w:r>
        <w:r w:rsidR="00E363F7">
          <w:rPr>
            <w:webHidden/>
          </w:rPr>
          <w:fldChar w:fldCharType="separate"/>
        </w:r>
        <w:r w:rsidR="00A51E64">
          <w:rPr>
            <w:webHidden/>
          </w:rPr>
          <w:t>17</w:t>
        </w:r>
        <w:r w:rsidR="00E363F7">
          <w:rPr>
            <w:webHidden/>
          </w:rPr>
          <w:fldChar w:fldCharType="end"/>
        </w:r>
      </w:hyperlink>
    </w:p>
    <w:p w14:paraId="1AF41FA6" w14:textId="77777777" w:rsidR="00E363F7" w:rsidRDefault="00567312">
      <w:pPr>
        <w:pStyle w:val="TOC3"/>
        <w:rPr>
          <w:rFonts w:asciiTheme="minorHAnsi" w:eastAsiaTheme="minorEastAsia" w:hAnsiTheme="minorHAnsi" w:cstheme="minorBidi"/>
          <w:noProof/>
        </w:rPr>
      </w:pPr>
      <w:hyperlink w:anchor="_Toc454888789" w:history="1">
        <w:r w:rsidR="00E363F7" w:rsidRPr="005968F9">
          <w:rPr>
            <w:rStyle w:val="Hyperlink"/>
            <w:noProof/>
          </w:rPr>
          <w:t>PI-1 Aggregate expenditure outturn</w:t>
        </w:r>
        <w:r w:rsidR="00E363F7">
          <w:rPr>
            <w:noProof/>
            <w:webHidden/>
          </w:rPr>
          <w:tab/>
        </w:r>
        <w:r w:rsidR="00E363F7">
          <w:rPr>
            <w:noProof/>
            <w:webHidden/>
          </w:rPr>
          <w:fldChar w:fldCharType="begin"/>
        </w:r>
        <w:r w:rsidR="00E363F7">
          <w:rPr>
            <w:noProof/>
            <w:webHidden/>
          </w:rPr>
          <w:instrText xml:space="preserve"> PAGEREF _Toc454888789 \h </w:instrText>
        </w:r>
        <w:r w:rsidR="00E363F7">
          <w:rPr>
            <w:noProof/>
            <w:webHidden/>
          </w:rPr>
        </w:r>
        <w:r w:rsidR="00E363F7">
          <w:rPr>
            <w:noProof/>
            <w:webHidden/>
          </w:rPr>
          <w:fldChar w:fldCharType="separate"/>
        </w:r>
        <w:r w:rsidR="00A51E64">
          <w:rPr>
            <w:noProof/>
            <w:webHidden/>
          </w:rPr>
          <w:t>17</w:t>
        </w:r>
        <w:r w:rsidR="00E363F7">
          <w:rPr>
            <w:noProof/>
            <w:webHidden/>
          </w:rPr>
          <w:fldChar w:fldCharType="end"/>
        </w:r>
      </w:hyperlink>
    </w:p>
    <w:p w14:paraId="226EF188" w14:textId="77777777" w:rsidR="00E363F7" w:rsidRDefault="00567312">
      <w:pPr>
        <w:pStyle w:val="TOC3"/>
        <w:rPr>
          <w:rFonts w:asciiTheme="minorHAnsi" w:eastAsiaTheme="minorEastAsia" w:hAnsiTheme="minorHAnsi" w:cstheme="minorBidi"/>
          <w:noProof/>
        </w:rPr>
      </w:pPr>
      <w:hyperlink w:anchor="_Toc454888790" w:history="1">
        <w:r w:rsidR="00E363F7" w:rsidRPr="005968F9">
          <w:rPr>
            <w:rStyle w:val="Hyperlink"/>
            <w:noProof/>
          </w:rPr>
          <w:t>PI-2 Expenditure composition outturn</w:t>
        </w:r>
        <w:r w:rsidR="00E363F7">
          <w:rPr>
            <w:noProof/>
            <w:webHidden/>
          </w:rPr>
          <w:tab/>
        </w:r>
        <w:r w:rsidR="00E363F7">
          <w:rPr>
            <w:noProof/>
            <w:webHidden/>
          </w:rPr>
          <w:fldChar w:fldCharType="begin"/>
        </w:r>
        <w:r w:rsidR="00E363F7">
          <w:rPr>
            <w:noProof/>
            <w:webHidden/>
          </w:rPr>
          <w:instrText xml:space="preserve"> PAGEREF _Toc454888790 \h </w:instrText>
        </w:r>
        <w:r w:rsidR="00E363F7">
          <w:rPr>
            <w:noProof/>
            <w:webHidden/>
          </w:rPr>
        </w:r>
        <w:r w:rsidR="00E363F7">
          <w:rPr>
            <w:noProof/>
            <w:webHidden/>
          </w:rPr>
          <w:fldChar w:fldCharType="separate"/>
        </w:r>
        <w:r w:rsidR="00A51E64">
          <w:rPr>
            <w:noProof/>
            <w:webHidden/>
          </w:rPr>
          <w:t>18</w:t>
        </w:r>
        <w:r w:rsidR="00E363F7">
          <w:rPr>
            <w:noProof/>
            <w:webHidden/>
          </w:rPr>
          <w:fldChar w:fldCharType="end"/>
        </w:r>
      </w:hyperlink>
    </w:p>
    <w:p w14:paraId="1534BA29" w14:textId="77777777" w:rsidR="00E363F7" w:rsidRDefault="00567312">
      <w:pPr>
        <w:pStyle w:val="TOC3"/>
        <w:rPr>
          <w:rFonts w:asciiTheme="minorHAnsi" w:eastAsiaTheme="minorEastAsia" w:hAnsiTheme="minorHAnsi" w:cstheme="minorBidi"/>
          <w:noProof/>
        </w:rPr>
      </w:pPr>
      <w:hyperlink w:anchor="_Toc454888791" w:history="1">
        <w:r w:rsidR="00E363F7" w:rsidRPr="005968F9">
          <w:rPr>
            <w:rStyle w:val="Hyperlink"/>
            <w:noProof/>
          </w:rPr>
          <w:t>PI-3 Revenue outturn</w:t>
        </w:r>
        <w:r w:rsidR="00E363F7">
          <w:rPr>
            <w:noProof/>
            <w:webHidden/>
          </w:rPr>
          <w:tab/>
        </w:r>
        <w:r w:rsidR="00E363F7">
          <w:rPr>
            <w:noProof/>
            <w:webHidden/>
          </w:rPr>
          <w:fldChar w:fldCharType="begin"/>
        </w:r>
        <w:r w:rsidR="00E363F7">
          <w:rPr>
            <w:noProof/>
            <w:webHidden/>
          </w:rPr>
          <w:instrText xml:space="preserve"> PAGEREF _Toc454888791 \h </w:instrText>
        </w:r>
        <w:r w:rsidR="00E363F7">
          <w:rPr>
            <w:noProof/>
            <w:webHidden/>
          </w:rPr>
        </w:r>
        <w:r w:rsidR="00E363F7">
          <w:rPr>
            <w:noProof/>
            <w:webHidden/>
          </w:rPr>
          <w:fldChar w:fldCharType="separate"/>
        </w:r>
        <w:r w:rsidR="00A51E64">
          <w:rPr>
            <w:noProof/>
            <w:webHidden/>
          </w:rPr>
          <w:t>21</w:t>
        </w:r>
        <w:r w:rsidR="00E363F7">
          <w:rPr>
            <w:noProof/>
            <w:webHidden/>
          </w:rPr>
          <w:fldChar w:fldCharType="end"/>
        </w:r>
      </w:hyperlink>
    </w:p>
    <w:p w14:paraId="22D682E0" w14:textId="77777777" w:rsidR="00E363F7" w:rsidRDefault="00567312">
      <w:pPr>
        <w:pStyle w:val="TOC2"/>
        <w:rPr>
          <w:rFonts w:asciiTheme="minorHAnsi" w:eastAsiaTheme="minorEastAsia" w:hAnsiTheme="minorHAnsi" w:cstheme="minorBidi"/>
          <w:b w:val="0"/>
          <w:bCs w:val="0"/>
        </w:rPr>
      </w:pPr>
      <w:hyperlink w:anchor="_Toc454888792" w:history="1">
        <w:r w:rsidR="00E363F7" w:rsidRPr="005968F9">
          <w:rPr>
            <w:rStyle w:val="Hyperlink"/>
          </w:rPr>
          <w:t>Pillar II. Transparency of Public Finances</w:t>
        </w:r>
        <w:r w:rsidR="00E363F7">
          <w:rPr>
            <w:webHidden/>
          </w:rPr>
          <w:tab/>
        </w:r>
        <w:r w:rsidR="00E363F7">
          <w:rPr>
            <w:webHidden/>
          </w:rPr>
          <w:fldChar w:fldCharType="begin"/>
        </w:r>
        <w:r w:rsidR="00E363F7">
          <w:rPr>
            <w:webHidden/>
          </w:rPr>
          <w:instrText xml:space="preserve"> PAGEREF _Toc454888792 \h </w:instrText>
        </w:r>
        <w:r w:rsidR="00E363F7">
          <w:rPr>
            <w:webHidden/>
          </w:rPr>
        </w:r>
        <w:r w:rsidR="00E363F7">
          <w:rPr>
            <w:webHidden/>
          </w:rPr>
          <w:fldChar w:fldCharType="separate"/>
        </w:r>
        <w:r w:rsidR="00A51E64">
          <w:rPr>
            <w:webHidden/>
          </w:rPr>
          <w:t>22</w:t>
        </w:r>
        <w:r w:rsidR="00E363F7">
          <w:rPr>
            <w:webHidden/>
          </w:rPr>
          <w:fldChar w:fldCharType="end"/>
        </w:r>
      </w:hyperlink>
    </w:p>
    <w:p w14:paraId="1A6785E6" w14:textId="77777777" w:rsidR="00E363F7" w:rsidRDefault="00567312">
      <w:pPr>
        <w:pStyle w:val="TOC3"/>
        <w:rPr>
          <w:rFonts w:asciiTheme="minorHAnsi" w:eastAsiaTheme="minorEastAsia" w:hAnsiTheme="minorHAnsi" w:cstheme="minorBidi"/>
          <w:noProof/>
        </w:rPr>
      </w:pPr>
      <w:hyperlink w:anchor="_Toc454888793" w:history="1">
        <w:r w:rsidR="00E363F7" w:rsidRPr="005968F9">
          <w:rPr>
            <w:rStyle w:val="Hyperlink"/>
            <w:noProof/>
          </w:rPr>
          <w:t>PI-4 Budget classification</w:t>
        </w:r>
        <w:r w:rsidR="00E363F7">
          <w:rPr>
            <w:noProof/>
            <w:webHidden/>
          </w:rPr>
          <w:tab/>
        </w:r>
        <w:r w:rsidR="00E363F7">
          <w:rPr>
            <w:noProof/>
            <w:webHidden/>
          </w:rPr>
          <w:fldChar w:fldCharType="begin"/>
        </w:r>
        <w:r w:rsidR="00E363F7">
          <w:rPr>
            <w:noProof/>
            <w:webHidden/>
          </w:rPr>
          <w:instrText xml:space="preserve"> PAGEREF _Toc454888793 \h </w:instrText>
        </w:r>
        <w:r w:rsidR="00E363F7">
          <w:rPr>
            <w:noProof/>
            <w:webHidden/>
          </w:rPr>
        </w:r>
        <w:r w:rsidR="00E363F7">
          <w:rPr>
            <w:noProof/>
            <w:webHidden/>
          </w:rPr>
          <w:fldChar w:fldCharType="separate"/>
        </w:r>
        <w:r w:rsidR="00A51E64">
          <w:rPr>
            <w:noProof/>
            <w:webHidden/>
          </w:rPr>
          <w:t>22</w:t>
        </w:r>
        <w:r w:rsidR="00E363F7">
          <w:rPr>
            <w:noProof/>
            <w:webHidden/>
          </w:rPr>
          <w:fldChar w:fldCharType="end"/>
        </w:r>
      </w:hyperlink>
    </w:p>
    <w:p w14:paraId="108876B7" w14:textId="77777777" w:rsidR="00E363F7" w:rsidRDefault="00567312">
      <w:pPr>
        <w:pStyle w:val="TOC3"/>
        <w:rPr>
          <w:rFonts w:asciiTheme="minorHAnsi" w:eastAsiaTheme="minorEastAsia" w:hAnsiTheme="minorHAnsi" w:cstheme="minorBidi"/>
          <w:noProof/>
        </w:rPr>
      </w:pPr>
      <w:hyperlink w:anchor="_Toc454888794" w:history="1">
        <w:r w:rsidR="00E363F7" w:rsidRPr="005968F9">
          <w:rPr>
            <w:rStyle w:val="Hyperlink"/>
            <w:noProof/>
          </w:rPr>
          <w:t>PI-5 Budget documentation</w:t>
        </w:r>
        <w:r w:rsidR="00E363F7">
          <w:rPr>
            <w:noProof/>
            <w:webHidden/>
          </w:rPr>
          <w:tab/>
        </w:r>
        <w:r w:rsidR="00E363F7">
          <w:rPr>
            <w:noProof/>
            <w:webHidden/>
          </w:rPr>
          <w:fldChar w:fldCharType="begin"/>
        </w:r>
        <w:r w:rsidR="00E363F7">
          <w:rPr>
            <w:noProof/>
            <w:webHidden/>
          </w:rPr>
          <w:instrText xml:space="preserve"> PAGEREF _Toc454888794 \h </w:instrText>
        </w:r>
        <w:r w:rsidR="00E363F7">
          <w:rPr>
            <w:noProof/>
            <w:webHidden/>
          </w:rPr>
        </w:r>
        <w:r w:rsidR="00E363F7">
          <w:rPr>
            <w:noProof/>
            <w:webHidden/>
          </w:rPr>
          <w:fldChar w:fldCharType="separate"/>
        </w:r>
        <w:r w:rsidR="00A51E64">
          <w:rPr>
            <w:noProof/>
            <w:webHidden/>
          </w:rPr>
          <w:t>23</w:t>
        </w:r>
        <w:r w:rsidR="00E363F7">
          <w:rPr>
            <w:noProof/>
            <w:webHidden/>
          </w:rPr>
          <w:fldChar w:fldCharType="end"/>
        </w:r>
      </w:hyperlink>
    </w:p>
    <w:p w14:paraId="5E3EF9C2" w14:textId="77777777" w:rsidR="00E363F7" w:rsidRDefault="00567312">
      <w:pPr>
        <w:pStyle w:val="TOC3"/>
        <w:rPr>
          <w:rFonts w:asciiTheme="minorHAnsi" w:eastAsiaTheme="minorEastAsia" w:hAnsiTheme="minorHAnsi" w:cstheme="minorBidi"/>
          <w:noProof/>
        </w:rPr>
      </w:pPr>
      <w:hyperlink w:anchor="_Toc454888795" w:history="1">
        <w:r w:rsidR="00E363F7" w:rsidRPr="005968F9">
          <w:rPr>
            <w:rStyle w:val="Hyperlink"/>
            <w:noProof/>
          </w:rPr>
          <w:t>PI-6 Central government operations outside financial reports</w:t>
        </w:r>
        <w:r w:rsidR="00E363F7">
          <w:rPr>
            <w:noProof/>
            <w:webHidden/>
          </w:rPr>
          <w:tab/>
        </w:r>
        <w:r w:rsidR="00E363F7">
          <w:rPr>
            <w:noProof/>
            <w:webHidden/>
          </w:rPr>
          <w:fldChar w:fldCharType="begin"/>
        </w:r>
        <w:r w:rsidR="00E363F7">
          <w:rPr>
            <w:noProof/>
            <w:webHidden/>
          </w:rPr>
          <w:instrText xml:space="preserve"> PAGEREF _Toc454888795 \h </w:instrText>
        </w:r>
        <w:r w:rsidR="00E363F7">
          <w:rPr>
            <w:noProof/>
            <w:webHidden/>
          </w:rPr>
        </w:r>
        <w:r w:rsidR="00E363F7">
          <w:rPr>
            <w:noProof/>
            <w:webHidden/>
          </w:rPr>
          <w:fldChar w:fldCharType="separate"/>
        </w:r>
        <w:r w:rsidR="00A51E64">
          <w:rPr>
            <w:noProof/>
            <w:webHidden/>
          </w:rPr>
          <w:t>27</w:t>
        </w:r>
        <w:r w:rsidR="00E363F7">
          <w:rPr>
            <w:noProof/>
            <w:webHidden/>
          </w:rPr>
          <w:fldChar w:fldCharType="end"/>
        </w:r>
      </w:hyperlink>
    </w:p>
    <w:p w14:paraId="310078EB" w14:textId="77777777" w:rsidR="00E363F7" w:rsidRDefault="00567312">
      <w:pPr>
        <w:pStyle w:val="TOC3"/>
        <w:rPr>
          <w:rFonts w:asciiTheme="minorHAnsi" w:eastAsiaTheme="minorEastAsia" w:hAnsiTheme="minorHAnsi" w:cstheme="minorBidi"/>
          <w:noProof/>
        </w:rPr>
      </w:pPr>
      <w:hyperlink w:anchor="_Toc454888796" w:history="1">
        <w:r w:rsidR="00E363F7" w:rsidRPr="005968F9">
          <w:rPr>
            <w:rStyle w:val="Hyperlink"/>
            <w:noProof/>
          </w:rPr>
          <w:t>PI-7 Transfers to subnational governments</w:t>
        </w:r>
        <w:r w:rsidR="00E363F7">
          <w:rPr>
            <w:noProof/>
            <w:webHidden/>
          </w:rPr>
          <w:tab/>
        </w:r>
        <w:r w:rsidR="00E363F7">
          <w:rPr>
            <w:noProof/>
            <w:webHidden/>
          </w:rPr>
          <w:fldChar w:fldCharType="begin"/>
        </w:r>
        <w:r w:rsidR="00E363F7">
          <w:rPr>
            <w:noProof/>
            <w:webHidden/>
          </w:rPr>
          <w:instrText xml:space="preserve"> PAGEREF _Toc454888796 \h </w:instrText>
        </w:r>
        <w:r w:rsidR="00E363F7">
          <w:rPr>
            <w:noProof/>
            <w:webHidden/>
          </w:rPr>
        </w:r>
        <w:r w:rsidR="00E363F7">
          <w:rPr>
            <w:noProof/>
            <w:webHidden/>
          </w:rPr>
          <w:fldChar w:fldCharType="separate"/>
        </w:r>
        <w:r w:rsidR="00A51E64">
          <w:rPr>
            <w:noProof/>
            <w:webHidden/>
          </w:rPr>
          <w:t>28</w:t>
        </w:r>
        <w:r w:rsidR="00E363F7">
          <w:rPr>
            <w:noProof/>
            <w:webHidden/>
          </w:rPr>
          <w:fldChar w:fldCharType="end"/>
        </w:r>
      </w:hyperlink>
    </w:p>
    <w:p w14:paraId="7A2BA95B" w14:textId="77777777" w:rsidR="00E363F7" w:rsidRDefault="00567312">
      <w:pPr>
        <w:pStyle w:val="TOC3"/>
        <w:rPr>
          <w:rFonts w:asciiTheme="minorHAnsi" w:eastAsiaTheme="minorEastAsia" w:hAnsiTheme="minorHAnsi" w:cstheme="minorBidi"/>
          <w:noProof/>
        </w:rPr>
      </w:pPr>
      <w:hyperlink w:anchor="_Toc454888797" w:history="1">
        <w:r w:rsidR="00E363F7" w:rsidRPr="005968F9">
          <w:rPr>
            <w:rStyle w:val="Hyperlink"/>
            <w:noProof/>
          </w:rPr>
          <w:t>PI-8 Performance information for service delivery</w:t>
        </w:r>
        <w:r w:rsidR="00E363F7">
          <w:rPr>
            <w:noProof/>
            <w:webHidden/>
          </w:rPr>
          <w:tab/>
        </w:r>
        <w:r w:rsidR="00E363F7">
          <w:rPr>
            <w:noProof/>
            <w:webHidden/>
          </w:rPr>
          <w:fldChar w:fldCharType="begin"/>
        </w:r>
        <w:r w:rsidR="00E363F7">
          <w:rPr>
            <w:noProof/>
            <w:webHidden/>
          </w:rPr>
          <w:instrText xml:space="preserve"> PAGEREF _Toc454888797 \h </w:instrText>
        </w:r>
        <w:r w:rsidR="00E363F7">
          <w:rPr>
            <w:noProof/>
            <w:webHidden/>
          </w:rPr>
        </w:r>
        <w:r w:rsidR="00E363F7">
          <w:rPr>
            <w:noProof/>
            <w:webHidden/>
          </w:rPr>
          <w:fldChar w:fldCharType="separate"/>
        </w:r>
        <w:r w:rsidR="00A51E64">
          <w:rPr>
            <w:noProof/>
            <w:webHidden/>
          </w:rPr>
          <w:t>29</w:t>
        </w:r>
        <w:r w:rsidR="00E363F7">
          <w:rPr>
            <w:noProof/>
            <w:webHidden/>
          </w:rPr>
          <w:fldChar w:fldCharType="end"/>
        </w:r>
      </w:hyperlink>
    </w:p>
    <w:p w14:paraId="780D0E07" w14:textId="77777777" w:rsidR="00E363F7" w:rsidRDefault="00567312">
      <w:pPr>
        <w:pStyle w:val="TOC3"/>
        <w:rPr>
          <w:rFonts w:asciiTheme="minorHAnsi" w:eastAsiaTheme="minorEastAsia" w:hAnsiTheme="minorHAnsi" w:cstheme="minorBidi"/>
          <w:noProof/>
        </w:rPr>
      </w:pPr>
      <w:hyperlink w:anchor="_Toc454888798" w:history="1">
        <w:r w:rsidR="00E363F7" w:rsidRPr="005968F9">
          <w:rPr>
            <w:rStyle w:val="Hyperlink"/>
            <w:noProof/>
          </w:rPr>
          <w:t>PI-9 Public access to fiscal information</w:t>
        </w:r>
        <w:r w:rsidR="00E363F7">
          <w:rPr>
            <w:noProof/>
            <w:webHidden/>
          </w:rPr>
          <w:tab/>
        </w:r>
        <w:r w:rsidR="00E363F7">
          <w:rPr>
            <w:noProof/>
            <w:webHidden/>
          </w:rPr>
          <w:fldChar w:fldCharType="begin"/>
        </w:r>
        <w:r w:rsidR="00E363F7">
          <w:rPr>
            <w:noProof/>
            <w:webHidden/>
          </w:rPr>
          <w:instrText xml:space="preserve"> PAGEREF _Toc454888798 \h </w:instrText>
        </w:r>
        <w:r w:rsidR="00E363F7">
          <w:rPr>
            <w:noProof/>
            <w:webHidden/>
          </w:rPr>
        </w:r>
        <w:r w:rsidR="00E363F7">
          <w:rPr>
            <w:noProof/>
            <w:webHidden/>
          </w:rPr>
          <w:fldChar w:fldCharType="separate"/>
        </w:r>
        <w:r w:rsidR="00A51E64">
          <w:rPr>
            <w:noProof/>
            <w:webHidden/>
          </w:rPr>
          <w:t>32</w:t>
        </w:r>
        <w:r w:rsidR="00E363F7">
          <w:rPr>
            <w:noProof/>
            <w:webHidden/>
          </w:rPr>
          <w:fldChar w:fldCharType="end"/>
        </w:r>
      </w:hyperlink>
    </w:p>
    <w:p w14:paraId="27E01A0E" w14:textId="77777777" w:rsidR="00E363F7" w:rsidRDefault="00567312">
      <w:pPr>
        <w:pStyle w:val="TOC2"/>
        <w:rPr>
          <w:rFonts w:asciiTheme="minorHAnsi" w:eastAsiaTheme="minorEastAsia" w:hAnsiTheme="minorHAnsi" w:cstheme="minorBidi"/>
          <w:b w:val="0"/>
          <w:bCs w:val="0"/>
        </w:rPr>
      </w:pPr>
      <w:hyperlink w:anchor="_Toc454888799" w:history="1">
        <w:r w:rsidR="00E363F7" w:rsidRPr="005968F9">
          <w:rPr>
            <w:rStyle w:val="Hyperlink"/>
          </w:rPr>
          <w:t>Pillar III. Management of Assets and Liabilities</w:t>
        </w:r>
        <w:r w:rsidR="00E363F7">
          <w:rPr>
            <w:webHidden/>
          </w:rPr>
          <w:tab/>
        </w:r>
        <w:r w:rsidR="00E363F7">
          <w:rPr>
            <w:webHidden/>
          </w:rPr>
          <w:fldChar w:fldCharType="begin"/>
        </w:r>
        <w:r w:rsidR="00E363F7">
          <w:rPr>
            <w:webHidden/>
          </w:rPr>
          <w:instrText xml:space="preserve"> PAGEREF _Toc454888799 \h </w:instrText>
        </w:r>
        <w:r w:rsidR="00E363F7">
          <w:rPr>
            <w:webHidden/>
          </w:rPr>
        </w:r>
        <w:r w:rsidR="00E363F7">
          <w:rPr>
            <w:webHidden/>
          </w:rPr>
          <w:fldChar w:fldCharType="separate"/>
        </w:r>
        <w:r w:rsidR="00A51E64">
          <w:rPr>
            <w:webHidden/>
          </w:rPr>
          <w:t>34</w:t>
        </w:r>
        <w:r w:rsidR="00E363F7">
          <w:rPr>
            <w:webHidden/>
          </w:rPr>
          <w:fldChar w:fldCharType="end"/>
        </w:r>
      </w:hyperlink>
    </w:p>
    <w:p w14:paraId="7E163F07" w14:textId="4B499E33" w:rsidR="00E363F7" w:rsidRDefault="00567312">
      <w:pPr>
        <w:pStyle w:val="TOC3"/>
        <w:rPr>
          <w:rFonts w:asciiTheme="minorHAnsi" w:eastAsiaTheme="minorEastAsia" w:hAnsiTheme="minorHAnsi" w:cstheme="minorBidi"/>
          <w:noProof/>
        </w:rPr>
      </w:pPr>
      <w:hyperlink w:anchor="_Toc454888800" w:history="1">
        <w:r w:rsidR="00E363F7" w:rsidRPr="005968F9">
          <w:rPr>
            <w:rStyle w:val="Hyperlink"/>
            <w:noProof/>
          </w:rPr>
          <w:t>PI-10 Fiscal risk reporting</w:t>
        </w:r>
        <w:r w:rsidR="00E363F7">
          <w:rPr>
            <w:noProof/>
            <w:webHidden/>
          </w:rPr>
          <w:tab/>
        </w:r>
        <w:r w:rsidR="00E363F7">
          <w:rPr>
            <w:noProof/>
            <w:webHidden/>
          </w:rPr>
          <w:fldChar w:fldCharType="begin"/>
        </w:r>
        <w:r w:rsidR="00E363F7">
          <w:rPr>
            <w:noProof/>
            <w:webHidden/>
          </w:rPr>
          <w:instrText xml:space="preserve"> PAGEREF _Toc454888800 \h </w:instrText>
        </w:r>
        <w:r w:rsidR="00E363F7">
          <w:rPr>
            <w:noProof/>
            <w:webHidden/>
          </w:rPr>
        </w:r>
        <w:r w:rsidR="00E363F7">
          <w:rPr>
            <w:noProof/>
            <w:webHidden/>
          </w:rPr>
          <w:fldChar w:fldCharType="separate"/>
        </w:r>
        <w:r w:rsidR="00A51E64">
          <w:rPr>
            <w:noProof/>
            <w:webHidden/>
          </w:rPr>
          <w:t>34</w:t>
        </w:r>
        <w:r w:rsidR="00E363F7">
          <w:rPr>
            <w:noProof/>
            <w:webHidden/>
          </w:rPr>
          <w:fldChar w:fldCharType="end"/>
        </w:r>
      </w:hyperlink>
    </w:p>
    <w:p w14:paraId="712BCDF6" w14:textId="52D97129" w:rsidR="00E363F7" w:rsidRDefault="00567312">
      <w:pPr>
        <w:pStyle w:val="TOC3"/>
        <w:rPr>
          <w:rFonts w:asciiTheme="minorHAnsi" w:eastAsiaTheme="minorEastAsia" w:hAnsiTheme="minorHAnsi" w:cstheme="minorBidi"/>
          <w:noProof/>
        </w:rPr>
      </w:pPr>
      <w:hyperlink w:anchor="_Toc454888804" w:history="1">
        <w:r w:rsidR="00E363F7" w:rsidRPr="005968F9">
          <w:rPr>
            <w:rStyle w:val="Hyperlink"/>
            <w:noProof/>
          </w:rPr>
          <w:t>PI-11 Public investment management</w:t>
        </w:r>
        <w:r w:rsidR="00E363F7">
          <w:rPr>
            <w:noProof/>
            <w:webHidden/>
          </w:rPr>
          <w:tab/>
        </w:r>
        <w:r w:rsidR="00E363F7">
          <w:rPr>
            <w:noProof/>
            <w:webHidden/>
          </w:rPr>
          <w:fldChar w:fldCharType="begin"/>
        </w:r>
        <w:r w:rsidR="00E363F7">
          <w:rPr>
            <w:noProof/>
            <w:webHidden/>
          </w:rPr>
          <w:instrText xml:space="preserve"> PAGEREF _Toc454888804 \h </w:instrText>
        </w:r>
        <w:r w:rsidR="00E363F7">
          <w:rPr>
            <w:noProof/>
            <w:webHidden/>
          </w:rPr>
        </w:r>
        <w:r w:rsidR="00E363F7">
          <w:rPr>
            <w:noProof/>
            <w:webHidden/>
          </w:rPr>
          <w:fldChar w:fldCharType="separate"/>
        </w:r>
        <w:r w:rsidR="00A51E64">
          <w:rPr>
            <w:noProof/>
            <w:webHidden/>
          </w:rPr>
          <w:t>37</w:t>
        </w:r>
        <w:r w:rsidR="00E363F7">
          <w:rPr>
            <w:noProof/>
            <w:webHidden/>
          </w:rPr>
          <w:fldChar w:fldCharType="end"/>
        </w:r>
      </w:hyperlink>
    </w:p>
    <w:p w14:paraId="38893D05" w14:textId="77777777" w:rsidR="00E363F7" w:rsidRDefault="00567312">
      <w:pPr>
        <w:pStyle w:val="TOC3"/>
        <w:rPr>
          <w:rFonts w:asciiTheme="minorHAnsi" w:eastAsiaTheme="minorEastAsia" w:hAnsiTheme="minorHAnsi" w:cstheme="minorBidi"/>
          <w:noProof/>
        </w:rPr>
      </w:pPr>
      <w:hyperlink w:anchor="_Toc454888806" w:history="1">
        <w:r w:rsidR="00E363F7" w:rsidRPr="005968F9">
          <w:rPr>
            <w:rStyle w:val="Hyperlink"/>
            <w:noProof/>
          </w:rPr>
          <w:t>PI-12 Public asset management</w:t>
        </w:r>
        <w:r w:rsidR="00E363F7">
          <w:rPr>
            <w:noProof/>
            <w:webHidden/>
          </w:rPr>
          <w:tab/>
        </w:r>
        <w:r w:rsidR="00E363F7">
          <w:rPr>
            <w:noProof/>
            <w:webHidden/>
          </w:rPr>
          <w:fldChar w:fldCharType="begin"/>
        </w:r>
        <w:r w:rsidR="00E363F7">
          <w:rPr>
            <w:noProof/>
            <w:webHidden/>
          </w:rPr>
          <w:instrText xml:space="preserve"> PAGEREF _Toc454888806 \h </w:instrText>
        </w:r>
        <w:r w:rsidR="00E363F7">
          <w:rPr>
            <w:noProof/>
            <w:webHidden/>
          </w:rPr>
        </w:r>
        <w:r w:rsidR="00E363F7">
          <w:rPr>
            <w:noProof/>
            <w:webHidden/>
          </w:rPr>
          <w:fldChar w:fldCharType="separate"/>
        </w:r>
        <w:r w:rsidR="00A51E64">
          <w:rPr>
            <w:noProof/>
            <w:webHidden/>
          </w:rPr>
          <w:t>41</w:t>
        </w:r>
        <w:r w:rsidR="00E363F7">
          <w:rPr>
            <w:noProof/>
            <w:webHidden/>
          </w:rPr>
          <w:fldChar w:fldCharType="end"/>
        </w:r>
      </w:hyperlink>
    </w:p>
    <w:p w14:paraId="03F6BCF7" w14:textId="77777777" w:rsidR="00E363F7" w:rsidRDefault="00567312">
      <w:pPr>
        <w:pStyle w:val="TOC3"/>
        <w:rPr>
          <w:rFonts w:asciiTheme="minorHAnsi" w:eastAsiaTheme="minorEastAsia" w:hAnsiTheme="minorHAnsi" w:cstheme="minorBidi"/>
          <w:noProof/>
        </w:rPr>
      </w:pPr>
      <w:hyperlink w:anchor="_Toc454888807" w:history="1">
        <w:r w:rsidR="00E363F7" w:rsidRPr="005968F9">
          <w:rPr>
            <w:rStyle w:val="Hyperlink"/>
            <w:noProof/>
          </w:rPr>
          <w:t>PI-13 Debt management</w:t>
        </w:r>
        <w:r w:rsidR="00E363F7">
          <w:rPr>
            <w:noProof/>
            <w:webHidden/>
          </w:rPr>
          <w:tab/>
        </w:r>
        <w:r w:rsidR="00E363F7">
          <w:rPr>
            <w:noProof/>
            <w:webHidden/>
          </w:rPr>
          <w:fldChar w:fldCharType="begin"/>
        </w:r>
        <w:r w:rsidR="00E363F7">
          <w:rPr>
            <w:noProof/>
            <w:webHidden/>
          </w:rPr>
          <w:instrText xml:space="preserve"> PAGEREF _Toc454888807 \h </w:instrText>
        </w:r>
        <w:r w:rsidR="00E363F7">
          <w:rPr>
            <w:noProof/>
            <w:webHidden/>
          </w:rPr>
        </w:r>
        <w:r w:rsidR="00E363F7">
          <w:rPr>
            <w:noProof/>
            <w:webHidden/>
          </w:rPr>
          <w:fldChar w:fldCharType="separate"/>
        </w:r>
        <w:r w:rsidR="00A51E64">
          <w:rPr>
            <w:noProof/>
            <w:webHidden/>
          </w:rPr>
          <w:t>43</w:t>
        </w:r>
        <w:r w:rsidR="00E363F7">
          <w:rPr>
            <w:noProof/>
            <w:webHidden/>
          </w:rPr>
          <w:fldChar w:fldCharType="end"/>
        </w:r>
      </w:hyperlink>
    </w:p>
    <w:p w14:paraId="2BBC0289" w14:textId="77777777" w:rsidR="00E363F7" w:rsidRDefault="00567312">
      <w:pPr>
        <w:pStyle w:val="TOC2"/>
        <w:rPr>
          <w:rFonts w:asciiTheme="minorHAnsi" w:eastAsiaTheme="minorEastAsia" w:hAnsiTheme="minorHAnsi" w:cstheme="minorBidi"/>
          <w:b w:val="0"/>
          <w:bCs w:val="0"/>
        </w:rPr>
      </w:pPr>
      <w:hyperlink w:anchor="_Toc454888808" w:history="1">
        <w:r w:rsidR="00E363F7" w:rsidRPr="005968F9">
          <w:rPr>
            <w:rStyle w:val="Hyperlink"/>
          </w:rPr>
          <w:t>Pillar IV. Policy-Based Fiscal Strategy and Budgeting</w:t>
        </w:r>
        <w:r w:rsidR="00E363F7">
          <w:rPr>
            <w:webHidden/>
          </w:rPr>
          <w:tab/>
        </w:r>
        <w:r w:rsidR="00E363F7">
          <w:rPr>
            <w:webHidden/>
          </w:rPr>
          <w:fldChar w:fldCharType="begin"/>
        </w:r>
        <w:r w:rsidR="00E363F7">
          <w:rPr>
            <w:webHidden/>
          </w:rPr>
          <w:instrText xml:space="preserve"> PAGEREF _Toc454888808 \h </w:instrText>
        </w:r>
        <w:r w:rsidR="00E363F7">
          <w:rPr>
            <w:webHidden/>
          </w:rPr>
        </w:r>
        <w:r w:rsidR="00E363F7">
          <w:rPr>
            <w:webHidden/>
          </w:rPr>
          <w:fldChar w:fldCharType="separate"/>
        </w:r>
        <w:r w:rsidR="00A51E64">
          <w:rPr>
            <w:webHidden/>
          </w:rPr>
          <w:t>45</w:t>
        </w:r>
        <w:r w:rsidR="00E363F7">
          <w:rPr>
            <w:webHidden/>
          </w:rPr>
          <w:fldChar w:fldCharType="end"/>
        </w:r>
      </w:hyperlink>
    </w:p>
    <w:p w14:paraId="66B9FB16" w14:textId="77777777" w:rsidR="00E363F7" w:rsidRDefault="00567312">
      <w:pPr>
        <w:pStyle w:val="TOC3"/>
        <w:rPr>
          <w:rFonts w:asciiTheme="minorHAnsi" w:eastAsiaTheme="minorEastAsia" w:hAnsiTheme="minorHAnsi" w:cstheme="minorBidi"/>
          <w:noProof/>
        </w:rPr>
      </w:pPr>
      <w:hyperlink w:anchor="_Toc454888809" w:history="1">
        <w:r w:rsidR="00E363F7" w:rsidRPr="005968F9">
          <w:rPr>
            <w:rStyle w:val="Hyperlink"/>
            <w:noProof/>
          </w:rPr>
          <w:t>PI-14 Macroeconomic and fiscal forecasting</w:t>
        </w:r>
        <w:r w:rsidR="00E363F7">
          <w:rPr>
            <w:noProof/>
            <w:webHidden/>
          </w:rPr>
          <w:tab/>
        </w:r>
        <w:r w:rsidR="00E363F7">
          <w:rPr>
            <w:noProof/>
            <w:webHidden/>
          </w:rPr>
          <w:fldChar w:fldCharType="begin"/>
        </w:r>
        <w:r w:rsidR="00E363F7">
          <w:rPr>
            <w:noProof/>
            <w:webHidden/>
          </w:rPr>
          <w:instrText xml:space="preserve"> PAGEREF _Toc454888809 \h </w:instrText>
        </w:r>
        <w:r w:rsidR="00E363F7">
          <w:rPr>
            <w:noProof/>
            <w:webHidden/>
          </w:rPr>
        </w:r>
        <w:r w:rsidR="00E363F7">
          <w:rPr>
            <w:noProof/>
            <w:webHidden/>
          </w:rPr>
          <w:fldChar w:fldCharType="separate"/>
        </w:r>
        <w:r w:rsidR="00A51E64">
          <w:rPr>
            <w:noProof/>
            <w:webHidden/>
          </w:rPr>
          <w:t>45</w:t>
        </w:r>
        <w:r w:rsidR="00E363F7">
          <w:rPr>
            <w:noProof/>
            <w:webHidden/>
          </w:rPr>
          <w:fldChar w:fldCharType="end"/>
        </w:r>
      </w:hyperlink>
    </w:p>
    <w:p w14:paraId="07E2797A" w14:textId="77777777" w:rsidR="00E363F7" w:rsidRDefault="00567312">
      <w:pPr>
        <w:pStyle w:val="TOC3"/>
        <w:rPr>
          <w:rFonts w:asciiTheme="minorHAnsi" w:eastAsiaTheme="minorEastAsia" w:hAnsiTheme="minorHAnsi" w:cstheme="minorBidi"/>
          <w:noProof/>
        </w:rPr>
      </w:pPr>
      <w:hyperlink w:anchor="_Toc454888810" w:history="1">
        <w:r w:rsidR="00E363F7" w:rsidRPr="005968F9">
          <w:rPr>
            <w:rStyle w:val="Hyperlink"/>
            <w:noProof/>
          </w:rPr>
          <w:t>PI-15 Fiscal strategy</w:t>
        </w:r>
        <w:r w:rsidR="00E363F7">
          <w:rPr>
            <w:noProof/>
            <w:webHidden/>
          </w:rPr>
          <w:tab/>
        </w:r>
        <w:r w:rsidR="00E363F7">
          <w:rPr>
            <w:noProof/>
            <w:webHidden/>
          </w:rPr>
          <w:fldChar w:fldCharType="begin"/>
        </w:r>
        <w:r w:rsidR="00E363F7">
          <w:rPr>
            <w:noProof/>
            <w:webHidden/>
          </w:rPr>
          <w:instrText xml:space="preserve"> PAGEREF _Toc454888810 \h </w:instrText>
        </w:r>
        <w:r w:rsidR="00E363F7">
          <w:rPr>
            <w:noProof/>
            <w:webHidden/>
          </w:rPr>
        </w:r>
        <w:r w:rsidR="00E363F7">
          <w:rPr>
            <w:noProof/>
            <w:webHidden/>
          </w:rPr>
          <w:fldChar w:fldCharType="separate"/>
        </w:r>
        <w:r w:rsidR="00A51E64">
          <w:rPr>
            <w:noProof/>
            <w:webHidden/>
          </w:rPr>
          <w:t>47</w:t>
        </w:r>
        <w:r w:rsidR="00E363F7">
          <w:rPr>
            <w:noProof/>
            <w:webHidden/>
          </w:rPr>
          <w:fldChar w:fldCharType="end"/>
        </w:r>
      </w:hyperlink>
    </w:p>
    <w:p w14:paraId="165AE1D0" w14:textId="77777777" w:rsidR="00E363F7" w:rsidRDefault="00567312">
      <w:pPr>
        <w:pStyle w:val="TOC3"/>
        <w:rPr>
          <w:rFonts w:asciiTheme="minorHAnsi" w:eastAsiaTheme="minorEastAsia" w:hAnsiTheme="minorHAnsi" w:cstheme="minorBidi"/>
          <w:noProof/>
        </w:rPr>
      </w:pPr>
      <w:hyperlink w:anchor="_Toc454888811" w:history="1">
        <w:r w:rsidR="00E363F7" w:rsidRPr="005968F9">
          <w:rPr>
            <w:rStyle w:val="Hyperlink"/>
            <w:noProof/>
          </w:rPr>
          <w:t>PI-16 Medium-term perspective in expenditure budgeting</w:t>
        </w:r>
        <w:r w:rsidR="00E363F7">
          <w:rPr>
            <w:noProof/>
            <w:webHidden/>
          </w:rPr>
          <w:tab/>
        </w:r>
        <w:r w:rsidR="00E363F7">
          <w:rPr>
            <w:noProof/>
            <w:webHidden/>
          </w:rPr>
          <w:fldChar w:fldCharType="begin"/>
        </w:r>
        <w:r w:rsidR="00E363F7">
          <w:rPr>
            <w:noProof/>
            <w:webHidden/>
          </w:rPr>
          <w:instrText xml:space="preserve"> PAGEREF _Toc454888811 \h </w:instrText>
        </w:r>
        <w:r w:rsidR="00E363F7">
          <w:rPr>
            <w:noProof/>
            <w:webHidden/>
          </w:rPr>
        </w:r>
        <w:r w:rsidR="00E363F7">
          <w:rPr>
            <w:noProof/>
            <w:webHidden/>
          </w:rPr>
          <w:fldChar w:fldCharType="separate"/>
        </w:r>
        <w:r w:rsidR="00A51E64">
          <w:rPr>
            <w:noProof/>
            <w:webHidden/>
          </w:rPr>
          <w:t>48</w:t>
        </w:r>
        <w:r w:rsidR="00E363F7">
          <w:rPr>
            <w:noProof/>
            <w:webHidden/>
          </w:rPr>
          <w:fldChar w:fldCharType="end"/>
        </w:r>
      </w:hyperlink>
    </w:p>
    <w:p w14:paraId="140E7926" w14:textId="3E790291" w:rsidR="00E363F7" w:rsidRDefault="00567312">
      <w:pPr>
        <w:pStyle w:val="TOC3"/>
        <w:rPr>
          <w:rFonts w:asciiTheme="minorHAnsi" w:eastAsiaTheme="minorEastAsia" w:hAnsiTheme="minorHAnsi" w:cstheme="minorBidi"/>
          <w:noProof/>
        </w:rPr>
      </w:pPr>
      <w:hyperlink w:anchor="_Toc454888812" w:history="1">
        <w:r w:rsidR="00E363F7" w:rsidRPr="005968F9">
          <w:rPr>
            <w:rStyle w:val="Hyperlink"/>
            <w:noProof/>
          </w:rPr>
          <w:t>PI-17 Budget preparation process</w:t>
        </w:r>
        <w:r w:rsidR="00E363F7">
          <w:rPr>
            <w:noProof/>
            <w:webHidden/>
          </w:rPr>
          <w:tab/>
        </w:r>
        <w:r w:rsidR="00E363F7">
          <w:rPr>
            <w:noProof/>
            <w:webHidden/>
          </w:rPr>
          <w:fldChar w:fldCharType="begin"/>
        </w:r>
        <w:r w:rsidR="00E363F7">
          <w:rPr>
            <w:noProof/>
            <w:webHidden/>
          </w:rPr>
          <w:instrText xml:space="preserve"> PAGEREF _Toc454888812 \h </w:instrText>
        </w:r>
        <w:r w:rsidR="00E363F7">
          <w:rPr>
            <w:noProof/>
            <w:webHidden/>
          </w:rPr>
        </w:r>
        <w:r w:rsidR="00E363F7">
          <w:rPr>
            <w:noProof/>
            <w:webHidden/>
          </w:rPr>
          <w:fldChar w:fldCharType="separate"/>
        </w:r>
        <w:r w:rsidR="00A51E64">
          <w:rPr>
            <w:noProof/>
            <w:webHidden/>
          </w:rPr>
          <w:t>51</w:t>
        </w:r>
        <w:r w:rsidR="00E363F7">
          <w:rPr>
            <w:noProof/>
            <w:webHidden/>
          </w:rPr>
          <w:fldChar w:fldCharType="end"/>
        </w:r>
      </w:hyperlink>
    </w:p>
    <w:p w14:paraId="605F7A5F" w14:textId="79A39571" w:rsidR="00E363F7" w:rsidRDefault="00567312">
      <w:pPr>
        <w:pStyle w:val="TOC3"/>
        <w:rPr>
          <w:rFonts w:asciiTheme="minorHAnsi" w:eastAsiaTheme="minorEastAsia" w:hAnsiTheme="minorHAnsi" w:cstheme="minorBidi"/>
          <w:noProof/>
        </w:rPr>
      </w:pPr>
      <w:hyperlink w:anchor="_Toc454888848" w:history="1">
        <w:r w:rsidR="00E363F7" w:rsidRPr="005968F9">
          <w:rPr>
            <w:rStyle w:val="Hyperlink"/>
            <w:noProof/>
          </w:rPr>
          <w:t>PI-18 Legislative scrutiny of budgets</w:t>
        </w:r>
        <w:r w:rsidR="00E363F7">
          <w:rPr>
            <w:noProof/>
            <w:webHidden/>
          </w:rPr>
          <w:tab/>
        </w:r>
        <w:r w:rsidR="00E363F7">
          <w:rPr>
            <w:noProof/>
            <w:webHidden/>
          </w:rPr>
          <w:fldChar w:fldCharType="begin"/>
        </w:r>
        <w:r w:rsidR="00E363F7">
          <w:rPr>
            <w:noProof/>
            <w:webHidden/>
          </w:rPr>
          <w:instrText xml:space="preserve"> PAGEREF _Toc454888848 \h </w:instrText>
        </w:r>
        <w:r w:rsidR="00E363F7">
          <w:rPr>
            <w:noProof/>
            <w:webHidden/>
          </w:rPr>
        </w:r>
        <w:r w:rsidR="00E363F7">
          <w:rPr>
            <w:noProof/>
            <w:webHidden/>
          </w:rPr>
          <w:fldChar w:fldCharType="separate"/>
        </w:r>
        <w:r w:rsidR="00A51E64">
          <w:rPr>
            <w:noProof/>
            <w:webHidden/>
          </w:rPr>
          <w:t>54</w:t>
        </w:r>
        <w:r w:rsidR="00E363F7">
          <w:rPr>
            <w:noProof/>
            <w:webHidden/>
          </w:rPr>
          <w:fldChar w:fldCharType="end"/>
        </w:r>
      </w:hyperlink>
    </w:p>
    <w:p w14:paraId="49E67803" w14:textId="77777777" w:rsidR="00E363F7" w:rsidRDefault="00567312">
      <w:pPr>
        <w:pStyle w:val="TOC2"/>
        <w:rPr>
          <w:rFonts w:asciiTheme="minorHAnsi" w:eastAsiaTheme="minorEastAsia" w:hAnsiTheme="minorHAnsi" w:cstheme="minorBidi"/>
          <w:b w:val="0"/>
          <w:bCs w:val="0"/>
        </w:rPr>
      </w:pPr>
      <w:hyperlink w:anchor="_Toc454888850" w:history="1">
        <w:r w:rsidR="00E363F7" w:rsidRPr="005968F9">
          <w:rPr>
            <w:rStyle w:val="Hyperlink"/>
          </w:rPr>
          <w:t>Pillar V. Predictability and Control in Budget Execution</w:t>
        </w:r>
        <w:r w:rsidR="00E363F7">
          <w:rPr>
            <w:webHidden/>
          </w:rPr>
          <w:tab/>
        </w:r>
        <w:r w:rsidR="00E363F7">
          <w:rPr>
            <w:webHidden/>
          </w:rPr>
          <w:fldChar w:fldCharType="begin"/>
        </w:r>
        <w:r w:rsidR="00E363F7">
          <w:rPr>
            <w:webHidden/>
          </w:rPr>
          <w:instrText xml:space="preserve"> PAGEREF _Toc454888850 \h </w:instrText>
        </w:r>
        <w:r w:rsidR="00E363F7">
          <w:rPr>
            <w:webHidden/>
          </w:rPr>
        </w:r>
        <w:r w:rsidR="00E363F7">
          <w:rPr>
            <w:webHidden/>
          </w:rPr>
          <w:fldChar w:fldCharType="separate"/>
        </w:r>
        <w:r w:rsidR="00A51E64">
          <w:rPr>
            <w:webHidden/>
          </w:rPr>
          <w:t>57</w:t>
        </w:r>
        <w:r w:rsidR="00E363F7">
          <w:rPr>
            <w:webHidden/>
          </w:rPr>
          <w:fldChar w:fldCharType="end"/>
        </w:r>
      </w:hyperlink>
    </w:p>
    <w:p w14:paraId="1B6960B0" w14:textId="129FD26C" w:rsidR="00E363F7" w:rsidRDefault="00567312">
      <w:pPr>
        <w:pStyle w:val="TOC3"/>
        <w:rPr>
          <w:rFonts w:asciiTheme="minorHAnsi" w:eastAsiaTheme="minorEastAsia" w:hAnsiTheme="minorHAnsi" w:cstheme="minorBidi"/>
          <w:noProof/>
        </w:rPr>
      </w:pPr>
      <w:hyperlink w:anchor="_Toc454888851" w:history="1">
        <w:r w:rsidR="00E363F7" w:rsidRPr="005968F9">
          <w:rPr>
            <w:rStyle w:val="Hyperlink"/>
            <w:noProof/>
          </w:rPr>
          <w:t>PI-19 Revenue administration</w:t>
        </w:r>
        <w:r w:rsidR="00E363F7">
          <w:rPr>
            <w:noProof/>
            <w:webHidden/>
          </w:rPr>
          <w:tab/>
        </w:r>
        <w:r w:rsidR="00E363F7">
          <w:rPr>
            <w:noProof/>
            <w:webHidden/>
          </w:rPr>
          <w:fldChar w:fldCharType="begin"/>
        </w:r>
        <w:r w:rsidR="00E363F7">
          <w:rPr>
            <w:noProof/>
            <w:webHidden/>
          </w:rPr>
          <w:instrText xml:space="preserve"> PAGEREF _Toc454888851 \h </w:instrText>
        </w:r>
        <w:r w:rsidR="00E363F7">
          <w:rPr>
            <w:noProof/>
            <w:webHidden/>
          </w:rPr>
        </w:r>
        <w:r w:rsidR="00E363F7">
          <w:rPr>
            <w:noProof/>
            <w:webHidden/>
          </w:rPr>
          <w:fldChar w:fldCharType="separate"/>
        </w:r>
        <w:r w:rsidR="00A51E64">
          <w:rPr>
            <w:noProof/>
            <w:webHidden/>
          </w:rPr>
          <w:t>57</w:t>
        </w:r>
        <w:r w:rsidR="00E363F7">
          <w:rPr>
            <w:noProof/>
            <w:webHidden/>
          </w:rPr>
          <w:fldChar w:fldCharType="end"/>
        </w:r>
      </w:hyperlink>
    </w:p>
    <w:p w14:paraId="34AF0FBD" w14:textId="77777777" w:rsidR="00E363F7" w:rsidRDefault="00567312">
      <w:pPr>
        <w:pStyle w:val="TOC3"/>
        <w:rPr>
          <w:rFonts w:asciiTheme="minorHAnsi" w:eastAsiaTheme="minorEastAsia" w:hAnsiTheme="minorHAnsi" w:cstheme="minorBidi"/>
          <w:noProof/>
        </w:rPr>
      </w:pPr>
      <w:hyperlink w:anchor="_Toc454888853" w:history="1">
        <w:r w:rsidR="00E363F7" w:rsidRPr="005968F9">
          <w:rPr>
            <w:rStyle w:val="Hyperlink"/>
            <w:noProof/>
          </w:rPr>
          <w:t>PI-20 Accounting for revenue</w:t>
        </w:r>
        <w:r w:rsidR="00E363F7">
          <w:rPr>
            <w:noProof/>
            <w:webHidden/>
          </w:rPr>
          <w:tab/>
        </w:r>
        <w:r w:rsidR="00E363F7">
          <w:rPr>
            <w:noProof/>
            <w:webHidden/>
          </w:rPr>
          <w:fldChar w:fldCharType="begin"/>
        </w:r>
        <w:r w:rsidR="00E363F7">
          <w:rPr>
            <w:noProof/>
            <w:webHidden/>
          </w:rPr>
          <w:instrText xml:space="preserve"> PAGEREF _Toc454888853 \h </w:instrText>
        </w:r>
        <w:r w:rsidR="00E363F7">
          <w:rPr>
            <w:noProof/>
            <w:webHidden/>
          </w:rPr>
        </w:r>
        <w:r w:rsidR="00E363F7">
          <w:rPr>
            <w:noProof/>
            <w:webHidden/>
          </w:rPr>
          <w:fldChar w:fldCharType="separate"/>
        </w:r>
        <w:r w:rsidR="00A51E64">
          <w:rPr>
            <w:noProof/>
            <w:webHidden/>
          </w:rPr>
          <w:t>61</w:t>
        </w:r>
        <w:r w:rsidR="00E363F7">
          <w:rPr>
            <w:noProof/>
            <w:webHidden/>
          </w:rPr>
          <w:fldChar w:fldCharType="end"/>
        </w:r>
      </w:hyperlink>
    </w:p>
    <w:p w14:paraId="3AFB8A4C" w14:textId="77777777" w:rsidR="00E363F7" w:rsidRDefault="00567312">
      <w:pPr>
        <w:pStyle w:val="TOC3"/>
        <w:rPr>
          <w:rFonts w:asciiTheme="minorHAnsi" w:eastAsiaTheme="minorEastAsia" w:hAnsiTheme="minorHAnsi" w:cstheme="minorBidi"/>
          <w:noProof/>
        </w:rPr>
      </w:pPr>
      <w:hyperlink w:anchor="_Toc454888854" w:history="1">
        <w:r w:rsidR="00E363F7" w:rsidRPr="005968F9">
          <w:rPr>
            <w:rStyle w:val="Hyperlink"/>
            <w:noProof/>
          </w:rPr>
          <w:t>PI-21 Predictability of in-year resource allocation</w:t>
        </w:r>
        <w:r w:rsidR="00E363F7">
          <w:rPr>
            <w:noProof/>
            <w:webHidden/>
          </w:rPr>
          <w:tab/>
        </w:r>
        <w:r w:rsidR="00E363F7">
          <w:rPr>
            <w:noProof/>
            <w:webHidden/>
          </w:rPr>
          <w:fldChar w:fldCharType="begin"/>
        </w:r>
        <w:r w:rsidR="00E363F7">
          <w:rPr>
            <w:noProof/>
            <w:webHidden/>
          </w:rPr>
          <w:instrText xml:space="preserve"> PAGEREF _Toc454888854 \h </w:instrText>
        </w:r>
        <w:r w:rsidR="00E363F7">
          <w:rPr>
            <w:noProof/>
            <w:webHidden/>
          </w:rPr>
        </w:r>
        <w:r w:rsidR="00E363F7">
          <w:rPr>
            <w:noProof/>
            <w:webHidden/>
          </w:rPr>
          <w:fldChar w:fldCharType="separate"/>
        </w:r>
        <w:r w:rsidR="00A51E64">
          <w:rPr>
            <w:noProof/>
            <w:webHidden/>
          </w:rPr>
          <w:t>62</w:t>
        </w:r>
        <w:r w:rsidR="00E363F7">
          <w:rPr>
            <w:noProof/>
            <w:webHidden/>
          </w:rPr>
          <w:fldChar w:fldCharType="end"/>
        </w:r>
      </w:hyperlink>
    </w:p>
    <w:p w14:paraId="62D6AFB7" w14:textId="7DC019BB" w:rsidR="00E363F7" w:rsidRDefault="00567312">
      <w:pPr>
        <w:pStyle w:val="TOC3"/>
        <w:rPr>
          <w:rFonts w:asciiTheme="minorHAnsi" w:eastAsiaTheme="minorEastAsia" w:hAnsiTheme="minorHAnsi" w:cstheme="minorBidi"/>
          <w:noProof/>
        </w:rPr>
      </w:pPr>
      <w:hyperlink w:anchor="_Toc454888855" w:history="1">
        <w:r w:rsidR="00E363F7" w:rsidRPr="005968F9">
          <w:rPr>
            <w:rStyle w:val="Hyperlink"/>
            <w:noProof/>
          </w:rPr>
          <w:t>PI-22 Expenditure arrears</w:t>
        </w:r>
        <w:r w:rsidR="00E363F7">
          <w:rPr>
            <w:noProof/>
            <w:webHidden/>
          </w:rPr>
          <w:tab/>
        </w:r>
        <w:r w:rsidR="00E363F7">
          <w:rPr>
            <w:noProof/>
            <w:webHidden/>
          </w:rPr>
          <w:fldChar w:fldCharType="begin"/>
        </w:r>
        <w:r w:rsidR="00E363F7">
          <w:rPr>
            <w:noProof/>
            <w:webHidden/>
          </w:rPr>
          <w:instrText xml:space="preserve"> PAGEREF _Toc454888855 \h </w:instrText>
        </w:r>
        <w:r w:rsidR="00E363F7">
          <w:rPr>
            <w:noProof/>
            <w:webHidden/>
          </w:rPr>
        </w:r>
        <w:r w:rsidR="00E363F7">
          <w:rPr>
            <w:noProof/>
            <w:webHidden/>
          </w:rPr>
          <w:fldChar w:fldCharType="separate"/>
        </w:r>
        <w:r w:rsidR="00A51E64">
          <w:rPr>
            <w:noProof/>
            <w:webHidden/>
          </w:rPr>
          <w:t>65</w:t>
        </w:r>
        <w:r w:rsidR="00E363F7">
          <w:rPr>
            <w:noProof/>
            <w:webHidden/>
          </w:rPr>
          <w:fldChar w:fldCharType="end"/>
        </w:r>
      </w:hyperlink>
    </w:p>
    <w:p w14:paraId="611FF0C6" w14:textId="77777777" w:rsidR="00E363F7" w:rsidRDefault="00567312">
      <w:pPr>
        <w:pStyle w:val="TOC3"/>
        <w:rPr>
          <w:rFonts w:asciiTheme="minorHAnsi" w:eastAsiaTheme="minorEastAsia" w:hAnsiTheme="minorHAnsi" w:cstheme="minorBidi"/>
          <w:noProof/>
        </w:rPr>
      </w:pPr>
      <w:hyperlink w:anchor="_Toc454888858" w:history="1">
        <w:r w:rsidR="00E363F7" w:rsidRPr="005968F9">
          <w:rPr>
            <w:rStyle w:val="Hyperlink"/>
            <w:noProof/>
          </w:rPr>
          <w:t>PI-23 Payroll controls</w:t>
        </w:r>
        <w:r w:rsidR="00E363F7">
          <w:rPr>
            <w:noProof/>
            <w:webHidden/>
          </w:rPr>
          <w:tab/>
        </w:r>
        <w:r w:rsidR="00E363F7">
          <w:rPr>
            <w:noProof/>
            <w:webHidden/>
          </w:rPr>
          <w:fldChar w:fldCharType="begin"/>
        </w:r>
        <w:r w:rsidR="00E363F7">
          <w:rPr>
            <w:noProof/>
            <w:webHidden/>
          </w:rPr>
          <w:instrText xml:space="preserve"> PAGEREF _Toc454888858 \h </w:instrText>
        </w:r>
        <w:r w:rsidR="00E363F7">
          <w:rPr>
            <w:noProof/>
            <w:webHidden/>
          </w:rPr>
        </w:r>
        <w:r w:rsidR="00E363F7">
          <w:rPr>
            <w:noProof/>
            <w:webHidden/>
          </w:rPr>
          <w:fldChar w:fldCharType="separate"/>
        </w:r>
        <w:r w:rsidR="00A51E64">
          <w:rPr>
            <w:noProof/>
            <w:webHidden/>
          </w:rPr>
          <w:t>67</w:t>
        </w:r>
        <w:r w:rsidR="00E363F7">
          <w:rPr>
            <w:noProof/>
            <w:webHidden/>
          </w:rPr>
          <w:fldChar w:fldCharType="end"/>
        </w:r>
      </w:hyperlink>
    </w:p>
    <w:p w14:paraId="2164BEFD" w14:textId="77777777" w:rsidR="00E363F7" w:rsidRDefault="00567312">
      <w:pPr>
        <w:pStyle w:val="TOC3"/>
        <w:rPr>
          <w:rFonts w:asciiTheme="minorHAnsi" w:eastAsiaTheme="minorEastAsia" w:hAnsiTheme="minorHAnsi" w:cstheme="minorBidi"/>
          <w:noProof/>
        </w:rPr>
      </w:pPr>
      <w:hyperlink w:anchor="_Toc454888859" w:history="1">
        <w:r w:rsidR="00E363F7" w:rsidRPr="005968F9">
          <w:rPr>
            <w:rStyle w:val="Hyperlink"/>
            <w:noProof/>
          </w:rPr>
          <w:t>PI-24 Procurement</w:t>
        </w:r>
        <w:r w:rsidR="00E363F7">
          <w:rPr>
            <w:noProof/>
            <w:webHidden/>
          </w:rPr>
          <w:tab/>
        </w:r>
        <w:r w:rsidR="00E363F7">
          <w:rPr>
            <w:noProof/>
            <w:webHidden/>
          </w:rPr>
          <w:fldChar w:fldCharType="begin"/>
        </w:r>
        <w:r w:rsidR="00E363F7">
          <w:rPr>
            <w:noProof/>
            <w:webHidden/>
          </w:rPr>
          <w:instrText xml:space="preserve"> PAGEREF _Toc454888859 \h </w:instrText>
        </w:r>
        <w:r w:rsidR="00E363F7">
          <w:rPr>
            <w:noProof/>
            <w:webHidden/>
          </w:rPr>
        </w:r>
        <w:r w:rsidR="00E363F7">
          <w:rPr>
            <w:noProof/>
            <w:webHidden/>
          </w:rPr>
          <w:fldChar w:fldCharType="separate"/>
        </w:r>
        <w:r w:rsidR="00A51E64">
          <w:rPr>
            <w:noProof/>
            <w:webHidden/>
          </w:rPr>
          <w:t>69</w:t>
        </w:r>
        <w:r w:rsidR="00E363F7">
          <w:rPr>
            <w:noProof/>
            <w:webHidden/>
          </w:rPr>
          <w:fldChar w:fldCharType="end"/>
        </w:r>
      </w:hyperlink>
    </w:p>
    <w:p w14:paraId="30FFA855" w14:textId="77777777" w:rsidR="00E363F7" w:rsidRDefault="00567312">
      <w:pPr>
        <w:pStyle w:val="TOC3"/>
        <w:rPr>
          <w:rFonts w:asciiTheme="minorHAnsi" w:eastAsiaTheme="minorEastAsia" w:hAnsiTheme="minorHAnsi" w:cstheme="minorBidi"/>
          <w:noProof/>
        </w:rPr>
      </w:pPr>
      <w:hyperlink w:anchor="_Toc454888860" w:history="1">
        <w:r w:rsidR="00E363F7" w:rsidRPr="005968F9">
          <w:rPr>
            <w:rStyle w:val="Hyperlink"/>
            <w:noProof/>
          </w:rPr>
          <w:t>PI-25 Internal controls on non-salary expenditure</w:t>
        </w:r>
        <w:r w:rsidR="00E363F7">
          <w:rPr>
            <w:noProof/>
            <w:webHidden/>
          </w:rPr>
          <w:tab/>
        </w:r>
        <w:r w:rsidR="00E363F7">
          <w:rPr>
            <w:noProof/>
            <w:webHidden/>
          </w:rPr>
          <w:fldChar w:fldCharType="begin"/>
        </w:r>
        <w:r w:rsidR="00E363F7">
          <w:rPr>
            <w:noProof/>
            <w:webHidden/>
          </w:rPr>
          <w:instrText xml:space="preserve"> PAGEREF _Toc454888860 \h </w:instrText>
        </w:r>
        <w:r w:rsidR="00E363F7">
          <w:rPr>
            <w:noProof/>
            <w:webHidden/>
          </w:rPr>
        </w:r>
        <w:r w:rsidR="00E363F7">
          <w:rPr>
            <w:noProof/>
            <w:webHidden/>
          </w:rPr>
          <w:fldChar w:fldCharType="separate"/>
        </w:r>
        <w:r w:rsidR="00A51E64">
          <w:rPr>
            <w:noProof/>
            <w:webHidden/>
          </w:rPr>
          <w:t>71</w:t>
        </w:r>
        <w:r w:rsidR="00E363F7">
          <w:rPr>
            <w:noProof/>
            <w:webHidden/>
          </w:rPr>
          <w:fldChar w:fldCharType="end"/>
        </w:r>
      </w:hyperlink>
    </w:p>
    <w:p w14:paraId="5AE9961A" w14:textId="77777777" w:rsidR="00E363F7" w:rsidRDefault="00567312">
      <w:pPr>
        <w:pStyle w:val="TOC3"/>
        <w:rPr>
          <w:rFonts w:asciiTheme="minorHAnsi" w:eastAsiaTheme="minorEastAsia" w:hAnsiTheme="minorHAnsi" w:cstheme="minorBidi"/>
          <w:noProof/>
        </w:rPr>
      </w:pPr>
      <w:hyperlink w:anchor="_Toc454888861" w:history="1">
        <w:r w:rsidR="00E363F7" w:rsidRPr="005968F9">
          <w:rPr>
            <w:rStyle w:val="Hyperlink"/>
            <w:noProof/>
          </w:rPr>
          <w:t>PI-26 Internal audit</w:t>
        </w:r>
        <w:r w:rsidR="00E363F7">
          <w:rPr>
            <w:noProof/>
            <w:webHidden/>
          </w:rPr>
          <w:tab/>
        </w:r>
        <w:r w:rsidR="00E363F7">
          <w:rPr>
            <w:noProof/>
            <w:webHidden/>
          </w:rPr>
          <w:fldChar w:fldCharType="begin"/>
        </w:r>
        <w:r w:rsidR="00E363F7">
          <w:rPr>
            <w:noProof/>
            <w:webHidden/>
          </w:rPr>
          <w:instrText xml:space="preserve"> PAGEREF _Toc454888861 \h </w:instrText>
        </w:r>
        <w:r w:rsidR="00E363F7">
          <w:rPr>
            <w:noProof/>
            <w:webHidden/>
          </w:rPr>
        </w:r>
        <w:r w:rsidR="00E363F7">
          <w:rPr>
            <w:noProof/>
            <w:webHidden/>
          </w:rPr>
          <w:fldChar w:fldCharType="separate"/>
        </w:r>
        <w:r w:rsidR="00A51E64">
          <w:rPr>
            <w:noProof/>
            <w:webHidden/>
          </w:rPr>
          <w:t>72</w:t>
        </w:r>
        <w:r w:rsidR="00E363F7">
          <w:rPr>
            <w:noProof/>
            <w:webHidden/>
          </w:rPr>
          <w:fldChar w:fldCharType="end"/>
        </w:r>
      </w:hyperlink>
    </w:p>
    <w:p w14:paraId="4E303963" w14:textId="77777777" w:rsidR="00E363F7" w:rsidRDefault="00567312">
      <w:pPr>
        <w:pStyle w:val="TOC2"/>
        <w:rPr>
          <w:rFonts w:asciiTheme="minorHAnsi" w:eastAsiaTheme="minorEastAsia" w:hAnsiTheme="minorHAnsi" w:cstheme="minorBidi"/>
          <w:b w:val="0"/>
          <w:bCs w:val="0"/>
        </w:rPr>
      </w:pPr>
      <w:hyperlink w:anchor="_Toc454888862" w:history="1">
        <w:r w:rsidR="00E363F7" w:rsidRPr="005968F9">
          <w:rPr>
            <w:rStyle w:val="Hyperlink"/>
          </w:rPr>
          <w:t>Pillar VI. Accounting and Reporting</w:t>
        </w:r>
        <w:r w:rsidR="00E363F7">
          <w:rPr>
            <w:webHidden/>
          </w:rPr>
          <w:tab/>
        </w:r>
        <w:r w:rsidR="00E363F7">
          <w:rPr>
            <w:webHidden/>
          </w:rPr>
          <w:fldChar w:fldCharType="begin"/>
        </w:r>
        <w:r w:rsidR="00E363F7">
          <w:rPr>
            <w:webHidden/>
          </w:rPr>
          <w:instrText xml:space="preserve"> PAGEREF _Toc454888862 \h </w:instrText>
        </w:r>
        <w:r w:rsidR="00E363F7">
          <w:rPr>
            <w:webHidden/>
          </w:rPr>
        </w:r>
        <w:r w:rsidR="00E363F7">
          <w:rPr>
            <w:webHidden/>
          </w:rPr>
          <w:fldChar w:fldCharType="separate"/>
        </w:r>
        <w:r w:rsidR="00A51E64">
          <w:rPr>
            <w:webHidden/>
          </w:rPr>
          <w:t>75</w:t>
        </w:r>
        <w:r w:rsidR="00E363F7">
          <w:rPr>
            <w:webHidden/>
          </w:rPr>
          <w:fldChar w:fldCharType="end"/>
        </w:r>
      </w:hyperlink>
    </w:p>
    <w:p w14:paraId="2B1671EB" w14:textId="77777777" w:rsidR="00E363F7" w:rsidRDefault="00567312">
      <w:pPr>
        <w:pStyle w:val="TOC3"/>
        <w:rPr>
          <w:rFonts w:asciiTheme="minorHAnsi" w:eastAsiaTheme="minorEastAsia" w:hAnsiTheme="minorHAnsi" w:cstheme="minorBidi"/>
          <w:noProof/>
        </w:rPr>
      </w:pPr>
      <w:hyperlink w:anchor="_Toc454888863" w:history="1">
        <w:r w:rsidR="00E363F7" w:rsidRPr="005968F9">
          <w:rPr>
            <w:rStyle w:val="Hyperlink"/>
            <w:noProof/>
          </w:rPr>
          <w:t>PI-27 Financial data integrity</w:t>
        </w:r>
        <w:r w:rsidR="00E363F7">
          <w:rPr>
            <w:noProof/>
            <w:webHidden/>
          </w:rPr>
          <w:tab/>
        </w:r>
        <w:r w:rsidR="00E363F7">
          <w:rPr>
            <w:noProof/>
            <w:webHidden/>
          </w:rPr>
          <w:fldChar w:fldCharType="begin"/>
        </w:r>
        <w:r w:rsidR="00E363F7">
          <w:rPr>
            <w:noProof/>
            <w:webHidden/>
          </w:rPr>
          <w:instrText xml:space="preserve"> PAGEREF _Toc454888863 \h </w:instrText>
        </w:r>
        <w:r w:rsidR="00E363F7">
          <w:rPr>
            <w:noProof/>
            <w:webHidden/>
          </w:rPr>
        </w:r>
        <w:r w:rsidR="00E363F7">
          <w:rPr>
            <w:noProof/>
            <w:webHidden/>
          </w:rPr>
          <w:fldChar w:fldCharType="separate"/>
        </w:r>
        <w:r w:rsidR="00A51E64">
          <w:rPr>
            <w:noProof/>
            <w:webHidden/>
          </w:rPr>
          <w:t>75</w:t>
        </w:r>
        <w:r w:rsidR="00E363F7">
          <w:rPr>
            <w:noProof/>
            <w:webHidden/>
          </w:rPr>
          <w:fldChar w:fldCharType="end"/>
        </w:r>
      </w:hyperlink>
    </w:p>
    <w:p w14:paraId="171D0DE1" w14:textId="77777777" w:rsidR="00E363F7" w:rsidRDefault="00567312">
      <w:pPr>
        <w:pStyle w:val="TOC3"/>
        <w:rPr>
          <w:rFonts w:asciiTheme="minorHAnsi" w:eastAsiaTheme="minorEastAsia" w:hAnsiTheme="minorHAnsi" w:cstheme="minorBidi"/>
          <w:noProof/>
        </w:rPr>
      </w:pPr>
      <w:hyperlink w:anchor="_Toc454888864" w:history="1">
        <w:r w:rsidR="00E363F7" w:rsidRPr="005968F9">
          <w:rPr>
            <w:rStyle w:val="Hyperlink"/>
            <w:noProof/>
          </w:rPr>
          <w:t>PI-28 In-year budget reports</w:t>
        </w:r>
        <w:r w:rsidR="00E363F7">
          <w:rPr>
            <w:noProof/>
            <w:webHidden/>
          </w:rPr>
          <w:tab/>
        </w:r>
        <w:r w:rsidR="00E363F7">
          <w:rPr>
            <w:noProof/>
            <w:webHidden/>
          </w:rPr>
          <w:fldChar w:fldCharType="begin"/>
        </w:r>
        <w:r w:rsidR="00E363F7">
          <w:rPr>
            <w:noProof/>
            <w:webHidden/>
          </w:rPr>
          <w:instrText xml:space="preserve"> PAGEREF _Toc454888864 \h </w:instrText>
        </w:r>
        <w:r w:rsidR="00E363F7">
          <w:rPr>
            <w:noProof/>
            <w:webHidden/>
          </w:rPr>
        </w:r>
        <w:r w:rsidR="00E363F7">
          <w:rPr>
            <w:noProof/>
            <w:webHidden/>
          </w:rPr>
          <w:fldChar w:fldCharType="separate"/>
        </w:r>
        <w:r w:rsidR="00A51E64">
          <w:rPr>
            <w:noProof/>
            <w:webHidden/>
          </w:rPr>
          <w:t>78</w:t>
        </w:r>
        <w:r w:rsidR="00E363F7">
          <w:rPr>
            <w:noProof/>
            <w:webHidden/>
          </w:rPr>
          <w:fldChar w:fldCharType="end"/>
        </w:r>
      </w:hyperlink>
    </w:p>
    <w:p w14:paraId="50AA2B7B" w14:textId="77777777" w:rsidR="00E363F7" w:rsidRDefault="00567312">
      <w:pPr>
        <w:pStyle w:val="TOC3"/>
        <w:rPr>
          <w:rFonts w:asciiTheme="minorHAnsi" w:eastAsiaTheme="minorEastAsia" w:hAnsiTheme="minorHAnsi" w:cstheme="minorBidi"/>
          <w:noProof/>
        </w:rPr>
      </w:pPr>
      <w:hyperlink w:anchor="_Toc454888865" w:history="1">
        <w:r w:rsidR="00E363F7" w:rsidRPr="005968F9">
          <w:rPr>
            <w:rStyle w:val="Hyperlink"/>
            <w:rFonts w:eastAsiaTheme="minorHAnsi"/>
            <w:noProof/>
          </w:rPr>
          <w:t xml:space="preserve">PI-29 </w:t>
        </w:r>
        <w:r w:rsidR="00E363F7" w:rsidRPr="005968F9">
          <w:rPr>
            <w:rStyle w:val="Hyperlink"/>
            <w:noProof/>
          </w:rPr>
          <w:t>Annual financial reports</w:t>
        </w:r>
        <w:r w:rsidR="00E363F7">
          <w:rPr>
            <w:noProof/>
            <w:webHidden/>
          </w:rPr>
          <w:tab/>
        </w:r>
        <w:r w:rsidR="00E363F7">
          <w:rPr>
            <w:noProof/>
            <w:webHidden/>
          </w:rPr>
          <w:fldChar w:fldCharType="begin"/>
        </w:r>
        <w:r w:rsidR="00E363F7">
          <w:rPr>
            <w:noProof/>
            <w:webHidden/>
          </w:rPr>
          <w:instrText xml:space="preserve"> PAGEREF _Toc454888865 \h </w:instrText>
        </w:r>
        <w:r w:rsidR="00E363F7">
          <w:rPr>
            <w:noProof/>
            <w:webHidden/>
          </w:rPr>
        </w:r>
        <w:r w:rsidR="00E363F7">
          <w:rPr>
            <w:noProof/>
            <w:webHidden/>
          </w:rPr>
          <w:fldChar w:fldCharType="separate"/>
        </w:r>
        <w:r w:rsidR="00A51E64">
          <w:rPr>
            <w:noProof/>
            <w:webHidden/>
          </w:rPr>
          <w:t>82</w:t>
        </w:r>
        <w:r w:rsidR="00E363F7">
          <w:rPr>
            <w:noProof/>
            <w:webHidden/>
          </w:rPr>
          <w:fldChar w:fldCharType="end"/>
        </w:r>
      </w:hyperlink>
    </w:p>
    <w:p w14:paraId="2B52F71C" w14:textId="77777777" w:rsidR="00E363F7" w:rsidRDefault="00567312">
      <w:pPr>
        <w:pStyle w:val="TOC2"/>
        <w:rPr>
          <w:rFonts w:asciiTheme="minorHAnsi" w:eastAsiaTheme="minorEastAsia" w:hAnsiTheme="minorHAnsi" w:cstheme="minorBidi"/>
          <w:b w:val="0"/>
          <w:bCs w:val="0"/>
        </w:rPr>
      </w:pPr>
      <w:hyperlink w:anchor="_Toc454888866" w:history="1">
        <w:r w:rsidR="00E363F7" w:rsidRPr="005968F9">
          <w:rPr>
            <w:rStyle w:val="Hyperlink"/>
          </w:rPr>
          <w:t>Pillar VII. External Scrutiny and Audit</w:t>
        </w:r>
        <w:r w:rsidR="00E363F7">
          <w:rPr>
            <w:webHidden/>
          </w:rPr>
          <w:tab/>
        </w:r>
        <w:r w:rsidR="00E363F7">
          <w:rPr>
            <w:webHidden/>
          </w:rPr>
          <w:fldChar w:fldCharType="begin"/>
        </w:r>
        <w:r w:rsidR="00E363F7">
          <w:rPr>
            <w:webHidden/>
          </w:rPr>
          <w:instrText xml:space="preserve"> PAGEREF _Toc454888866 \h </w:instrText>
        </w:r>
        <w:r w:rsidR="00E363F7">
          <w:rPr>
            <w:webHidden/>
          </w:rPr>
        </w:r>
        <w:r w:rsidR="00E363F7">
          <w:rPr>
            <w:webHidden/>
          </w:rPr>
          <w:fldChar w:fldCharType="separate"/>
        </w:r>
        <w:r w:rsidR="00A51E64">
          <w:rPr>
            <w:webHidden/>
          </w:rPr>
          <w:t>85</w:t>
        </w:r>
        <w:r w:rsidR="00E363F7">
          <w:rPr>
            <w:webHidden/>
          </w:rPr>
          <w:fldChar w:fldCharType="end"/>
        </w:r>
      </w:hyperlink>
    </w:p>
    <w:p w14:paraId="28DEB674" w14:textId="77777777" w:rsidR="00E363F7" w:rsidRDefault="00567312">
      <w:pPr>
        <w:pStyle w:val="TOC3"/>
        <w:rPr>
          <w:rFonts w:asciiTheme="minorHAnsi" w:eastAsiaTheme="minorEastAsia" w:hAnsiTheme="minorHAnsi" w:cstheme="minorBidi"/>
          <w:noProof/>
        </w:rPr>
      </w:pPr>
      <w:hyperlink w:anchor="_Toc454888867" w:history="1">
        <w:r w:rsidR="00E363F7" w:rsidRPr="005968F9">
          <w:rPr>
            <w:rStyle w:val="Hyperlink"/>
            <w:noProof/>
          </w:rPr>
          <w:t>PI-30 External audit</w:t>
        </w:r>
        <w:r w:rsidR="00E363F7">
          <w:rPr>
            <w:noProof/>
            <w:webHidden/>
          </w:rPr>
          <w:tab/>
        </w:r>
        <w:r w:rsidR="00E363F7">
          <w:rPr>
            <w:noProof/>
            <w:webHidden/>
          </w:rPr>
          <w:fldChar w:fldCharType="begin"/>
        </w:r>
        <w:r w:rsidR="00E363F7">
          <w:rPr>
            <w:noProof/>
            <w:webHidden/>
          </w:rPr>
          <w:instrText xml:space="preserve"> PAGEREF _Toc454888867 \h </w:instrText>
        </w:r>
        <w:r w:rsidR="00E363F7">
          <w:rPr>
            <w:noProof/>
            <w:webHidden/>
          </w:rPr>
        </w:r>
        <w:r w:rsidR="00E363F7">
          <w:rPr>
            <w:noProof/>
            <w:webHidden/>
          </w:rPr>
          <w:fldChar w:fldCharType="separate"/>
        </w:r>
        <w:r w:rsidR="00A51E64">
          <w:rPr>
            <w:noProof/>
            <w:webHidden/>
          </w:rPr>
          <w:t>85</w:t>
        </w:r>
        <w:r w:rsidR="00E363F7">
          <w:rPr>
            <w:noProof/>
            <w:webHidden/>
          </w:rPr>
          <w:fldChar w:fldCharType="end"/>
        </w:r>
      </w:hyperlink>
    </w:p>
    <w:p w14:paraId="030A4C59" w14:textId="77777777" w:rsidR="00E363F7" w:rsidRDefault="00567312">
      <w:pPr>
        <w:pStyle w:val="TOC3"/>
        <w:rPr>
          <w:rFonts w:asciiTheme="minorHAnsi" w:eastAsiaTheme="minorEastAsia" w:hAnsiTheme="minorHAnsi" w:cstheme="minorBidi"/>
          <w:noProof/>
        </w:rPr>
      </w:pPr>
      <w:hyperlink w:anchor="_Toc454888868" w:history="1">
        <w:r w:rsidR="00E363F7" w:rsidRPr="005968F9">
          <w:rPr>
            <w:rStyle w:val="Hyperlink"/>
            <w:noProof/>
          </w:rPr>
          <w:t>PI-31 Legislative scrutiny of audit reports</w:t>
        </w:r>
        <w:r w:rsidR="00E363F7">
          <w:rPr>
            <w:noProof/>
            <w:webHidden/>
          </w:rPr>
          <w:tab/>
        </w:r>
        <w:r w:rsidR="00E363F7">
          <w:rPr>
            <w:noProof/>
            <w:webHidden/>
          </w:rPr>
          <w:fldChar w:fldCharType="begin"/>
        </w:r>
        <w:r w:rsidR="00E363F7">
          <w:rPr>
            <w:noProof/>
            <w:webHidden/>
          </w:rPr>
          <w:instrText xml:space="preserve"> PAGEREF _Toc454888868 \h </w:instrText>
        </w:r>
        <w:r w:rsidR="00E363F7">
          <w:rPr>
            <w:noProof/>
            <w:webHidden/>
          </w:rPr>
        </w:r>
        <w:r w:rsidR="00E363F7">
          <w:rPr>
            <w:noProof/>
            <w:webHidden/>
          </w:rPr>
          <w:fldChar w:fldCharType="separate"/>
        </w:r>
        <w:r w:rsidR="00A51E64">
          <w:rPr>
            <w:noProof/>
            <w:webHidden/>
          </w:rPr>
          <w:t>88</w:t>
        </w:r>
        <w:r w:rsidR="00E363F7">
          <w:rPr>
            <w:noProof/>
            <w:webHidden/>
          </w:rPr>
          <w:fldChar w:fldCharType="end"/>
        </w:r>
      </w:hyperlink>
    </w:p>
    <w:p w14:paraId="3D1F9B65" w14:textId="77777777" w:rsidR="00E363F7" w:rsidRDefault="00567312">
      <w:pPr>
        <w:pStyle w:val="TOC2"/>
        <w:rPr>
          <w:rFonts w:asciiTheme="minorHAnsi" w:eastAsiaTheme="minorEastAsia" w:hAnsiTheme="minorHAnsi" w:cstheme="minorBidi"/>
          <w:b w:val="0"/>
          <w:bCs w:val="0"/>
        </w:rPr>
      </w:pPr>
      <w:hyperlink w:anchor="_Toc454888869" w:history="1">
        <w:r w:rsidR="00E363F7" w:rsidRPr="005968F9">
          <w:rPr>
            <w:rStyle w:val="Hyperlink"/>
          </w:rPr>
          <w:t>Chapter 4. Conclusions of the Analysis of PFM Systems</w:t>
        </w:r>
        <w:r w:rsidR="00E363F7">
          <w:rPr>
            <w:webHidden/>
          </w:rPr>
          <w:tab/>
        </w:r>
        <w:r w:rsidR="00E363F7">
          <w:rPr>
            <w:webHidden/>
          </w:rPr>
          <w:fldChar w:fldCharType="begin"/>
        </w:r>
        <w:r w:rsidR="00E363F7">
          <w:rPr>
            <w:webHidden/>
          </w:rPr>
          <w:instrText xml:space="preserve"> PAGEREF _Toc454888869 \h </w:instrText>
        </w:r>
        <w:r w:rsidR="00E363F7">
          <w:rPr>
            <w:webHidden/>
          </w:rPr>
        </w:r>
        <w:r w:rsidR="00E363F7">
          <w:rPr>
            <w:webHidden/>
          </w:rPr>
          <w:fldChar w:fldCharType="separate"/>
        </w:r>
        <w:r w:rsidR="00A51E64">
          <w:rPr>
            <w:webHidden/>
          </w:rPr>
          <w:t>91</w:t>
        </w:r>
        <w:r w:rsidR="00E363F7">
          <w:rPr>
            <w:webHidden/>
          </w:rPr>
          <w:fldChar w:fldCharType="end"/>
        </w:r>
      </w:hyperlink>
    </w:p>
    <w:p w14:paraId="009939DB" w14:textId="77777777" w:rsidR="00E363F7" w:rsidRDefault="00567312">
      <w:pPr>
        <w:pStyle w:val="TOC3"/>
        <w:rPr>
          <w:rFonts w:asciiTheme="minorHAnsi" w:eastAsiaTheme="minorEastAsia" w:hAnsiTheme="minorHAnsi" w:cstheme="minorBidi"/>
          <w:noProof/>
        </w:rPr>
      </w:pPr>
      <w:hyperlink w:anchor="_Toc454888870" w:history="1">
        <w:r w:rsidR="00E363F7" w:rsidRPr="005968F9">
          <w:rPr>
            <w:rStyle w:val="Hyperlink"/>
            <w:noProof/>
          </w:rPr>
          <w:t>4.1 Integrated assessment of PFM performance</w:t>
        </w:r>
        <w:r w:rsidR="00E363F7">
          <w:rPr>
            <w:noProof/>
            <w:webHidden/>
          </w:rPr>
          <w:tab/>
        </w:r>
        <w:r w:rsidR="00E363F7">
          <w:rPr>
            <w:noProof/>
            <w:webHidden/>
          </w:rPr>
          <w:fldChar w:fldCharType="begin"/>
        </w:r>
        <w:r w:rsidR="00E363F7">
          <w:rPr>
            <w:noProof/>
            <w:webHidden/>
          </w:rPr>
          <w:instrText xml:space="preserve"> PAGEREF _Toc454888870 \h </w:instrText>
        </w:r>
        <w:r w:rsidR="00E363F7">
          <w:rPr>
            <w:noProof/>
            <w:webHidden/>
          </w:rPr>
        </w:r>
        <w:r w:rsidR="00E363F7">
          <w:rPr>
            <w:noProof/>
            <w:webHidden/>
          </w:rPr>
          <w:fldChar w:fldCharType="separate"/>
        </w:r>
        <w:r w:rsidR="00A51E64">
          <w:rPr>
            <w:noProof/>
            <w:webHidden/>
          </w:rPr>
          <w:t>91</w:t>
        </w:r>
        <w:r w:rsidR="00E363F7">
          <w:rPr>
            <w:noProof/>
            <w:webHidden/>
          </w:rPr>
          <w:fldChar w:fldCharType="end"/>
        </w:r>
      </w:hyperlink>
    </w:p>
    <w:p w14:paraId="114D279B" w14:textId="77777777" w:rsidR="00E363F7" w:rsidRDefault="00567312">
      <w:pPr>
        <w:pStyle w:val="TOC3"/>
        <w:rPr>
          <w:rFonts w:asciiTheme="minorHAnsi" w:eastAsiaTheme="minorEastAsia" w:hAnsiTheme="minorHAnsi" w:cstheme="minorBidi"/>
          <w:noProof/>
        </w:rPr>
      </w:pPr>
      <w:hyperlink w:anchor="_Toc454888871" w:history="1">
        <w:r w:rsidR="00E363F7" w:rsidRPr="005968F9">
          <w:rPr>
            <w:rStyle w:val="Hyperlink"/>
            <w:noProof/>
          </w:rPr>
          <w:t>4.2 Effectiveness of the internal control framework</w:t>
        </w:r>
        <w:r w:rsidR="00E363F7">
          <w:rPr>
            <w:noProof/>
            <w:webHidden/>
          </w:rPr>
          <w:tab/>
        </w:r>
        <w:r w:rsidR="00E363F7">
          <w:rPr>
            <w:noProof/>
            <w:webHidden/>
          </w:rPr>
          <w:fldChar w:fldCharType="begin"/>
        </w:r>
        <w:r w:rsidR="00E363F7">
          <w:rPr>
            <w:noProof/>
            <w:webHidden/>
          </w:rPr>
          <w:instrText xml:space="preserve"> PAGEREF _Toc454888871 \h </w:instrText>
        </w:r>
        <w:r w:rsidR="00E363F7">
          <w:rPr>
            <w:noProof/>
            <w:webHidden/>
          </w:rPr>
        </w:r>
        <w:r w:rsidR="00E363F7">
          <w:rPr>
            <w:noProof/>
            <w:webHidden/>
          </w:rPr>
          <w:fldChar w:fldCharType="separate"/>
        </w:r>
        <w:r w:rsidR="00A51E64">
          <w:rPr>
            <w:noProof/>
            <w:webHidden/>
          </w:rPr>
          <w:t>95</w:t>
        </w:r>
        <w:r w:rsidR="00E363F7">
          <w:rPr>
            <w:noProof/>
            <w:webHidden/>
          </w:rPr>
          <w:fldChar w:fldCharType="end"/>
        </w:r>
      </w:hyperlink>
    </w:p>
    <w:p w14:paraId="57F51CC1" w14:textId="77777777" w:rsidR="00E363F7" w:rsidRDefault="00567312">
      <w:pPr>
        <w:pStyle w:val="TOC3"/>
        <w:rPr>
          <w:rFonts w:asciiTheme="minorHAnsi" w:eastAsiaTheme="minorEastAsia" w:hAnsiTheme="minorHAnsi" w:cstheme="minorBidi"/>
          <w:noProof/>
        </w:rPr>
      </w:pPr>
      <w:hyperlink w:anchor="_Toc454888872" w:history="1">
        <w:r w:rsidR="00E363F7" w:rsidRPr="005968F9">
          <w:rPr>
            <w:rStyle w:val="Hyperlink"/>
            <w:noProof/>
          </w:rPr>
          <w:t>4.3 PFM strengths and weaknesses</w:t>
        </w:r>
        <w:r w:rsidR="00E363F7">
          <w:rPr>
            <w:noProof/>
            <w:webHidden/>
          </w:rPr>
          <w:tab/>
        </w:r>
        <w:r w:rsidR="00E363F7">
          <w:rPr>
            <w:noProof/>
            <w:webHidden/>
          </w:rPr>
          <w:fldChar w:fldCharType="begin"/>
        </w:r>
        <w:r w:rsidR="00E363F7">
          <w:rPr>
            <w:noProof/>
            <w:webHidden/>
          </w:rPr>
          <w:instrText xml:space="preserve"> PAGEREF _Toc454888872 \h </w:instrText>
        </w:r>
        <w:r w:rsidR="00E363F7">
          <w:rPr>
            <w:noProof/>
            <w:webHidden/>
          </w:rPr>
        </w:r>
        <w:r w:rsidR="00E363F7">
          <w:rPr>
            <w:noProof/>
            <w:webHidden/>
          </w:rPr>
          <w:fldChar w:fldCharType="separate"/>
        </w:r>
        <w:r w:rsidR="00A51E64">
          <w:rPr>
            <w:noProof/>
            <w:webHidden/>
          </w:rPr>
          <w:t>98</w:t>
        </w:r>
        <w:r w:rsidR="00E363F7">
          <w:rPr>
            <w:noProof/>
            <w:webHidden/>
          </w:rPr>
          <w:fldChar w:fldCharType="end"/>
        </w:r>
      </w:hyperlink>
    </w:p>
    <w:p w14:paraId="715D0D56" w14:textId="77777777" w:rsidR="00E363F7" w:rsidRDefault="00567312">
      <w:pPr>
        <w:pStyle w:val="TOC3"/>
        <w:rPr>
          <w:rFonts w:asciiTheme="minorHAnsi" w:eastAsiaTheme="minorEastAsia" w:hAnsiTheme="minorHAnsi" w:cstheme="minorBidi"/>
          <w:noProof/>
        </w:rPr>
      </w:pPr>
      <w:hyperlink w:anchor="_Toc454888873" w:history="1">
        <w:r w:rsidR="00E363F7" w:rsidRPr="005968F9">
          <w:rPr>
            <w:rStyle w:val="Hyperlink"/>
            <w:noProof/>
          </w:rPr>
          <w:t>4.4 Performance changes since the 2010 assessment</w:t>
        </w:r>
        <w:r w:rsidR="00E363F7">
          <w:rPr>
            <w:noProof/>
            <w:webHidden/>
          </w:rPr>
          <w:tab/>
        </w:r>
        <w:r w:rsidR="00E363F7">
          <w:rPr>
            <w:noProof/>
            <w:webHidden/>
          </w:rPr>
          <w:fldChar w:fldCharType="begin"/>
        </w:r>
        <w:r w:rsidR="00E363F7">
          <w:rPr>
            <w:noProof/>
            <w:webHidden/>
          </w:rPr>
          <w:instrText xml:space="preserve"> PAGEREF _Toc454888873 \h </w:instrText>
        </w:r>
        <w:r w:rsidR="00E363F7">
          <w:rPr>
            <w:noProof/>
            <w:webHidden/>
          </w:rPr>
        </w:r>
        <w:r w:rsidR="00E363F7">
          <w:rPr>
            <w:noProof/>
            <w:webHidden/>
          </w:rPr>
          <w:fldChar w:fldCharType="separate"/>
        </w:r>
        <w:r w:rsidR="00A51E64">
          <w:rPr>
            <w:noProof/>
            <w:webHidden/>
          </w:rPr>
          <w:t>101</w:t>
        </w:r>
        <w:r w:rsidR="00E363F7">
          <w:rPr>
            <w:noProof/>
            <w:webHidden/>
          </w:rPr>
          <w:fldChar w:fldCharType="end"/>
        </w:r>
      </w:hyperlink>
    </w:p>
    <w:p w14:paraId="19D59016" w14:textId="77777777" w:rsidR="00E363F7" w:rsidRDefault="00567312">
      <w:pPr>
        <w:pStyle w:val="TOC2"/>
        <w:rPr>
          <w:rFonts w:asciiTheme="minorHAnsi" w:eastAsiaTheme="minorEastAsia" w:hAnsiTheme="minorHAnsi" w:cstheme="minorBidi"/>
          <w:b w:val="0"/>
          <w:bCs w:val="0"/>
        </w:rPr>
      </w:pPr>
      <w:hyperlink w:anchor="_Toc454888874" w:history="1">
        <w:r w:rsidR="00E363F7" w:rsidRPr="005968F9">
          <w:rPr>
            <w:rStyle w:val="Hyperlink"/>
          </w:rPr>
          <w:t>Chapter 5. Government PFM Reform Process</w:t>
        </w:r>
        <w:r w:rsidR="00E363F7">
          <w:rPr>
            <w:webHidden/>
          </w:rPr>
          <w:tab/>
        </w:r>
        <w:r w:rsidR="00E363F7">
          <w:rPr>
            <w:webHidden/>
          </w:rPr>
          <w:fldChar w:fldCharType="begin"/>
        </w:r>
        <w:r w:rsidR="00E363F7">
          <w:rPr>
            <w:webHidden/>
          </w:rPr>
          <w:instrText xml:space="preserve"> PAGEREF _Toc454888874 \h </w:instrText>
        </w:r>
        <w:r w:rsidR="00E363F7">
          <w:rPr>
            <w:webHidden/>
          </w:rPr>
        </w:r>
        <w:r w:rsidR="00E363F7">
          <w:rPr>
            <w:webHidden/>
          </w:rPr>
          <w:fldChar w:fldCharType="separate"/>
        </w:r>
        <w:r w:rsidR="00A51E64">
          <w:rPr>
            <w:webHidden/>
          </w:rPr>
          <w:t>104</w:t>
        </w:r>
        <w:r w:rsidR="00E363F7">
          <w:rPr>
            <w:webHidden/>
          </w:rPr>
          <w:fldChar w:fldCharType="end"/>
        </w:r>
      </w:hyperlink>
    </w:p>
    <w:p w14:paraId="31054893" w14:textId="77777777" w:rsidR="00E363F7" w:rsidRDefault="00567312">
      <w:pPr>
        <w:pStyle w:val="TOC3"/>
        <w:rPr>
          <w:rFonts w:asciiTheme="minorHAnsi" w:eastAsiaTheme="minorEastAsia" w:hAnsiTheme="minorHAnsi" w:cstheme="minorBidi"/>
          <w:noProof/>
        </w:rPr>
      </w:pPr>
      <w:hyperlink w:anchor="_Toc454888875" w:history="1">
        <w:r w:rsidR="00E363F7" w:rsidRPr="005968F9">
          <w:rPr>
            <w:rStyle w:val="Hyperlink"/>
            <w:noProof/>
          </w:rPr>
          <w:t>5.1 Approach to PFM reforms</w:t>
        </w:r>
        <w:r w:rsidR="00E363F7">
          <w:rPr>
            <w:noProof/>
            <w:webHidden/>
          </w:rPr>
          <w:tab/>
        </w:r>
        <w:r w:rsidR="00E363F7">
          <w:rPr>
            <w:noProof/>
            <w:webHidden/>
          </w:rPr>
          <w:fldChar w:fldCharType="begin"/>
        </w:r>
        <w:r w:rsidR="00E363F7">
          <w:rPr>
            <w:noProof/>
            <w:webHidden/>
          </w:rPr>
          <w:instrText xml:space="preserve"> PAGEREF _Toc454888875 \h </w:instrText>
        </w:r>
        <w:r w:rsidR="00E363F7">
          <w:rPr>
            <w:noProof/>
            <w:webHidden/>
          </w:rPr>
        </w:r>
        <w:r w:rsidR="00E363F7">
          <w:rPr>
            <w:noProof/>
            <w:webHidden/>
          </w:rPr>
          <w:fldChar w:fldCharType="separate"/>
        </w:r>
        <w:r w:rsidR="00A51E64">
          <w:rPr>
            <w:noProof/>
            <w:webHidden/>
          </w:rPr>
          <w:t>104</w:t>
        </w:r>
        <w:r w:rsidR="00E363F7">
          <w:rPr>
            <w:noProof/>
            <w:webHidden/>
          </w:rPr>
          <w:fldChar w:fldCharType="end"/>
        </w:r>
      </w:hyperlink>
    </w:p>
    <w:p w14:paraId="32BE0C2A" w14:textId="77777777" w:rsidR="00E363F7" w:rsidRDefault="00567312">
      <w:pPr>
        <w:pStyle w:val="TOC3"/>
        <w:rPr>
          <w:rFonts w:asciiTheme="minorHAnsi" w:eastAsiaTheme="minorEastAsia" w:hAnsiTheme="minorHAnsi" w:cstheme="minorBidi"/>
          <w:noProof/>
        </w:rPr>
      </w:pPr>
      <w:hyperlink w:anchor="_Toc454888876" w:history="1">
        <w:r w:rsidR="00E363F7" w:rsidRPr="005968F9">
          <w:rPr>
            <w:rStyle w:val="Hyperlink"/>
            <w:noProof/>
          </w:rPr>
          <w:t>5.2 Recent and on-going reform actions</w:t>
        </w:r>
        <w:r w:rsidR="00E363F7">
          <w:rPr>
            <w:noProof/>
            <w:webHidden/>
          </w:rPr>
          <w:tab/>
        </w:r>
        <w:r w:rsidR="00E363F7">
          <w:rPr>
            <w:noProof/>
            <w:webHidden/>
          </w:rPr>
          <w:fldChar w:fldCharType="begin"/>
        </w:r>
        <w:r w:rsidR="00E363F7">
          <w:rPr>
            <w:noProof/>
            <w:webHidden/>
          </w:rPr>
          <w:instrText xml:space="preserve"> PAGEREF _Toc454888876 \h </w:instrText>
        </w:r>
        <w:r w:rsidR="00E363F7">
          <w:rPr>
            <w:noProof/>
            <w:webHidden/>
          </w:rPr>
        </w:r>
        <w:r w:rsidR="00E363F7">
          <w:rPr>
            <w:noProof/>
            <w:webHidden/>
          </w:rPr>
          <w:fldChar w:fldCharType="separate"/>
        </w:r>
        <w:r w:rsidR="00A51E64">
          <w:rPr>
            <w:noProof/>
            <w:webHidden/>
          </w:rPr>
          <w:t>105</w:t>
        </w:r>
        <w:r w:rsidR="00E363F7">
          <w:rPr>
            <w:noProof/>
            <w:webHidden/>
          </w:rPr>
          <w:fldChar w:fldCharType="end"/>
        </w:r>
      </w:hyperlink>
    </w:p>
    <w:p w14:paraId="3FE57C27" w14:textId="77777777" w:rsidR="00E363F7" w:rsidRDefault="00567312">
      <w:pPr>
        <w:pStyle w:val="TOC3"/>
        <w:rPr>
          <w:rFonts w:asciiTheme="minorHAnsi" w:eastAsiaTheme="minorEastAsia" w:hAnsiTheme="minorHAnsi" w:cstheme="minorBidi"/>
          <w:noProof/>
        </w:rPr>
      </w:pPr>
      <w:hyperlink w:anchor="_Toc454888877" w:history="1">
        <w:r w:rsidR="00E363F7" w:rsidRPr="005968F9">
          <w:rPr>
            <w:rStyle w:val="Hyperlink"/>
            <w:noProof/>
          </w:rPr>
          <w:t>5.3 Institutional Considerations</w:t>
        </w:r>
        <w:r w:rsidR="00E363F7">
          <w:rPr>
            <w:noProof/>
            <w:webHidden/>
          </w:rPr>
          <w:tab/>
        </w:r>
        <w:r w:rsidR="00E363F7">
          <w:rPr>
            <w:noProof/>
            <w:webHidden/>
          </w:rPr>
          <w:fldChar w:fldCharType="begin"/>
        </w:r>
        <w:r w:rsidR="00E363F7">
          <w:rPr>
            <w:noProof/>
            <w:webHidden/>
          </w:rPr>
          <w:instrText xml:space="preserve"> PAGEREF _Toc454888877 \h </w:instrText>
        </w:r>
        <w:r w:rsidR="00E363F7">
          <w:rPr>
            <w:noProof/>
            <w:webHidden/>
          </w:rPr>
        </w:r>
        <w:r w:rsidR="00E363F7">
          <w:rPr>
            <w:noProof/>
            <w:webHidden/>
          </w:rPr>
          <w:fldChar w:fldCharType="separate"/>
        </w:r>
        <w:r w:rsidR="00A51E64">
          <w:rPr>
            <w:noProof/>
            <w:webHidden/>
          </w:rPr>
          <w:t>111</w:t>
        </w:r>
        <w:r w:rsidR="00E363F7">
          <w:rPr>
            <w:noProof/>
            <w:webHidden/>
          </w:rPr>
          <w:fldChar w:fldCharType="end"/>
        </w:r>
      </w:hyperlink>
    </w:p>
    <w:p w14:paraId="61D8B64A" w14:textId="77777777" w:rsidR="00E363F7" w:rsidRDefault="00567312">
      <w:pPr>
        <w:pStyle w:val="TOC2"/>
        <w:rPr>
          <w:rFonts w:asciiTheme="minorHAnsi" w:eastAsiaTheme="minorEastAsia" w:hAnsiTheme="minorHAnsi" w:cstheme="minorBidi"/>
          <w:b w:val="0"/>
          <w:bCs w:val="0"/>
        </w:rPr>
      </w:pPr>
      <w:hyperlink w:anchor="_Toc454888878" w:history="1">
        <w:r w:rsidR="00E363F7" w:rsidRPr="005968F9">
          <w:rPr>
            <w:rStyle w:val="Hyperlink"/>
          </w:rPr>
          <w:t>Annex 1: Performance Indicator Summary</w:t>
        </w:r>
        <w:r w:rsidR="00E363F7">
          <w:rPr>
            <w:webHidden/>
          </w:rPr>
          <w:tab/>
        </w:r>
        <w:r w:rsidR="00E363F7">
          <w:rPr>
            <w:webHidden/>
          </w:rPr>
          <w:fldChar w:fldCharType="begin"/>
        </w:r>
        <w:r w:rsidR="00E363F7">
          <w:rPr>
            <w:webHidden/>
          </w:rPr>
          <w:instrText xml:space="preserve"> PAGEREF _Toc454888878 \h </w:instrText>
        </w:r>
        <w:r w:rsidR="00E363F7">
          <w:rPr>
            <w:webHidden/>
          </w:rPr>
        </w:r>
        <w:r w:rsidR="00E363F7">
          <w:rPr>
            <w:webHidden/>
          </w:rPr>
          <w:fldChar w:fldCharType="separate"/>
        </w:r>
        <w:r w:rsidR="00A51E64">
          <w:rPr>
            <w:webHidden/>
          </w:rPr>
          <w:t>113</w:t>
        </w:r>
        <w:r w:rsidR="00E363F7">
          <w:rPr>
            <w:webHidden/>
          </w:rPr>
          <w:fldChar w:fldCharType="end"/>
        </w:r>
      </w:hyperlink>
    </w:p>
    <w:p w14:paraId="7D4D69E8" w14:textId="4E499074" w:rsidR="00E363F7" w:rsidRDefault="00567312" w:rsidP="00A856DB">
      <w:pPr>
        <w:pStyle w:val="TOC2"/>
        <w:rPr>
          <w:rFonts w:asciiTheme="minorHAnsi" w:eastAsiaTheme="minorEastAsia" w:hAnsiTheme="minorHAnsi" w:cstheme="minorBidi"/>
        </w:rPr>
      </w:pPr>
      <w:hyperlink w:anchor="_Toc454888879" w:history="1">
        <w:r w:rsidR="00E363F7" w:rsidRPr="005968F9">
          <w:rPr>
            <w:rStyle w:val="Hyperlink"/>
          </w:rPr>
          <w:t>Annex 2: Summary of Observations on the Internal Control Framework</w:t>
        </w:r>
        <w:r w:rsidR="00E363F7">
          <w:rPr>
            <w:webHidden/>
          </w:rPr>
          <w:tab/>
        </w:r>
        <w:r w:rsidR="00E363F7">
          <w:rPr>
            <w:webHidden/>
          </w:rPr>
          <w:fldChar w:fldCharType="begin"/>
        </w:r>
        <w:r w:rsidR="00E363F7">
          <w:rPr>
            <w:webHidden/>
          </w:rPr>
          <w:instrText xml:space="preserve"> PAGEREF _Toc454888879 \h </w:instrText>
        </w:r>
        <w:r w:rsidR="00E363F7">
          <w:rPr>
            <w:webHidden/>
          </w:rPr>
        </w:r>
        <w:r w:rsidR="00E363F7">
          <w:rPr>
            <w:webHidden/>
          </w:rPr>
          <w:fldChar w:fldCharType="separate"/>
        </w:r>
        <w:r w:rsidR="00A51E64">
          <w:rPr>
            <w:webHidden/>
          </w:rPr>
          <w:t>119</w:t>
        </w:r>
        <w:r w:rsidR="00E363F7">
          <w:rPr>
            <w:webHidden/>
          </w:rPr>
          <w:fldChar w:fldCharType="end"/>
        </w:r>
      </w:hyperlink>
    </w:p>
    <w:p w14:paraId="1DE4DB8D" w14:textId="77777777" w:rsidR="00E363F7" w:rsidRDefault="00567312">
      <w:pPr>
        <w:pStyle w:val="TOC2"/>
        <w:rPr>
          <w:rFonts w:asciiTheme="minorHAnsi" w:eastAsiaTheme="minorEastAsia" w:hAnsiTheme="minorHAnsi" w:cstheme="minorBidi"/>
          <w:b w:val="0"/>
          <w:bCs w:val="0"/>
        </w:rPr>
      </w:pPr>
      <w:hyperlink w:anchor="_Toc454888943" w:history="1">
        <w:r w:rsidR="00E363F7" w:rsidRPr="005968F9">
          <w:rPr>
            <w:rStyle w:val="Hyperlink"/>
          </w:rPr>
          <w:t>Annex 3A. PEFA Assessment Management Organization</w:t>
        </w:r>
        <w:r w:rsidR="00E363F7">
          <w:rPr>
            <w:webHidden/>
          </w:rPr>
          <w:tab/>
        </w:r>
        <w:r w:rsidR="00E363F7">
          <w:rPr>
            <w:webHidden/>
          </w:rPr>
          <w:fldChar w:fldCharType="begin"/>
        </w:r>
        <w:r w:rsidR="00E363F7">
          <w:rPr>
            <w:webHidden/>
          </w:rPr>
          <w:instrText xml:space="preserve"> PAGEREF _Toc454888943 \h </w:instrText>
        </w:r>
        <w:r w:rsidR="00E363F7">
          <w:rPr>
            <w:webHidden/>
          </w:rPr>
        </w:r>
        <w:r w:rsidR="00E363F7">
          <w:rPr>
            <w:webHidden/>
          </w:rPr>
          <w:fldChar w:fldCharType="separate"/>
        </w:r>
        <w:r w:rsidR="00A51E64">
          <w:rPr>
            <w:webHidden/>
          </w:rPr>
          <w:t>1</w:t>
        </w:r>
        <w:r w:rsidR="00A51E64">
          <w:rPr>
            <w:webHidden/>
          </w:rPr>
          <w:t>2</w:t>
        </w:r>
        <w:r w:rsidR="00A51E64">
          <w:rPr>
            <w:webHidden/>
          </w:rPr>
          <w:t>6</w:t>
        </w:r>
        <w:r w:rsidR="00E363F7">
          <w:rPr>
            <w:webHidden/>
          </w:rPr>
          <w:fldChar w:fldCharType="end"/>
        </w:r>
      </w:hyperlink>
    </w:p>
    <w:p w14:paraId="6FC763D8" w14:textId="77777777" w:rsidR="00E363F7" w:rsidRDefault="00567312">
      <w:pPr>
        <w:pStyle w:val="TOC2"/>
        <w:rPr>
          <w:rFonts w:asciiTheme="minorHAnsi" w:eastAsiaTheme="minorEastAsia" w:hAnsiTheme="minorHAnsi" w:cstheme="minorBidi"/>
          <w:b w:val="0"/>
          <w:bCs w:val="0"/>
        </w:rPr>
      </w:pPr>
      <w:hyperlink w:anchor="_Toc454888944" w:history="1">
        <w:r w:rsidR="00E363F7" w:rsidRPr="005968F9">
          <w:rPr>
            <w:rStyle w:val="Hyperlink"/>
          </w:rPr>
          <w:t>Annex 3B: Persons Consulted</w:t>
        </w:r>
        <w:r w:rsidR="00E363F7">
          <w:rPr>
            <w:webHidden/>
          </w:rPr>
          <w:tab/>
        </w:r>
        <w:r w:rsidR="00E363F7">
          <w:rPr>
            <w:webHidden/>
          </w:rPr>
          <w:fldChar w:fldCharType="begin"/>
        </w:r>
        <w:r w:rsidR="00E363F7">
          <w:rPr>
            <w:webHidden/>
          </w:rPr>
          <w:instrText xml:space="preserve"> PAGEREF _Toc454888944 \h </w:instrText>
        </w:r>
        <w:r w:rsidR="00E363F7">
          <w:rPr>
            <w:webHidden/>
          </w:rPr>
        </w:r>
        <w:r w:rsidR="00E363F7">
          <w:rPr>
            <w:webHidden/>
          </w:rPr>
          <w:fldChar w:fldCharType="separate"/>
        </w:r>
        <w:r w:rsidR="00A51E64">
          <w:rPr>
            <w:webHidden/>
          </w:rPr>
          <w:t>128</w:t>
        </w:r>
        <w:r w:rsidR="00E363F7">
          <w:rPr>
            <w:webHidden/>
          </w:rPr>
          <w:fldChar w:fldCharType="end"/>
        </w:r>
      </w:hyperlink>
    </w:p>
    <w:p w14:paraId="4F4E5B71" w14:textId="77777777" w:rsidR="00E363F7" w:rsidRDefault="00567312">
      <w:pPr>
        <w:pStyle w:val="TOC2"/>
        <w:rPr>
          <w:rFonts w:asciiTheme="minorHAnsi" w:eastAsiaTheme="minorEastAsia" w:hAnsiTheme="minorHAnsi" w:cstheme="minorBidi"/>
          <w:b w:val="0"/>
          <w:bCs w:val="0"/>
        </w:rPr>
      </w:pPr>
      <w:hyperlink w:anchor="_Toc454888945" w:history="1">
        <w:r w:rsidR="00E363F7" w:rsidRPr="005968F9">
          <w:rPr>
            <w:rStyle w:val="Hyperlink"/>
          </w:rPr>
          <w:t>Annex 3C: Sources of information</w:t>
        </w:r>
        <w:r w:rsidR="00E363F7">
          <w:rPr>
            <w:webHidden/>
          </w:rPr>
          <w:tab/>
        </w:r>
        <w:r w:rsidR="00E363F7">
          <w:rPr>
            <w:webHidden/>
          </w:rPr>
          <w:fldChar w:fldCharType="begin"/>
        </w:r>
        <w:r w:rsidR="00E363F7">
          <w:rPr>
            <w:webHidden/>
          </w:rPr>
          <w:instrText xml:space="preserve"> PAGEREF _Toc454888945 \h </w:instrText>
        </w:r>
        <w:r w:rsidR="00E363F7">
          <w:rPr>
            <w:webHidden/>
          </w:rPr>
        </w:r>
        <w:r w:rsidR="00E363F7">
          <w:rPr>
            <w:webHidden/>
          </w:rPr>
          <w:fldChar w:fldCharType="separate"/>
        </w:r>
        <w:r w:rsidR="00A51E64">
          <w:rPr>
            <w:webHidden/>
          </w:rPr>
          <w:t>129</w:t>
        </w:r>
        <w:r w:rsidR="00E363F7">
          <w:rPr>
            <w:webHidden/>
          </w:rPr>
          <w:fldChar w:fldCharType="end"/>
        </w:r>
      </w:hyperlink>
    </w:p>
    <w:p w14:paraId="0C16CF34" w14:textId="77777777" w:rsidR="00E363F7" w:rsidRDefault="00567312">
      <w:pPr>
        <w:pStyle w:val="TOC2"/>
        <w:rPr>
          <w:rFonts w:asciiTheme="minorHAnsi" w:eastAsiaTheme="minorEastAsia" w:hAnsiTheme="minorHAnsi" w:cstheme="minorBidi"/>
          <w:b w:val="0"/>
          <w:bCs w:val="0"/>
        </w:rPr>
      </w:pPr>
      <w:hyperlink w:anchor="_Toc454888946" w:history="1">
        <w:r w:rsidR="00E363F7" w:rsidRPr="005968F9">
          <w:rPr>
            <w:rStyle w:val="Hyperlink"/>
          </w:rPr>
          <w:t>Annex 4: Data for PI</w:t>
        </w:r>
        <w:r w:rsidR="00E363F7" w:rsidRPr="005968F9">
          <w:rPr>
            <w:rStyle w:val="Hyperlink"/>
            <w:rFonts w:ascii="Cambria Math" w:hAnsi="Cambria Math"/>
          </w:rPr>
          <w:t>‐</w:t>
        </w:r>
        <w:r w:rsidR="00E363F7" w:rsidRPr="005968F9">
          <w:rPr>
            <w:rStyle w:val="Hyperlink"/>
          </w:rPr>
          <w:t>1, PI</w:t>
        </w:r>
        <w:r w:rsidR="00E363F7" w:rsidRPr="005968F9">
          <w:rPr>
            <w:rStyle w:val="Hyperlink"/>
            <w:rFonts w:ascii="Cambria Math" w:hAnsi="Cambria Math"/>
          </w:rPr>
          <w:t>‐</w:t>
        </w:r>
        <w:r w:rsidR="00E363F7" w:rsidRPr="005968F9">
          <w:rPr>
            <w:rStyle w:val="Hyperlink"/>
          </w:rPr>
          <w:t>2 and PI-3</w:t>
        </w:r>
        <w:r w:rsidR="00E363F7">
          <w:rPr>
            <w:webHidden/>
          </w:rPr>
          <w:tab/>
        </w:r>
        <w:r w:rsidR="00E363F7">
          <w:rPr>
            <w:webHidden/>
          </w:rPr>
          <w:fldChar w:fldCharType="begin"/>
        </w:r>
        <w:r w:rsidR="00E363F7">
          <w:rPr>
            <w:webHidden/>
          </w:rPr>
          <w:instrText xml:space="preserve"> PAGEREF _Toc454888946 \h </w:instrText>
        </w:r>
        <w:r w:rsidR="00E363F7">
          <w:rPr>
            <w:webHidden/>
          </w:rPr>
        </w:r>
        <w:r w:rsidR="00E363F7">
          <w:rPr>
            <w:webHidden/>
          </w:rPr>
          <w:fldChar w:fldCharType="separate"/>
        </w:r>
        <w:r w:rsidR="00A51E64">
          <w:rPr>
            <w:webHidden/>
          </w:rPr>
          <w:t>133</w:t>
        </w:r>
        <w:r w:rsidR="00E363F7">
          <w:rPr>
            <w:webHidden/>
          </w:rPr>
          <w:fldChar w:fldCharType="end"/>
        </w:r>
      </w:hyperlink>
    </w:p>
    <w:p w14:paraId="6217A680" w14:textId="77777777" w:rsidR="00E363F7" w:rsidRDefault="00567312">
      <w:pPr>
        <w:pStyle w:val="TOC2"/>
        <w:rPr>
          <w:rFonts w:asciiTheme="minorHAnsi" w:eastAsiaTheme="minorEastAsia" w:hAnsiTheme="minorHAnsi" w:cstheme="minorBidi"/>
          <w:b w:val="0"/>
          <w:bCs w:val="0"/>
        </w:rPr>
      </w:pPr>
      <w:hyperlink w:anchor="_Toc454888947" w:history="1">
        <w:r w:rsidR="00E363F7" w:rsidRPr="005968F9">
          <w:rPr>
            <w:rStyle w:val="Hyperlink"/>
          </w:rPr>
          <w:t>Annex 5: Summary Assessment based on Old Methodology</w:t>
        </w:r>
        <w:r w:rsidR="00E363F7">
          <w:rPr>
            <w:webHidden/>
          </w:rPr>
          <w:tab/>
        </w:r>
        <w:r w:rsidR="00E363F7">
          <w:rPr>
            <w:webHidden/>
          </w:rPr>
          <w:fldChar w:fldCharType="begin"/>
        </w:r>
        <w:r w:rsidR="00E363F7">
          <w:rPr>
            <w:webHidden/>
          </w:rPr>
          <w:instrText xml:space="preserve"> PAGEREF _Toc454888947 \h </w:instrText>
        </w:r>
        <w:r w:rsidR="00E363F7">
          <w:rPr>
            <w:webHidden/>
          </w:rPr>
        </w:r>
        <w:r w:rsidR="00E363F7">
          <w:rPr>
            <w:webHidden/>
          </w:rPr>
          <w:fldChar w:fldCharType="separate"/>
        </w:r>
        <w:r w:rsidR="00A51E64">
          <w:rPr>
            <w:webHidden/>
          </w:rPr>
          <w:t>139</w:t>
        </w:r>
        <w:r w:rsidR="00E363F7">
          <w:rPr>
            <w:webHidden/>
          </w:rPr>
          <w:fldChar w:fldCharType="end"/>
        </w:r>
      </w:hyperlink>
    </w:p>
    <w:p w14:paraId="405B6793" w14:textId="4F40D273" w:rsidR="00E363F7" w:rsidRDefault="00567312">
      <w:pPr>
        <w:pStyle w:val="TOC2"/>
        <w:rPr>
          <w:rFonts w:asciiTheme="minorHAnsi" w:eastAsiaTheme="minorEastAsia" w:hAnsiTheme="minorHAnsi" w:cstheme="minorBidi"/>
          <w:b w:val="0"/>
          <w:bCs w:val="0"/>
        </w:rPr>
      </w:pPr>
      <w:hyperlink w:anchor="_Toc454888948" w:history="1">
        <w:r w:rsidR="00E363F7" w:rsidRPr="005968F9">
          <w:rPr>
            <w:rStyle w:val="Hyperlink"/>
          </w:rPr>
          <w:t>Endnotes</w:t>
        </w:r>
        <w:r w:rsidR="00A856DB">
          <w:rPr>
            <w:rStyle w:val="Hyperlink"/>
          </w:rPr>
          <w:t xml:space="preserve">: </w:t>
        </w:r>
        <w:r w:rsidR="00E363F7" w:rsidRPr="00A856DB">
          <w:rPr>
            <w:rStyle w:val="Hyperlink"/>
            <w:webHidden/>
          </w:rPr>
          <w:tab/>
        </w:r>
        <w:r w:rsidR="00E363F7" w:rsidRPr="00A856DB">
          <w:rPr>
            <w:rStyle w:val="Hyperlink"/>
            <w:webHidden/>
          </w:rPr>
          <w:fldChar w:fldCharType="begin"/>
        </w:r>
        <w:r w:rsidR="00E363F7" w:rsidRPr="00A856DB">
          <w:rPr>
            <w:rStyle w:val="Hyperlink"/>
            <w:webHidden/>
          </w:rPr>
          <w:instrText xml:space="preserve"> PAGEREF _Toc454888948 \h </w:instrText>
        </w:r>
        <w:r w:rsidR="00E363F7" w:rsidRPr="00A856DB">
          <w:rPr>
            <w:rStyle w:val="Hyperlink"/>
            <w:webHidden/>
          </w:rPr>
        </w:r>
        <w:r w:rsidR="00E363F7" w:rsidRPr="00A856DB">
          <w:rPr>
            <w:rStyle w:val="Hyperlink"/>
            <w:webHidden/>
          </w:rPr>
          <w:fldChar w:fldCharType="separate"/>
        </w:r>
        <w:r w:rsidR="00A51E64" w:rsidRPr="00A856DB">
          <w:rPr>
            <w:rStyle w:val="Hyperlink"/>
            <w:webHidden/>
          </w:rPr>
          <w:t>151</w:t>
        </w:r>
        <w:r w:rsidR="00E363F7" w:rsidRPr="00A856DB">
          <w:rPr>
            <w:rStyle w:val="Hyperlink"/>
            <w:webHidden/>
          </w:rPr>
          <w:fldChar w:fldCharType="end"/>
        </w:r>
      </w:hyperlink>
    </w:p>
    <w:p w14:paraId="0990922A" w14:textId="77777777" w:rsidR="00D0667E" w:rsidRPr="005A497D" w:rsidRDefault="005531E2" w:rsidP="009A012D">
      <w:pPr>
        <w:jc w:val="both"/>
        <w:rPr>
          <w:sz w:val="22"/>
        </w:rPr>
      </w:pPr>
      <w:r w:rsidRPr="005A497D">
        <w:rPr>
          <w:sz w:val="22"/>
          <w:szCs w:val="22"/>
        </w:rPr>
        <w:fldChar w:fldCharType="end"/>
      </w:r>
    </w:p>
    <w:p w14:paraId="0A4405D1" w14:textId="77777777" w:rsidR="0039648A" w:rsidRPr="005A497D" w:rsidRDefault="0039648A" w:rsidP="009A012D">
      <w:pPr>
        <w:rPr>
          <w:b/>
          <w:sz w:val="26"/>
          <w:szCs w:val="28"/>
        </w:rPr>
      </w:pPr>
      <w:bookmarkStart w:id="4" w:name="_Toc167858545"/>
      <w:r w:rsidRPr="005A497D">
        <w:rPr>
          <w:sz w:val="26"/>
        </w:rPr>
        <w:br w:type="page"/>
      </w:r>
    </w:p>
    <w:p w14:paraId="7193A776" w14:textId="602A3D6B" w:rsidR="005A5A15" w:rsidRDefault="002D652E" w:rsidP="005A5A15">
      <w:pPr>
        <w:pStyle w:val="TOCHeading"/>
        <w:framePr w:hSpace="0" w:wrap="auto" w:vAnchor="margin" w:hAnchor="text" w:xAlign="left" w:yAlign="inline"/>
        <w:spacing w:before="0" w:line="240" w:lineRule="auto"/>
        <w:rPr>
          <w:rFonts w:asciiTheme="minorHAnsi" w:eastAsiaTheme="minorEastAsia" w:hAnsiTheme="minorHAnsi" w:cstheme="minorBidi"/>
          <w:noProof/>
          <w:sz w:val="22"/>
          <w:szCs w:val="22"/>
        </w:rPr>
      </w:pPr>
      <w:r>
        <w:rPr>
          <w:rFonts w:ascii="Times New Roman" w:hAnsi="Times New Roman"/>
          <w:color w:val="auto"/>
          <w:sz w:val="32"/>
          <w:szCs w:val="32"/>
        </w:rPr>
        <w:t xml:space="preserve">Figures and </w:t>
      </w:r>
      <w:r w:rsidR="003930F5" w:rsidRPr="005A497D">
        <w:rPr>
          <w:rFonts w:ascii="Times New Roman" w:hAnsi="Times New Roman"/>
          <w:color w:val="auto"/>
          <w:sz w:val="32"/>
          <w:szCs w:val="32"/>
        </w:rPr>
        <w:t>Tables</w:t>
      </w:r>
      <w:r w:rsidR="005A5A15">
        <w:rPr>
          <w:rFonts w:ascii="Times New Roman" w:hAnsi="Times New Roman"/>
          <w:color w:val="auto"/>
          <w:sz w:val="32"/>
          <w:szCs w:val="32"/>
        </w:rPr>
        <w:fldChar w:fldCharType="begin"/>
      </w:r>
      <w:r w:rsidR="005A5A15">
        <w:rPr>
          <w:rFonts w:ascii="Times New Roman" w:hAnsi="Times New Roman"/>
          <w:color w:val="auto"/>
          <w:sz w:val="32"/>
          <w:szCs w:val="32"/>
        </w:rPr>
        <w:instrText xml:space="preserve"> TOC \c "Figure" </w:instrText>
      </w:r>
      <w:r w:rsidR="005A5A15">
        <w:rPr>
          <w:rFonts w:ascii="Times New Roman" w:hAnsi="Times New Roman"/>
          <w:color w:val="auto"/>
          <w:sz w:val="32"/>
          <w:szCs w:val="32"/>
        </w:rPr>
        <w:fldChar w:fldCharType="separate"/>
      </w:r>
    </w:p>
    <w:p w14:paraId="309A7CA0" w14:textId="77777777" w:rsidR="00BF532D" w:rsidRDefault="005A5A15" w:rsidP="002D652E">
      <w:pPr>
        <w:pStyle w:val="TOCHeading"/>
        <w:framePr w:hSpace="0" w:wrap="auto" w:vAnchor="margin" w:hAnchor="text" w:xAlign="left" w:yAlign="inline"/>
        <w:spacing w:before="0" w:line="240" w:lineRule="auto"/>
        <w:jc w:val="left"/>
        <w:rPr>
          <w:noProof/>
        </w:rPr>
      </w:pPr>
      <w:r>
        <w:rPr>
          <w:rFonts w:ascii="Times New Roman" w:hAnsi="Times New Roman"/>
          <w:color w:val="auto"/>
          <w:sz w:val="32"/>
          <w:szCs w:val="32"/>
        </w:rPr>
        <w:fldChar w:fldCharType="end"/>
      </w:r>
      <w:r w:rsidR="002D652E">
        <w:rPr>
          <w:rFonts w:ascii="Times New Roman" w:hAnsi="Times New Roman"/>
          <w:color w:val="auto"/>
          <w:sz w:val="32"/>
          <w:szCs w:val="32"/>
        </w:rPr>
        <w:fldChar w:fldCharType="begin"/>
      </w:r>
      <w:r w:rsidR="002D652E">
        <w:rPr>
          <w:rFonts w:ascii="Times New Roman" w:hAnsi="Times New Roman"/>
          <w:color w:val="auto"/>
          <w:sz w:val="32"/>
          <w:szCs w:val="32"/>
        </w:rPr>
        <w:instrText xml:space="preserve"> TOC \t "PEFA Figure,1" </w:instrText>
      </w:r>
      <w:r w:rsidR="002D652E">
        <w:rPr>
          <w:rFonts w:ascii="Times New Roman" w:hAnsi="Times New Roman"/>
          <w:color w:val="auto"/>
          <w:sz w:val="32"/>
          <w:szCs w:val="32"/>
        </w:rPr>
        <w:fldChar w:fldCharType="separate"/>
      </w:r>
    </w:p>
    <w:p w14:paraId="31ABE237" w14:textId="56454F59" w:rsidR="00BF532D" w:rsidRDefault="00BF532D">
      <w:pPr>
        <w:pStyle w:val="TOC1"/>
        <w:rPr>
          <w:rFonts w:asciiTheme="minorHAnsi" w:eastAsiaTheme="minorEastAsia" w:hAnsiTheme="minorHAnsi" w:cstheme="minorBidi"/>
          <w:b w:val="0"/>
          <w:bCs w:val="0"/>
          <w:sz w:val="24"/>
          <w:szCs w:val="24"/>
          <w:lang w:eastAsia="ja-JP"/>
        </w:rPr>
      </w:pPr>
      <w:r>
        <w:t>Figure 0.1 PEFA Rating Summary</w:t>
      </w:r>
      <w:r>
        <w:tab/>
      </w:r>
      <w:r>
        <w:fldChar w:fldCharType="begin"/>
      </w:r>
      <w:r>
        <w:instrText xml:space="preserve"> PAGEREF _Toc325723362 \h </w:instrText>
      </w:r>
      <w:r>
        <w:fldChar w:fldCharType="separate"/>
      </w:r>
      <w:r w:rsidR="00666A5A">
        <w:t>xiv</w:t>
      </w:r>
      <w:r>
        <w:fldChar w:fldCharType="end"/>
      </w:r>
    </w:p>
    <w:p w14:paraId="2A121486" w14:textId="3C01DA55" w:rsidR="00BF532D" w:rsidRDefault="00BF532D">
      <w:pPr>
        <w:pStyle w:val="TOC1"/>
        <w:rPr>
          <w:rFonts w:asciiTheme="minorHAnsi" w:eastAsiaTheme="minorEastAsia" w:hAnsiTheme="minorHAnsi" w:cstheme="minorBidi"/>
          <w:b w:val="0"/>
          <w:bCs w:val="0"/>
          <w:sz w:val="24"/>
          <w:szCs w:val="24"/>
          <w:lang w:eastAsia="ja-JP"/>
        </w:rPr>
      </w:pPr>
      <w:r w:rsidRPr="00891F56">
        <w:rPr>
          <w:lang w:val="en-AU"/>
        </w:rPr>
        <w:t>Figure 5.1.  The Updated PFM Roadmap Summary (2015-2016)</w:t>
      </w:r>
      <w:r>
        <w:tab/>
      </w:r>
      <w:r>
        <w:fldChar w:fldCharType="begin"/>
      </w:r>
      <w:r>
        <w:instrText xml:space="preserve"> PAGEREF _Toc325723363 \h </w:instrText>
      </w:r>
      <w:r>
        <w:fldChar w:fldCharType="separate"/>
      </w:r>
      <w:r w:rsidR="00666A5A">
        <w:t>105</w:t>
      </w:r>
      <w:r>
        <w:fldChar w:fldCharType="end"/>
      </w:r>
    </w:p>
    <w:p w14:paraId="49CD4D5E" w14:textId="77777777" w:rsidR="0094673F" w:rsidRDefault="002D652E" w:rsidP="002D652E">
      <w:pPr>
        <w:pStyle w:val="TOCHeading"/>
        <w:framePr w:hSpace="0" w:wrap="auto" w:vAnchor="margin" w:hAnchor="text" w:xAlign="left" w:yAlign="inline"/>
        <w:spacing w:before="0" w:line="240" w:lineRule="auto"/>
        <w:jc w:val="left"/>
        <w:rPr>
          <w:noProof/>
        </w:rPr>
      </w:pPr>
      <w:r>
        <w:rPr>
          <w:rFonts w:ascii="Times New Roman" w:hAnsi="Times New Roman"/>
          <w:color w:val="auto"/>
          <w:sz w:val="32"/>
          <w:szCs w:val="32"/>
        </w:rPr>
        <w:fldChar w:fldCharType="end"/>
      </w:r>
      <w:r w:rsidR="005531E2" w:rsidRPr="005A497D">
        <w:rPr>
          <w:sz w:val="26"/>
        </w:rPr>
        <w:fldChar w:fldCharType="begin"/>
      </w:r>
      <w:r w:rsidR="003F1422" w:rsidRPr="005A497D">
        <w:rPr>
          <w:sz w:val="26"/>
        </w:rPr>
        <w:instrText xml:space="preserve"> TOC \t "PEFA Figure,1" </w:instrText>
      </w:r>
      <w:r w:rsidR="005531E2" w:rsidRPr="005A497D">
        <w:rPr>
          <w:sz w:val="26"/>
        </w:rPr>
        <w:fldChar w:fldCharType="end"/>
      </w:r>
      <w:r w:rsidR="005531E2" w:rsidRPr="005A497D">
        <w:fldChar w:fldCharType="begin"/>
      </w:r>
      <w:r w:rsidR="00527855" w:rsidRPr="005A497D">
        <w:instrText xml:space="preserve"> TOC \t "PEFA Table,1" </w:instrText>
      </w:r>
      <w:r w:rsidR="005531E2" w:rsidRPr="005A497D">
        <w:fldChar w:fldCharType="separate"/>
      </w:r>
    </w:p>
    <w:p w14:paraId="641DF1C1" w14:textId="77777777" w:rsidR="0094673F" w:rsidRDefault="0094673F">
      <w:pPr>
        <w:pStyle w:val="TOC1"/>
        <w:rPr>
          <w:rFonts w:asciiTheme="minorHAnsi" w:eastAsiaTheme="minorEastAsia" w:hAnsiTheme="minorHAnsi" w:cstheme="minorBidi"/>
          <w:b w:val="0"/>
          <w:bCs w:val="0"/>
        </w:rPr>
      </w:pPr>
      <w:r>
        <w:t>Table 0.1: Distribution of PEFA assessment 2016 Ratings by Indicator</w:t>
      </w:r>
      <w:r>
        <w:tab/>
      </w:r>
      <w:r>
        <w:fldChar w:fldCharType="begin"/>
      </w:r>
      <w:r>
        <w:instrText xml:space="preserve"> PAGEREF _Toc454889228 \h </w:instrText>
      </w:r>
      <w:r>
        <w:fldChar w:fldCharType="separate"/>
      </w:r>
      <w:r w:rsidR="00FE48C6">
        <w:t>xiv</w:t>
      </w:r>
      <w:r>
        <w:fldChar w:fldCharType="end"/>
      </w:r>
    </w:p>
    <w:p w14:paraId="6BD05473" w14:textId="77777777" w:rsidR="0094673F" w:rsidRDefault="0094673F">
      <w:pPr>
        <w:pStyle w:val="TOC1"/>
        <w:rPr>
          <w:rFonts w:asciiTheme="minorHAnsi" w:eastAsiaTheme="minorEastAsia" w:hAnsiTheme="minorHAnsi" w:cstheme="minorBidi"/>
          <w:b w:val="0"/>
          <w:bCs w:val="0"/>
        </w:rPr>
      </w:pPr>
      <w:r>
        <w:t>Table 0.2: Distribution of PEFA assessment 2016 Ratings by Dimensions</w:t>
      </w:r>
      <w:r>
        <w:tab/>
      </w:r>
      <w:r>
        <w:fldChar w:fldCharType="begin"/>
      </w:r>
      <w:r>
        <w:instrText xml:space="preserve"> PAGEREF _Toc454889229 \h </w:instrText>
      </w:r>
      <w:r>
        <w:fldChar w:fldCharType="separate"/>
      </w:r>
      <w:r w:rsidR="00FE48C6">
        <w:t>xv</w:t>
      </w:r>
      <w:r>
        <w:fldChar w:fldCharType="end"/>
      </w:r>
    </w:p>
    <w:p w14:paraId="3244A9BA" w14:textId="77777777" w:rsidR="0094673F" w:rsidRDefault="0094673F">
      <w:pPr>
        <w:pStyle w:val="TOC1"/>
        <w:rPr>
          <w:rFonts w:asciiTheme="minorHAnsi" w:eastAsiaTheme="minorEastAsia" w:hAnsiTheme="minorHAnsi" w:cstheme="minorBidi"/>
          <w:b w:val="0"/>
          <w:bCs w:val="0"/>
        </w:rPr>
      </w:pPr>
      <w:r>
        <w:t>Table 0.3: Distribution of Ratings by Indicator (old methodology)</w:t>
      </w:r>
      <w:r>
        <w:tab/>
      </w:r>
      <w:r>
        <w:fldChar w:fldCharType="begin"/>
      </w:r>
      <w:r>
        <w:instrText xml:space="preserve"> PAGEREF _Toc454889230 \h </w:instrText>
      </w:r>
      <w:r>
        <w:fldChar w:fldCharType="separate"/>
      </w:r>
      <w:r w:rsidR="00FE48C6">
        <w:t>xvii</w:t>
      </w:r>
      <w:r>
        <w:fldChar w:fldCharType="end"/>
      </w:r>
    </w:p>
    <w:p w14:paraId="0F30186B" w14:textId="77777777" w:rsidR="0094673F" w:rsidRDefault="0094673F">
      <w:pPr>
        <w:pStyle w:val="TOC1"/>
        <w:rPr>
          <w:rFonts w:asciiTheme="minorHAnsi" w:eastAsiaTheme="minorEastAsia" w:hAnsiTheme="minorHAnsi" w:cstheme="minorBidi"/>
          <w:b w:val="0"/>
          <w:bCs w:val="0"/>
        </w:rPr>
      </w:pPr>
      <w:r>
        <w:t>Table 0.4: Distribution of Ratings by Dimensions (old methodology)</w:t>
      </w:r>
      <w:r>
        <w:tab/>
      </w:r>
      <w:r>
        <w:fldChar w:fldCharType="begin"/>
      </w:r>
      <w:r>
        <w:instrText xml:space="preserve"> PAGEREF _Toc454889231 \h </w:instrText>
      </w:r>
      <w:r>
        <w:fldChar w:fldCharType="separate"/>
      </w:r>
      <w:r w:rsidR="00FE48C6">
        <w:t>xvii</w:t>
      </w:r>
      <w:r>
        <w:fldChar w:fldCharType="end"/>
      </w:r>
    </w:p>
    <w:p w14:paraId="43257E2A" w14:textId="77777777" w:rsidR="0094673F" w:rsidRDefault="0094673F">
      <w:pPr>
        <w:pStyle w:val="TOC1"/>
        <w:rPr>
          <w:rFonts w:asciiTheme="minorHAnsi" w:eastAsiaTheme="minorEastAsia" w:hAnsiTheme="minorHAnsi" w:cstheme="minorBidi"/>
          <w:b w:val="0"/>
          <w:bCs w:val="0"/>
        </w:rPr>
      </w:pPr>
      <w:r>
        <w:t>Table 0.5: PEFA Assessment Summary of Scores 2016</w:t>
      </w:r>
      <w:r>
        <w:tab/>
      </w:r>
      <w:r>
        <w:fldChar w:fldCharType="begin"/>
      </w:r>
      <w:r>
        <w:instrText xml:space="preserve"> PAGEREF _Toc454889232 \h </w:instrText>
      </w:r>
      <w:r>
        <w:fldChar w:fldCharType="separate"/>
      </w:r>
      <w:r w:rsidR="00FE48C6">
        <w:t>xx</w:t>
      </w:r>
      <w:r>
        <w:fldChar w:fldCharType="end"/>
      </w:r>
    </w:p>
    <w:p w14:paraId="1065DB11" w14:textId="77777777" w:rsidR="0094673F" w:rsidRDefault="0094673F">
      <w:pPr>
        <w:pStyle w:val="TOC1"/>
        <w:rPr>
          <w:rFonts w:asciiTheme="minorHAnsi" w:eastAsiaTheme="minorEastAsia" w:hAnsiTheme="minorHAnsi" w:cstheme="minorBidi"/>
          <w:b w:val="0"/>
          <w:bCs w:val="0"/>
        </w:rPr>
      </w:pPr>
      <w:r>
        <w:t>Table 2.1: Selected economic indicators</w:t>
      </w:r>
      <w:r>
        <w:tab/>
      </w:r>
      <w:r>
        <w:fldChar w:fldCharType="begin"/>
      </w:r>
      <w:r>
        <w:instrText xml:space="preserve"> PAGEREF _Toc454889233 \h </w:instrText>
      </w:r>
      <w:r>
        <w:fldChar w:fldCharType="separate"/>
      </w:r>
      <w:r w:rsidR="00FE48C6">
        <w:t>5</w:t>
      </w:r>
      <w:r>
        <w:fldChar w:fldCharType="end"/>
      </w:r>
    </w:p>
    <w:p w14:paraId="2E91CB6E" w14:textId="4497EE14" w:rsidR="0094673F" w:rsidRDefault="0094673F">
      <w:pPr>
        <w:pStyle w:val="TOC1"/>
        <w:rPr>
          <w:rFonts w:asciiTheme="minorHAnsi" w:eastAsiaTheme="minorEastAsia" w:hAnsiTheme="minorHAnsi" w:cstheme="minorBidi"/>
          <w:b w:val="0"/>
          <w:bCs w:val="0"/>
        </w:rPr>
      </w:pPr>
      <w:r>
        <w:t>Table 2.2: National Government Aggregate Fiscal Data</w:t>
      </w:r>
      <w:r>
        <w:tab/>
      </w:r>
      <w:r>
        <w:fldChar w:fldCharType="begin"/>
      </w:r>
      <w:r>
        <w:instrText xml:space="preserve"> PAGEREF _Toc454889234 \h </w:instrText>
      </w:r>
      <w:r>
        <w:fldChar w:fldCharType="separate"/>
      </w:r>
      <w:r w:rsidR="00FE48C6">
        <w:t>6</w:t>
      </w:r>
      <w:r>
        <w:fldChar w:fldCharType="end"/>
      </w:r>
    </w:p>
    <w:p w14:paraId="2A3613E7" w14:textId="08D85DC3" w:rsidR="0094673F" w:rsidRDefault="0094673F">
      <w:pPr>
        <w:pStyle w:val="TOC1"/>
        <w:rPr>
          <w:rFonts w:asciiTheme="minorHAnsi" w:eastAsiaTheme="minorEastAsia" w:hAnsiTheme="minorHAnsi" w:cstheme="minorBidi"/>
          <w:b w:val="0"/>
          <w:bCs w:val="0"/>
        </w:rPr>
      </w:pPr>
      <w:r>
        <w:t>Table 2.3: National Government expenditures, obligation basis, by sector</w:t>
      </w:r>
      <w:r>
        <w:tab/>
      </w:r>
      <w:r>
        <w:fldChar w:fldCharType="begin"/>
      </w:r>
      <w:r>
        <w:instrText xml:space="preserve"> PAGEREF _Toc454889235 \h </w:instrText>
      </w:r>
      <w:r>
        <w:fldChar w:fldCharType="separate"/>
      </w:r>
      <w:r w:rsidR="00FE48C6">
        <w:t>6</w:t>
      </w:r>
      <w:r>
        <w:fldChar w:fldCharType="end"/>
      </w:r>
    </w:p>
    <w:p w14:paraId="77A64FB1" w14:textId="32B4FC0B" w:rsidR="0094673F" w:rsidRDefault="0094673F">
      <w:pPr>
        <w:pStyle w:val="TOC1"/>
        <w:rPr>
          <w:rFonts w:asciiTheme="minorHAnsi" w:eastAsiaTheme="minorEastAsia" w:hAnsiTheme="minorHAnsi" w:cstheme="minorBidi"/>
          <w:b w:val="0"/>
          <w:bCs w:val="0"/>
        </w:rPr>
      </w:pPr>
      <w:r>
        <w:t>Table 2.4: Nat</w:t>
      </w:r>
      <w:r w:rsidR="00C06157">
        <w:t>ional Government Expenditures, obligation basis, by s</w:t>
      </w:r>
      <w:r>
        <w:t>ector</w:t>
      </w:r>
      <w:r>
        <w:tab/>
      </w:r>
      <w:r>
        <w:fldChar w:fldCharType="begin"/>
      </w:r>
      <w:r>
        <w:instrText xml:space="preserve"> PAGEREF _Toc454889236 \h </w:instrText>
      </w:r>
      <w:r>
        <w:fldChar w:fldCharType="separate"/>
      </w:r>
      <w:r w:rsidR="00FE48C6">
        <w:t>7</w:t>
      </w:r>
      <w:r>
        <w:fldChar w:fldCharType="end"/>
      </w:r>
    </w:p>
    <w:p w14:paraId="424C4425" w14:textId="77777777" w:rsidR="0094673F" w:rsidRDefault="0094673F">
      <w:pPr>
        <w:pStyle w:val="TOC1"/>
        <w:rPr>
          <w:rFonts w:asciiTheme="minorHAnsi" w:eastAsiaTheme="minorEastAsia" w:hAnsiTheme="minorHAnsi" w:cstheme="minorBidi"/>
          <w:b w:val="0"/>
          <w:bCs w:val="0"/>
        </w:rPr>
      </w:pPr>
      <w:r>
        <w:t>Table 2.5: National Government expenditures, obligation basis, by expense class</w:t>
      </w:r>
      <w:r>
        <w:tab/>
      </w:r>
      <w:r>
        <w:fldChar w:fldCharType="begin"/>
      </w:r>
      <w:r>
        <w:instrText xml:space="preserve"> PAGEREF _Toc454889237 \h </w:instrText>
      </w:r>
      <w:r>
        <w:fldChar w:fldCharType="separate"/>
      </w:r>
      <w:r w:rsidR="00FE48C6">
        <w:t>8</w:t>
      </w:r>
      <w:r>
        <w:fldChar w:fldCharType="end"/>
      </w:r>
    </w:p>
    <w:p w14:paraId="02DF0940" w14:textId="77777777" w:rsidR="0094673F" w:rsidRDefault="0094673F">
      <w:pPr>
        <w:pStyle w:val="TOC1"/>
        <w:rPr>
          <w:rFonts w:asciiTheme="minorHAnsi" w:eastAsiaTheme="minorEastAsia" w:hAnsiTheme="minorHAnsi" w:cstheme="minorBidi"/>
          <w:b w:val="0"/>
          <w:bCs w:val="0"/>
        </w:rPr>
      </w:pPr>
      <w:r>
        <w:t>Table 2.6: National Government expenditures, obligation basis, by expense class</w:t>
      </w:r>
      <w:r>
        <w:tab/>
      </w:r>
      <w:r>
        <w:fldChar w:fldCharType="begin"/>
      </w:r>
      <w:r>
        <w:instrText xml:space="preserve"> PAGEREF _Toc454889238 \h </w:instrText>
      </w:r>
      <w:r>
        <w:fldChar w:fldCharType="separate"/>
      </w:r>
      <w:r w:rsidR="00FE48C6">
        <w:t>9</w:t>
      </w:r>
      <w:r>
        <w:fldChar w:fldCharType="end"/>
      </w:r>
    </w:p>
    <w:p w14:paraId="41728C81" w14:textId="77777777" w:rsidR="0094673F" w:rsidRDefault="0094673F">
      <w:pPr>
        <w:pStyle w:val="TOC1"/>
        <w:rPr>
          <w:rFonts w:asciiTheme="minorHAnsi" w:eastAsiaTheme="minorEastAsia" w:hAnsiTheme="minorHAnsi" w:cstheme="minorBidi"/>
          <w:b w:val="0"/>
          <w:bCs w:val="0"/>
        </w:rPr>
      </w:pPr>
      <w:r>
        <w:t>Table 2.7: Legislative and Regulatory Framework for PFM</w:t>
      </w:r>
      <w:r>
        <w:tab/>
      </w:r>
      <w:r>
        <w:fldChar w:fldCharType="begin"/>
      </w:r>
      <w:r>
        <w:instrText xml:space="preserve"> PAGEREF _Toc454889239 \h </w:instrText>
      </w:r>
      <w:r>
        <w:fldChar w:fldCharType="separate"/>
      </w:r>
      <w:r w:rsidR="00FE48C6">
        <w:t>12</w:t>
      </w:r>
      <w:r>
        <w:fldChar w:fldCharType="end"/>
      </w:r>
    </w:p>
    <w:p w14:paraId="628509CE" w14:textId="77777777" w:rsidR="0094673F" w:rsidRDefault="0094673F">
      <w:pPr>
        <w:pStyle w:val="TOC1"/>
        <w:rPr>
          <w:rFonts w:asciiTheme="minorHAnsi" w:eastAsiaTheme="minorEastAsia" w:hAnsiTheme="minorHAnsi" w:cstheme="minorBidi"/>
          <w:b w:val="0"/>
          <w:bCs w:val="0"/>
        </w:rPr>
      </w:pPr>
      <w:r>
        <w:t>Table 2.8: Structure of the Public Sector</w:t>
      </w:r>
      <w:r>
        <w:tab/>
      </w:r>
      <w:r>
        <w:fldChar w:fldCharType="begin"/>
      </w:r>
      <w:r>
        <w:instrText xml:space="preserve"> PAGEREF _Toc454889240 \h </w:instrText>
      </w:r>
      <w:r>
        <w:fldChar w:fldCharType="separate"/>
      </w:r>
      <w:r w:rsidR="00FE48C6">
        <w:t>15</w:t>
      </w:r>
      <w:r>
        <w:fldChar w:fldCharType="end"/>
      </w:r>
    </w:p>
    <w:p w14:paraId="24D6059F" w14:textId="77777777" w:rsidR="0094673F" w:rsidRDefault="0094673F">
      <w:pPr>
        <w:pStyle w:val="TOC1"/>
        <w:rPr>
          <w:rFonts w:asciiTheme="minorHAnsi" w:eastAsiaTheme="minorEastAsia" w:hAnsiTheme="minorHAnsi" w:cstheme="minorBidi"/>
          <w:b w:val="0"/>
          <w:bCs w:val="0"/>
        </w:rPr>
      </w:pPr>
      <w:r>
        <w:t>Table 2.9: Financial Structure of the National Government – Budget estimates</w:t>
      </w:r>
      <w:r>
        <w:tab/>
      </w:r>
      <w:r>
        <w:fldChar w:fldCharType="begin"/>
      </w:r>
      <w:r>
        <w:instrText xml:space="preserve"> PAGEREF _Toc454889241 \h </w:instrText>
      </w:r>
      <w:r>
        <w:fldChar w:fldCharType="separate"/>
      </w:r>
      <w:r w:rsidR="00FE48C6">
        <w:t>16</w:t>
      </w:r>
      <w:r>
        <w:fldChar w:fldCharType="end"/>
      </w:r>
    </w:p>
    <w:p w14:paraId="41A259D0" w14:textId="4723ED5C" w:rsidR="0094673F" w:rsidRDefault="0094673F">
      <w:pPr>
        <w:pStyle w:val="TOC1"/>
        <w:rPr>
          <w:rFonts w:asciiTheme="minorHAnsi" w:eastAsiaTheme="minorEastAsia" w:hAnsiTheme="minorHAnsi" w:cstheme="minorBidi"/>
          <w:b w:val="0"/>
          <w:bCs w:val="0"/>
        </w:rPr>
      </w:pPr>
      <w:r>
        <w:t>Table 2.10: Financial Structur</w:t>
      </w:r>
      <w:r w:rsidR="00C06157">
        <w:t>e of the National Government – A</w:t>
      </w:r>
      <w:r>
        <w:t>ctual expenditures</w:t>
      </w:r>
      <w:r>
        <w:tab/>
      </w:r>
      <w:r>
        <w:fldChar w:fldCharType="begin"/>
      </w:r>
      <w:r>
        <w:instrText xml:space="preserve"> PAGEREF _Toc454889242 \h </w:instrText>
      </w:r>
      <w:r>
        <w:fldChar w:fldCharType="separate"/>
      </w:r>
      <w:r w:rsidR="00FE48C6">
        <w:t>16</w:t>
      </w:r>
      <w:r>
        <w:fldChar w:fldCharType="end"/>
      </w:r>
    </w:p>
    <w:p w14:paraId="0C5C4B1F" w14:textId="77777777" w:rsidR="0094673F" w:rsidRDefault="0094673F">
      <w:pPr>
        <w:pStyle w:val="TOC1"/>
        <w:rPr>
          <w:rFonts w:asciiTheme="minorHAnsi" w:eastAsiaTheme="minorEastAsia" w:hAnsiTheme="minorHAnsi" w:cstheme="minorBidi"/>
          <w:b w:val="0"/>
          <w:bCs w:val="0"/>
        </w:rPr>
      </w:pPr>
      <w:r>
        <w:t>Table 3.1: Calculation of Variance</w:t>
      </w:r>
      <w:r>
        <w:tab/>
      </w:r>
      <w:r>
        <w:fldChar w:fldCharType="begin"/>
      </w:r>
      <w:r>
        <w:instrText xml:space="preserve"> PAGEREF _Toc454889243 \h </w:instrText>
      </w:r>
      <w:r>
        <w:fldChar w:fldCharType="separate"/>
      </w:r>
      <w:r w:rsidR="00FE48C6">
        <w:t>18</w:t>
      </w:r>
      <w:r>
        <w:fldChar w:fldCharType="end"/>
      </w:r>
    </w:p>
    <w:p w14:paraId="4BBA8D79" w14:textId="77777777" w:rsidR="0094673F" w:rsidRDefault="0094673F">
      <w:pPr>
        <w:pStyle w:val="TOC1"/>
        <w:rPr>
          <w:rFonts w:asciiTheme="minorHAnsi" w:eastAsiaTheme="minorEastAsia" w:hAnsiTheme="minorHAnsi" w:cstheme="minorBidi"/>
          <w:b w:val="0"/>
          <w:bCs w:val="0"/>
        </w:rPr>
      </w:pPr>
      <w:r>
        <w:t>Table 3.2: Calculation of Variances by Administrative Unit</w:t>
      </w:r>
      <w:r>
        <w:tab/>
      </w:r>
      <w:r>
        <w:fldChar w:fldCharType="begin"/>
      </w:r>
      <w:r>
        <w:instrText xml:space="preserve"> PAGEREF _Toc454889244 \h </w:instrText>
      </w:r>
      <w:r>
        <w:fldChar w:fldCharType="separate"/>
      </w:r>
      <w:r w:rsidR="00FE48C6">
        <w:t>19</w:t>
      </w:r>
      <w:r>
        <w:fldChar w:fldCharType="end"/>
      </w:r>
    </w:p>
    <w:p w14:paraId="4ED2310D" w14:textId="77777777" w:rsidR="0094673F" w:rsidRDefault="0094673F">
      <w:pPr>
        <w:pStyle w:val="TOC1"/>
        <w:rPr>
          <w:rFonts w:asciiTheme="minorHAnsi" w:eastAsiaTheme="minorEastAsia" w:hAnsiTheme="minorHAnsi" w:cstheme="minorBidi"/>
          <w:b w:val="0"/>
          <w:bCs w:val="0"/>
        </w:rPr>
      </w:pPr>
      <w:r>
        <w:t>Table 3.3: Calculation of Variance by Economic Classification</w:t>
      </w:r>
      <w:r>
        <w:tab/>
      </w:r>
      <w:r>
        <w:fldChar w:fldCharType="begin"/>
      </w:r>
      <w:r>
        <w:instrText xml:space="preserve"> PAGEREF _Toc454889245 \h </w:instrText>
      </w:r>
      <w:r>
        <w:fldChar w:fldCharType="separate"/>
      </w:r>
      <w:r w:rsidR="00FE48C6">
        <w:t>20</w:t>
      </w:r>
      <w:r>
        <w:fldChar w:fldCharType="end"/>
      </w:r>
    </w:p>
    <w:p w14:paraId="70B08E3F" w14:textId="77777777" w:rsidR="0094673F" w:rsidRDefault="0094673F">
      <w:pPr>
        <w:pStyle w:val="TOC1"/>
        <w:rPr>
          <w:rFonts w:asciiTheme="minorHAnsi" w:eastAsiaTheme="minorEastAsia" w:hAnsiTheme="minorHAnsi" w:cstheme="minorBidi"/>
          <w:b w:val="0"/>
          <w:bCs w:val="0"/>
        </w:rPr>
      </w:pPr>
      <w:r>
        <w:t>Table 3.4: Calculation of Contingency Share</w:t>
      </w:r>
      <w:r>
        <w:tab/>
      </w:r>
      <w:r>
        <w:fldChar w:fldCharType="begin"/>
      </w:r>
      <w:r>
        <w:instrText xml:space="preserve"> PAGEREF _Toc454889246 \h </w:instrText>
      </w:r>
      <w:r>
        <w:fldChar w:fldCharType="separate"/>
      </w:r>
      <w:r w:rsidR="00FE48C6">
        <w:t>20</w:t>
      </w:r>
      <w:r>
        <w:fldChar w:fldCharType="end"/>
      </w:r>
    </w:p>
    <w:p w14:paraId="404DEE83" w14:textId="77777777" w:rsidR="0094673F" w:rsidRDefault="0094673F">
      <w:pPr>
        <w:pStyle w:val="TOC1"/>
        <w:rPr>
          <w:rFonts w:asciiTheme="minorHAnsi" w:eastAsiaTheme="minorEastAsia" w:hAnsiTheme="minorHAnsi" w:cstheme="minorBidi"/>
          <w:b w:val="0"/>
          <w:bCs w:val="0"/>
        </w:rPr>
      </w:pPr>
      <w:r>
        <w:t>Table 3.5: Budget obligations incurred for contingency reserves</w:t>
      </w:r>
      <w:r>
        <w:tab/>
      </w:r>
      <w:r>
        <w:fldChar w:fldCharType="begin"/>
      </w:r>
      <w:r>
        <w:instrText xml:space="preserve"> PAGEREF _Toc454889247 \h </w:instrText>
      </w:r>
      <w:r>
        <w:fldChar w:fldCharType="separate"/>
      </w:r>
      <w:r w:rsidR="00FE48C6">
        <w:t>21</w:t>
      </w:r>
      <w:r>
        <w:fldChar w:fldCharType="end"/>
      </w:r>
    </w:p>
    <w:p w14:paraId="08C3F986" w14:textId="77777777" w:rsidR="0094673F" w:rsidRDefault="0094673F">
      <w:pPr>
        <w:pStyle w:val="TOC1"/>
        <w:rPr>
          <w:rFonts w:asciiTheme="minorHAnsi" w:eastAsiaTheme="minorEastAsia" w:hAnsiTheme="minorHAnsi" w:cstheme="minorBidi"/>
          <w:b w:val="0"/>
          <w:bCs w:val="0"/>
        </w:rPr>
      </w:pPr>
      <w:r>
        <w:t>Table 3.6: Actual revenue compared to originally approved budget</w:t>
      </w:r>
      <w:r>
        <w:tab/>
      </w:r>
      <w:r>
        <w:fldChar w:fldCharType="begin"/>
      </w:r>
      <w:r>
        <w:instrText xml:space="preserve"> PAGEREF _Toc454889248 \h </w:instrText>
      </w:r>
      <w:r>
        <w:fldChar w:fldCharType="separate"/>
      </w:r>
      <w:r w:rsidR="00FE48C6">
        <w:t>22</w:t>
      </w:r>
      <w:r>
        <w:fldChar w:fldCharType="end"/>
      </w:r>
    </w:p>
    <w:p w14:paraId="61484CAA" w14:textId="77777777" w:rsidR="0094673F" w:rsidRDefault="0094673F">
      <w:pPr>
        <w:pStyle w:val="TOC1"/>
        <w:rPr>
          <w:rFonts w:asciiTheme="minorHAnsi" w:eastAsiaTheme="minorEastAsia" w:hAnsiTheme="minorHAnsi" w:cstheme="minorBidi"/>
          <w:b w:val="0"/>
          <w:bCs w:val="0"/>
        </w:rPr>
      </w:pPr>
      <w:r>
        <w:t>Table 3.7: Summary of information included in budget documentation</w:t>
      </w:r>
      <w:r>
        <w:tab/>
      </w:r>
      <w:r>
        <w:fldChar w:fldCharType="begin"/>
      </w:r>
      <w:r>
        <w:instrText xml:space="preserve"> PAGEREF _Toc454889249 \h </w:instrText>
      </w:r>
      <w:r>
        <w:fldChar w:fldCharType="separate"/>
      </w:r>
      <w:r w:rsidR="00FE48C6">
        <w:t>25</w:t>
      </w:r>
      <w:r>
        <w:fldChar w:fldCharType="end"/>
      </w:r>
    </w:p>
    <w:p w14:paraId="2DB1FE6F" w14:textId="77777777" w:rsidR="0094673F" w:rsidRDefault="0094673F">
      <w:pPr>
        <w:pStyle w:val="TOC1"/>
        <w:rPr>
          <w:rFonts w:asciiTheme="minorHAnsi" w:eastAsiaTheme="minorEastAsia" w:hAnsiTheme="minorHAnsi" w:cstheme="minorBidi"/>
          <w:b w:val="0"/>
          <w:bCs w:val="0"/>
        </w:rPr>
      </w:pPr>
      <w:r>
        <w:t>Table 3.8: Public access to key fiscal information</w:t>
      </w:r>
      <w:r>
        <w:tab/>
      </w:r>
      <w:r>
        <w:fldChar w:fldCharType="begin"/>
      </w:r>
      <w:r>
        <w:instrText xml:space="preserve"> PAGEREF _Toc454889250 \h </w:instrText>
      </w:r>
      <w:r>
        <w:fldChar w:fldCharType="separate"/>
      </w:r>
      <w:r w:rsidR="00FE48C6">
        <w:t>32</w:t>
      </w:r>
      <w:r>
        <w:fldChar w:fldCharType="end"/>
      </w:r>
    </w:p>
    <w:p w14:paraId="207AB8A6" w14:textId="77777777" w:rsidR="0094673F" w:rsidRDefault="0094673F">
      <w:pPr>
        <w:pStyle w:val="TOC1"/>
        <w:rPr>
          <w:rFonts w:asciiTheme="minorHAnsi" w:eastAsiaTheme="minorEastAsia" w:hAnsiTheme="minorHAnsi" w:cstheme="minorBidi"/>
          <w:b w:val="0"/>
          <w:bCs w:val="0"/>
        </w:rPr>
      </w:pPr>
      <w:r>
        <w:t>Table 3.9: Number of Auditees and Financial Statements Submitted, 2012</w:t>
      </w:r>
      <w:r>
        <w:tab/>
      </w:r>
      <w:r>
        <w:fldChar w:fldCharType="begin"/>
      </w:r>
      <w:r>
        <w:instrText xml:space="preserve"> PAGEREF _Toc454889251 \h </w:instrText>
      </w:r>
      <w:r>
        <w:fldChar w:fldCharType="separate"/>
      </w:r>
      <w:r w:rsidR="00FE48C6">
        <w:t>36</w:t>
      </w:r>
      <w:r>
        <w:fldChar w:fldCharType="end"/>
      </w:r>
    </w:p>
    <w:p w14:paraId="1F0A875B" w14:textId="77777777" w:rsidR="0094673F" w:rsidRDefault="0094673F">
      <w:pPr>
        <w:pStyle w:val="TOC1"/>
        <w:rPr>
          <w:rFonts w:asciiTheme="minorHAnsi" w:eastAsiaTheme="minorEastAsia" w:hAnsiTheme="minorHAnsi" w:cstheme="minorBidi"/>
          <w:b w:val="0"/>
          <w:bCs w:val="0"/>
        </w:rPr>
      </w:pPr>
      <w:r>
        <w:t>Table 3.10: Number of Auditees and Financial Statements Submitted, 2013</w:t>
      </w:r>
      <w:r>
        <w:tab/>
      </w:r>
      <w:r>
        <w:fldChar w:fldCharType="begin"/>
      </w:r>
      <w:r>
        <w:instrText xml:space="preserve"> PAGEREF _Toc454889252 \h </w:instrText>
      </w:r>
      <w:r>
        <w:fldChar w:fldCharType="separate"/>
      </w:r>
      <w:r w:rsidR="00FE48C6">
        <w:t>36</w:t>
      </w:r>
      <w:r>
        <w:fldChar w:fldCharType="end"/>
      </w:r>
    </w:p>
    <w:p w14:paraId="71F779BC" w14:textId="77777777" w:rsidR="0094673F" w:rsidRDefault="0094673F">
      <w:pPr>
        <w:pStyle w:val="TOC1"/>
        <w:rPr>
          <w:rFonts w:asciiTheme="minorHAnsi" w:eastAsiaTheme="minorEastAsia" w:hAnsiTheme="minorHAnsi" w:cstheme="minorBidi"/>
          <w:b w:val="0"/>
          <w:bCs w:val="0"/>
        </w:rPr>
      </w:pPr>
      <w:r>
        <w:t>Table 3.11: Number of Barangays with Financial Statements, 2011-2013</w:t>
      </w:r>
      <w:r>
        <w:tab/>
      </w:r>
      <w:r>
        <w:fldChar w:fldCharType="begin"/>
      </w:r>
      <w:r>
        <w:instrText xml:space="preserve"> PAGEREF _Toc454889253 \h </w:instrText>
      </w:r>
      <w:r>
        <w:fldChar w:fldCharType="separate"/>
      </w:r>
      <w:r w:rsidR="00FE48C6">
        <w:t>36</w:t>
      </w:r>
      <w:r>
        <w:fldChar w:fldCharType="end"/>
      </w:r>
    </w:p>
    <w:p w14:paraId="3E060CAB" w14:textId="77777777" w:rsidR="0094673F" w:rsidRDefault="0094673F">
      <w:pPr>
        <w:pStyle w:val="TOC1"/>
        <w:rPr>
          <w:rFonts w:asciiTheme="minorHAnsi" w:eastAsiaTheme="minorEastAsia" w:hAnsiTheme="minorHAnsi" w:cstheme="minorBidi"/>
          <w:b w:val="0"/>
          <w:bCs w:val="0"/>
        </w:rPr>
      </w:pPr>
      <w:r>
        <w:t>Table 3.12: Major Investment Projects</w:t>
      </w:r>
      <w:r>
        <w:tab/>
      </w:r>
      <w:r>
        <w:fldChar w:fldCharType="begin"/>
      </w:r>
      <w:r>
        <w:instrText xml:space="preserve"> PAGEREF _Toc454889254 \h </w:instrText>
      </w:r>
      <w:r>
        <w:fldChar w:fldCharType="separate"/>
      </w:r>
      <w:r w:rsidR="00FE48C6">
        <w:t>38</w:t>
      </w:r>
      <w:r>
        <w:fldChar w:fldCharType="end"/>
      </w:r>
    </w:p>
    <w:p w14:paraId="0920E134" w14:textId="77777777" w:rsidR="0094673F" w:rsidRDefault="0094673F">
      <w:pPr>
        <w:pStyle w:val="TOC1"/>
        <w:rPr>
          <w:rFonts w:asciiTheme="minorHAnsi" w:eastAsiaTheme="minorEastAsia" w:hAnsiTheme="minorHAnsi" w:cstheme="minorBidi"/>
          <w:b w:val="0"/>
          <w:bCs w:val="0"/>
        </w:rPr>
      </w:pPr>
      <w:r>
        <w:t>Table 3.13: National Government Fiscal Position</w:t>
      </w:r>
      <w:r>
        <w:tab/>
      </w:r>
      <w:r>
        <w:fldChar w:fldCharType="begin"/>
      </w:r>
      <w:r>
        <w:instrText xml:space="preserve"> PAGEREF _Toc454889255 \h </w:instrText>
      </w:r>
      <w:r>
        <w:fldChar w:fldCharType="separate"/>
      </w:r>
      <w:r w:rsidR="00FE48C6">
        <w:t>46</w:t>
      </w:r>
      <w:r>
        <w:fldChar w:fldCharType="end"/>
      </w:r>
    </w:p>
    <w:p w14:paraId="4D6C3CA4" w14:textId="77777777" w:rsidR="0094673F" w:rsidRDefault="0094673F">
      <w:pPr>
        <w:pStyle w:val="TOC1"/>
        <w:rPr>
          <w:rFonts w:asciiTheme="minorHAnsi" w:eastAsiaTheme="minorEastAsia" w:hAnsiTheme="minorHAnsi" w:cstheme="minorBidi"/>
          <w:b w:val="0"/>
          <w:bCs w:val="0"/>
        </w:rPr>
      </w:pPr>
      <w:r>
        <w:t>Table 3.14: Variance between budget proposals and ceilings based on projected estimates</w:t>
      </w:r>
      <w:r>
        <w:tab/>
      </w:r>
      <w:r>
        <w:fldChar w:fldCharType="begin"/>
      </w:r>
      <w:r>
        <w:instrText xml:space="preserve"> PAGEREF _Toc454889256 \h </w:instrText>
      </w:r>
      <w:r>
        <w:fldChar w:fldCharType="separate"/>
      </w:r>
      <w:r w:rsidR="00FE48C6">
        <w:t>50</w:t>
      </w:r>
      <w:r>
        <w:fldChar w:fldCharType="end"/>
      </w:r>
    </w:p>
    <w:p w14:paraId="4C5F349F" w14:textId="77777777" w:rsidR="0094673F" w:rsidRDefault="0094673F">
      <w:pPr>
        <w:pStyle w:val="TOC1"/>
        <w:rPr>
          <w:rFonts w:asciiTheme="minorHAnsi" w:eastAsiaTheme="minorEastAsia" w:hAnsiTheme="minorHAnsi" w:cstheme="minorBidi"/>
          <w:b w:val="0"/>
          <w:bCs w:val="0"/>
        </w:rPr>
      </w:pPr>
      <w:r>
        <w:t>Table 3.15: Activity Deadlines for 2016 Budget Process</w:t>
      </w:r>
      <w:r>
        <w:tab/>
      </w:r>
      <w:r>
        <w:fldChar w:fldCharType="begin"/>
      </w:r>
      <w:r>
        <w:instrText xml:space="preserve"> PAGEREF _Toc454889257 \h </w:instrText>
      </w:r>
      <w:r>
        <w:fldChar w:fldCharType="separate"/>
      </w:r>
      <w:r w:rsidR="00FE48C6">
        <w:t>52</w:t>
      </w:r>
      <w:r>
        <w:fldChar w:fldCharType="end"/>
      </w:r>
    </w:p>
    <w:p w14:paraId="7B7297D1" w14:textId="77777777" w:rsidR="0094673F" w:rsidRDefault="0094673F">
      <w:pPr>
        <w:pStyle w:val="TOC1"/>
        <w:rPr>
          <w:rFonts w:asciiTheme="minorHAnsi" w:eastAsiaTheme="minorEastAsia" w:hAnsiTheme="minorHAnsi" w:cstheme="minorBidi"/>
          <w:b w:val="0"/>
          <w:bCs w:val="0"/>
        </w:rPr>
      </w:pPr>
      <w:r>
        <w:t>Table 3.16: Submission and Approval Dates of Budget Bills</w:t>
      </w:r>
      <w:r>
        <w:tab/>
      </w:r>
      <w:r>
        <w:fldChar w:fldCharType="begin"/>
      </w:r>
      <w:r>
        <w:instrText xml:space="preserve"> PAGEREF _Toc454889258 \h </w:instrText>
      </w:r>
      <w:r>
        <w:fldChar w:fldCharType="separate"/>
      </w:r>
      <w:r w:rsidR="00FE48C6">
        <w:t>56</w:t>
      </w:r>
      <w:r>
        <w:fldChar w:fldCharType="end"/>
      </w:r>
    </w:p>
    <w:p w14:paraId="763727E1" w14:textId="77777777" w:rsidR="0094673F" w:rsidRDefault="0094673F">
      <w:pPr>
        <w:pStyle w:val="TOC1"/>
        <w:rPr>
          <w:rFonts w:asciiTheme="minorHAnsi" w:eastAsiaTheme="minorEastAsia" w:hAnsiTheme="minorHAnsi" w:cstheme="minorBidi"/>
          <w:b w:val="0"/>
          <w:bCs w:val="0"/>
        </w:rPr>
      </w:pPr>
      <w:r>
        <w:t>Table 3.17: National Government Revenues</w:t>
      </w:r>
      <w:r>
        <w:tab/>
      </w:r>
      <w:r>
        <w:fldChar w:fldCharType="begin"/>
      </w:r>
      <w:r>
        <w:instrText xml:space="preserve"> PAGEREF _Toc454889259 \h </w:instrText>
      </w:r>
      <w:r>
        <w:fldChar w:fldCharType="separate"/>
      </w:r>
      <w:r w:rsidR="00FE48C6">
        <w:t>58</w:t>
      </w:r>
      <w:r>
        <w:fldChar w:fldCharType="end"/>
      </w:r>
    </w:p>
    <w:p w14:paraId="3D01E5CA" w14:textId="77777777" w:rsidR="0094673F" w:rsidRDefault="0094673F">
      <w:pPr>
        <w:pStyle w:val="TOC1"/>
        <w:rPr>
          <w:rFonts w:asciiTheme="minorHAnsi" w:eastAsiaTheme="minorEastAsia" w:hAnsiTheme="minorHAnsi" w:cstheme="minorBidi"/>
          <w:b w:val="0"/>
          <w:bCs w:val="0"/>
        </w:rPr>
      </w:pPr>
      <w:r>
        <w:t>Table 3.18: Collectible Tax Arrears as of Year-End</w:t>
      </w:r>
      <w:r>
        <w:tab/>
      </w:r>
      <w:r>
        <w:fldChar w:fldCharType="begin"/>
      </w:r>
      <w:r>
        <w:instrText xml:space="preserve"> PAGEREF _Toc454889260 \h </w:instrText>
      </w:r>
      <w:r>
        <w:fldChar w:fldCharType="separate"/>
      </w:r>
      <w:r w:rsidR="00FE48C6">
        <w:t>61</w:t>
      </w:r>
      <w:r>
        <w:fldChar w:fldCharType="end"/>
      </w:r>
    </w:p>
    <w:p w14:paraId="0CD94463" w14:textId="77777777" w:rsidR="0094673F" w:rsidRDefault="0094673F">
      <w:pPr>
        <w:pStyle w:val="TOC1"/>
        <w:rPr>
          <w:rFonts w:asciiTheme="minorHAnsi" w:eastAsiaTheme="minorEastAsia" w:hAnsiTheme="minorHAnsi" w:cstheme="minorBidi"/>
          <w:b w:val="0"/>
          <w:bCs w:val="0"/>
        </w:rPr>
      </w:pPr>
      <w:r>
        <w:t>Table 3.19: Audit observations on Accounts payable as of December 31, 2014</w:t>
      </w:r>
      <w:r>
        <w:tab/>
      </w:r>
      <w:r>
        <w:fldChar w:fldCharType="begin"/>
      </w:r>
      <w:r>
        <w:instrText xml:space="preserve"> PAGEREF _Toc454889261 \h </w:instrText>
      </w:r>
      <w:r>
        <w:fldChar w:fldCharType="separate"/>
      </w:r>
      <w:r w:rsidR="00FE48C6">
        <w:t>65</w:t>
      </w:r>
      <w:r>
        <w:fldChar w:fldCharType="end"/>
      </w:r>
    </w:p>
    <w:p w14:paraId="062140D1" w14:textId="77777777" w:rsidR="0094673F" w:rsidRDefault="0094673F">
      <w:pPr>
        <w:pStyle w:val="TOC1"/>
        <w:rPr>
          <w:rFonts w:asciiTheme="minorHAnsi" w:eastAsiaTheme="minorEastAsia" w:hAnsiTheme="minorHAnsi" w:cstheme="minorBidi"/>
          <w:b w:val="0"/>
          <w:bCs w:val="0"/>
        </w:rPr>
      </w:pPr>
      <w:r>
        <w:t>Table 3.20: Audit observations on Accounts payable as of December 31, 2013</w:t>
      </w:r>
      <w:r>
        <w:tab/>
      </w:r>
      <w:r>
        <w:fldChar w:fldCharType="begin"/>
      </w:r>
      <w:r>
        <w:instrText xml:space="preserve"> PAGEREF _Toc454889262 \h </w:instrText>
      </w:r>
      <w:r>
        <w:fldChar w:fldCharType="separate"/>
      </w:r>
      <w:r w:rsidR="00FE48C6">
        <w:t>66</w:t>
      </w:r>
      <w:r>
        <w:fldChar w:fldCharType="end"/>
      </w:r>
    </w:p>
    <w:p w14:paraId="44C043E7" w14:textId="77777777" w:rsidR="0094673F" w:rsidRDefault="0094673F">
      <w:pPr>
        <w:pStyle w:val="TOC1"/>
        <w:rPr>
          <w:rFonts w:asciiTheme="minorHAnsi" w:eastAsiaTheme="minorEastAsia" w:hAnsiTheme="minorHAnsi" w:cstheme="minorBidi"/>
          <w:b w:val="0"/>
          <w:bCs w:val="0"/>
        </w:rPr>
      </w:pPr>
      <w:r>
        <w:t>Table 3.21: Tally of Audit Opinions</w:t>
      </w:r>
      <w:r>
        <w:tab/>
      </w:r>
      <w:r>
        <w:fldChar w:fldCharType="begin"/>
      </w:r>
      <w:r>
        <w:instrText xml:space="preserve"> PAGEREF _Toc454889263 \h </w:instrText>
      </w:r>
      <w:r>
        <w:fldChar w:fldCharType="separate"/>
      </w:r>
      <w:r w:rsidR="00FE48C6">
        <w:t>77</w:t>
      </w:r>
      <w:r>
        <w:fldChar w:fldCharType="end"/>
      </w:r>
    </w:p>
    <w:p w14:paraId="1EF9D4AE" w14:textId="77777777" w:rsidR="0094673F" w:rsidRDefault="0094673F">
      <w:pPr>
        <w:pStyle w:val="TOC1"/>
        <w:rPr>
          <w:rFonts w:asciiTheme="minorHAnsi" w:eastAsiaTheme="minorEastAsia" w:hAnsiTheme="minorHAnsi" w:cstheme="minorBidi"/>
          <w:b w:val="0"/>
          <w:bCs w:val="0"/>
        </w:rPr>
      </w:pPr>
      <w:r>
        <w:t>Table 3.22: CoA Audit Opinions rendered to Selected Departments and Agencies</w:t>
      </w:r>
      <w:r>
        <w:tab/>
      </w:r>
      <w:r>
        <w:fldChar w:fldCharType="begin"/>
      </w:r>
      <w:r>
        <w:instrText xml:space="preserve"> PAGEREF _Toc454889264 \h </w:instrText>
      </w:r>
      <w:r>
        <w:fldChar w:fldCharType="separate"/>
      </w:r>
      <w:r w:rsidR="00FE48C6">
        <w:t>77</w:t>
      </w:r>
      <w:r>
        <w:fldChar w:fldCharType="end"/>
      </w:r>
    </w:p>
    <w:p w14:paraId="7160CFEE" w14:textId="77777777" w:rsidR="0094673F" w:rsidRDefault="0094673F">
      <w:pPr>
        <w:pStyle w:val="TOC1"/>
        <w:rPr>
          <w:rFonts w:asciiTheme="minorHAnsi" w:eastAsiaTheme="minorEastAsia" w:hAnsiTheme="minorHAnsi" w:cstheme="minorBidi"/>
          <w:b w:val="0"/>
          <w:bCs w:val="0"/>
        </w:rPr>
      </w:pPr>
      <w:r>
        <w:t>Table 3.23: Budget Execution Documents and Budget and Financial Accountability Reports</w:t>
      </w:r>
      <w:r>
        <w:tab/>
      </w:r>
      <w:r>
        <w:fldChar w:fldCharType="begin"/>
      </w:r>
      <w:r>
        <w:instrText xml:space="preserve"> PAGEREF _Toc454889265 \h </w:instrText>
      </w:r>
      <w:r>
        <w:fldChar w:fldCharType="separate"/>
      </w:r>
      <w:r w:rsidR="00FE48C6">
        <w:t>79</w:t>
      </w:r>
      <w:r>
        <w:fldChar w:fldCharType="end"/>
      </w:r>
    </w:p>
    <w:p w14:paraId="2A15CA8F" w14:textId="77777777" w:rsidR="0094673F" w:rsidRDefault="0094673F">
      <w:pPr>
        <w:pStyle w:val="TOC1"/>
        <w:rPr>
          <w:rFonts w:asciiTheme="minorHAnsi" w:eastAsiaTheme="minorEastAsia" w:hAnsiTheme="minorHAnsi" w:cstheme="minorBidi"/>
          <w:b w:val="0"/>
          <w:bCs w:val="0"/>
        </w:rPr>
      </w:pPr>
      <w:r>
        <w:t>Table 3.24: Status of Implementation of 2013 Audit Recommendations</w:t>
      </w:r>
      <w:r>
        <w:tab/>
      </w:r>
      <w:r>
        <w:fldChar w:fldCharType="begin"/>
      </w:r>
      <w:r>
        <w:instrText xml:space="preserve"> PAGEREF _Toc454889266 \h </w:instrText>
      </w:r>
      <w:r>
        <w:fldChar w:fldCharType="separate"/>
      </w:r>
      <w:r w:rsidR="00FE48C6">
        <w:t>87</w:t>
      </w:r>
      <w:r>
        <w:fldChar w:fldCharType="end"/>
      </w:r>
    </w:p>
    <w:p w14:paraId="21089569" w14:textId="77777777" w:rsidR="0094673F" w:rsidRDefault="0094673F">
      <w:pPr>
        <w:pStyle w:val="TOC1"/>
        <w:rPr>
          <w:rFonts w:asciiTheme="minorHAnsi" w:eastAsiaTheme="minorEastAsia" w:hAnsiTheme="minorHAnsi" w:cstheme="minorBidi"/>
          <w:b w:val="0"/>
          <w:bCs w:val="0"/>
        </w:rPr>
      </w:pPr>
      <w:r>
        <w:t>Table A4.1: Data for PI-1 and PI-2, 2012</w:t>
      </w:r>
      <w:r>
        <w:tab/>
      </w:r>
      <w:r>
        <w:fldChar w:fldCharType="begin"/>
      </w:r>
      <w:r>
        <w:instrText xml:space="preserve"> PAGEREF _Toc454889267 \h </w:instrText>
      </w:r>
      <w:r>
        <w:fldChar w:fldCharType="separate"/>
      </w:r>
      <w:r w:rsidR="00FE48C6">
        <w:t>133</w:t>
      </w:r>
      <w:r>
        <w:fldChar w:fldCharType="end"/>
      </w:r>
    </w:p>
    <w:p w14:paraId="61589F3B" w14:textId="77777777" w:rsidR="0094673F" w:rsidRDefault="0094673F">
      <w:pPr>
        <w:pStyle w:val="TOC1"/>
        <w:rPr>
          <w:rFonts w:asciiTheme="minorHAnsi" w:eastAsiaTheme="minorEastAsia" w:hAnsiTheme="minorHAnsi" w:cstheme="minorBidi"/>
          <w:b w:val="0"/>
          <w:bCs w:val="0"/>
        </w:rPr>
      </w:pPr>
      <w:r>
        <w:t>Table A4.2: Data for PI-1 and PI-2, 2013</w:t>
      </w:r>
      <w:r>
        <w:tab/>
      </w:r>
      <w:r>
        <w:fldChar w:fldCharType="begin"/>
      </w:r>
      <w:r>
        <w:instrText xml:space="preserve"> PAGEREF _Toc454889268 \h </w:instrText>
      </w:r>
      <w:r>
        <w:fldChar w:fldCharType="separate"/>
      </w:r>
      <w:r w:rsidR="00FE48C6">
        <w:t>134</w:t>
      </w:r>
      <w:r>
        <w:fldChar w:fldCharType="end"/>
      </w:r>
    </w:p>
    <w:p w14:paraId="1FE17C38" w14:textId="77777777" w:rsidR="0094673F" w:rsidRDefault="0094673F">
      <w:pPr>
        <w:pStyle w:val="TOC1"/>
        <w:rPr>
          <w:rFonts w:asciiTheme="minorHAnsi" w:eastAsiaTheme="minorEastAsia" w:hAnsiTheme="minorHAnsi" w:cstheme="minorBidi"/>
          <w:b w:val="0"/>
          <w:bCs w:val="0"/>
        </w:rPr>
      </w:pPr>
      <w:r>
        <w:t>Table A4.3: Data for PI-1 and PI-2, 2014</w:t>
      </w:r>
      <w:r>
        <w:tab/>
      </w:r>
      <w:r>
        <w:fldChar w:fldCharType="begin"/>
      </w:r>
      <w:r>
        <w:instrText xml:space="preserve"> PAGEREF _Toc454889269 \h </w:instrText>
      </w:r>
      <w:r>
        <w:fldChar w:fldCharType="separate"/>
      </w:r>
      <w:r w:rsidR="00FE48C6">
        <w:t>135</w:t>
      </w:r>
      <w:r>
        <w:fldChar w:fldCharType="end"/>
      </w:r>
    </w:p>
    <w:p w14:paraId="28672565" w14:textId="77777777" w:rsidR="0094673F" w:rsidRDefault="0094673F">
      <w:pPr>
        <w:pStyle w:val="TOC1"/>
        <w:rPr>
          <w:rFonts w:asciiTheme="minorHAnsi" w:eastAsiaTheme="minorEastAsia" w:hAnsiTheme="minorHAnsi" w:cstheme="minorBidi"/>
          <w:b w:val="0"/>
          <w:bCs w:val="0"/>
        </w:rPr>
      </w:pPr>
      <w:r>
        <w:t>Table A4.4: Results Matrix for PI-1 and PI-2</w:t>
      </w:r>
      <w:r>
        <w:tab/>
      </w:r>
      <w:r>
        <w:fldChar w:fldCharType="begin"/>
      </w:r>
      <w:r>
        <w:instrText xml:space="preserve"> PAGEREF _Toc454889270 \h </w:instrText>
      </w:r>
      <w:r>
        <w:fldChar w:fldCharType="separate"/>
      </w:r>
      <w:r w:rsidR="00FE48C6">
        <w:t>136</w:t>
      </w:r>
      <w:r>
        <w:fldChar w:fldCharType="end"/>
      </w:r>
    </w:p>
    <w:p w14:paraId="18125E3F" w14:textId="77777777" w:rsidR="0094673F" w:rsidRDefault="0094673F">
      <w:pPr>
        <w:pStyle w:val="TOC1"/>
        <w:rPr>
          <w:rFonts w:asciiTheme="minorHAnsi" w:eastAsiaTheme="minorEastAsia" w:hAnsiTheme="minorHAnsi" w:cstheme="minorBidi"/>
          <w:b w:val="0"/>
          <w:bCs w:val="0"/>
        </w:rPr>
      </w:pPr>
      <w:r>
        <w:t>Table A4.5: Data for PI-2.2, 2012</w:t>
      </w:r>
      <w:r>
        <w:tab/>
      </w:r>
      <w:r>
        <w:fldChar w:fldCharType="begin"/>
      </w:r>
      <w:r>
        <w:instrText xml:space="preserve"> PAGEREF _Toc454889271 \h </w:instrText>
      </w:r>
      <w:r>
        <w:fldChar w:fldCharType="separate"/>
      </w:r>
      <w:r w:rsidR="00FE48C6">
        <w:t>136</w:t>
      </w:r>
      <w:r>
        <w:fldChar w:fldCharType="end"/>
      </w:r>
    </w:p>
    <w:p w14:paraId="13B66677" w14:textId="77777777" w:rsidR="0094673F" w:rsidRDefault="0094673F">
      <w:pPr>
        <w:pStyle w:val="TOC1"/>
        <w:rPr>
          <w:rFonts w:asciiTheme="minorHAnsi" w:eastAsiaTheme="minorEastAsia" w:hAnsiTheme="minorHAnsi" w:cstheme="minorBidi"/>
          <w:b w:val="0"/>
          <w:bCs w:val="0"/>
        </w:rPr>
      </w:pPr>
      <w:r>
        <w:t>Table A4.6: Data for PI-2.2, 2013</w:t>
      </w:r>
      <w:r>
        <w:tab/>
      </w:r>
      <w:r>
        <w:fldChar w:fldCharType="begin"/>
      </w:r>
      <w:r>
        <w:instrText xml:space="preserve"> PAGEREF _Toc454889272 \h </w:instrText>
      </w:r>
      <w:r>
        <w:fldChar w:fldCharType="separate"/>
      </w:r>
      <w:r w:rsidR="00FE48C6">
        <w:t>136</w:t>
      </w:r>
      <w:r>
        <w:fldChar w:fldCharType="end"/>
      </w:r>
    </w:p>
    <w:p w14:paraId="578592F5" w14:textId="77777777" w:rsidR="0094673F" w:rsidRDefault="0094673F">
      <w:pPr>
        <w:pStyle w:val="TOC1"/>
        <w:rPr>
          <w:rFonts w:asciiTheme="minorHAnsi" w:eastAsiaTheme="minorEastAsia" w:hAnsiTheme="minorHAnsi" w:cstheme="minorBidi"/>
          <w:b w:val="0"/>
          <w:bCs w:val="0"/>
        </w:rPr>
      </w:pPr>
      <w:r>
        <w:t>Table A4.7: Data for PI-2.2, 2014</w:t>
      </w:r>
      <w:r>
        <w:tab/>
      </w:r>
      <w:r>
        <w:fldChar w:fldCharType="begin"/>
      </w:r>
      <w:r>
        <w:instrText xml:space="preserve"> PAGEREF _Toc454889273 \h </w:instrText>
      </w:r>
      <w:r>
        <w:fldChar w:fldCharType="separate"/>
      </w:r>
      <w:r w:rsidR="00FE48C6">
        <w:t>137</w:t>
      </w:r>
      <w:r>
        <w:fldChar w:fldCharType="end"/>
      </w:r>
    </w:p>
    <w:p w14:paraId="3A63B5E5" w14:textId="77777777" w:rsidR="0094673F" w:rsidRDefault="0094673F">
      <w:pPr>
        <w:pStyle w:val="TOC1"/>
        <w:rPr>
          <w:rFonts w:asciiTheme="minorHAnsi" w:eastAsiaTheme="minorEastAsia" w:hAnsiTheme="minorHAnsi" w:cstheme="minorBidi"/>
          <w:b w:val="0"/>
          <w:bCs w:val="0"/>
        </w:rPr>
      </w:pPr>
      <w:r>
        <w:t>Table A4.8: Results Matrix for PI-2.2</w:t>
      </w:r>
      <w:r>
        <w:tab/>
      </w:r>
      <w:r>
        <w:fldChar w:fldCharType="begin"/>
      </w:r>
      <w:r>
        <w:instrText xml:space="preserve"> PAGEREF _Toc454889274 \h </w:instrText>
      </w:r>
      <w:r>
        <w:fldChar w:fldCharType="separate"/>
      </w:r>
      <w:r w:rsidR="00FE48C6">
        <w:t>137</w:t>
      </w:r>
      <w:r>
        <w:fldChar w:fldCharType="end"/>
      </w:r>
    </w:p>
    <w:p w14:paraId="1E45D375" w14:textId="77777777" w:rsidR="0094673F" w:rsidRDefault="0094673F">
      <w:pPr>
        <w:pStyle w:val="TOC1"/>
        <w:rPr>
          <w:rFonts w:asciiTheme="minorHAnsi" w:eastAsiaTheme="minorEastAsia" w:hAnsiTheme="minorHAnsi" w:cstheme="minorBidi"/>
          <w:b w:val="0"/>
          <w:bCs w:val="0"/>
        </w:rPr>
      </w:pPr>
      <w:r>
        <w:t>Table A4.9: Data for PI-3, 2012</w:t>
      </w:r>
      <w:r>
        <w:tab/>
      </w:r>
      <w:r>
        <w:fldChar w:fldCharType="begin"/>
      </w:r>
      <w:r>
        <w:instrText xml:space="preserve"> PAGEREF _Toc454889275 \h </w:instrText>
      </w:r>
      <w:r>
        <w:fldChar w:fldCharType="separate"/>
      </w:r>
      <w:r w:rsidR="00FE48C6">
        <w:t>137</w:t>
      </w:r>
      <w:r>
        <w:fldChar w:fldCharType="end"/>
      </w:r>
    </w:p>
    <w:p w14:paraId="77CDEAFE" w14:textId="77777777" w:rsidR="0094673F" w:rsidRDefault="0094673F">
      <w:pPr>
        <w:pStyle w:val="TOC1"/>
        <w:rPr>
          <w:rFonts w:asciiTheme="minorHAnsi" w:eastAsiaTheme="minorEastAsia" w:hAnsiTheme="minorHAnsi" w:cstheme="minorBidi"/>
          <w:b w:val="0"/>
          <w:bCs w:val="0"/>
        </w:rPr>
      </w:pPr>
      <w:r>
        <w:t>Table A4.10: Data for PI-3, 2013</w:t>
      </w:r>
      <w:r>
        <w:tab/>
      </w:r>
      <w:r>
        <w:fldChar w:fldCharType="begin"/>
      </w:r>
      <w:r>
        <w:instrText xml:space="preserve"> PAGEREF _Toc454889276 \h </w:instrText>
      </w:r>
      <w:r>
        <w:fldChar w:fldCharType="separate"/>
      </w:r>
      <w:r w:rsidR="00FE48C6">
        <w:t>138</w:t>
      </w:r>
      <w:r>
        <w:fldChar w:fldCharType="end"/>
      </w:r>
    </w:p>
    <w:p w14:paraId="31BD1B05" w14:textId="77777777" w:rsidR="0094673F" w:rsidRDefault="0094673F">
      <w:pPr>
        <w:pStyle w:val="TOC1"/>
        <w:rPr>
          <w:rFonts w:asciiTheme="minorHAnsi" w:eastAsiaTheme="minorEastAsia" w:hAnsiTheme="minorHAnsi" w:cstheme="minorBidi"/>
          <w:b w:val="0"/>
          <w:bCs w:val="0"/>
        </w:rPr>
      </w:pPr>
      <w:r>
        <w:t>Table A4.11: Data for PI-3, 2014</w:t>
      </w:r>
      <w:r>
        <w:tab/>
      </w:r>
      <w:r>
        <w:fldChar w:fldCharType="begin"/>
      </w:r>
      <w:r>
        <w:instrText xml:space="preserve"> PAGEREF _Toc454889277 \h </w:instrText>
      </w:r>
      <w:r>
        <w:fldChar w:fldCharType="separate"/>
      </w:r>
      <w:r w:rsidR="00FE48C6">
        <w:t>138</w:t>
      </w:r>
      <w:r>
        <w:fldChar w:fldCharType="end"/>
      </w:r>
    </w:p>
    <w:p w14:paraId="3EC25553" w14:textId="77777777" w:rsidR="0094673F" w:rsidRDefault="0094673F">
      <w:pPr>
        <w:pStyle w:val="TOC1"/>
        <w:rPr>
          <w:rFonts w:asciiTheme="minorHAnsi" w:eastAsiaTheme="minorEastAsia" w:hAnsiTheme="minorHAnsi" w:cstheme="minorBidi"/>
          <w:b w:val="0"/>
          <w:bCs w:val="0"/>
        </w:rPr>
      </w:pPr>
      <w:r>
        <w:t>Table A4.12: Results Matrix for PI-3</w:t>
      </w:r>
      <w:r>
        <w:tab/>
      </w:r>
      <w:r>
        <w:fldChar w:fldCharType="begin"/>
      </w:r>
      <w:r>
        <w:instrText xml:space="preserve"> PAGEREF _Toc454889278 \h </w:instrText>
      </w:r>
      <w:r>
        <w:fldChar w:fldCharType="separate"/>
      </w:r>
      <w:r w:rsidR="00FE48C6">
        <w:t>138</w:t>
      </w:r>
      <w:r>
        <w:fldChar w:fldCharType="end"/>
      </w:r>
    </w:p>
    <w:p w14:paraId="40502812" w14:textId="77777777" w:rsidR="0094673F" w:rsidRDefault="0094673F">
      <w:pPr>
        <w:pStyle w:val="TOC1"/>
        <w:rPr>
          <w:rFonts w:asciiTheme="minorHAnsi" w:eastAsiaTheme="minorEastAsia" w:hAnsiTheme="minorHAnsi" w:cstheme="minorBidi"/>
          <w:b w:val="0"/>
          <w:bCs w:val="0"/>
        </w:rPr>
      </w:pPr>
      <w:r>
        <w:t>Table A5.2: Distribution of Ratings by Indicator – Old Methodology</w:t>
      </w:r>
      <w:r>
        <w:tab/>
      </w:r>
      <w:r>
        <w:fldChar w:fldCharType="begin"/>
      </w:r>
      <w:r>
        <w:instrText xml:space="preserve"> PAGEREF _Toc454889279 \h </w:instrText>
      </w:r>
      <w:r>
        <w:fldChar w:fldCharType="separate"/>
      </w:r>
      <w:r w:rsidR="00FE48C6">
        <w:t>140</w:t>
      </w:r>
      <w:r>
        <w:fldChar w:fldCharType="end"/>
      </w:r>
    </w:p>
    <w:p w14:paraId="5E1E08FD" w14:textId="77777777" w:rsidR="0094673F" w:rsidRDefault="0094673F">
      <w:pPr>
        <w:pStyle w:val="TOC1"/>
      </w:pPr>
      <w:r>
        <w:t>Table A5.3: Distribution of Ratings by Dimensions – Old Methodology</w:t>
      </w:r>
      <w:r>
        <w:tab/>
      </w:r>
      <w:r>
        <w:fldChar w:fldCharType="begin"/>
      </w:r>
      <w:r>
        <w:instrText xml:space="preserve"> PAGEREF _Toc454889280 \h </w:instrText>
      </w:r>
      <w:r>
        <w:fldChar w:fldCharType="separate"/>
      </w:r>
      <w:r w:rsidR="00FE48C6">
        <w:t>140</w:t>
      </w:r>
      <w:r>
        <w:fldChar w:fldCharType="end"/>
      </w:r>
    </w:p>
    <w:p w14:paraId="615F87A0" w14:textId="3CE295F8" w:rsidR="00C06157" w:rsidRPr="00FE48C6" w:rsidRDefault="00C06157" w:rsidP="00C06157">
      <w:pPr>
        <w:rPr>
          <w:rFonts w:eastAsiaTheme="minorEastAsia"/>
          <w:noProof/>
          <w:sz w:val="22"/>
        </w:rPr>
      </w:pPr>
      <w:r w:rsidRPr="00FE48C6">
        <w:rPr>
          <w:rFonts w:eastAsiaTheme="minorEastAsia"/>
          <w:b/>
          <w:bCs/>
          <w:noProof/>
          <w:sz w:val="22"/>
        </w:rPr>
        <w:t>Table A5.4: Description of Assessed Scores – Old Methodology</w:t>
      </w:r>
      <w:r w:rsidR="00FE48C6">
        <w:rPr>
          <w:rFonts w:eastAsiaTheme="minorEastAsia"/>
          <w:b/>
          <w:bCs/>
          <w:noProof/>
          <w:sz w:val="22"/>
        </w:rPr>
        <w:t>……………………………………</w:t>
      </w:r>
      <w:r w:rsidR="00FE48C6" w:rsidRPr="00FE48C6">
        <w:rPr>
          <w:b/>
          <w:bCs/>
          <w:noProof/>
          <w:sz w:val="22"/>
          <w:szCs w:val="22"/>
        </w:rPr>
        <w:t xml:space="preserve"> 1</w:t>
      </w:r>
      <w:r w:rsidR="00FE48C6">
        <w:rPr>
          <w:rFonts w:eastAsiaTheme="minorEastAsia"/>
          <w:b/>
          <w:bCs/>
          <w:noProof/>
          <w:sz w:val="22"/>
        </w:rPr>
        <w:t>41</w:t>
      </w:r>
    </w:p>
    <w:p w14:paraId="1BFA5BFA" w14:textId="77777777" w:rsidR="00466C14" w:rsidRPr="005A497D" w:rsidRDefault="005531E2" w:rsidP="009A012D">
      <w:r w:rsidRPr="005A497D">
        <w:fldChar w:fldCharType="end"/>
      </w:r>
    </w:p>
    <w:p w14:paraId="6EA75744" w14:textId="77777777" w:rsidR="00576980" w:rsidRPr="005A497D" w:rsidRDefault="00576980" w:rsidP="009A012D">
      <w:pPr>
        <w:rPr>
          <w:b/>
        </w:rPr>
      </w:pPr>
      <w:r w:rsidRPr="005A497D">
        <w:br w:type="page"/>
      </w:r>
    </w:p>
    <w:p w14:paraId="24CBB68E" w14:textId="77777777" w:rsidR="00466C14" w:rsidRPr="005A497D" w:rsidRDefault="00466C14" w:rsidP="009A012D">
      <w:pPr>
        <w:pStyle w:val="Heading2"/>
        <w:rPr>
          <w:rFonts w:ascii="Times New Roman" w:hAnsi="Times New Roman"/>
          <w:sz w:val="32"/>
          <w:szCs w:val="32"/>
        </w:rPr>
      </w:pPr>
      <w:bookmarkStart w:id="5" w:name="_Toc454811631"/>
      <w:bookmarkStart w:id="6" w:name="_Toc454888776"/>
      <w:r w:rsidRPr="005A497D">
        <w:rPr>
          <w:rFonts w:ascii="Times New Roman" w:hAnsi="Times New Roman"/>
          <w:sz w:val="32"/>
          <w:szCs w:val="32"/>
        </w:rPr>
        <w:t>Acknowledgments</w:t>
      </w:r>
      <w:bookmarkEnd w:id="5"/>
      <w:bookmarkEnd w:id="6"/>
    </w:p>
    <w:p w14:paraId="362719F6" w14:textId="77777777" w:rsidR="00CA71E9" w:rsidRPr="005A497D" w:rsidRDefault="00CA71E9" w:rsidP="009A012D">
      <w:pPr>
        <w:pStyle w:val="ListParagraph"/>
        <w:spacing w:after="0" w:line="240" w:lineRule="auto"/>
        <w:ind w:left="0" w:firstLine="0"/>
        <w:contextualSpacing w:val="0"/>
        <w:jc w:val="both"/>
        <w:rPr>
          <w:iCs/>
        </w:rPr>
      </w:pPr>
    </w:p>
    <w:p w14:paraId="151BCAEF" w14:textId="1E7B347E" w:rsidR="002F130F" w:rsidRPr="005A497D" w:rsidRDefault="00E66699" w:rsidP="00E66699">
      <w:pPr>
        <w:pStyle w:val="ListParagraph"/>
        <w:tabs>
          <w:tab w:val="left" w:pos="357"/>
        </w:tabs>
        <w:spacing w:after="0" w:line="240" w:lineRule="auto"/>
        <w:ind w:left="0" w:firstLine="0"/>
        <w:contextualSpacing w:val="0"/>
        <w:jc w:val="both"/>
      </w:pPr>
      <w:r w:rsidRPr="005A497D">
        <w:rPr>
          <w:iCs/>
        </w:rPr>
        <w:tab/>
      </w:r>
      <w:r w:rsidR="00466C14" w:rsidRPr="005A497D">
        <w:t>The 201</w:t>
      </w:r>
      <w:r w:rsidR="00E927DD" w:rsidRPr="005A497D">
        <w:t>5</w:t>
      </w:r>
      <w:r w:rsidR="00466C14" w:rsidRPr="005A497D">
        <w:t xml:space="preserve"> </w:t>
      </w:r>
      <w:r w:rsidR="00E927DD" w:rsidRPr="005A497D">
        <w:t xml:space="preserve">Public Expenditure and Financial Accountability (PEFA) assessment </w:t>
      </w:r>
      <w:r w:rsidR="00466C14" w:rsidRPr="005A497D">
        <w:t xml:space="preserve">was </w:t>
      </w:r>
      <w:r w:rsidR="00E927DD" w:rsidRPr="005A497D">
        <w:t xml:space="preserve">carried out by the World Bank in </w:t>
      </w:r>
      <w:r w:rsidR="00466C14" w:rsidRPr="005A497D">
        <w:t>collaborati</w:t>
      </w:r>
      <w:r w:rsidR="00E927DD" w:rsidRPr="005A497D">
        <w:t xml:space="preserve">on with the Government of </w:t>
      </w:r>
      <w:r w:rsidR="00083BC1">
        <w:t>the Philippines</w:t>
      </w:r>
      <w:r w:rsidR="00E927DD" w:rsidRPr="005A497D">
        <w:t>. The Asian Development Bank (ADB), the Australian Department for Foreign Affairs and Trade (DFAT)</w:t>
      </w:r>
      <w:r w:rsidR="00C3117F" w:rsidRPr="005A497D">
        <w:t>,</w:t>
      </w:r>
      <w:r w:rsidR="00E927DD" w:rsidRPr="005A497D">
        <w:t xml:space="preserve"> and the International Monetary Fund (IMF) provided peer</w:t>
      </w:r>
      <w:r w:rsidR="00C3117F" w:rsidRPr="005A497D">
        <w:t xml:space="preserve"> </w:t>
      </w:r>
      <w:r w:rsidR="002F130F" w:rsidRPr="005A497D">
        <w:t>review.</w:t>
      </w:r>
    </w:p>
    <w:p w14:paraId="6645011F" w14:textId="77777777" w:rsidR="002F130F" w:rsidRPr="005A497D" w:rsidRDefault="002F130F" w:rsidP="00E66699">
      <w:pPr>
        <w:pStyle w:val="ListParagraph"/>
        <w:tabs>
          <w:tab w:val="left" w:pos="357"/>
        </w:tabs>
        <w:spacing w:after="0" w:line="240" w:lineRule="auto"/>
        <w:ind w:left="0" w:firstLine="0"/>
        <w:contextualSpacing w:val="0"/>
        <w:jc w:val="both"/>
      </w:pPr>
    </w:p>
    <w:p w14:paraId="0048FB5A" w14:textId="22F65E97" w:rsidR="002F130F" w:rsidRPr="005A497D" w:rsidRDefault="002F130F" w:rsidP="002F130F">
      <w:pPr>
        <w:pStyle w:val="ListParagraph"/>
        <w:tabs>
          <w:tab w:val="left" w:pos="357"/>
        </w:tabs>
        <w:spacing w:after="0" w:line="240" w:lineRule="auto"/>
        <w:ind w:left="0" w:firstLine="0"/>
        <w:contextualSpacing w:val="0"/>
        <w:jc w:val="both"/>
        <w:rPr>
          <w:iCs/>
        </w:rPr>
      </w:pPr>
      <w:r w:rsidRPr="005A497D">
        <w:tab/>
      </w:r>
      <w:r w:rsidR="00466C14" w:rsidRPr="00D412CB">
        <w:t xml:space="preserve">The </w:t>
      </w:r>
      <w:r w:rsidR="00083BC1">
        <w:t>Government</w:t>
      </w:r>
      <w:r w:rsidR="00E927DD" w:rsidRPr="00D412CB">
        <w:t xml:space="preserve"> </w:t>
      </w:r>
      <w:r w:rsidR="00466C14" w:rsidRPr="00D412CB">
        <w:t xml:space="preserve">managed the process through a high-level </w:t>
      </w:r>
      <w:r w:rsidR="00C3117F" w:rsidRPr="00D412CB">
        <w:t>S</w:t>
      </w:r>
      <w:r w:rsidR="00466C14" w:rsidRPr="00D412CB">
        <w:t xml:space="preserve">teering </w:t>
      </w:r>
      <w:r w:rsidR="00C3117F" w:rsidRPr="00D412CB">
        <w:t>C</w:t>
      </w:r>
      <w:r w:rsidR="00466C14" w:rsidRPr="00D412CB">
        <w:t xml:space="preserve">ommittee under the leadership of the </w:t>
      </w:r>
      <w:r w:rsidR="00E927DD" w:rsidRPr="00D412CB">
        <w:t>Department of Budget and Management (DBM)</w:t>
      </w:r>
      <w:r w:rsidR="00466C14" w:rsidRPr="00D412CB">
        <w:t xml:space="preserve"> and with representation from the </w:t>
      </w:r>
      <w:r w:rsidR="00E927DD" w:rsidRPr="00D412CB">
        <w:t>Commission on Audit (</w:t>
      </w:r>
      <w:r w:rsidR="009008FE">
        <w:t>CoA</w:t>
      </w:r>
      <w:r w:rsidR="00E927DD" w:rsidRPr="00D412CB">
        <w:t>)</w:t>
      </w:r>
      <w:r w:rsidRPr="00D412CB">
        <w:t xml:space="preserve">, Department of Finance (DoF), Bureau of </w:t>
      </w:r>
      <w:r w:rsidR="0032029B">
        <w:t xml:space="preserve">the </w:t>
      </w:r>
      <w:r w:rsidRPr="00D412CB">
        <w:t xml:space="preserve">Treasury (BTr), </w:t>
      </w:r>
      <w:r w:rsidRPr="00D412CB">
        <w:rPr>
          <w:iCs/>
        </w:rPr>
        <w:t>National Economic and Development Authority (NEDA), and Governance Commission for Government-Owned or Controlled Corporation</w:t>
      </w:r>
      <w:r w:rsidR="0032029B">
        <w:rPr>
          <w:iCs/>
        </w:rPr>
        <w:t>s</w:t>
      </w:r>
      <w:r w:rsidRPr="00D412CB">
        <w:rPr>
          <w:iCs/>
        </w:rPr>
        <w:t xml:space="preserve"> (GCG).</w:t>
      </w:r>
    </w:p>
    <w:p w14:paraId="0ADF4D31" w14:textId="77777777" w:rsidR="002F130F" w:rsidRPr="005A497D" w:rsidRDefault="002F130F" w:rsidP="009A012D">
      <w:pPr>
        <w:pStyle w:val="ListParagraph"/>
        <w:spacing w:after="0" w:line="240" w:lineRule="auto"/>
        <w:ind w:left="0" w:firstLine="0"/>
        <w:contextualSpacing w:val="0"/>
        <w:jc w:val="both"/>
        <w:rPr>
          <w:iCs/>
        </w:rPr>
      </w:pPr>
    </w:p>
    <w:p w14:paraId="33A10BB2" w14:textId="34ECF14A" w:rsidR="008A57F0" w:rsidRPr="005A497D" w:rsidRDefault="00E66699" w:rsidP="00E66699">
      <w:pPr>
        <w:pStyle w:val="ListParagraph"/>
        <w:tabs>
          <w:tab w:val="left" w:pos="357"/>
        </w:tabs>
        <w:spacing w:after="0" w:line="240" w:lineRule="auto"/>
        <w:ind w:left="0" w:firstLine="0"/>
        <w:contextualSpacing w:val="0"/>
        <w:jc w:val="both"/>
        <w:rPr>
          <w:iCs/>
        </w:rPr>
      </w:pPr>
      <w:r w:rsidRPr="005A497D">
        <w:tab/>
      </w:r>
      <w:r w:rsidR="00466C14" w:rsidRPr="005A497D">
        <w:t xml:space="preserve">The </w:t>
      </w:r>
      <w:r w:rsidR="00E927DD" w:rsidRPr="005A497D">
        <w:t xml:space="preserve">PEFA assessment </w:t>
      </w:r>
      <w:r w:rsidR="00466C14" w:rsidRPr="005A497D">
        <w:t xml:space="preserve">team acknowledges and appreciates the excellent cooperation extended by </w:t>
      </w:r>
      <w:r w:rsidR="00083BC1">
        <w:t>Government</w:t>
      </w:r>
      <w:r w:rsidR="00466C14" w:rsidRPr="005A497D">
        <w:t xml:space="preserve"> counterparts who facilitated the entire process and enabled a timely completion of the assessment.</w:t>
      </w:r>
    </w:p>
    <w:p w14:paraId="444A8B0A" w14:textId="77777777" w:rsidR="008A57F0" w:rsidRPr="005A497D" w:rsidRDefault="008A57F0" w:rsidP="009A012D">
      <w:pPr>
        <w:pStyle w:val="ListParagraph"/>
        <w:spacing w:after="0" w:line="240" w:lineRule="auto"/>
        <w:ind w:left="0" w:firstLine="0"/>
        <w:contextualSpacing w:val="0"/>
        <w:jc w:val="both"/>
        <w:rPr>
          <w:iCs/>
        </w:rPr>
      </w:pPr>
    </w:p>
    <w:p w14:paraId="7AC4D1FD" w14:textId="22B757D0" w:rsidR="0003667A" w:rsidRPr="005A497D" w:rsidRDefault="00E66699" w:rsidP="00D91936">
      <w:pPr>
        <w:pStyle w:val="ListParagraph"/>
        <w:tabs>
          <w:tab w:val="left" w:pos="357"/>
        </w:tabs>
        <w:spacing w:after="0" w:line="240" w:lineRule="auto"/>
        <w:ind w:left="0" w:firstLine="0"/>
        <w:contextualSpacing w:val="0"/>
        <w:jc w:val="both"/>
      </w:pPr>
      <w:r w:rsidRPr="005A497D">
        <w:tab/>
      </w:r>
      <w:r w:rsidR="00466C14" w:rsidRPr="005A497D">
        <w:t xml:space="preserve">The World Bank </w:t>
      </w:r>
      <w:r w:rsidR="0093374D" w:rsidRPr="005A497D">
        <w:t xml:space="preserve">cross-sectoral </w:t>
      </w:r>
      <w:r w:rsidR="00466C14" w:rsidRPr="005A497D">
        <w:t xml:space="preserve">task team </w:t>
      </w:r>
      <w:r w:rsidR="00240C37">
        <w:t>who</w:t>
      </w:r>
      <w:r w:rsidR="00466C14" w:rsidRPr="005A497D">
        <w:t xml:space="preserve"> contributed to this </w:t>
      </w:r>
      <w:r w:rsidR="00E927DD" w:rsidRPr="005A497D">
        <w:t xml:space="preserve">PEFA assessment </w:t>
      </w:r>
      <w:r w:rsidR="00466C14" w:rsidRPr="005A497D">
        <w:t xml:space="preserve">report comprised </w:t>
      </w:r>
      <w:r w:rsidR="00DF0FE9" w:rsidRPr="00240C37">
        <w:rPr>
          <w:b/>
        </w:rPr>
        <w:t>Robert R. Taliercio</w:t>
      </w:r>
      <w:r w:rsidR="00DF0FE9" w:rsidRPr="005A497D">
        <w:t xml:space="preserve"> (Assessment Manager, Practice Manager), </w:t>
      </w:r>
      <w:r w:rsidR="0080199C" w:rsidRPr="00240C37">
        <w:rPr>
          <w:b/>
        </w:rPr>
        <w:t>Saeeda Sabah Rashid</w:t>
      </w:r>
      <w:r w:rsidR="0080199C">
        <w:t xml:space="preserve"> (</w:t>
      </w:r>
      <w:r w:rsidR="00F74BE5">
        <w:t>co-</w:t>
      </w:r>
      <w:r w:rsidR="0003667A" w:rsidRPr="005A497D">
        <w:t>Task Team Leader, S</w:t>
      </w:r>
      <w:r w:rsidR="0093374D" w:rsidRPr="005A497D">
        <w:t>r.</w:t>
      </w:r>
      <w:r w:rsidR="00F74BE5">
        <w:t xml:space="preserve"> Public Sector</w:t>
      </w:r>
      <w:r w:rsidR="0003667A" w:rsidRPr="005A497D">
        <w:t xml:space="preserve"> Specialist), </w:t>
      </w:r>
      <w:r w:rsidR="00F74BE5" w:rsidRPr="00240C37">
        <w:rPr>
          <w:b/>
          <w:lang w:val="en"/>
        </w:rPr>
        <w:t>Pazhayannur K. Subramanian</w:t>
      </w:r>
      <w:r w:rsidR="00F74BE5">
        <w:rPr>
          <w:lang w:val="en"/>
        </w:rPr>
        <w:t xml:space="preserve"> (co-Task Team Leader, Lead Financial Management Specialist), </w:t>
      </w:r>
      <w:r w:rsidR="0003667A" w:rsidRPr="00240C37">
        <w:rPr>
          <w:b/>
        </w:rPr>
        <w:t>Rogier Van den Brink</w:t>
      </w:r>
      <w:r w:rsidR="0003667A" w:rsidRPr="005A497D">
        <w:t xml:space="preserve"> (Lead Economist and Program Leader), </w:t>
      </w:r>
      <w:r w:rsidR="00567312" w:rsidRPr="00567312">
        <w:rPr>
          <w:b/>
        </w:rPr>
        <w:t>Bonnie Ann Sirois</w:t>
      </w:r>
      <w:r w:rsidR="00567312">
        <w:t xml:space="preserve"> (Senior Financial Management Specialist), </w:t>
      </w:r>
      <w:r w:rsidR="0003667A" w:rsidRPr="00240C37">
        <w:rPr>
          <w:b/>
        </w:rPr>
        <w:t>Kai-Alexander Kaiser</w:t>
      </w:r>
      <w:r w:rsidR="0003667A" w:rsidRPr="005A497D">
        <w:t xml:space="preserve"> (</w:t>
      </w:r>
      <w:r w:rsidR="00B31D34">
        <w:t>Senior</w:t>
      </w:r>
      <w:r w:rsidR="0003667A" w:rsidRPr="005A497D">
        <w:t xml:space="preserve"> Economist), </w:t>
      </w:r>
      <w:r w:rsidR="0003667A" w:rsidRPr="00240C37">
        <w:rPr>
          <w:b/>
        </w:rPr>
        <w:t>Karl Kendrick Tiu Chua</w:t>
      </w:r>
      <w:r w:rsidR="0003667A" w:rsidRPr="005A497D">
        <w:t xml:space="preserve"> (</w:t>
      </w:r>
      <w:r w:rsidR="00B31D34">
        <w:t>Senior</w:t>
      </w:r>
      <w:r w:rsidR="0003667A" w:rsidRPr="005A497D">
        <w:t xml:space="preserve"> Country Economist), </w:t>
      </w:r>
      <w:r w:rsidR="0003667A" w:rsidRPr="00240C37">
        <w:rPr>
          <w:b/>
        </w:rPr>
        <w:t>Cecilia D. Vales</w:t>
      </w:r>
      <w:r w:rsidR="0003667A" w:rsidRPr="005A497D">
        <w:t xml:space="preserve"> (Lead Procurement Specialist), </w:t>
      </w:r>
      <w:r w:rsidR="00DF0FE9" w:rsidRPr="00240C37">
        <w:rPr>
          <w:b/>
        </w:rPr>
        <w:t xml:space="preserve">Justine Espina Letargo </w:t>
      </w:r>
      <w:r w:rsidR="0003667A" w:rsidRPr="005A497D">
        <w:t xml:space="preserve">(Communications Officer), </w:t>
      </w:r>
      <w:r w:rsidR="0003667A" w:rsidRPr="00240C37">
        <w:rPr>
          <w:b/>
        </w:rPr>
        <w:t xml:space="preserve">Tomas </w:t>
      </w:r>
      <w:r w:rsidR="00911A16" w:rsidRPr="00240C37">
        <w:rPr>
          <w:b/>
        </w:rPr>
        <w:t>A</w:t>
      </w:r>
      <w:r w:rsidR="0003667A" w:rsidRPr="00240C37">
        <w:rPr>
          <w:b/>
        </w:rPr>
        <w:t>. Sta.</w:t>
      </w:r>
      <w:r w:rsidR="00D91936" w:rsidRPr="00240C37">
        <w:rPr>
          <w:b/>
        </w:rPr>
        <w:t xml:space="preserve"> </w:t>
      </w:r>
      <w:r w:rsidR="0003667A" w:rsidRPr="00240C37">
        <w:rPr>
          <w:b/>
        </w:rPr>
        <w:t>Maria</w:t>
      </w:r>
      <w:r w:rsidR="00911A16" w:rsidRPr="00240C37">
        <w:rPr>
          <w:b/>
        </w:rPr>
        <w:t>, Jr.</w:t>
      </w:r>
      <w:r w:rsidR="0003667A" w:rsidRPr="005A497D">
        <w:t xml:space="preserve"> (Financial Management Specialist), </w:t>
      </w:r>
      <w:r w:rsidR="00D412CB" w:rsidRPr="00240C37">
        <w:rPr>
          <w:b/>
        </w:rPr>
        <w:t>Aisha Lanette De Guzman</w:t>
      </w:r>
      <w:r w:rsidR="0003667A" w:rsidRPr="005A497D">
        <w:t xml:space="preserve"> (</w:t>
      </w:r>
      <w:r w:rsidR="00D412CB">
        <w:t>Financial</w:t>
      </w:r>
      <w:r w:rsidR="0003667A" w:rsidRPr="005A497D">
        <w:t xml:space="preserve"> Management Specialist)</w:t>
      </w:r>
      <w:r w:rsidR="00B31D34">
        <w:t>,</w:t>
      </w:r>
      <w:r w:rsidR="00F74BE5">
        <w:t xml:space="preserve"> and </w:t>
      </w:r>
      <w:r w:rsidR="00F74BE5" w:rsidRPr="00240C37">
        <w:rPr>
          <w:b/>
          <w:lang w:val="en"/>
        </w:rPr>
        <w:t xml:space="preserve">Maria Liennefer Rey Penaroyo </w:t>
      </w:r>
      <w:r w:rsidR="00F74BE5">
        <w:rPr>
          <w:lang w:val="en"/>
        </w:rPr>
        <w:t>(Financial Management Analyst)</w:t>
      </w:r>
      <w:r w:rsidR="0003667A" w:rsidRPr="005A497D">
        <w:t>. The team w</w:t>
      </w:r>
      <w:r w:rsidR="0093374D" w:rsidRPr="005A497D">
        <w:t>as</w:t>
      </w:r>
      <w:r w:rsidR="0003667A" w:rsidRPr="005A497D">
        <w:t xml:space="preserve"> supported by </w:t>
      </w:r>
      <w:r w:rsidR="00172F5E" w:rsidRPr="00240C37">
        <w:rPr>
          <w:b/>
        </w:rPr>
        <w:t>Peter Jensen</w:t>
      </w:r>
      <w:r w:rsidR="00172F5E" w:rsidRPr="005A497D">
        <w:t xml:space="preserve"> </w:t>
      </w:r>
      <w:r w:rsidR="00D412CB">
        <w:t xml:space="preserve">and </w:t>
      </w:r>
      <w:r w:rsidR="00D412CB" w:rsidRPr="00240C37">
        <w:rPr>
          <w:b/>
        </w:rPr>
        <w:t>Michael Jacobs</w:t>
      </w:r>
      <w:r w:rsidR="00D412CB">
        <w:t xml:space="preserve"> </w:t>
      </w:r>
      <w:r w:rsidR="00172F5E" w:rsidRPr="005A497D">
        <w:t>(International Consultant</w:t>
      </w:r>
      <w:r w:rsidR="00D412CB">
        <w:t>s</w:t>
      </w:r>
      <w:r w:rsidR="00172F5E" w:rsidRPr="005A497D">
        <w:t xml:space="preserve">), </w:t>
      </w:r>
      <w:r w:rsidR="00B31D34">
        <w:t xml:space="preserve">and </w:t>
      </w:r>
      <w:r w:rsidR="00172F5E" w:rsidRPr="00240C37">
        <w:rPr>
          <w:b/>
        </w:rPr>
        <w:t>Mark Robis</w:t>
      </w:r>
      <w:r w:rsidR="00172F5E" w:rsidRPr="005A497D">
        <w:t xml:space="preserve"> and </w:t>
      </w:r>
      <w:r w:rsidR="00172F5E" w:rsidRPr="00240C37">
        <w:rPr>
          <w:b/>
        </w:rPr>
        <w:t>Olidan Ceasar Galvez</w:t>
      </w:r>
      <w:r w:rsidR="00172F5E" w:rsidRPr="005A497D">
        <w:t xml:space="preserve"> (National Consultant</w:t>
      </w:r>
      <w:r w:rsidR="00F74BE5">
        <w:t>s</w:t>
      </w:r>
      <w:r w:rsidR="00172F5E" w:rsidRPr="005A497D">
        <w:t xml:space="preserve">). </w:t>
      </w:r>
      <w:r w:rsidR="0003667A" w:rsidRPr="00240C37">
        <w:rPr>
          <w:b/>
        </w:rPr>
        <w:t>Maria Consuelo Sy</w:t>
      </w:r>
      <w:r w:rsidR="0003667A" w:rsidRPr="005A497D">
        <w:t xml:space="preserve"> (Program Assistant) provided administrative and </w:t>
      </w:r>
      <w:r w:rsidR="00B31D34" w:rsidRPr="005A497D">
        <w:t>logistic</w:t>
      </w:r>
      <w:r w:rsidR="00B31D34">
        <w:t>al</w:t>
      </w:r>
      <w:r w:rsidR="00B31D34" w:rsidRPr="005A497D">
        <w:t xml:space="preserve"> </w:t>
      </w:r>
      <w:r w:rsidR="0003667A" w:rsidRPr="005A497D">
        <w:t>support.</w:t>
      </w:r>
    </w:p>
    <w:p w14:paraId="6BB8C6DA" w14:textId="77777777" w:rsidR="00466C14" w:rsidRPr="005A497D" w:rsidRDefault="00466C14" w:rsidP="00D91936">
      <w:pPr>
        <w:jc w:val="both"/>
      </w:pPr>
    </w:p>
    <w:p w14:paraId="2AB1816C" w14:textId="38D29251" w:rsidR="008A57F0" w:rsidRPr="005A497D" w:rsidRDefault="00E66699" w:rsidP="00D91936">
      <w:pPr>
        <w:pStyle w:val="ListParagraph"/>
        <w:tabs>
          <w:tab w:val="left" w:pos="357"/>
        </w:tabs>
        <w:spacing w:after="0" w:line="240" w:lineRule="auto"/>
        <w:ind w:left="0" w:firstLine="0"/>
        <w:contextualSpacing w:val="0"/>
        <w:jc w:val="both"/>
        <w:rPr>
          <w:iCs/>
        </w:rPr>
      </w:pPr>
      <w:r w:rsidRPr="005A497D">
        <w:tab/>
      </w:r>
      <w:r w:rsidR="00466C14" w:rsidRPr="005A497D">
        <w:t xml:space="preserve">Internal World Bank peer reviewers were </w:t>
      </w:r>
      <w:r w:rsidR="0014400A" w:rsidRPr="00240C37">
        <w:rPr>
          <w:b/>
        </w:rPr>
        <w:t>Andrew James Mackie</w:t>
      </w:r>
      <w:r w:rsidR="0014400A" w:rsidRPr="005A497D">
        <w:t xml:space="preserve"> (</w:t>
      </w:r>
      <w:r w:rsidR="00B31D34">
        <w:t>Senior</w:t>
      </w:r>
      <w:r w:rsidR="0014400A" w:rsidRPr="005A497D">
        <w:t xml:space="preserve"> Financial Management Specialist) and </w:t>
      </w:r>
      <w:r w:rsidR="0014400A" w:rsidRPr="00240C37">
        <w:rPr>
          <w:b/>
        </w:rPr>
        <w:t>Ivor Beazley</w:t>
      </w:r>
      <w:r w:rsidR="0014400A" w:rsidRPr="005A497D">
        <w:t xml:space="preserve"> (S</w:t>
      </w:r>
      <w:r w:rsidR="00B31D34">
        <w:t>enior</w:t>
      </w:r>
      <w:r w:rsidR="0014400A" w:rsidRPr="005A497D">
        <w:t xml:space="preserve"> Public Sector Specialist)</w:t>
      </w:r>
      <w:r w:rsidR="005A783D" w:rsidRPr="005A497D">
        <w:t xml:space="preserve">. </w:t>
      </w:r>
      <w:r w:rsidR="00466C14" w:rsidRPr="005A497D">
        <w:rPr>
          <w:iCs/>
        </w:rPr>
        <w:t xml:space="preserve">External peer reviewers </w:t>
      </w:r>
      <w:r w:rsidR="005A783D" w:rsidRPr="005A497D">
        <w:rPr>
          <w:iCs/>
        </w:rPr>
        <w:t xml:space="preserve">from the PEFA Secretariat </w:t>
      </w:r>
      <w:r w:rsidR="001D1362" w:rsidRPr="005A497D">
        <w:rPr>
          <w:iCs/>
        </w:rPr>
        <w:t>were</w:t>
      </w:r>
      <w:r w:rsidR="0014400A" w:rsidRPr="005A497D">
        <w:rPr>
          <w:iCs/>
        </w:rPr>
        <w:t xml:space="preserve"> </w:t>
      </w:r>
      <w:r w:rsidR="00F74BE5" w:rsidRPr="00240C37">
        <w:rPr>
          <w:b/>
          <w:bCs/>
          <w:iCs/>
        </w:rPr>
        <w:t>Helena Grandão Ramos</w:t>
      </w:r>
      <w:r w:rsidR="00F74BE5" w:rsidRPr="00F74BE5">
        <w:rPr>
          <w:bCs/>
          <w:iCs/>
        </w:rPr>
        <w:t xml:space="preserve"> </w:t>
      </w:r>
      <w:r w:rsidR="00F74BE5">
        <w:rPr>
          <w:bCs/>
          <w:iCs/>
        </w:rPr>
        <w:t xml:space="preserve">(Senior PFM Specialist); </w:t>
      </w:r>
      <w:r w:rsidR="00E157D7" w:rsidRPr="005A497D">
        <w:rPr>
          <w:iCs/>
        </w:rPr>
        <w:t>from ADB</w:t>
      </w:r>
      <w:r w:rsidR="00B31D34">
        <w:rPr>
          <w:iCs/>
        </w:rPr>
        <w:t>,</w:t>
      </w:r>
      <w:r w:rsidR="00E157D7" w:rsidRPr="005A497D">
        <w:rPr>
          <w:iCs/>
        </w:rPr>
        <w:t xml:space="preserve"> </w:t>
      </w:r>
      <w:r w:rsidR="002703B6" w:rsidRPr="00240C37">
        <w:rPr>
          <w:b/>
          <w:iCs/>
        </w:rPr>
        <w:t>Warren Turner</w:t>
      </w:r>
      <w:r w:rsidR="002703B6" w:rsidRPr="005A497D">
        <w:rPr>
          <w:iCs/>
        </w:rPr>
        <w:t xml:space="preserve"> (Senior Public Management Specialist)</w:t>
      </w:r>
      <w:r w:rsidR="00E157D7" w:rsidRPr="005A497D">
        <w:rPr>
          <w:iCs/>
        </w:rPr>
        <w:t>;</w:t>
      </w:r>
      <w:r w:rsidR="005A783D" w:rsidRPr="005A497D">
        <w:rPr>
          <w:iCs/>
        </w:rPr>
        <w:t xml:space="preserve"> from IMF</w:t>
      </w:r>
      <w:r w:rsidR="00B31D34">
        <w:rPr>
          <w:iCs/>
        </w:rPr>
        <w:t>,</w:t>
      </w:r>
      <w:r w:rsidR="004F310A" w:rsidRPr="005A497D">
        <w:rPr>
          <w:iCs/>
        </w:rPr>
        <w:t xml:space="preserve"> </w:t>
      </w:r>
      <w:r w:rsidR="00F74BE5" w:rsidRPr="00240C37">
        <w:rPr>
          <w:b/>
          <w:iCs/>
        </w:rPr>
        <w:t>Sandeep Saxena</w:t>
      </w:r>
      <w:r w:rsidR="00F74BE5">
        <w:rPr>
          <w:iCs/>
        </w:rPr>
        <w:t xml:space="preserve"> (Senior Economist);</w:t>
      </w:r>
      <w:r w:rsidR="00A313F3" w:rsidRPr="005A497D">
        <w:rPr>
          <w:iCs/>
        </w:rPr>
        <w:t xml:space="preserve"> and from DFAT</w:t>
      </w:r>
      <w:r w:rsidR="00B31D34">
        <w:rPr>
          <w:iCs/>
        </w:rPr>
        <w:t>,</w:t>
      </w:r>
      <w:r w:rsidR="00A313F3" w:rsidRPr="005A497D">
        <w:rPr>
          <w:iCs/>
        </w:rPr>
        <w:t xml:space="preserve"> </w:t>
      </w:r>
      <w:r w:rsidR="00F74BE5" w:rsidRPr="00240C37">
        <w:rPr>
          <w:b/>
          <w:iCs/>
        </w:rPr>
        <w:t>Daniel Featherston</w:t>
      </w:r>
      <w:r w:rsidR="00F74BE5">
        <w:rPr>
          <w:iCs/>
        </w:rPr>
        <w:t xml:space="preserve"> (Economic </w:t>
      </w:r>
      <w:r w:rsidR="00240C37">
        <w:rPr>
          <w:iCs/>
        </w:rPr>
        <w:t>Counselor</w:t>
      </w:r>
      <w:r w:rsidR="00F74BE5">
        <w:rPr>
          <w:iCs/>
        </w:rPr>
        <w:t>).</w:t>
      </w:r>
    </w:p>
    <w:p w14:paraId="76BED92F" w14:textId="77777777" w:rsidR="008A57F0" w:rsidRPr="005A497D" w:rsidRDefault="008A57F0" w:rsidP="00D91936">
      <w:pPr>
        <w:pStyle w:val="ListParagraph"/>
        <w:spacing w:after="0" w:line="240" w:lineRule="auto"/>
        <w:ind w:left="0" w:firstLine="0"/>
        <w:contextualSpacing w:val="0"/>
        <w:jc w:val="both"/>
        <w:rPr>
          <w:iCs/>
        </w:rPr>
      </w:pPr>
    </w:p>
    <w:p w14:paraId="45FF307A" w14:textId="77777777" w:rsidR="008A57F0" w:rsidRPr="005A497D" w:rsidRDefault="008A57F0" w:rsidP="009A012D">
      <w:pPr>
        <w:contextualSpacing/>
        <w:jc w:val="both"/>
        <w:rPr>
          <w:iCs/>
        </w:rPr>
      </w:pPr>
    </w:p>
    <w:p w14:paraId="69F39D52" w14:textId="77777777" w:rsidR="00F016C4" w:rsidRPr="005A497D" w:rsidRDefault="00F016C4" w:rsidP="009A012D">
      <w:pPr>
        <w:contextualSpacing/>
        <w:jc w:val="both"/>
        <w:rPr>
          <w:iCs/>
        </w:rPr>
      </w:pPr>
    </w:p>
    <w:p w14:paraId="41E74D4C" w14:textId="77777777" w:rsidR="001D1362" w:rsidRPr="005A497D" w:rsidRDefault="001D1362" w:rsidP="009A012D">
      <w:pPr>
        <w:contextualSpacing/>
        <w:jc w:val="both"/>
      </w:pPr>
    </w:p>
    <w:p w14:paraId="618D35C6" w14:textId="77777777" w:rsidR="002B337B" w:rsidRPr="005A497D" w:rsidRDefault="002B337B" w:rsidP="009A012D">
      <w:pPr>
        <w:pStyle w:val="TableofFigures"/>
        <w:rPr>
          <w:sz w:val="26"/>
        </w:rPr>
        <w:sectPr w:rsidR="002B337B" w:rsidRPr="005A497D" w:rsidSect="008A57F0">
          <w:footnotePr>
            <w:numRestart w:val="eachSect"/>
          </w:footnotePr>
          <w:endnotePr>
            <w:numFmt w:val="decimal"/>
          </w:endnotePr>
          <w:pgSz w:w="12240" w:h="15840" w:code="1"/>
          <w:pgMar w:top="1440" w:right="1440" w:bottom="1440" w:left="1440" w:header="720" w:footer="720" w:gutter="0"/>
          <w:pgNumType w:fmt="lowerRoman"/>
          <w:cols w:space="720"/>
          <w:noEndnote/>
          <w:docGrid w:linePitch="326"/>
        </w:sectPr>
      </w:pPr>
    </w:p>
    <w:p w14:paraId="5DDEC134" w14:textId="77777777" w:rsidR="00655AA4" w:rsidRPr="00D954F5" w:rsidRDefault="00655AA4" w:rsidP="00655AA4">
      <w:pPr>
        <w:jc w:val="center"/>
        <w:rPr>
          <w:b/>
        </w:rPr>
      </w:pPr>
      <w:r>
        <w:rPr>
          <w:b/>
          <w:noProof/>
        </w:rPr>
        <w:drawing>
          <wp:inline distT="0" distB="0" distL="0" distR="0" wp14:anchorId="0D2D036C" wp14:editId="12E8FD9C">
            <wp:extent cx="1428750" cy="1428750"/>
            <wp:effectExtent l="19050" t="0" r="0" b="0"/>
            <wp:docPr id="5" name="Picture 1" descr="PEFA_chec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FA_checklogo.jpg"/>
                    <pic:cNvPicPr/>
                  </pic:nvPicPr>
                  <pic:blipFill>
                    <a:blip r:embed="rId21" cstate="print"/>
                    <a:stretch>
                      <a:fillRect/>
                    </a:stretch>
                  </pic:blipFill>
                  <pic:spPr>
                    <a:xfrm>
                      <a:off x="0" y="0"/>
                      <a:ext cx="1428750" cy="1428750"/>
                    </a:xfrm>
                    <a:prstGeom prst="rect">
                      <a:avLst/>
                    </a:prstGeom>
                  </pic:spPr>
                </pic:pic>
              </a:graphicData>
            </a:graphic>
          </wp:inline>
        </w:drawing>
      </w:r>
    </w:p>
    <w:p w14:paraId="45A6C89F" w14:textId="77777777" w:rsidR="00655AA4" w:rsidRDefault="00655AA4" w:rsidP="00655AA4">
      <w:pPr>
        <w:pStyle w:val="Default"/>
        <w:jc w:val="center"/>
        <w:rPr>
          <w:b/>
          <w:sz w:val="28"/>
          <w:szCs w:val="28"/>
        </w:rPr>
      </w:pPr>
    </w:p>
    <w:p w14:paraId="2A6B68B6" w14:textId="77777777" w:rsidR="00655AA4" w:rsidRDefault="00655AA4" w:rsidP="00655AA4">
      <w:pPr>
        <w:pStyle w:val="Default"/>
        <w:jc w:val="center"/>
        <w:rPr>
          <w:sz w:val="28"/>
          <w:szCs w:val="28"/>
        </w:rPr>
      </w:pPr>
    </w:p>
    <w:p w14:paraId="759CC5A3" w14:textId="77777777" w:rsidR="00655AA4" w:rsidRPr="008D03B6" w:rsidRDefault="00655AA4" w:rsidP="00655AA4">
      <w:pPr>
        <w:pStyle w:val="Default"/>
        <w:jc w:val="center"/>
        <w:rPr>
          <w:sz w:val="28"/>
          <w:szCs w:val="28"/>
        </w:rPr>
      </w:pPr>
      <w:r w:rsidRPr="008D03B6">
        <w:rPr>
          <w:sz w:val="28"/>
          <w:szCs w:val="28"/>
        </w:rPr>
        <w:t xml:space="preserve">PEFA assessment report </w:t>
      </w:r>
      <w:r>
        <w:rPr>
          <w:sz w:val="28"/>
          <w:szCs w:val="28"/>
        </w:rPr>
        <w:t xml:space="preserve">of the </w:t>
      </w:r>
      <w:r w:rsidRPr="005C1F18">
        <w:rPr>
          <w:sz w:val="28"/>
          <w:szCs w:val="28"/>
        </w:rPr>
        <w:t>Republic of the Philippines</w:t>
      </w:r>
      <w:r>
        <w:rPr>
          <w:sz w:val="28"/>
          <w:szCs w:val="28"/>
        </w:rPr>
        <w:t>, May 2016</w:t>
      </w:r>
    </w:p>
    <w:p w14:paraId="1A56EEE9" w14:textId="77777777" w:rsidR="00655AA4" w:rsidRPr="00214B21" w:rsidRDefault="00655AA4" w:rsidP="00655AA4">
      <w:pPr>
        <w:pStyle w:val="Default"/>
        <w:jc w:val="center"/>
        <w:rPr>
          <w:b/>
          <w:sz w:val="28"/>
          <w:szCs w:val="28"/>
        </w:rPr>
      </w:pPr>
    </w:p>
    <w:p w14:paraId="14181B51" w14:textId="77777777" w:rsidR="00655AA4" w:rsidRDefault="00655AA4" w:rsidP="00655AA4">
      <w:pPr>
        <w:pStyle w:val="Default"/>
        <w:jc w:val="center"/>
        <w:rPr>
          <w:b/>
          <w:sz w:val="28"/>
          <w:szCs w:val="28"/>
        </w:rPr>
      </w:pPr>
    </w:p>
    <w:p w14:paraId="7BDCAE84" w14:textId="77777777" w:rsidR="00655AA4" w:rsidRDefault="00655AA4" w:rsidP="00655AA4">
      <w:pPr>
        <w:pStyle w:val="Default"/>
        <w:jc w:val="center"/>
        <w:rPr>
          <w:b/>
          <w:sz w:val="28"/>
          <w:szCs w:val="28"/>
        </w:rPr>
      </w:pPr>
    </w:p>
    <w:p w14:paraId="5C1FF1B7" w14:textId="77777777" w:rsidR="00655AA4" w:rsidRPr="00625735" w:rsidRDefault="00655AA4" w:rsidP="00655AA4">
      <w:pPr>
        <w:jc w:val="both"/>
        <w:rPr>
          <w:sz w:val="28"/>
          <w:szCs w:val="28"/>
        </w:rPr>
      </w:pPr>
      <w:r w:rsidRPr="00214B21">
        <w:rPr>
          <w:sz w:val="28"/>
          <w:szCs w:val="28"/>
        </w:rPr>
        <w:t xml:space="preserve">The quality assurance process </w:t>
      </w:r>
      <w:r>
        <w:rPr>
          <w:sz w:val="28"/>
          <w:szCs w:val="28"/>
        </w:rPr>
        <w:t>followed</w:t>
      </w:r>
      <w:r w:rsidRPr="00214B21">
        <w:rPr>
          <w:sz w:val="28"/>
          <w:szCs w:val="28"/>
        </w:rPr>
        <w:t xml:space="preserve"> </w:t>
      </w:r>
      <w:r>
        <w:rPr>
          <w:sz w:val="28"/>
          <w:szCs w:val="28"/>
        </w:rPr>
        <w:t>in the production of this report</w:t>
      </w:r>
      <w:r w:rsidRPr="00214B21">
        <w:rPr>
          <w:sz w:val="28"/>
          <w:szCs w:val="28"/>
        </w:rPr>
        <w:t xml:space="preserve"> satisfies </w:t>
      </w:r>
      <w:r>
        <w:rPr>
          <w:sz w:val="28"/>
          <w:szCs w:val="28"/>
        </w:rPr>
        <w:t xml:space="preserve">all </w:t>
      </w:r>
      <w:r w:rsidRPr="00214B21">
        <w:rPr>
          <w:sz w:val="28"/>
          <w:szCs w:val="28"/>
        </w:rPr>
        <w:t>the requirement</w:t>
      </w:r>
      <w:r>
        <w:rPr>
          <w:sz w:val="28"/>
          <w:szCs w:val="28"/>
        </w:rPr>
        <w:t>s</w:t>
      </w:r>
      <w:r w:rsidRPr="00214B21">
        <w:rPr>
          <w:sz w:val="28"/>
          <w:szCs w:val="28"/>
        </w:rPr>
        <w:t xml:space="preserve"> of the PEFA Secretariat </w:t>
      </w:r>
      <w:r>
        <w:rPr>
          <w:sz w:val="28"/>
          <w:szCs w:val="28"/>
        </w:rPr>
        <w:t>and hence receives the ‘</w:t>
      </w:r>
      <w:r w:rsidRPr="00625735">
        <w:rPr>
          <w:b/>
          <w:sz w:val="28"/>
          <w:szCs w:val="28"/>
        </w:rPr>
        <w:t>PEFA CHECK</w:t>
      </w:r>
      <w:r>
        <w:rPr>
          <w:b/>
          <w:sz w:val="28"/>
          <w:szCs w:val="28"/>
        </w:rPr>
        <w:t>’</w:t>
      </w:r>
      <w:r w:rsidRPr="00625735">
        <w:rPr>
          <w:sz w:val="28"/>
          <w:szCs w:val="28"/>
        </w:rPr>
        <w:t xml:space="preserve">. </w:t>
      </w:r>
    </w:p>
    <w:p w14:paraId="5088EBBF" w14:textId="77777777" w:rsidR="00655AA4" w:rsidRPr="00214B21" w:rsidRDefault="00655AA4" w:rsidP="00655AA4">
      <w:pPr>
        <w:rPr>
          <w:sz w:val="28"/>
          <w:szCs w:val="28"/>
        </w:rPr>
      </w:pPr>
    </w:p>
    <w:p w14:paraId="2FC8D84D" w14:textId="77777777" w:rsidR="00655AA4" w:rsidRDefault="00655AA4" w:rsidP="00655AA4">
      <w:pPr>
        <w:rPr>
          <w:sz w:val="28"/>
          <w:szCs w:val="28"/>
        </w:rPr>
      </w:pPr>
      <w:r w:rsidRPr="00214B21">
        <w:rPr>
          <w:sz w:val="28"/>
          <w:szCs w:val="28"/>
        </w:rPr>
        <w:t xml:space="preserve">PEFA Secretariat, </w:t>
      </w:r>
    </w:p>
    <w:p w14:paraId="471EDA9D" w14:textId="77777777" w:rsidR="00655AA4" w:rsidRDefault="00655AA4" w:rsidP="00655AA4">
      <w:pPr>
        <w:rPr>
          <w:sz w:val="28"/>
          <w:szCs w:val="28"/>
        </w:rPr>
      </w:pPr>
    </w:p>
    <w:p w14:paraId="05B58E4F" w14:textId="77777777" w:rsidR="00655AA4" w:rsidRPr="00214B21" w:rsidRDefault="00655AA4" w:rsidP="00655AA4">
      <w:pPr>
        <w:rPr>
          <w:sz w:val="28"/>
          <w:szCs w:val="28"/>
        </w:rPr>
      </w:pPr>
      <w:r>
        <w:rPr>
          <w:sz w:val="28"/>
          <w:szCs w:val="28"/>
        </w:rPr>
        <w:t xml:space="preserve">June 2, 2016 </w:t>
      </w:r>
      <w:r w:rsidRPr="00214B21">
        <w:rPr>
          <w:sz w:val="28"/>
          <w:szCs w:val="28"/>
        </w:rPr>
        <w:t xml:space="preserve">   </w:t>
      </w:r>
    </w:p>
    <w:p w14:paraId="6BF7924C" w14:textId="77777777" w:rsidR="00CA71E9" w:rsidRPr="005A497D" w:rsidRDefault="00CA71E9" w:rsidP="009A012D"/>
    <w:p w14:paraId="13B44E0C" w14:textId="77777777" w:rsidR="00CA71E9" w:rsidRPr="005A497D" w:rsidRDefault="00CA71E9" w:rsidP="009A012D"/>
    <w:p w14:paraId="0722CD26" w14:textId="77777777" w:rsidR="00CA71E9" w:rsidRPr="005A497D" w:rsidRDefault="00CA71E9" w:rsidP="009A012D"/>
    <w:p w14:paraId="5D24D36A" w14:textId="77777777" w:rsidR="00CA71E9" w:rsidRPr="005A497D" w:rsidRDefault="00CA71E9" w:rsidP="009A012D"/>
    <w:p w14:paraId="68CF7494" w14:textId="3508F059" w:rsidR="00CA71E9" w:rsidRPr="005A497D" w:rsidRDefault="00B54286" w:rsidP="001B7116">
      <w:pPr>
        <w:tabs>
          <w:tab w:val="left" w:pos="3400"/>
        </w:tabs>
      </w:pPr>
      <w:r>
        <w:tab/>
      </w:r>
    </w:p>
    <w:p w14:paraId="79B84141" w14:textId="77777777" w:rsidR="00CA71E9" w:rsidRPr="005A497D" w:rsidRDefault="00CA71E9" w:rsidP="009A012D"/>
    <w:p w14:paraId="2CAC659B" w14:textId="77777777" w:rsidR="00CA71E9" w:rsidRPr="005A497D" w:rsidRDefault="00CA71E9" w:rsidP="009A012D"/>
    <w:p w14:paraId="6CC2C30C" w14:textId="77777777" w:rsidR="00CA0D73" w:rsidRPr="005A497D" w:rsidRDefault="00CA0D73" w:rsidP="009A012D">
      <w:bookmarkStart w:id="7" w:name="_Toc167858546"/>
      <w:bookmarkEnd w:id="2"/>
      <w:bookmarkEnd w:id="3"/>
      <w:bookmarkEnd w:id="4"/>
      <w:r w:rsidRPr="005A497D">
        <w:br w:type="page"/>
      </w:r>
    </w:p>
    <w:p w14:paraId="06C1981A" w14:textId="77777777" w:rsidR="00420477" w:rsidRPr="005A497D" w:rsidRDefault="009A012D" w:rsidP="009A012D">
      <w:pPr>
        <w:pStyle w:val="Heading2"/>
        <w:rPr>
          <w:rFonts w:ascii="Times New Roman" w:hAnsi="Times New Roman"/>
          <w:sz w:val="32"/>
          <w:szCs w:val="32"/>
        </w:rPr>
      </w:pPr>
      <w:bookmarkStart w:id="8" w:name="_Toc454811632"/>
      <w:bookmarkStart w:id="9" w:name="_Toc454888777"/>
      <w:r w:rsidRPr="005A497D">
        <w:rPr>
          <w:rFonts w:ascii="Times New Roman" w:hAnsi="Times New Roman"/>
          <w:sz w:val="32"/>
          <w:szCs w:val="32"/>
        </w:rPr>
        <w:t xml:space="preserve">Executive </w:t>
      </w:r>
      <w:r w:rsidR="00420477" w:rsidRPr="005A497D">
        <w:rPr>
          <w:rFonts w:ascii="Times New Roman" w:hAnsi="Times New Roman"/>
          <w:sz w:val="32"/>
          <w:szCs w:val="32"/>
        </w:rPr>
        <w:t>Summar</w:t>
      </w:r>
      <w:r w:rsidRPr="005A497D">
        <w:rPr>
          <w:rFonts w:ascii="Times New Roman" w:hAnsi="Times New Roman"/>
          <w:sz w:val="32"/>
          <w:szCs w:val="32"/>
        </w:rPr>
        <w:t>y</w:t>
      </w:r>
      <w:bookmarkEnd w:id="8"/>
      <w:bookmarkEnd w:id="9"/>
    </w:p>
    <w:p w14:paraId="3026DCE0" w14:textId="77777777" w:rsidR="00C52B40" w:rsidRPr="005A497D" w:rsidRDefault="00C52B40" w:rsidP="00D6536F">
      <w:pPr>
        <w:jc w:val="both"/>
        <w:rPr>
          <w:u w:val="single"/>
        </w:rPr>
      </w:pPr>
    </w:p>
    <w:p w14:paraId="25368A90" w14:textId="50626CF3" w:rsidR="00F76CC1" w:rsidRDefault="00F76CC1" w:rsidP="00F76CC1">
      <w:pPr>
        <w:pStyle w:val="ListParagraph"/>
        <w:numPr>
          <w:ilvl w:val="0"/>
          <w:numId w:val="2"/>
        </w:numPr>
        <w:tabs>
          <w:tab w:val="left" w:pos="720"/>
        </w:tabs>
        <w:autoSpaceDE w:val="0"/>
        <w:autoSpaceDN w:val="0"/>
        <w:adjustRightInd w:val="0"/>
        <w:spacing w:after="0" w:line="240" w:lineRule="auto"/>
        <w:jc w:val="both"/>
      </w:pPr>
      <w:r w:rsidRPr="00DE703B">
        <w:t xml:space="preserve">This </w:t>
      </w:r>
      <w:r w:rsidR="00DE703B">
        <w:t>Public Expenditure and Financial Accountability (</w:t>
      </w:r>
      <w:r w:rsidRPr="00DE703B">
        <w:t>PEFA</w:t>
      </w:r>
      <w:r w:rsidR="00DE703B">
        <w:t xml:space="preserve">) </w:t>
      </w:r>
      <w:r w:rsidRPr="00DE703B">
        <w:t xml:space="preserve">performance assessment report evaluates the seven core pillars of the </w:t>
      </w:r>
      <w:r w:rsidR="00DE703B">
        <w:t>public financial management (</w:t>
      </w:r>
      <w:r w:rsidRPr="00DE703B">
        <w:t>PFM</w:t>
      </w:r>
      <w:r w:rsidR="00DE703B">
        <w:t>)</w:t>
      </w:r>
      <w:r w:rsidRPr="00DE703B">
        <w:t xml:space="preserve"> system of the Government of the Philippines (</w:t>
      </w:r>
      <w:r w:rsidR="00B97E18">
        <w:t>Government</w:t>
      </w:r>
      <w:r w:rsidRPr="00DE703B">
        <w:t>) as set out in the summary assessment below.</w:t>
      </w:r>
      <w:r>
        <w:t xml:space="preserve"> </w:t>
      </w:r>
      <w:r w:rsidRPr="004C7543">
        <w:t>It evaluates how effectively the PFM system achieve</w:t>
      </w:r>
      <w:r>
        <w:t>s</w:t>
      </w:r>
      <w:r w:rsidRPr="004C7543">
        <w:t xml:space="preserve"> the desirable budget outcomes of </w:t>
      </w:r>
      <w:r w:rsidRPr="0032730F">
        <w:rPr>
          <w:iCs/>
        </w:rPr>
        <w:t>aggregate fiscal discipline, strategic allocation of resources,</w:t>
      </w:r>
      <w:r>
        <w:rPr>
          <w:iCs/>
        </w:rPr>
        <w:t xml:space="preserve"> and efficient service delivery. The assessment was conducted through consultations between departmental staff and a World Bank cross-sectoral team, and was managed by a </w:t>
      </w:r>
      <w:r w:rsidR="00DE703B">
        <w:rPr>
          <w:iCs/>
        </w:rPr>
        <w:t>high-</w:t>
      </w:r>
      <w:r>
        <w:rPr>
          <w:iCs/>
        </w:rPr>
        <w:t xml:space="preserve">level </w:t>
      </w:r>
      <w:r w:rsidR="00B97E18">
        <w:rPr>
          <w:iCs/>
        </w:rPr>
        <w:t>Government</w:t>
      </w:r>
      <w:r>
        <w:rPr>
          <w:iCs/>
        </w:rPr>
        <w:t xml:space="preserve"> steering committee. Where there are PFM weaknesses</w:t>
      </w:r>
      <w:r w:rsidR="00DE703B">
        <w:rPr>
          <w:iCs/>
        </w:rPr>
        <w:t>,</w:t>
      </w:r>
      <w:r>
        <w:rPr>
          <w:iCs/>
        </w:rPr>
        <w:t xml:space="preserve"> the report provides information on areas that reform activity should address more strongly</w:t>
      </w:r>
      <w:r w:rsidRPr="004C7543">
        <w:t xml:space="preserve">. </w:t>
      </w:r>
      <w:r w:rsidR="00DE703B">
        <w:t>Table 05, at end of the Executive Summary, gives</w:t>
      </w:r>
      <w:r w:rsidRPr="004C7543">
        <w:t xml:space="preserve"> the performance indicator scores</w:t>
      </w:r>
      <w:r w:rsidR="00DE703B">
        <w:t>.</w:t>
      </w:r>
      <w:r w:rsidRPr="004C7543">
        <w:t xml:space="preserve"> </w:t>
      </w:r>
      <w:r w:rsidR="00DE703B">
        <w:t>A</w:t>
      </w:r>
      <w:r w:rsidRPr="004C7543">
        <w:t xml:space="preserve"> more comprehensive table showing the scores </w:t>
      </w:r>
      <w:r w:rsidR="00DE703B">
        <w:t>with</w:t>
      </w:r>
      <w:r w:rsidRPr="004C7543">
        <w:t xml:space="preserve"> </w:t>
      </w:r>
      <w:r w:rsidR="00DE703B">
        <w:t xml:space="preserve">accompanying </w:t>
      </w:r>
      <w:r w:rsidRPr="004C7543">
        <w:t xml:space="preserve">explanation is </w:t>
      </w:r>
      <w:r w:rsidR="00DE703B">
        <w:t xml:space="preserve">in </w:t>
      </w:r>
      <w:r w:rsidRPr="004C7543">
        <w:t xml:space="preserve">Annex 1 </w:t>
      </w:r>
      <w:r w:rsidR="00271651">
        <w:t>of the</w:t>
      </w:r>
      <w:r w:rsidRPr="004C7543">
        <w:t xml:space="preserve"> report.</w:t>
      </w:r>
    </w:p>
    <w:p w14:paraId="7F5E963B" w14:textId="77777777" w:rsidR="00F76CC1" w:rsidRDefault="00F76CC1" w:rsidP="00F76CC1">
      <w:pPr>
        <w:pStyle w:val="ListParagraph"/>
        <w:tabs>
          <w:tab w:val="left" w:pos="720"/>
        </w:tabs>
        <w:autoSpaceDE w:val="0"/>
        <w:autoSpaceDN w:val="0"/>
        <w:adjustRightInd w:val="0"/>
        <w:spacing w:after="0" w:line="240" w:lineRule="auto"/>
        <w:ind w:left="0" w:firstLine="0"/>
        <w:jc w:val="both"/>
      </w:pPr>
    </w:p>
    <w:p w14:paraId="684AE02E" w14:textId="62D848E2" w:rsidR="00DE703B" w:rsidRDefault="00F76CC1" w:rsidP="00F76CC1">
      <w:pPr>
        <w:pStyle w:val="ListParagraph"/>
        <w:numPr>
          <w:ilvl w:val="0"/>
          <w:numId w:val="2"/>
        </w:numPr>
        <w:tabs>
          <w:tab w:val="left" w:pos="720"/>
        </w:tabs>
        <w:autoSpaceDE w:val="0"/>
        <w:autoSpaceDN w:val="0"/>
        <w:adjustRightInd w:val="0"/>
        <w:spacing w:after="0" w:line="240" w:lineRule="auto"/>
        <w:jc w:val="both"/>
      </w:pPr>
      <w:r w:rsidRPr="000A4735">
        <w:t>A similar assessment was conducted in 2007</w:t>
      </w:r>
      <w:r w:rsidR="00B47EB0">
        <w:t xml:space="preserve"> but published with some delay in 2010</w:t>
      </w:r>
      <w:r w:rsidR="00DE703B">
        <w:t>;</w:t>
      </w:r>
      <w:r w:rsidRPr="000A4735">
        <w:t xml:space="preserve"> and </w:t>
      </w:r>
      <w:r w:rsidR="00DE703B">
        <w:t>this</w:t>
      </w:r>
      <w:r w:rsidR="00DE703B" w:rsidRPr="000A4735">
        <w:t xml:space="preserve"> </w:t>
      </w:r>
      <w:r w:rsidR="00DE703B">
        <w:t>most recent</w:t>
      </w:r>
      <w:r w:rsidR="00DE703B" w:rsidRPr="000A4735">
        <w:t xml:space="preserve"> </w:t>
      </w:r>
      <w:r w:rsidRPr="000A4735">
        <w:t xml:space="preserve">assessment, begun in mid-2015, is used to </w:t>
      </w:r>
      <w:r w:rsidR="00DE703B">
        <w:t>compare</w:t>
      </w:r>
      <w:r w:rsidR="00DE703B" w:rsidRPr="000A4735">
        <w:t xml:space="preserve"> </w:t>
      </w:r>
      <w:r w:rsidRPr="000A4735">
        <w:t>progress</w:t>
      </w:r>
      <w:r w:rsidR="00DE703B">
        <w:t xml:space="preserve"> over the past eight years</w:t>
      </w:r>
      <w:r w:rsidRPr="000A4735">
        <w:t xml:space="preserve">. The </w:t>
      </w:r>
      <w:r w:rsidR="00DE703B">
        <w:t>recent</w:t>
      </w:r>
      <w:r w:rsidR="00DE703B" w:rsidRPr="000A4735">
        <w:t xml:space="preserve"> </w:t>
      </w:r>
      <w:r w:rsidRPr="000A4735">
        <w:t xml:space="preserve">assessment uses an upgraded 2016 PEFA framework </w:t>
      </w:r>
      <w:r w:rsidR="00DE703B">
        <w:t>that</w:t>
      </w:r>
      <w:r w:rsidR="00DE703B" w:rsidRPr="000A4735">
        <w:t xml:space="preserve"> </w:t>
      </w:r>
      <w:r w:rsidRPr="000A4735">
        <w:t>includes four new indicators on management of assets and liabilities, refines some of the previous indicators, and introduces a stronger focus on internal financial controls.</w:t>
      </w:r>
      <w:r>
        <w:t xml:space="preserve"> </w:t>
      </w:r>
    </w:p>
    <w:p w14:paraId="66ECDD34" w14:textId="77777777" w:rsidR="00F80EA9" w:rsidRPr="00F80EA9" w:rsidRDefault="00F80EA9" w:rsidP="001B7116">
      <w:pPr>
        <w:tabs>
          <w:tab w:val="left" w:pos="720"/>
        </w:tabs>
        <w:autoSpaceDE w:val="0"/>
        <w:autoSpaceDN w:val="0"/>
        <w:adjustRightInd w:val="0"/>
        <w:jc w:val="both"/>
      </w:pPr>
    </w:p>
    <w:p w14:paraId="4340F1A4" w14:textId="41E32551" w:rsidR="00F80EA9" w:rsidRPr="0012738A" w:rsidRDefault="00F80EA9" w:rsidP="001B7116">
      <w:pPr>
        <w:pStyle w:val="ListParagraph"/>
        <w:numPr>
          <w:ilvl w:val="0"/>
          <w:numId w:val="2"/>
        </w:numPr>
        <w:tabs>
          <w:tab w:val="left" w:pos="720"/>
        </w:tabs>
        <w:autoSpaceDE w:val="0"/>
        <w:autoSpaceDN w:val="0"/>
        <w:adjustRightInd w:val="0"/>
        <w:spacing w:after="0" w:line="240" w:lineRule="auto"/>
        <w:jc w:val="both"/>
      </w:pPr>
      <w:r>
        <w:t xml:space="preserve">The main report is structured as follows: </w:t>
      </w:r>
      <w:r w:rsidRPr="00F80EA9">
        <w:rPr>
          <w:b/>
          <w:iCs/>
        </w:rPr>
        <w:t>Chapter 1</w:t>
      </w:r>
      <w:r w:rsidRPr="00F80EA9">
        <w:rPr>
          <w:iCs/>
        </w:rPr>
        <w:t xml:space="preserve"> is an introduction explaining the context, purpose and process of preparing the report, specifying the institutional coverage;</w:t>
      </w:r>
      <w:r>
        <w:rPr>
          <w:iCs/>
        </w:rPr>
        <w:t xml:space="preserve"> </w:t>
      </w:r>
      <w:r w:rsidRPr="0012738A">
        <w:rPr>
          <w:b/>
          <w:iCs/>
        </w:rPr>
        <w:t>Chapter 2</w:t>
      </w:r>
      <w:r w:rsidRPr="0012738A">
        <w:rPr>
          <w:iCs/>
        </w:rPr>
        <w:t xml:space="preserve"> provides an overview of relevant country-related information that provides the context underpinning the indicator results and the overall PFM performance;</w:t>
      </w:r>
      <w:r>
        <w:rPr>
          <w:iCs/>
        </w:rPr>
        <w:t xml:space="preserve"> </w:t>
      </w:r>
      <w:r w:rsidRPr="001B7116">
        <w:rPr>
          <w:b/>
          <w:iCs/>
        </w:rPr>
        <w:t>Chapter 3</w:t>
      </w:r>
      <w:r w:rsidRPr="0012738A">
        <w:rPr>
          <w:iCs/>
        </w:rPr>
        <w:t xml:space="preserve"> provides the detailed assessment of performance in terms of the seven pillars of the PFM system. It provides analysis and measurement of results in terms of the 31 </w:t>
      </w:r>
      <w:r w:rsidR="00234E21">
        <w:rPr>
          <w:iCs/>
        </w:rPr>
        <w:t>p</w:t>
      </w:r>
      <w:r w:rsidRPr="0012738A">
        <w:rPr>
          <w:iCs/>
        </w:rPr>
        <w:t xml:space="preserve">erformance </w:t>
      </w:r>
      <w:r w:rsidR="00234E21">
        <w:rPr>
          <w:iCs/>
        </w:rPr>
        <w:t>i</w:t>
      </w:r>
      <w:r w:rsidRPr="0012738A">
        <w:rPr>
          <w:iCs/>
        </w:rPr>
        <w:t>ndicators (PIs) of PFM performance;</w:t>
      </w:r>
      <w:r>
        <w:rPr>
          <w:iCs/>
        </w:rPr>
        <w:t xml:space="preserve"> </w:t>
      </w:r>
      <w:r w:rsidRPr="001B7116">
        <w:rPr>
          <w:b/>
          <w:iCs/>
        </w:rPr>
        <w:t>Chapter 4</w:t>
      </w:r>
      <w:r w:rsidRPr="0012738A">
        <w:rPr>
          <w:iCs/>
        </w:rPr>
        <w:t xml:space="preserve"> includes an integrated crosscutting analysis on performance of the PFM systems and how it impacts on </w:t>
      </w:r>
      <w:r w:rsidR="00271651">
        <w:rPr>
          <w:iCs/>
        </w:rPr>
        <w:t>the Government’s</w:t>
      </w:r>
      <w:r w:rsidR="00271651" w:rsidRPr="0012738A">
        <w:rPr>
          <w:iCs/>
        </w:rPr>
        <w:t xml:space="preserve"> </w:t>
      </w:r>
      <w:r w:rsidRPr="0012738A">
        <w:rPr>
          <w:iCs/>
        </w:rPr>
        <w:t>ability to deliver on the intended fiscal and budgetary outcomes, and to identify the most important systems weaknesses in that respect;</w:t>
      </w:r>
      <w:r>
        <w:rPr>
          <w:iCs/>
        </w:rPr>
        <w:t xml:space="preserve"> </w:t>
      </w:r>
      <w:r w:rsidRPr="001B7116">
        <w:rPr>
          <w:b/>
          <w:iCs/>
        </w:rPr>
        <w:t>Chapter 5</w:t>
      </w:r>
      <w:r w:rsidRPr="0012738A">
        <w:rPr>
          <w:iCs/>
        </w:rPr>
        <w:t xml:space="preserve"> provides an overview of government initiatives to improve PFM performance summarizing the approach to PFM reform, including the institutional factors that are likely to impact the planning and implementation of reforms.</w:t>
      </w:r>
      <w:r>
        <w:rPr>
          <w:iCs/>
        </w:rPr>
        <w:t xml:space="preserve"> </w:t>
      </w:r>
      <w:r w:rsidRPr="001B7116">
        <w:rPr>
          <w:b/>
          <w:iCs/>
        </w:rPr>
        <w:t>Annexes 1-4</w:t>
      </w:r>
      <w:r>
        <w:rPr>
          <w:iCs/>
        </w:rPr>
        <w:t xml:space="preserve"> provide supporting data and information to the assessment; and </w:t>
      </w:r>
      <w:r w:rsidRPr="001B7116">
        <w:rPr>
          <w:b/>
          <w:iCs/>
        </w:rPr>
        <w:t>Annex 5</w:t>
      </w:r>
      <w:r w:rsidRPr="0012738A">
        <w:rPr>
          <w:iCs/>
        </w:rPr>
        <w:t xml:space="preserve"> provides scores assessed using the 2005/2011 PEFA assessment framework for direct comparison with the previous PEFA assessment baseline scores.</w:t>
      </w:r>
    </w:p>
    <w:p w14:paraId="20A42279" w14:textId="77777777" w:rsidR="00F76CC1" w:rsidRDefault="00F76CC1" w:rsidP="00D6536F">
      <w:pPr>
        <w:jc w:val="both"/>
        <w:rPr>
          <w:i/>
        </w:rPr>
      </w:pPr>
    </w:p>
    <w:p w14:paraId="795548D8" w14:textId="77777777" w:rsidR="00D6536F" w:rsidRPr="001B7116" w:rsidRDefault="00D6536F" w:rsidP="00D6536F">
      <w:pPr>
        <w:jc w:val="both"/>
        <w:rPr>
          <w:b/>
        </w:rPr>
      </w:pPr>
      <w:r w:rsidRPr="001B7116">
        <w:rPr>
          <w:b/>
        </w:rPr>
        <w:t>Assessment Coverage and Timing</w:t>
      </w:r>
    </w:p>
    <w:p w14:paraId="7706EBE6" w14:textId="77777777" w:rsidR="00C52B40" w:rsidRPr="005A497D" w:rsidRDefault="00C52B40" w:rsidP="00D6536F">
      <w:pPr>
        <w:jc w:val="both"/>
        <w:rPr>
          <w:u w:val="single"/>
        </w:rPr>
      </w:pPr>
    </w:p>
    <w:p w14:paraId="37F0900A" w14:textId="30BB03D7" w:rsidR="00787D3B" w:rsidRPr="00F76CC1" w:rsidRDefault="00F76CC1" w:rsidP="00F76CC1">
      <w:pPr>
        <w:pStyle w:val="ListParagraph"/>
        <w:numPr>
          <w:ilvl w:val="0"/>
          <w:numId w:val="2"/>
        </w:numPr>
        <w:tabs>
          <w:tab w:val="left" w:pos="720"/>
        </w:tabs>
        <w:autoSpaceDE w:val="0"/>
        <w:autoSpaceDN w:val="0"/>
        <w:adjustRightInd w:val="0"/>
        <w:spacing w:after="0" w:line="240" w:lineRule="auto"/>
        <w:jc w:val="both"/>
      </w:pPr>
      <w:r w:rsidRPr="0032730F">
        <w:t xml:space="preserve">The assessment covers general </w:t>
      </w:r>
      <w:r>
        <w:t xml:space="preserve">central government </w:t>
      </w:r>
      <w:r w:rsidRPr="0032730F">
        <w:t xml:space="preserve">PFM practices used by </w:t>
      </w:r>
      <w:r>
        <w:t xml:space="preserve">institutions with budget allocations from the central government. For local government and </w:t>
      </w:r>
      <w:r w:rsidRPr="00D73BDF">
        <w:t>government companies</w:t>
      </w:r>
      <w:r w:rsidR="00F80EA9" w:rsidRPr="0018356A">
        <w:t>,</w:t>
      </w:r>
      <w:r w:rsidRPr="000B5F77">
        <w:t xml:space="preserve"> the assessment covers fiscal risk oversight practices, but not the det</w:t>
      </w:r>
      <w:r>
        <w:t xml:space="preserve">ailed PFM practices that are in place in the local government units and the government companies. </w:t>
      </w:r>
      <w:r w:rsidR="00811A05">
        <w:t xml:space="preserve">Public-private partnership arrangements and Social Security Funds are covered only to the extent that allocations are made in the central government budget. These are considered extra-budgetary units. </w:t>
      </w:r>
      <w:r w:rsidRPr="0032730F">
        <w:t>Data gathering for the assessment</w:t>
      </w:r>
      <w:r w:rsidR="0084004A">
        <w:t xml:space="preserve">, </w:t>
      </w:r>
      <w:r w:rsidR="00543119">
        <w:t xml:space="preserve">primarily </w:t>
      </w:r>
      <w:r w:rsidRPr="0032730F">
        <w:t xml:space="preserve">took place </w:t>
      </w:r>
      <w:r w:rsidR="00FC53A1">
        <w:t>from</w:t>
      </w:r>
      <w:r w:rsidR="00FC53A1" w:rsidRPr="0032730F">
        <w:t xml:space="preserve"> </w:t>
      </w:r>
      <w:r w:rsidRPr="0032730F">
        <w:t>July to November 2015</w:t>
      </w:r>
      <w:r w:rsidR="00543119">
        <w:t xml:space="preserve">, but data </w:t>
      </w:r>
      <w:r w:rsidR="0084004A">
        <w:t>through</w:t>
      </w:r>
      <w:r w:rsidR="00543119">
        <w:t xml:space="preserve"> April 30, 2016 </w:t>
      </w:r>
      <w:r w:rsidR="0084004A">
        <w:t xml:space="preserve">was </w:t>
      </w:r>
      <w:r w:rsidR="00543119">
        <w:t>considered</w:t>
      </w:r>
      <w:r w:rsidRPr="0032730F">
        <w:t xml:space="preserve">. </w:t>
      </w:r>
      <w:r w:rsidR="00543119">
        <w:t>Completed fiscal years are 2012</w:t>
      </w:r>
      <w:r w:rsidR="0084004A">
        <w:t>, 2013, and</w:t>
      </w:r>
      <w:r w:rsidR="00543119">
        <w:t xml:space="preserve"> 2014</w:t>
      </w:r>
      <w:r w:rsidR="0084004A">
        <w:t>,</w:t>
      </w:r>
      <w:r w:rsidR="00543119">
        <w:t xml:space="preserve"> the latest three years for which audited reports are available. </w:t>
      </w:r>
      <w:r w:rsidR="0055313A">
        <w:t xml:space="preserve">The last </w:t>
      </w:r>
      <w:r w:rsidR="00543119">
        <w:t>completed fiscal year is 2015</w:t>
      </w:r>
      <w:r w:rsidR="0084004A">
        <w:t>,</w:t>
      </w:r>
      <w:r w:rsidR="00543119">
        <w:t xml:space="preserve"> and </w:t>
      </w:r>
      <w:r w:rsidR="0084004A">
        <w:t xml:space="preserve">the </w:t>
      </w:r>
      <w:r w:rsidR="00543119">
        <w:t xml:space="preserve">latest budget submitted to legislature and enacted is for the </w:t>
      </w:r>
      <w:r w:rsidR="003A443F">
        <w:t xml:space="preserve">fiscal </w:t>
      </w:r>
      <w:r w:rsidR="00543119">
        <w:t>year 2016.</w:t>
      </w:r>
      <w:r w:rsidRPr="0032730F">
        <w:t xml:space="preserve"> </w:t>
      </w:r>
      <w:r w:rsidR="00787D3B" w:rsidRPr="00F76CC1">
        <w:t xml:space="preserve"> </w:t>
      </w:r>
    </w:p>
    <w:p w14:paraId="246D8934" w14:textId="77777777" w:rsidR="009D1680" w:rsidRPr="005A497D" w:rsidRDefault="009D1680" w:rsidP="009D1680">
      <w:pPr>
        <w:jc w:val="both"/>
      </w:pPr>
    </w:p>
    <w:p w14:paraId="2A85EE5B" w14:textId="77777777" w:rsidR="00787D3B" w:rsidRPr="001B7116" w:rsidRDefault="00787D3B" w:rsidP="00787D3B">
      <w:pPr>
        <w:jc w:val="both"/>
        <w:rPr>
          <w:b/>
        </w:rPr>
      </w:pPr>
      <w:r w:rsidRPr="001B7116">
        <w:rPr>
          <w:b/>
        </w:rPr>
        <w:t>Summary Assessment of PFM Performance</w:t>
      </w:r>
    </w:p>
    <w:p w14:paraId="6F15F225" w14:textId="77777777" w:rsidR="00787D3B" w:rsidRPr="00787D3B" w:rsidRDefault="00787D3B" w:rsidP="00787D3B">
      <w:pPr>
        <w:jc w:val="both"/>
        <w:rPr>
          <w:u w:val="single"/>
        </w:rPr>
      </w:pPr>
    </w:p>
    <w:p w14:paraId="2B327CEA" w14:textId="3DC6EE7F" w:rsidR="00F76CC1" w:rsidRPr="00F76CC1" w:rsidRDefault="00F76CC1" w:rsidP="00F76CC1">
      <w:pPr>
        <w:pStyle w:val="ListParagraph"/>
        <w:numPr>
          <w:ilvl w:val="0"/>
          <w:numId w:val="2"/>
        </w:numPr>
        <w:tabs>
          <w:tab w:val="left" w:pos="720"/>
        </w:tabs>
        <w:autoSpaceDE w:val="0"/>
        <w:autoSpaceDN w:val="0"/>
        <w:adjustRightInd w:val="0"/>
        <w:spacing w:after="0" w:line="240" w:lineRule="auto"/>
        <w:jc w:val="both"/>
      </w:pPr>
      <w:r w:rsidRPr="00F76CC1">
        <w:t xml:space="preserve">The </w:t>
      </w:r>
      <w:r w:rsidR="00234E21" w:rsidRPr="00F76CC1">
        <w:t>PEFA</w:t>
      </w:r>
      <w:r w:rsidRPr="00F76CC1">
        <w:t xml:space="preserve"> </w:t>
      </w:r>
      <w:r w:rsidR="00234E21">
        <w:t>F</w:t>
      </w:r>
      <w:r w:rsidR="00234E21" w:rsidRPr="00F76CC1">
        <w:t xml:space="preserve">ramework </w:t>
      </w:r>
      <w:r w:rsidRPr="00F76CC1">
        <w:t xml:space="preserve">enables the </w:t>
      </w:r>
      <w:r w:rsidR="00234E21">
        <w:t>Government of the Philippines</w:t>
      </w:r>
      <w:r w:rsidR="00234E21" w:rsidRPr="00F76CC1">
        <w:t xml:space="preserve"> </w:t>
      </w:r>
      <w:r w:rsidRPr="00F76CC1">
        <w:t>to examine</w:t>
      </w:r>
      <w:r w:rsidR="00234E21">
        <w:t>,</w:t>
      </w:r>
      <w:r w:rsidRPr="00F76CC1">
        <w:t xml:space="preserve"> both at </w:t>
      </w:r>
      <w:r w:rsidR="00543119">
        <w:t>the</w:t>
      </w:r>
      <w:r w:rsidRPr="00F76CC1">
        <w:t xml:space="preserve"> broad </w:t>
      </w:r>
      <w:r w:rsidR="00234E21">
        <w:t xml:space="preserve">and detailed </w:t>
      </w:r>
      <w:r w:rsidRPr="00F76CC1">
        <w:t xml:space="preserve">levels, how each area of its PFM system </w:t>
      </w:r>
      <w:r w:rsidR="00234E21">
        <w:t>is</w:t>
      </w:r>
      <w:r w:rsidR="00234E21" w:rsidRPr="00F76CC1">
        <w:t xml:space="preserve"> </w:t>
      </w:r>
      <w:r w:rsidRPr="00F76CC1">
        <w:t xml:space="preserve">performing and how performance has changed since the </w:t>
      </w:r>
      <w:r w:rsidR="00234E21">
        <w:t>20</w:t>
      </w:r>
      <w:r w:rsidR="00271651">
        <w:t>10</w:t>
      </w:r>
      <w:r w:rsidR="00234E21" w:rsidRPr="00F76CC1">
        <w:t xml:space="preserve"> </w:t>
      </w:r>
      <w:r w:rsidRPr="00F76CC1">
        <w:t xml:space="preserve">assessment. The first and most important step is to look at the results at the broad level of the PFM pillars of the budget cycle. This enables the </w:t>
      </w:r>
      <w:r w:rsidR="00234E21">
        <w:t>Government</w:t>
      </w:r>
      <w:r w:rsidR="00234E21" w:rsidRPr="00F76CC1">
        <w:t xml:space="preserve"> </w:t>
      </w:r>
      <w:r w:rsidRPr="00F76CC1">
        <w:t>to see where reform efforts have not yet enabled the PFM system to reach a satisfactory level.</w:t>
      </w:r>
    </w:p>
    <w:p w14:paraId="4AEEE191" w14:textId="77777777" w:rsidR="00F76CC1" w:rsidRPr="00F76CC1" w:rsidRDefault="00F76CC1" w:rsidP="00F76CC1">
      <w:pPr>
        <w:pStyle w:val="ListParagraph"/>
        <w:tabs>
          <w:tab w:val="left" w:pos="720"/>
        </w:tabs>
        <w:autoSpaceDE w:val="0"/>
        <w:autoSpaceDN w:val="0"/>
        <w:adjustRightInd w:val="0"/>
        <w:spacing w:after="0" w:line="240" w:lineRule="auto"/>
        <w:ind w:left="0" w:firstLine="0"/>
        <w:jc w:val="both"/>
      </w:pPr>
    </w:p>
    <w:p w14:paraId="4950593B" w14:textId="672CCDC2" w:rsidR="00F76CC1" w:rsidRPr="00F76CC1" w:rsidRDefault="00F76CC1" w:rsidP="00F76CC1">
      <w:pPr>
        <w:pStyle w:val="ListParagraph"/>
        <w:numPr>
          <w:ilvl w:val="0"/>
          <w:numId w:val="2"/>
        </w:numPr>
        <w:tabs>
          <w:tab w:val="left" w:pos="720"/>
        </w:tabs>
        <w:autoSpaceDE w:val="0"/>
        <w:autoSpaceDN w:val="0"/>
        <w:adjustRightInd w:val="0"/>
        <w:spacing w:after="0" w:line="240" w:lineRule="auto"/>
        <w:jc w:val="both"/>
      </w:pPr>
      <w:r w:rsidRPr="00F76CC1">
        <w:t xml:space="preserve">The PEFA assesses 94 PFM dimensions </w:t>
      </w:r>
      <w:r w:rsidR="00234E21">
        <w:t>that</w:t>
      </w:r>
      <w:r w:rsidR="00234E21" w:rsidRPr="00F76CC1">
        <w:t xml:space="preserve"> </w:t>
      </w:r>
      <w:r w:rsidRPr="00F76CC1">
        <w:t xml:space="preserve">make up 31 </w:t>
      </w:r>
      <w:r w:rsidR="00234E21">
        <w:t>p</w:t>
      </w:r>
      <w:r w:rsidR="00234E21" w:rsidRPr="00F76CC1">
        <w:t xml:space="preserve">erformance </w:t>
      </w:r>
      <w:r w:rsidR="00234E21">
        <w:t>i</w:t>
      </w:r>
      <w:r w:rsidR="00234E21" w:rsidRPr="00F76CC1">
        <w:t xml:space="preserve">ndicators </w:t>
      </w:r>
      <w:r w:rsidRPr="00F76CC1">
        <w:t>(PIs)</w:t>
      </w:r>
      <w:r w:rsidR="00234E21">
        <w:t>,</w:t>
      </w:r>
      <w:r w:rsidRPr="00F76CC1">
        <w:t xml:space="preserve"> which in turn make up the</w:t>
      </w:r>
      <w:r w:rsidR="00271651">
        <w:t xml:space="preserve"> 7</w:t>
      </w:r>
      <w:r w:rsidRPr="00F76CC1">
        <w:t xml:space="preserve"> PFM pillars. Each dimension and </w:t>
      </w:r>
      <w:r w:rsidR="00234E21">
        <w:t>performance indicator</w:t>
      </w:r>
      <w:r w:rsidRPr="00F76CC1">
        <w:t xml:space="preserve"> is assigned a rating of “A” to “D” as per highly structured objective criteria set down in the PEFA Framework</w:t>
      </w:r>
      <w:r w:rsidR="00456720">
        <w:t xml:space="preserve"> (Figure 0.1)</w:t>
      </w:r>
      <w:r w:rsidRPr="00F76CC1">
        <w:t xml:space="preserve">. Table 0.1 compares the numbers of </w:t>
      </w:r>
      <w:r w:rsidR="00234E21">
        <w:t>performance indicators</w:t>
      </w:r>
      <w:r w:rsidRPr="00F76CC1">
        <w:t xml:space="preserve"> in each pillar that rated reasonably well (A or B) with the number</w:t>
      </w:r>
      <w:r w:rsidR="00174609">
        <w:t>s</w:t>
      </w:r>
      <w:r w:rsidRPr="00F76CC1">
        <w:t xml:space="preserve"> that did not (C or D).  Table 0.2 shows the equivalent results at the lower level of PFM dimensions for each of the pillars. The tables show that </w:t>
      </w:r>
      <w:r w:rsidR="001D51B6">
        <w:t>3</w:t>
      </w:r>
      <w:r w:rsidRPr="00F76CC1">
        <w:t xml:space="preserve"> of the 7 PFM pillars</w:t>
      </w:r>
      <w:r w:rsidR="00174609">
        <w:t xml:space="preserve"> (</w:t>
      </w:r>
      <w:r w:rsidRPr="00F76CC1">
        <w:t>transparency</w:t>
      </w:r>
      <w:r w:rsidR="001D51B6">
        <w:t>,</w:t>
      </w:r>
      <w:r w:rsidRPr="00F76CC1">
        <w:t xml:space="preserve"> </w:t>
      </w:r>
      <w:r w:rsidR="00174609" w:rsidRPr="00F76CC1">
        <w:t>policy</w:t>
      </w:r>
      <w:r w:rsidR="00174609">
        <w:t>-</w:t>
      </w:r>
      <w:r w:rsidRPr="00F76CC1">
        <w:t>based budgeting</w:t>
      </w:r>
      <w:r w:rsidR="001D51B6">
        <w:t>, and asset and liability management</w:t>
      </w:r>
      <w:r w:rsidR="00174609">
        <w:t>)</w:t>
      </w:r>
      <w:r w:rsidR="00174609" w:rsidRPr="00F76CC1">
        <w:t xml:space="preserve"> are strong</w:t>
      </w:r>
      <w:r w:rsidR="001D51B6">
        <w:t xml:space="preserve"> and have improved since the 2010 assessment</w:t>
      </w:r>
      <w:r w:rsidRPr="00F76CC1">
        <w:t xml:space="preserve">; 1 </w:t>
      </w:r>
      <w:r w:rsidR="00174609">
        <w:t xml:space="preserve">pillar </w:t>
      </w:r>
      <w:r w:rsidR="001D51B6">
        <w:t>(p</w:t>
      </w:r>
      <w:r w:rsidR="001D51B6" w:rsidRPr="00997FF9">
        <w:t>redictability and control in budget execution</w:t>
      </w:r>
      <w:r w:rsidR="001D51B6">
        <w:t xml:space="preserve">) </w:t>
      </w:r>
      <w:r w:rsidR="001D51B6" w:rsidRPr="00F76CC1">
        <w:t xml:space="preserve">is evenly balanced; </w:t>
      </w:r>
      <w:r w:rsidR="001D51B6">
        <w:t>and</w:t>
      </w:r>
      <w:r w:rsidR="001D51B6" w:rsidRPr="00F76CC1">
        <w:t xml:space="preserve"> the remaining </w:t>
      </w:r>
      <w:r w:rsidR="001D51B6">
        <w:t>3</w:t>
      </w:r>
      <w:r w:rsidR="001D51B6" w:rsidRPr="00F76CC1">
        <w:t xml:space="preserve"> </w:t>
      </w:r>
      <w:r w:rsidR="001D51B6">
        <w:t>(</w:t>
      </w:r>
      <w:r w:rsidR="001D51B6" w:rsidRPr="00F76CC1">
        <w:t>budget reliability, accounting and reporting, and external scrutiny</w:t>
      </w:r>
      <w:r w:rsidR="001D51B6">
        <w:t>)</w:t>
      </w:r>
      <w:r w:rsidR="001D51B6" w:rsidRPr="00F76CC1">
        <w:t xml:space="preserve"> are weak. </w:t>
      </w:r>
      <w:r w:rsidR="001D51B6">
        <w:t>These results show that</w:t>
      </w:r>
      <w:r w:rsidR="001D51B6" w:rsidRPr="00BC13BA">
        <w:t xml:space="preserve"> good performance at the beginning of the budget cycle </w:t>
      </w:r>
      <w:r w:rsidR="001D51B6">
        <w:t xml:space="preserve">in </w:t>
      </w:r>
      <w:r w:rsidR="008065D9">
        <w:t>policy-</w:t>
      </w:r>
      <w:r w:rsidR="001D51B6">
        <w:t>based budgeting and transparency are</w:t>
      </w:r>
      <w:r w:rsidR="001D51B6" w:rsidRPr="00BC13BA">
        <w:t xml:space="preserve"> not </w:t>
      </w:r>
      <w:r w:rsidR="001D51B6">
        <w:t xml:space="preserve">yet </w:t>
      </w:r>
      <w:r w:rsidR="001D51B6" w:rsidRPr="00BC13BA">
        <w:t xml:space="preserve">put into effect by the downstream </w:t>
      </w:r>
      <w:r w:rsidR="001D51B6">
        <w:t xml:space="preserve">accounting and external scrutiny </w:t>
      </w:r>
      <w:r w:rsidR="001D51B6" w:rsidRPr="00BC13BA">
        <w:t>element</w:t>
      </w:r>
      <w:r w:rsidR="001D51B6">
        <w:t>s</w:t>
      </w:r>
      <w:r w:rsidR="001D51B6" w:rsidRPr="00BC13BA">
        <w:t xml:space="preserve"> of the budget cycle</w:t>
      </w:r>
      <w:r w:rsidR="001D51B6">
        <w:t xml:space="preserve"> with </w:t>
      </w:r>
      <w:r w:rsidR="008065D9">
        <w:t xml:space="preserve">a consequential </w:t>
      </w:r>
      <w:r w:rsidR="001D51B6">
        <w:t>poor performance in budget reliability. This deficiency has</w:t>
      </w:r>
      <w:r w:rsidR="001D51B6" w:rsidRPr="00BC13BA">
        <w:t xml:space="preserve"> substantial effects on budget outcomes</w:t>
      </w:r>
      <w:r w:rsidR="001D51B6">
        <w:t xml:space="preserve"> </w:t>
      </w:r>
      <w:r w:rsidR="005924EB">
        <w:t xml:space="preserve">considering that </w:t>
      </w:r>
      <w:r w:rsidR="001D51B6">
        <w:t xml:space="preserve">budget reliability is </w:t>
      </w:r>
      <w:r w:rsidR="005924EB">
        <w:t xml:space="preserve">a </w:t>
      </w:r>
      <w:r w:rsidR="001D51B6">
        <w:t>central</w:t>
      </w:r>
      <w:r w:rsidR="005924EB">
        <w:t xml:space="preserve"> factor</w:t>
      </w:r>
      <w:r w:rsidR="001D51B6">
        <w:t xml:space="preserve"> to ensuring fiscal discipline in allocating budget resources to deliver intended services</w:t>
      </w:r>
      <w:r w:rsidR="001D51B6" w:rsidRPr="00BC13BA">
        <w:t>.</w:t>
      </w:r>
      <w:r w:rsidR="001D51B6" w:rsidRPr="00F76CC1">
        <w:t xml:space="preserve"> </w:t>
      </w:r>
      <w:r w:rsidR="001D51B6">
        <w:t>The lack of capacity of the accounting system to assist budget managers with timely information is a</w:t>
      </w:r>
      <w:r w:rsidR="001D51B6" w:rsidRPr="00F76CC1">
        <w:t xml:space="preserve"> primary </w:t>
      </w:r>
      <w:r w:rsidR="001D51B6">
        <w:t>cause of</w:t>
      </w:r>
      <w:r w:rsidR="001D51B6" w:rsidRPr="00F76CC1">
        <w:t xml:space="preserve"> the relatively poorer downstream results</w:t>
      </w:r>
      <w:r w:rsidR="001D51B6">
        <w:t>. This area needs urgent attention. Continued development of</w:t>
      </w:r>
      <w:r w:rsidR="001D51B6" w:rsidRPr="00F76CC1">
        <w:t xml:space="preserve"> a comprehensive</w:t>
      </w:r>
      <w:r w:rsidR="001D51B6">
        <w:t>,</w:t>
      </w:r>
      <w:r w:rsidR="001D51B6" w:rsidRPr="00F76CC1">
        <w:t xml:space="preserve"> integrated accounting and </w:t>
      </w:r>
      <w:r w:rsidR="001D51B6">
        <w:t xml:space="preserve">financial </w:t>
      </w:r>
      <w:r w:rsidR="001D51B6" w:rsidRPr="00F76CC1">
        <w:t xml:space="preserve">information system </w:t>
      </w:r>
      <w:r w:rsidR="001D51B6">
        <w:t xml:space="preserve">can provide tools for monitoring and analysis that </w:t>
      </w:r>
      <w:r w:rsidR="005924EB">
        <w:t xml:space="preserve">would </w:t>
      </w:r>
      <w:r w:rsidR="001D51B6">
        <w:t xml:space="preserve">allow timely decision-making to enhance efficiency in </w:t>
      </w:r>
      <w:r w:rsidR="001D51B6" w:rsidRPr="00F76CC1">
        <w:t xml:space="preserve">budget execution and </w:t>
      </w:r>
      <w:r w:rsidR="001D51B6">
        <w:t>effectiveness in service delivery</w:t>
      </w:r>
      <w:r w:rsidR="001D51B6" w:rsidRPr="00F76CC1">
        <w:t xml:space="preserve">. </w:t>
      </w:r>
      <w:r w:rsidR="001D51B6">
        <w:t>A</w:t>
      </w:r>
      <w:r w:rsidR="001D51B6" w:rsidRPr="00F76CC1">
        <w:t xml:space="preserve"> substantial investment of </w:t>
      </w:r>
      <w:r w:rsidR="00A12CFC">
        <w:t>resources, skills</w:t>
      </w:r>
      <w:r w:rsidR="005924EB">
        <w:t>,</w:t>
      </w:r>
      <w:r w:rsidR="00A12CFC">
        <w:t xml:space="preserve"> and </w:t>
      </w:r>
      <w:r w:rsidR="001D51B6">
        <w:t>authority</w:t>
      </w:r>
      <w:r w:rsidR="00A12CFC">
        <w:t xml:space="preserve"> is required to achieve such outcomes</w:t>
      </w:r>
      <w:r w:rsidR="001D51B6" w:rsidRPr="00F76CC1">
        <w:t xml:space="preserve">. </w:t>
      </w:r>
      <w:r w:rsidR="001D51B6">
        <w:t>An effective</w:t>
      </w:r>
      <w:r w:rsidR="001D51B6" w:rsidRPr="00F76CC1">
        <w:t xml:space="preserve"> PFM system needs the defining authority of a comprehensive PFM </w:t>
      </w:r>
      <w:r w:rsidR="001D51B6">
        <w:t>l</w:t>
      </w:r>
      <w:r w:rsidR="001D51B6" w:rsidRPr="00F76CC1">
        <w:t>aw to ensure that all staff engaged</w:t>
      </w:r>
      <w:r w:rsidR="001D51B6" w:rsidDel="001D51B6">
        <w:t xml:space="preserve"> </w:t>
      </w:r>
      <w:r w:rsidR="00A12CFC">
        <w:t>in</w:t>
      </w:r>
      <w:r w:rsidRPr="00F76CC1">
        <w:t xml:space="preserve"> financial activities understand and adhere properly to the financial regulations and procedures. Only </w:t>
      </w:r>
      <w:r w:rsidR="00174609">
        <w:t>at that time</w:t>
      </w:r>
      <w:r w:rsidR="00174609" w:rsidRPr="00F76CC1">
        <w:t xml:space="preserve"> </w:t>
      </w:r>
      <w:r w:rsidRPr="00F76CC1">
        <w:t xml:space="preserve">will the </w:t>
      </w:r>
      <w:r w:rsidR="00174609">
        <w:t>Government</w:t>
      </w:r>
      <w:r w:rsidR="00174609" w:rsidRPr="00F76CC1">
        <w:t xml:space="preserve"> </w:t>
      </w:r>
      <w:r w:rsidRPr="00F76CC1">
        <w:t>be able to deliver the budget as intended.</w:t>
      </w:r>
    </w:p>
    <w:p w14:paraId="2A7C194E" w14:textId="77777777" w:rsidR="00F76CC1" w:rsidRPr="00F76CC1" w:rsidRDefault="00F76CC1" w:rsidP="00F76CC1">
      <w:pPr>
        <w:pStyle w:val="ListParagraph"/>
        <w:tabs>
          <w:tab w:val="left" w:pos="720"/>
        </w:tabs>
        <w:autoSpaceDE w:val="0"/>
        <w:autoSpaceDN w:val="0"/>
        <w:adjustRightInd w:val="0"/>
        <w:spacing w:after="0" w:line="240" w:lineRule="auto"/>
        <w:ind w:left="0" w:firstLine="0"/>
        <w:jc w:val="both"/>
      </w:pPr>
    </w:p>
    <w:p w14:paraId="1DDB7E32" w14:textId="0EACCDF1" w:rsidR="00A12CFC" w:rsidRDefault="00A12CFC" w:rsidP="00A12CFC">
      <w:pPr>
        <w:pStyle w:val="ListParagraph"/>
        <w:numPr>
          <w:ilvl w:val="0"/>
          <w:numId w:val="2"/>
        </w:numPr>
        <w:tabs>
          <w:tab w:val="left" w:pos="720"/>
        </w:tabs>
        <w:autoSpaceDE w:val="0"/>
        <w:autoSpaceDN w:val="0"/>
        <w:adjustRightInd w:val="0"/>
        <w:spacing w:after="0" w:line="240" w:lineRule="auto"/>
        <w:jc w:val="both"/>
      </w:pPr>
      <w:r w:rsidRPr="00F76CC1">
        <w:t>With regard to the design of reform actions</w:t>
      </w:r>
      <w:r>
        <w:t>,</w:t>
      </w:r>
      <w:r w:rsidRPr="00F76CC1">
        <w:t xml:space="preserve"> it is </w:t>
      </w:r>
      <w:r>
        <w:t>creditable</w:t>
      </w:r>
      <w:r w:rsidRPr="00F76CC1">
        <w:t xml:space="preserve"> that </w:t>
      </w:r>
      <w:r>
        <w:t xml:space="preserve">compared with 2010 assessment, </w:t>
      </w:r>
      <w:r w:rsidRPr="00F76CC1">
        <w:t xml:space="preserve">there are more </w:t>
      </w:r>
      <w:r>
        <w:t>areas rated as good</w:t>
      </w:r>
      <w:r w:rsidR="005924EB">
        <w:t xml:space="preserve"> (“A”)</w:t>
      </w:r>
      <w:r>
        <w:t xml:space="preserve"> or satisfactory</w:t>
      </w:r>
      <w:r w:rsidR="005924EB">
        <w:t xml:space="preserve"> (“B”)</w:t>
      </w:r>
      <w:r>
        <w:t>. A</w:t>
      </w:r>
      <w:r w:rsidRPr="00F76CC1">
        <w:t xml:space="preserve">t the </w:t>
      </w:r>
      <w:r w:rsidR="005924EB">
        <w:t>sub</w:t>
      </w:r>
      <w:r>
        <w:t xml:space="preserve">-indicator </w:t>
      </w:r>
      <w:r w:rsidRPr="00F76CC1">
        <w:t>level</w:t>
      </w:r>
      <w:r w:rsidR="00082144">
        <w:t xml:space="preserve"> (dimensions)</w:t>
      </w:r>
      <w:r>
        <w:t>,</w:t>
      </w:r>
      <w:r w:rsidRPr="00F76CC1">
        <w:t xml:space="preserve"> the</w:t>
      </w:r>
      <w:r>
        <w:t xml:space="preserve"> improvement is even more marked </w:t>
      </w:r>
      <w:r w:rsidRPr="00082144">
        <w:t>(Tables 0.2 and 0.4).</w:t>
      </w:r>
      <w:r w:rsidRPr="00F76CC1">
        <w:t xml:space="preserve"> </w:t>
      </w:r>
      <w:r>
        <w:t>P</w:t>
      </w:r>
      <w:r w:rsidRPr="00F76CC1">
        <w:t xml:space="preserve">erformance can be improved by focusing </w:t>
      </w:r>
      <w:r>
        <w:t xml:space="preserve">reform efforts </w:t>
      </w:r>
      <w:r w:rsidRPr="00F76CC1">
        <w:t xml:space="preserve">on </w:t>
      </w:r>
      <w:r>
        <w:t xml:space="preserve">clearly identified parts of the PFM systems and processes that </w:t>
      </w:r>
      <w:r w:rsidRPr="00F76CC1">
        <w:t xml:space="preserve">do not meet the necessary requirements for </w:t>
      </w:r>
      <w:r>
        <w:t xml:space="preserve">an open and orderly </w:t>
      </w:r>
      <w:r w:rsidRPr="00F76CC1">
        <w:t>PFM</w:t>
      </w:r>
      <w:r>
        <w:t xml:space="preserve"> system. T</w:t>
      </w:r>
      <w:r w:rsidRPr="00F76CC1">
        <w:t xml:space="preserve">he </w:t>
      </w:r>
      <w:r>
        <w:t xml:space="preserve">PEFA </w:t>
      </w:r>
      <w:r w:rsidRPr="00F76CC1">
        <w:t>assessment provide</w:t>
      </w:r>
      <w:r>
        <w:t>s</w:t>
      </w:r>
      <w:r w:rsidRPr="00F76CC1">
        <w:t xml:space="preserve"> a solid foundation for </w:t>
      </w:r>
      <w:r>
        <w:t xml:space="preserve">designing new and evaluating ongoing </w:t>
      </w:r>
      <w:r w:rsidRPr="00F76CC1">
        <w:t>reform</w:t>
      </w:r>
      <w:r>
        <w:t>s</w:t>
      </w:r>
      <w:r w:rsidRPr="00F76CC1">
        <w:t>.</w:t>
      </w:r>
      <w:r>
        <w:t xml:space="preserve"> In summary</w:t>
      </w:r>
      <w:r w:rsidR="005924EB">
        <w:t>,</w:t>
      </w:r>
      <w:r>
        <w:t xml:space="preserve"> the assessment found the following main concerns that need to be addressed to improve the delivery of budget outcomes:</w:t>
      </w:r>
    </w:p>
    <w:p w14:paraId="0884FAF1" w14:textId="77777777" w:rsidR="00A12CFC" w:rsidRDefault="00A12CFC" w:rsidP="00A12CFC">
      <w:pPr>
        <w:pStyle w:val="ListParagraph"/>
      </w:pPr>
    </w:p>
    <w:p w14:paraId="3BA25A48" w14:textId="7B18E798" w:rsidR="00CD11F2" w:rsidRPr="00A12CFC" w:rsidRDefault="00A12CFC" w:rsidP="00A12CFC">
      <w:pPr>
        <w:pStyle w:val="ListParagraph"/>
        <w:numPr>
          <w:ilvl w:val="0"/>
          <w:numId w:val="57"/>
        </w:numPr>
        <w:tabs>
          <w:tab w:val="left" w:pos="720"/>
        </w:tabs>
        <w:autoSpaceDE w:val="0"/>
        <w:autoSpaceDN w:val="0"/>
        <w:adjustRightInd w:val="0"/>
        <w:jc w:val="both"/>
      </w:pPr>
      <w:r w:rsidRPr="00EB39E8">
        <w:rPr>
          <w:b/>
          <w:i/>
        </w:rPr>
        <w:t>Fiscal discipline</w:t>
      </w:r>
      <w:r w:rsidRPr="00A12CFC">
        <w:t xml:space="preserve"> – </w:t>
      </w:r>
      <w:r w:rsidR="00104DB2">
        <w:t xml:space="preserve">Failings </w:t>
      </w:r>
      <w:r>
        <w:t xml:space="preserve">and delays in </w:t>
      </w:r>
      <w:r w:rsidRPr="00A12CFC">
        <w:t>reconciliation</w:t>
      </w:r>
      <w:r>
        <w:t xml:space="preserve">s with </w:t>
      </w:r>
      <w:r w:rsidRPr="00A12CFC">
        <w:t xml:space="preserve">budget execution and accounting systems </w:t>
      </w:r>
      <w:r w:rsidR="00104DB2">
        <w:t xml:space="preserve">are </w:t>
      </w:r>
      <w:r w:rsidRPr="00A12CFC">
        <w:t>inadequate to monitor and facilitate budget delivery</w:t>
      </w:r>
      <w:r w:rsidR="00104DB2">
        <w:t>.</w:t>
      </w:r>
      <w:r w:rsidR="00104DB2" w:rsidRPr="00A12CFC">
        <w:t xml:space="preserve"> </w:t>
      </w:r>
    </w:p>
    <w:p w14:paraId="5E6E5CE3" w14:textId="68BCC376" w:rsidR="00CD11F2" w:rsidRPr="00A12CFC" w:rsidRDefault="00A12CFC" w:rsidP="00A12CFC">
      <w:pPr>
        <w:pStyle w:val="ListParagraph"/>
        <w:numPr>
          <w:ilvl w:val="0"/>
          <w:numId w:val="57"/>
        </w:numPr>
        <w:tabs>
          <w:tab w:val="left" w:pos="720"/>
        </w:tabs>
        <w:autoSpaceDE w:val="0"/>
        <w:autoSpaceDN w:val="0"/>
        <w:adjustRightInd w:val="0"/>
        <w:jc w:val="both"/>
      </w:pPr>
      <w:r w:rsidRPr="00EB39E8">
        <w:rPr>
          <w:b/>
          <w:i/>
        </w:rPr>
        <w:t>Resource allocation</w:t>
      </w:r>
      <w:r w:rsidRPr="00A12CFC">
        <w:t xml:space="preserve"> – </w:t>
      </w:r>
      <w:r w:rsidR="00104DB2">
        <w:t xml:space="preserve">An </w:t>
      </w:r>
      <w:r w:rsidRPr="00A12CFC">
        <w:t xml:space="preserve">FMIS </w:t>
      </w:r>
      <w:r>
        <w:t xml:space="preserve">is </w:t>
      </w:r>
      <w:r w:rsidRPr="00A12CFC">
        <w:t>still in development</w:t>
      </w:r>
      <w:r w:rsidR="00104DB2">
        <w:t xml:space="preserve"> and</w:t>
      </w:r>
      <w:r w:rsidR="00104DB2" w:rsidRPr="00A12CFC">
        <w:t xml:space="preserve"> </w:t>
      </w:r>
      <w:r w:rsidRPr="00A12CFC">
        <w:t xml:space="preserve">procurement lacks </w:t>
      </w:r>
      <w:r w:rsidR="00104DB2">
        <w:t xml:space="preserve">an </w:t>
      </w:r>
      <w:r w:rsidRPr="00A12CFC">
        <w:t>in</w:t>
      </w:r>
      <w:r>
        <w:t xml:space="preserve">dependent complaints mechanism while budget </w:t>
      </w:r>
      <w:r w:rsidRPr="00A12CFC">
        <w:t xml:space="preserve">allocations </w:t>
      </w:r>
      <w:r>
        <w:t xml:space="preserve">steadily increased </w:t>
      </w:r>
      <w:r w:rsidRPr="00A12CFC">
        <w:t>with limited absorptive capacity</w:t>
      </w:r>
      <w:r>
        <w:t xml:space="preserve"> in executing departments</w:t>
      </w:r>
      <w:r w:rsidR="00104DB2">
        <w:t>.</w:t>
      </w:r>
    </w:p>
    <w:p w14:paraId="269B4AED" w14:textId="2CA36DF2" w:rsidR="001762EE" w:rsidRDefault="00A12CFC" w:rsidP="001762EE">
      <w:pPr>
        <w:pStyle w:val="ListParagraph"/>
        <w:numPr>
          <w:ilvl w:val="0"/>
          <w:numId w:val="57"/>
        </w:numPr>
        <w:tabs>
          <w:tab w:val="left" w:pos="720"/>
        </w:tabs>
        <w:autoSpaceDE w:val="0"/>
        <w:autoSpaceDN w:val="0"/>
        <w:adjustRightInd w:val="0"/>
        <w:jc w:val="both"/>
      </w:pPr>
      <w:r w:rsidRPr="00EB39E8">
        <w:rPr>
          <w:b/>
          <w:i/>
        </w:rPr>
        <w:t>Service delivery</w:t>
      </w:r>
      <w:r w:rsidRPr="00A12CFC">
        <w:t xml:space="preserve"> – </w:t>
      </w:r>
      <w:r w:rsidR="00104DB2">
        <w:t xml:space="preserve">Inadequacies </w:t>
      </w:r>
      <w:r>
        <w:t xml:space="preserve">in </w:t>
      </w:r>
      <w:r w:rsidRPr="00A12CFC">
        <w:t>internal control</w:t>
      </w:r>
      <w:r>
        <w:t xml:space="preserve"> </w:t>
      </w:r>
      <w:r w:rsidR="00104DB2">
        <w:t xml:space="preserve">exist </w:t>
      </w:r>
      <w:r>
        <w:t xml:space="preserve">while </w:t>
      </w:r>
      <w:r w:rsidRPr="00A12CFC">
        <w:t xml:space="preserve">financial reporting and oversight </w:t>
      </w:r>
      <w:r>
        <w:t xml:space="preserve">is </w:t>
      </w:r>
      <w:r w:rsidRPr="00A12CFC">
        <w:t xml:space="preserve">insufficient to provide assurance on </w:t>
      </w:r>
      <w:r>
        <w:t xml:space="preserve">service delivery as envisioned in the </w:t>
      </w:r>
      <w:r w:rsidRPr="00A12CFC">
        <w:t>budget</w:t>
      </w:r>
      <w:r w:rsidR="00104DB2">
        <w:t>.</w:t>
      </w:r>
      <w:r>
        <w:t xml:space="preserve"> </w:t>
      </w:r>
    </w:p>
    <w:p w14:paraId="15D2EDFE" w14:textId="77777777" w:rsidR="00401133" w:rsidRDefault="00401133" w:rsidP="001762EE">
      <w:pPr>
        <w:pStyle w:val="PEFAFigure"/>
      </w:pPr>
    </w:p>
    <w:p w14:paraId="6E02A7F0" w14:textId="01182F80" w:rsidR="0011747E" w:rsidRPr="00F76CC1" w:rsidRDefault="00701C47" w:rsidP="001762EE">
      <w:pPr>
        <w:pStyle w:val="PEFAFigure"/>
      </w:pPr>
      <w:bookmarkStart w:id="10" w:name="_Toc325723362"/>
      <w:r w:rsidRPr="00BC13BA">
        <w:t>Figure 0.1 PEFA Rating Summary</w:t>
      </w:r>
      <w:bookmarkEnd w:id="10"/>
    </w:p>
    <w:p w14:paraId="7C61B7D0" w14:textId="0C59D2B0" w:rsidR="00DB3CCB" w:rsidRDefault="00A93220" w:rsidP="00DB3CCB">
      <w:pPr>
        <w:jc w:val="both"/>
      </w:pPr>
      <w:r>
        <w:rPr>
          <w:noProof/>
        </w:rPr>
        <w:drawing>
          <wp:inline distT="0" distB="0" distL="0" distR="0" wp14:anchorId="463A06F1" wp14:editId="150E6307">
            <wp:extent cx="5880315" cy="26003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805" cy="2605848"/>
                    </a:xfrm>
                    <a:prstGeom prst="rect">
                      <a:avLst/>
                    </a:prstGeom>
                    <a:noFill/>
                  </pic:spPr>
                </pic:pic>
              </a:graphicData>
            </a:graphic>
          </wp:inline>
        </w:drawing>
      </w:r>
    </w:p>
    <w:p w14:paraId="17E2E864" w14:textId="77777777" w:rsidR="001762EE" w:rsidRDefault="001762EE" w:rsidP="00DB3CCB">
      <w:pPr>
        <w:jc w:val="both"/>
      </w:pPr>
    </w:p>
    <w:p w14:paraId="5800F327" w14:textId="77777777" w:rsidR="00401133" w:rsidRPr="005A497D" w:rsidRDefault="00401133" w:rsidP="00DB3CCB">
      <w:pPr>
        <w:jc w:val="both"/>
      </w:pPr>
    </w:p>
    <w:p w14:paraId="4BD5A5B7" w14:textId="7281A892" w:rsidR="00DB3CCB" w:rsidRPr="005A497D" w:rsidRDefault="00DB3CCB" w:rsidP="00DB3CCB">
      <w:pPr>
        <w:pStyle w:val="PEFATable"/>
        <w:spacing w:after="40"/>
        <w:jc w:val="both"/>
        <w:rPr>
          <w:sz w:val="24"/>
          <w:szCs w:val="24"/>
        </w:rPr>
      </w:pPr>
      <w:bookmarkStart w:id="11" w:name="_Toc454889228"/>
      <w:r w:rsidRPr="005A497D">
        <w:rPr>
          <w:sz w:val="24"/>
          <w:szCs w:val="24"/>
        </w:rPr>
        <w:t xml:space="preserve">Table </w:t>
      </w:r>
      <w:r w:rsidR="00CB2486">
        <w:rPr>
          <w:sz w:val="24"/>
          <w:szCs w:val="24"/>
        </w:rPr>
        <w:t>0.1</w:t>
      </w:r>
      <w:r w:rsidRPr="005A497D">
        <w:rPr>
          <w:sz w:val="24"/>
          <w:szCs w:val="24"/>
        </w:rPr>
        <w:t xml:space="preserve">: Distribution of PEFA </w:t>
      </w:r>
      <w:r w:rsidR="00CB0E5E">
        <w:rPr>
          <w:sz w:val="24"/>
          <w:szCs w:val="24"/>
        </w:rPr>
        <w:t xml:space="preserve">assessment 2016 </w:t>
      </w:r>
      <w:r w:rsidRPr="005A497D">
        <w:rPr>
          <w:sz w:val="24"/>
          <w:szCs w:val="24"/>
        </w:rPr>
        <w:t>Ratings</w:t>
      </w:r>
      <w:r w:rsidR="00D018CF">
        <w:rPr>
          <w:sz w:val="24"/>
          <w:szCs w:val="24"/>
        </w:rPr>
        <w:t xml:space="preserve"> by Indicator</w:t>
      </w:r>
      <w:bookmarkEnd w:id="11"/>
    </w:p>
    <w:tbl>
      <w:tblPr>
        <w:tblStyle w:val="TableGrid"/>
        <w:tblW w:w="9360" w:type="dxa"/>
        <w:tblInd w:w="108" w:type="dxa"/>
        <w:tblBorders>
          <w:top w:val="double" w:sz="4" w:space="0" w:color="auto"/>
          <w:left w:val="double" w:sz="4" w:space="0" w:color="auto"/>
          <w:bottom w:val="double" w:sz="4" w:space="0" w:color="auto"/>
          <w:right w:val="double" w:sz="4" w:space="0" w:color="auto"/>
        </w:tblBorders>
        <w:tblLayout w:type="fixed"/>
        <w:tblLook w:val="0420" w:firstRow="1" w:lastRow="0" w:firstColumn="0" w:lastColumn="0" w:noHBand="0" w:noVBand="1"/>
      </w:tblPr>
      <w:tblGrid>
        <w:gridCol w:w="4557"/>
        <w:gridCol w:w="1468"/>
        <w:gridCol w:w="1630"/>
        <w:gridCol w:w="1705"/>
      </w:tblGrid>
      <w:tr w:rsidR="00E16254" w:rsidRPr="005A497D" w14:paraId="3F9C79AB" w14:textId="77777777" w:rsidTr="00F76CC1">
        <w:trPr>
          <w:trHeight w:val="340"/>
        </w:trPr>
        <w:tc>
          <w:tcPr>
            <w:tcW w:w="4557" w:type="dxa"/>
            <w:vMerge w:val="restart"/>
            <w:shd w:val="clear" w:color="auto" w:fill="D9D9D9" w:themeFill="background1" w:themeFillShade="D9"/>
            <w:vAlign w:val="center"/>
            <w:hideMark/>
          </w:tcPr>
          <w:p w14:paraId="215025ED" w14:textId="614EC352" w:rsidR="00E16254" w:rsidRPr="005A497D" w:rsidRDefault="00E16254" w:rsidP="00787D3B">
            <w:pPr>
              <w:pStyle w:val="NormalWeb"/>
              <w:spacing w:before="0" w:beforeAutospacing="0" w:after="0" w:afterAutospacing="0"/>
              <w:jc w:val="center"/>
              <w:rPr>
                <w:i/>
                <w:sz w:val="22"/>
                <w:szCs w:val="22"/>
              </w:rPr>
            </w:pPr>
            <w:r w:rsidRPr="005A497D">
              <w:rPr>
                <w:b/>
                <w:bCs/>
                <w:i/>
                <w:kern w:val="24"/>
                <w:sz w:val="22"/>
                <w:szCs w:val="22"/>
              </w:rPr>
              <w:t xml:space="preserve">Core </w:t>
            </w:r>
            <w:r w:rsidR="00787D3B">
              <w:rPr>
                <w:b/>
                <w:bCs/>
                <w:i/>
                <w:kern w:val="24"/>
                <w:sz w:val="22"/>
                <w:szCs w:val="22"/>
              </w:rPr>
              <w:t>Pillar</w:t>
            </w:r>
            <w:r w:rsidRPr="005A497D">
              <w:rPr>
                <w:b/>
                <w:bCs/>
                <w:i/>
                <w:kern w:val="24"/>
                <w:sz w:val="22"/>
                <w:szCs w:val="22"/>
              </w:rPr>
              <w:t xml:space="preserve">s of </w:t>
            </w:r>
            <w:r w:rsidR="00787D3B">
              <w:rPr>
                <w:b/>
                <w:bCs/>
                <w:i/>
                <w:kern w:val="24"/>
                <w:sz w:val="22"/>
                <w:szCs w:val="22"/>
              </w:rPr>
              <w:t xml:space="preserve">PFM </w:t>
            </w:r>
            <w:r w:rsidRPr="005A497D">
              <w:rPr>
                <w:b/>
                <w:bCs/>
                <w:i/>
                <w:kern w:val="24"/>
                <w:sz w:val="22"/>
                <w:szCs w:val="22"/>
              </w:rPr>
              <w:t>Performance</w:t>
            </w:r>
          </w:p>
        </w:tc>
        <w:tc>
          <w:tcPr>
            <w:tcW w:w="3098" w:type="dxa"/>
            <w:gridSpan w:val="2"/>
            <w:shd w:val="clear" w:color="auto" w:fill="D9D9D9" w:themeFill="background1" w:themeFillShade="D9"/>
            <w:vAlign w:val="center"/>
          </w:tcPr>
          <w:p w14:paraId="1ACBC679" w14:textId="77777777" w:rsidR="00E16254" w:rsidRPr="001762EE" w:rsidRDefault="00E16254" w:rsidP="004D4EE0">
            <w:pPr>
              <w:pStyle w:val="NormalWeb"/>
              <w:spacing w:before="0" w:beforeAutospacing="0" w:after="0" w:afterAutospacing="0"/>
              <w:jc w:val="center"/>
              <w:rPr>
                <w:b/>
                <w:bCs/>
                <w:i/>
                <w:kern w:val="24"/>
                <w:sz w:val="22"/>
                <w:szCs w:val="22"/>
              </w:rPr>
            </w:pPr>
            <w:r w:rsidRPr="001762EE">
              <w:rPr>
                <w:b/>
                <w:bCs/>
                <w:i/>
                <w:kern w:val="24"/>
                <w:sz w:val="22"/>
                <w:szCs w:val="22"/>
              </w:rPr>
              <w:t>Ratings</w:t>
            </w:r>
          </w:p>
        </w:tc>
        <w:tc>
          <w:tcPr>
            <w:tcW w:w="1705" w:type="dxa"/>
            <w:vMerge w:val="restart"/>
            <w:shd w:val="clear" w:color="auto" w:fill="D9D9D9" w:themeFill="background1" w:themeFillShade="D9"/>
            <w:vAlign w:val="center"/>
            <w:hideMark/>
          </w:tcPr>
          <w:p w14:paraId="1689CD7A" w14:textId="77777777" w:rsidR="00E16254" w:rsidRPr="001762EE" w:rsidRDefault="00E16254" w:rsidP="004D4EE0">
            <w:pPr>
              <w:pStyle w:val="NormalWeb"/>
              <w:spacing w:before="0" w:beforeAutospacing="0" w:after="0" w:afterAutospacing="0"/>
              <w:jc w:val="center"/>
              <w:rPr>
                <w:i/>
                <w:sz w:val="22"/>
                <w:szCs w:val="22"/>
              </w:rPr>
            </w:pPr>
            <w:r w:rsidRPr="001762EE">
              <w:rPr>
                <w:b/>
                <w:bCs/>
                <w:i/>
                <w:kern w:val="24"/>
                <w:sz w:val="22"/>
                <w:szCs w:val="22"/>
              </w:rPr>
              <w:t>Total indicators</w:t>
            </w:r>
          </w:p>
        </w:tc>
      </w:tr>
      <w:tr w:rsidR="00E16254" w:rsidRPr="005A497D" w14:paraId="1425B6B8" w14:textId="77777777" w:rsidTr="00F76CC1">
        <w:trPr>
          <w:trHeight w:val="340"/>
        </w:trPr>
        <w:tc>
          <w:tcPr>
            <w:tcW w:w="4557" w:type="dxa"/>
            <w:vMerge/>
            <w:tcBorders>
              <w:bottom w:val="double" w:sz="4" w:space="0" w:color="auto"/>
            </w:tcBorders>
            <w:vAlign w:val="center"/>
          </w:tcPr>
          <w:p w14:paraId="70F45F5F" w14:textId="77777777" w:rsidR="00E16254" w:rsidRPr="005A497D" w:rsidRDefault="00E16254" w:rsidP="004D4EE0">
            <w:pPr>
              <w:pStyle w:val="NormalWeb"/>
              <w:spacing w:before="0" w:beforeAutospacing="0" w:after="0" w:afterAutospacing="0"/>
              <w:rPr>
                <w:kern w:val="24"/>
                <w:sz w:val="22"/>
                <w:szCs w:val="22"/>
              </w:rPr>
            </w:pPr>
          </w:p>
        </w:tc>
        <w:tc>
          <w:tcPr>
            <w:tcW w:w="1468" w:type="dxa"/>
            <w:tcBorders>
              <w:bottom w:val="double" w:sz="4" w:space="0" w:color="auto"/>
            </w:tcBorders>
            <w:shd w:val="clear" w:color="auto" w:fill="D9D9D9" w:themeFill="background1" w:themeFillShade="D9"/>
            <w:vAlign w:val="center"/>
          </w:tcPr>
          <w:p w14:paraId="69FBBFF0" w14:textId="77777777" w:rsidR="00E16254" w:rsidRPr="001762EE" w:rsidRDefault="00E16254" w:rsidP="004D4EE0">
            <w:pPr>
              <w:pStyle w:val="NormalWeb"/>
              <w:spacing w:before="0" w:beforeAutospacing="0" w:after="0" w:afterAutospacing="0"/>
              <w:jc w:val="center"/>
              <w:rPr>
                <w:b/>
                <w:i/>
                <w:kern w:val="24"/>
                <w:sz w:val="22"/>
                <w:szCs w:val="22"/>
              </w:rPr>
            </w:pPr>
            <w:r w:rsidRPr="001762EE">
              <w:rPr>
                <w:b/>
                <w:i/>
                <w:kern w:val="24"/>
                <w:sz w:val="22"/>
                <w:szCs w:val="22"/>
              </w:rPr>
              <w:t>A / B</w:t>
            </w:r>
          </w:p>
        </w:tc>
        <w:tc>
          <w:tcPr>
            <w:tcW w:w="1630" w:type="dxa"/>
            <w:tcBorders>
              <w:bottom w:val="double" w:sz="4" w:space="0" w:color="auto"/>
            </w:tcBorders>
            <w:shd w:val="clear" w:color="auto" w:fill="D9D9D9" w:themeFill="background1" w:themeFillShade="D9"/>
            <w:vAlign w:val="center"/>
          </w:tcPr>
          <w:p w14:paraId="79FF40E9" w14:textId="77777777" w:rsidR="00E16254" w:rsidRPr="001762EE" w:rsidRDefault="00E16254" w:rsidP="004D4EE0">
            <w:pPr>
              <w:pStyle w:val="NormalWeb"/>
              <w:spacing w:before="0" w:beforeAutospacing="0" w:after="0" w:afterAutospacing="0"/>
              <w:jc w:val="center"/>
              <w:rPr>
                <w:b/>
                <w:i/>
                <w:kern w:val="24"/>
                <w:sz w:val="22"/>
                <w:szCs w:val="22"/>
              </w:rPr>
            </w:pPr>
            <w:r w:rsidRPr="001762EE">
              <w:rPr>
                <w:b/>
                <w:i/>
                <w:kern w:val="24"/>
                <w:sz w:val="22"/>
                <w:szCs w:val="22"/>
              </w:rPr>
              <w:t>C / D</w:t>
            </w:r>
          </w:p>
        </w:tc>
        <w:tc>
          <w:tcPr>
            <w:tcW w:w="1705" w:type="dxa"/>
            <w:vMerge/>
            <w:tcBorders>
              <w:bottom w:val="double" w:sz="4" w:space="0" w:color="auto"/>
            </w:tcBorders>
            <w:vAlign w:val="center"/>
          </w:tcPr>
          <w:p w14:paraId="506A2BF8" w14:textId="77777777" w:rsidR="00E16254" w:rsidRPr="005A497D" w:rsidRDefault="00E16254" w:rsidP="004D4EE0">
            <w:pPr>
              <w:pStyle w:val="NormalWeb"/>
              <w:spacing w:before="0" w:beforeAutospacing="0" w:after="0" w:afterAutospacing="0"/>
              <w:jc w:val="center"/>
              <w:rPr>
                <w:kern w:val="24"/>
                <w:sz w:val="22"/>
                <w:szCs w:val="22"/>
              </w:rPr>
            </w:pPr>
          </w:p>
        </w:tc>
      </w:tr>
      <w:tr w:rsidR="00F76CC1" w:rsidRPr="005A497D" w14:paraId="3EC24F91" w14:textId="77777777" w:rsidTr="00F76CC1">
        <w:trPr>
          <w:trHeight w:val="340"/>
        </w:trPr>
        <w:tc>
          <w:tcPr>
            <w:tcW w:w="4557" w:type="dxa"/>
            <w:tcBorders>
              <w:top w:val="double" w:sz="4" w:space="0" w:color="auto"/>
              <w:bottom w:val="single" w:sz="4" w:space="0" w:color="auto"/>
            </w:tcBorders>
            <w:shd w:val="clear" w:color="auto" w:fill="auto"/>
            <w:vAlign w:val="center"/>
            <w:hideMark/>
          </w:tcPr>
          <w:p w14:paraId="05DF5A5C" w14:textId="3294DE65" w:rsidR="00F76CC1" w:rsidRPr="00BC13BA" w:rsidRDefault="00F76CC1" w:rsidP="00F76CC1">
            <w:pPr>
              <w:pStyle w:val="NormalWeb"/>
              <w:rPr>
                <w:sz w:val="20"/>
                <w:szCs w:val="20"/>
              </w:rPr>
            </w:pPr>
            <w:r w:rsidRPr="00BC13BA">
              <w:rPr>
                <w:sz w:val="20"/>
                <w:szCs w:val="20"/>
              </w:rPr>
              <w:t>I. Budget reliability</w:t>
            </w:r>
          </w:p>
        </w:tc>
        <w:tc>
          <w:tcPr>
            <w:tcW w:w="1468" w:type="dxa"/>
            <w:tcBorders>
              <w:top w:val="double" w:sz="4" w:space="0" w:color="auto"/>
              <w:bottom w:val="single" w:sz="4" w:space="0" w:color="auto"/>
            </w:tcBorders>
            <w:shd w:val="clear" w:color="auto" w:fill="auto"/>
            <w:vAlign w:val="center"/>
            <w:hideMark/>
          </w:tcPr>
          <w:p w14:paraId="649A20A9" w14:textId="27579095" w:rsidR="00F76CC1" w:rsidRPr="00BC13BA" w:rsidRDefault="00BE6D0F" w:rsidP="00F76CC1">
            <w:pPr>
              <w:pStyle w:val="NormalWeb"/>
              <w:spacing w:before="0" w:beforeAutospacing="0" w:after="0" w:afterAutospacing="0"/>
              <w:jc w:val="center"/>
              <w:rPr>
                <w:sz w:val="20"/>
                <w:szCs w:val="20"/>
              </w:rPr>
            </w:pPr>
            <w:r>
              <w:rPr>
                <w:sz w:val="20"/>
                <w:szCs w:val="20"/>
              </w:rPr>
              <w:t>1</w:t>
            </w:r>
          </w:p>
        </w:tc>
        <w:tc>
          <w:tcPr>
            <w:tcW w:w="1630" w:type="dxa"/>
            <w:tcBorders>
              <w:top w:val="double" w:sz="4" w:space="0" w:color="auto"/>
              <w:bottom w:val="single" w:sz="4" w:space="0" w:color="auto"/>
            </w:tcBorders>
            <w:shd w:val="clear" w:color="auto" w:fill="auto"/>
            <w:vAlign w:val="center"/>
            <w:hideMark/>
          </w:tcPr>
          <w:p w14:paraId="07E3D7CD" w14:textId="655277BF" w:rsidR="00F76CC1" w:rsidRPr="00BC13BA" w:rsidRDefault="00BE6D0F" w:rsidP="00F76CC1">
            <w:pPr>
              <w:pStyle w:val="NormalWeb"/>
              <w:spacing w:before="0" w:beforeAutospacing="0" w:after="0" w:afterAutospacing="0"/>
              <w:jc w:val="center"/>
              <w:rPr>
                <w:b/>
                <w:sz w:val="20"/>
                <w:szCs w:val="20"/>
              </w:rPr>
            </w:pPr>
            <w:r>
              <w:rPr>
                <w:sz w:val="20"/>
                <w:szCs w:val="20"/>
              </w:rPr>
              <w:t>2</w:t>
            </w:r>
          </w:p>
        </w:tc>
        <w:tc>
          <w:tcPr>
            <w:tcW w:w="1705" w:type="dxa"/>
            <w:tcBorders>
              <w:top w:val="double" w:sz="4" w:space="0" w:color="auto"/>
              <w:bottom w:val="single" w:sz="4" w:space="0" w:color="auto"/>
            </w:tcBorders>
            <w:shd w:val="clear" w:color="auto" w:fill="auto"/>
            <w:vAlign w:val="center"/>
            <w:hideMark/>
          </w:tcPr>
          <w:p w14:paraId="4ADA963C"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3</w:t>
            </w:r>
          </w:p>
        </w:tc>
      </w:tr>
      <w:tr w:rsidR="00F76CC1" w:rsidRPr="005A497D" w14:paraId="5D97C57C"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3F734A5D" w14:textId="5CB86A5C" w:rsidR="00F76CC1" w:rsidRPr="00BC13BA" w:rsidRDefault="00F76CC1" w:rsidP="00F76CC1">
            <w:pPr>
              <w:pStyle w:val="NormalWeb"/>
              <w:rPr>
                <w:sz w:val="20"/>
                <w:szCs w:val="20"/>
              </w:rPr>
            </w:pPr>
            <w:r w:rsidRPr="00BC13BA">
              <w:rPr>
                <w:sz w:val="20"/>
                <w:szCs w:val="20"/>
              </w:rPr>
              <w:t>II. Transparency of public finances</w:t>
            </w:r>
          </w:p>
        </w:tc>
        <w:tc>
          <w:tcPr>
            <w:tcW w:w="1468" w:type="dxa"/>
            <w:tcBorders>
              <w:top w:val="single" w:sz="4" w:space="0" w:color="auto"/>
              <w:bottom w:val="single" w:sz="4" w:space="0" w:color="auto"/>
            </w:tcBorders>
            <w:shd w:val="clear" w:color="auto" w:fill="auto"/>
            <w:vAlign w:val="center"/>
            <w:hideMark/>
          </w:tcPr>
          <w:p w14:paraId="44F89FB6" w14:textId="77777777" w:rsidR="00F76CC1" w:rsidRPr="00BC13BA" w:rsidRDefault="00F76CC1" w:rsidP="00F76CC1">
            <w:pPr>
              <w:pStyle w:val="NormalWeb"/>
              <w:spacing w:before="0" w:beforeAutospacing="0" w:after="0" w:afterAutospacing="0"/>
              <w:jc w:val="center"/>
              <w:rPr>
                <w:sz w:val="20"/>
                <w:szCs w:val="20"/>
              </w:rPr>
            </w:pPr>
            <w:r w:rsidRPr="00BC13BA">
              <w:rPr>
                <w:sz w:val="20"/>
                <w:szCs w:val="20"/>
              </w:rPr>
              <w:t>5</w:t>
            </w:r>
          </w:p>
        </w:tc>
        <w:tc>
          <w:tcPr>
            <w:tcW w:w="1630" w:type="dxa"/>
            <w:tcBorders>
              <w:top w:val="single" w:sz="4" w:space="0" w:color="auto"/>
              <w:bottom w:val="single" w:sz="4" w:space="0" w:color="auto"/>
            </w:tcBorders>
            <w:shd w:val="clear" w:color="auto" w:fill="auto"/>
            <w:vAlign w:val="center"/>
            <w:hideMark/>
          </w:tcPr>
          <w:p w14:paraId="1113DF5D" w14:textId="77777777" w:rsidR="00F76CC1" w:rsidRPr="00BC13BA" w:rsidRDefault="00F76CC1" w:rsidP="00F76CC1">
            <w:pPr>
              <w:pStyle w:val="NormalWeb"/>
              <w:spacing w:before="0" w:beforeAutospacing="0" w:after="0" w:afterAutospacing="0"/>
              <w:jc w:val="center"/>
              <w:rPr>
                <w:b/>
                <w:sz w:val="20"/>
                <w:szCs w:val="20"/>
              </w:rPr>
            </w:pPr>
            <w:r w:rsidRPr="00BC13BA">
              <w:rPr>
                <w:sz w:val="20"/>
                <w:szCs w:val="20"/>
              </w:rPr>
              <w:t>1</w:t>
            </w:r>
          </w:p>
        </w:tc>
        <w:tc>
          <w:tcPr>
            <w:tcW w:w="1705" w:type="dxa"/>
            <w:tcBorders>
              <w:top w:val="single" w:sz="4" w:space="0" w:color="auto"/>
              <w:bottom w:val="single" w:sz="4" w:space="0" w:color="auto"/>
            </w:tcBorders>
            <w:shd w:val="clear" w:color="auto" w:fill="auto"/>
            <w:vAlign w:val="center"/>
            <w:hideMark/>
          </w:tcPr>
          <w:p w14:paraId="426CA8E2"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6</w:t>
            </w:r>
          </w:p>
        </w:tc>
      </w:tr>
      <w:tr w:rsidR="00F76CC1" w:rsidRPr="005A497D" w14:paraId="082AFA33"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228008A8" w14:textId="75393C83" w:rsidR="00F76CC1" w:rsidRPr="00BC13BA" w:rsidRDefault="00F76CC1" w:rsidP="00F76CC1">
            <w:pPr>
              <w:pStyle w:val="NormalWeb"/>
              <w:rPr>
                <w:sz w:val="20"/>
                <w:szCs w:val="20"/>
              </w:rPr>
            </w:pPr>
            <w:r w:rsidRPr="00BC13BA">
              <w:rPr>
                <w:sz w:val="20"/>
                <w:szCs w:val="20"/>
              </w:rPr>
              <w:t>III. Management of assets and liabilities</w:t>
            </w:r>
          </w:p>
        </w:tc>
        <w:tc>
          <w:tcPr>
            <w:tcW w:w="1468" w:type="dxa"/>
            <w:tcBorders>
              <w:top w:val="single" w:sz="4" w:space="0" w:color="auto"/>
              <w:bottom w:val="single" w:sz="4" w:space="0" w:color="auto"/>
            </w:tcBorders>
            <w:shd w:val="clear" w:color="auto" w:fill="auto"/>
            <w:vAlign w:val="center"/>
            <w:hideMark/>
          </w:tcPr>
          <w:p w14:paraId="24D8CA02" w14:textId="27C8CF80" w:rsidR="00F76CC1" w:rsidRPr="00BC13BA" w:rsidRDefault="00BE6D0F" w:rsidP="00F76CC1">
            <w:pPr>
              <w:pStyle w:val="NormalWeb"/>
              <w:spacing w:before="0" w:beforeAutospacing="0" w:after="0" w:afterAutospacing="0"/>
              <w:jc w:val="center"/>
              <w:rPr>
                <w:sz w:val="20"/>
                <w:szCs w:val="20"/>
              </w:rPr>
            </w:pPr>
            <w:r>
              <w:rPr>
                <w:sz w:val="20"/>
                <w:szCs w:val="20"/>
              </w:rPr>
              <w:t>3</w:t>
            </w:r>
          </w:p>
        </w:tc>
        <w:tc>
          <w:tcPr>
            <w:tcW w:w="1630" w:type="dxa"/>
            <w:tcBorders>
              <w:top w:val="single" w:sz="4" w:space="0" w:color="auto"/>
              <w:bottom w:val="single" w:sz="4" w:space="0" w:color="auto"/>
            </w:tcBorders>
            <w:shd w:val="clear" w:color="auto" w:fill="auto"/>
            <w:vAlign w:val="center"/>
            <w:hideMark/>
          </w:tcPr>
          <w:p w14:paraId="2BCA7250" w14:textId="5DCD37AB" w:rsidR="00F76CC1" w:rsidRPr="00BC13BA" w:rsidRDefault="00BE6D0F" w:rsidP="00F76CC1">
            <w:pPr>
              <w:pStyle w:val="NormalWeb"/>
              <w:spacing w:before="0" w:beforeAutospacing="0" w:after="0" w:afterAutospacing="0"/>
              <w:jc w:val="center"/>
              <w:rPr>
                <w:b/>
                <w:sz w:val="20"/>
                <w:szCs w:val="20"/>
              </w:rPr>
            </w:pPr>
            <w:r>
              <w:rPr>
                <w:sz w:val="20"/>
                <w:szCs w:val="20"/>
              </w:rPr>
              <w:t>1</w:t>
            </w:r>
          </w:p>
        </w:tc>
        <w:tc>
          <w:tcPr>
            <w:tcW w:w="1705" w:type="dxa"/>
            <w:tcBorders>
              <w:top w:val="single" w:sz="4" w:space="0" w:color="auto"/>
              <w:bottom w:val="single" w:sz="4" w:space="0" w:color="auto"/>
            </w:tcBorders>
            <w:shd w:val="clear" w:color="auto" w:fill="auto"/>
            <w:vAlign w:val="center"/>
            <w:hideMark/>
          </w:tcPr>
          <w:p w14:paraId="10903AC3"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4</w:t>
            </w:r>
          </w:p>
        </w:tc>
      </w:tr>
      <w:tr w:rsidR="00F76CC1" w:rsidRPr="005A497D" w14:paraId="3A8F55EC"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73CD2235" w14:textId="5B75C9F2" w:rsidR="00F76CC1" w:rsidRPr="00BC13BA" w:rsidRDefault="00F76CC1" w:rsidP="00F76CC1">
            <w:pPr>
              <w:pStyle w:val="NormalWeb"/>
              <w:rPr>
                <w:sz w:val="20"/>
                <w:szCs w:val="20"/>
              </w:rPr>
            </w:pPr>
            <w:r w:rsidRPr="00BC13BA">
              <w:rPr>
                <w:sz w:val="20"/>
                <w:szCs w:val="20"/>
              </w:rPr>
              <w:t>IV. Policy-based fiscal strategy and budgeting</w:t>
            </w:r>
          </w:p>
        </w:tc>
        <w:tc>
          <w:tcPr>
            <w:tcW w:w="1468" w:type="dxa"/>
            <w:tcBorders>
              <w:top w:val="single" w:sz="4" w:space="0" w:color="auto"/>
              <w:bottom w:val="single" w:sz="4" w:space="0" w:color="auto"/>
            </w:tcBorders>
            <w:shd w:val="clear" w:color="auto" w:fill="auto"/>
            <w:vAlign w:val="center"/>
            <w:hideMark/>
          </w:tcPr>
          <w:p w14:paraId="1FA6477D" w14:textId="77777777" w:rsidR="00F76CC1" w:rsidRPr="00BC13BA" w:rsidRDefault="00F76CC1" w:rsidP="00F76CC1">
            <w:pPr>
              <w:pStyle w:val="NormalWeb"/>
              <w:spacing w:before="0" w:beforeAutospacing="0" w:after="0" w:afterAutospacing="0"/>
              <w:jc w:val="center"/>
              <w:rPr>
                <w:sz w:val="20"/>
                <w:szCs w:val="20"/>
              </w:rPr>
            </w:pPr>
            <w:r w:rsidRPr="00BC13BA">
              <w:rPr>
                <w:sz w:val="20"/>
                <w:szCs w:val="20"/>
              </w:rPr>
              <w:t>5</w:t>
            </w:r>
          </w:p>
        </w:tc>
        <w:tc>
          <w:tcPr>
            <w:tcW w:w="1630" w:type="dxa"/>
            <w:tcBorders>
              <w:top w:val="single" w:sz="4" w:space="0" w:color="auto"/>
              <w:bottom w:val="single" w:sz="4" w:space="0" w:color="auto"/>
            </w:tcBorders>
            <w:shd w:val="clear" w:color="auto" w:fill="auto"/>
            <w:vAlign w:val="center"/>
            <w:hideMark/>
          </w:tcPr>
          <w:p w14:paraId="4911402E" w14:textId="77777777" w:rsidR="00F76CC1" w:rsidRPr="00BC13BA" w:rsidRDefault="00F76CC1" w:rsidP="00F76CC1">
            <w:pPr>
              <w:pStyle w:val="NormalWeb"/>
              <w:spacing w:before="0" w:beforeAutospacing="0" w:after="0" w:afterAutospacing="0"/>
              <w:jc w:val="center"/>
              <w:rPr>
                <w:sz w:val="20"/>
                <w:szCs w:val="20"/>
              </w:rPr>
            </w:pPr>
            <w:r w:rsidRPr="00BC13BA">
              <w:rPr>
                <w:sz w:val="20"/>
                <w:szCs w:val="20"/>
              </w:rPr>
              <w:t>-</w:t>
            </w:r>
          </w:p>
        </w:tc>
        <w:tc>
          <w:tcPr>
            <w:tcW w:w="1705" w:type="dxa"/>
            <w:tcBorders>
              <w:top w:val="single" w:sz="4" w:space="0" w:color="auto"/>
              <w:bottom w:val="single" w:sz="4" w:space="0" w:color="auto"/>
            </w:tcBorders>
            <w:shd w:val="clear" w:color="auto" w:fill="auto"/>
            <w:vAlign w:val="center"/>
            <w:hideMark/>
          </w:tcPr>
          <w:p w14:paraId="35D80046"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5</w:t>
            </w:r>
          </w:p>
        </w:tc>
      </w:tr>
      <w:tr w:rsidR="00F76CC1" w:rsidRPr="005A497D" w14:paraId="16DBB792"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27E00611" w14:textId="0362A9F4" w:rsidR="00F76CC1" w:rsidRPr="00BC13BA" w:rsidRDefault="00F76CC1" w:rsidP="00F76CC1">
            <w:pPr>
              <w:pStyle w:val="NormalWeb"/>
              <w:rPr>
                <w:sz w:val="20"/>
                <w:szCs w:val="20"/>
              </w:rPr>
            </w:pPr>
            <w:r w:rsidRPr="00BC13BA">
              <w:rPr>
                <w:sz w:val="20"/>
                <w:szCs w:val="20"/>
              </w:rPr>
              <w:t>V. Predictability and control in budget execution</w:t>
            </w:r>
          </w:p>
        </w:tc>
        <w:tc>
          <w:tcPr>
            <w:tcW w:w="1468" w:type="dxa"/>
            <w:tcBorders>
              <w:top w:val="single" w:sz="4" w:space="0" w:color="auto"/>
              <w:bottom w:val="single" w:sz="4" w:space="0" w:color="auto"/>
            </w:tcBorders>
            <w:shd w:val="clear" w:color="auto" w:fill="auto"/>
            <w:vAlign w:val="center"/>
            <w:hideMark/>
          </w:tcPr>
          <w:p w14:paraId="58559104" w14:textId="24DD709E" w:rsidR="00F76CC1" w:rsidRPr="00BC13BA" w:rsidRDefault="00BE6D0F" w:rsidP="00F76CC1">
            <w:pPr>
              <w:pStyle w:val="NormalWeb"/>
              <w:spacing w:before="0" w:beforeAutospacing="0" w:after="0" w:afterAutospacing="0"/>
              <w:jc w:val="center"/>
              <w:rPr>
                <w:sz w:val="20"/>
                <w:szCs w:val="20"/>
              </w:rPr>
            </w:pPr>
            <w:r>
              <w:rPr>
                <w:sz w:val="20"/>
                <w:szCs w:val="20"/>
              </w:rPr>
              <w:t>5</w:t>
            </w:r>
          </w:p>
        </w:tc>
        <w:tc>
          <w:tcPr>
            <w:tcW w:w="1630" w:type="dxa"/>
            <w:tcBorders>
              <w:top w:val="single" w:sz="4" w:space="0" w:color="auto"/>
              <w:bottom w:val="single" w:sz="4" w:space="0" w:color="auto"/>
            </w:tcBorders>
            <w:shd w:val="clear" w:color="auto" w:fill="auto"/>
            <w:vAlign w:val="center"/>
            <w:hideMark/>
          </w:tcPr>
          <w:p w14:paraId="65A9344C" w14:textId="5E361A8A" w:rsidR="00F76CC1" w:rsidRPr="00BC13BA" w:rsidRDefault="00BE6D0F" w:rsidP="00F76CC1">
            <w:pPr>
              <w:pStyle w:val="NormalWeb"/>
              <w:spacing w:before="0" w:beforeAutospacing="0" w:after="0" w:afterAutospacing="0"/>
              <w:jc w:val="center"/>
              <w:rPr>
                <w:sz w:val="20"/>
                <w:szCs w:val="20"/>
              </w:rPr>
            </w:pPr>
            <w:r>
              <w:rPr>
                <w:sz w:val="20"/>
                <w:szCs w:val="20"/>
              </w:rPr>
              <w:t>3</w:t>
            </w:r>
          </w:p>
        </w:tc>
        <w:tc>
          <w:tcPr>
            <w:tcW w:w="1705" w:type="dxa"/>
            <w:tcBorders>
              <w:top w:val="single" w:sz="4" w:space="0" w:color="auto"/>
              <w:bottom w:val="single" w:sz="4" w:space="0" w:color="auto"/>
            </w:tcBorders>
            <w:shd w:val="clear" w:color="auto" w:fill="auto"/>
            <w:vAlign w:val="center"/>
            <w:hideMark/>
          </w:tcPr>
          <w:p w14:paraId="27482C64"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8</w:t>
            </w:r>
          </w:p>
        </w:tc>
      </w:tr>
      <w:tr w:rsidR="00F76CC1" w:rsidRPr="005A497D" w14:paraId="53A05307"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061E1B35" w14:textId="5F623710" w:rsidR="00F76CC1" w:rsidRPr="00BC13BA" w:rsidRDefault="00F76CC1" w:rsidP="00F76CC1">
            <w:pPr>
              <w:pStyle w:val="NormalWeb"/>
              <w:rPr>
                <w:sz w:val="20"/>
                <w:szCs w:val="20"/>
              </w:rPr>
            </w:pPr>
            <w:r w:rsidRPr="00BC13BA">
              <w:rPr>
                <w:sz w:val="20"/>
                <w:szCs w:val="20"/>
              </w:rPr>
              <w:t>VI. Accounting and reporting</w:t>
            </w:r>
          </w:p>
        </w:tc>
        <w:tc>
          <w:tcPr>
            <w:tcW w:w="1468" w:type="dxa"/>
            <w:tcBorders>
              <w:top w:val="single" w:sz="4" w:space="0" w:color="auto"/>
              <w:bottom w:val="single" w:sz="4" w:space="0" w:color="auto"/>
            </w:tcBorders>
            <w:shd w:val="clear" w:color="auto" w:fill="auto"/>
            <w:vAlign w:val="center"/>
            <w:hideMark/>
          </w:tcPr>
          <w:p w14:paraId="4C067873" w14:textId="5CA5025D" w:rsidR="00F76CC1" w:rsidRPr="00BC13BA" w:rsidRDefault="00BE6D0F" w:rsidP="00F76CC1">
            <w:pPr>
              <w:pStyle w:val="NormalWeb"/>
              <w:spacing w:before="0" w:beforeAutospacing="0" w:after="0" w:afterAutospacing="0"/>
              <w:jc w:val="center"/>
              <w:rPr>
                <w:sz w:val="20"/>
                <w:szCs w:val="20"/>
              </w:rPr>
            </w:pPr>
            <w:r>
              <w:rPr>
                <w:sz w:val="20"/>
                <w:szCs w:val="20"/>
              </w:rPr>
              <w:t>-</w:t>
            </w:r>
          </w:p>
        </w:tc>
        <w:tc>
          <w:tcPr>
            <w:tcW w:w="1630" w:type="dxa"/>
            <w:tcBorders>
              <w:top w:val="single" w:sz="4" w:space="0" w:color="auto"/>
              <w:bottom w:val="single" w:sz="4" w:space="0" w:color="auto"/>
            </w:tcBorders>
            <w:shd w:val="clear" w:color="auto" w:fill="auto"/>
            <w:vAlign w:val="center"/>
            <w:hideMark/>
          </w:tcPr>
          <w:p w14:paraId="2F47B676" w14:textId="415888A5" w:rsidR="00F76CC1" w:rsidRPr="00BC13BA" w:rsidRDefault="00BE6D0F" w:rsidP="00F76CC1">
            <w:pPr>
              <w:pStyle w:val="NormalWeb"/>
              <w:spacing w:before="0" w:beforeAutospacing="0" w:after="0" w:afterAutospacing="0"/>
              <w:jc w:val="center"/>
              <w:rPr>
                <w:b/>
                <w:sz w:val="20"/>
                <w:szCs w:val="20"/>
              </w:rPr>
            </w:pPr>
            <w:r>
              <w:rPr>
                <w:sz w:val="20"/>
                <w:szCs w:val="20"/>
              </w:rPr>
              <w:t>3</w:t>
            </w:r>
          </w:p>
        </w:tc>
        <w:tc>
          <w:tcPr>
            <w:tcW w:w="1705" w:type="dxa"/>
            <w:tcBorders>
              <w:top w:val="single" w:sz="4" w:space="0" w:color="auto"/>
              <w:bottom w:val="single" w:sz="4" w:space="0" w:color="auto"/>
            </w:tcBorders>
            <w:shd w:val="clear" w:color="auto" w:fill="auto"/>
            <w:vAlign w:val="center"/>
            <w:hideMark/>
          </w:tcPr>
          <w:p w14:paraId="6D2F88CF"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3</w:t>
            </w:r>
          </w:p>
        </w:tc>
      </w:tr>
      <w:tr w:rsidR="00F76CC1" w:rsidRPr="005A497D" w14:paraId="16429989"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489E07B0" w14:textId="276DB48B" w:rsidR="00F76CC1" w:rsidRPr="00BC13BA" w:rsidRDefault="00F76CC1" w:rsidP="00F76CC1">
            <w:pPr>
              <w:pStyle w:val="NormalWeb"/>
              <w:rPr>
                <w:sz w:val="20"/>
                <w:szCs w:val="20"/>
              </w:rPr>
            </w:pPr>
            <w:r w:rsidRPr="00BC13BA">
              <w:rPr>
                <w:sz w:val="20"/>
                <w:szCs w:val="20"/>
              </w:rPr>
              <w:t>VII. External scrutiny and audit</w:t>
            </w:r>
          </w:p>
        </w:tc>
        <w:tc>
          <w:tcPr>
            <w:tcW w:w="1468" w:type="dxa"/>
            <w:tcBorders>
              <w:top w:val="single" w:sz="4" w:space="0" w:color="auto"/>
              <w:bottom w:val="single" w:sz="4" w:space="0" w:color="auto"/>
            </w:tcBorders>
            <w:shd w:val="clear" w:color="auto" w:fill="auto"/>
            <w:vAlign w:val="center"/>
            <w:hideMark/>
          </w:tcPr>
          <w:p w14:paraId="7199C419" w14:textId="77777777" w:rsidR="00F76CC1" w:rsidRPr="00BC13BA" w:rsidRDefault="00F76CC1" w:rsidP="00F76CC1">
            <w:pPr>
              <w:pStyle w:val="NormalWeb"/>
              <w:spacing w:before="0" w:beforeAutospacing="0" w:after="0" w:afterAutospacing="0"/>
              <w:jc w:val="center"/>
              <w:rPr>
                <w:sz w:val="20"/>
                <w:szCs w:val="20"/>
              </w:rPr>
            </w:pPr>
            <w:r w:rsidRPr="00BC13BA">
              <w:rPr>
                <w:sz w:val="20"/>
                <w:szCs w:val="20"/>
              </w:rPr>
              <w:t>-</w:t>
            </w:r>
          </w:p>
        </w:tc>
        <w:tc>
          <w:tcPr>
            <w:tcW w:w="1630" w:type="dxa"/>
            <w:tcBorders>
              <w:top w:val="single" w:sz="4" w:space="0" w:color="auto"/>
              <w:bottom w:val="single" w:sz="4" w:space="0" w:color="auto"/>
            </w:tcBorders>
            <w:shd w:val="clear" w:color="auto" w:fill="auto"/>
            <w:vAlign w:val="center"/>
            <w:hideMark/>
          </w:tcPr>
          <w:p w14:paraId="3304F921" w14:textId="77777777" w:rsidR="00F76CC1" w:rsidRPr="00BC13BA" w:rsidRDefault="00F76CC1" w:rsidP="00F76CC1">
            <w:pPr>
              <w:pStyle w:val="NormalWeb"/>
              <w:spacing w:before="0" w:beforeAutospacing="0" w:after="0" w:afterAutospacing="0"/>
              <w:jc w:val="center"/>
              <w:rPr>
                <w:b/>
                <w:sz w:val="20"/>
                <w:szCs w:val="20"/>
              </w:rPr>
            </w:pPr>
            <w:r w:rsidRPr="00BC13BA">
              <w:rPr>
                <w:sz w:val="20"/>
                <w:szCs w:val="20"/>
              </w:rPr>
              <w:t>2</w:t>
            </w:r>
          </w:p>
        </w:tc>
        <w:tc>
          <w:tcPr>
            <w:tcW w:w="1705" w:type="dxa"/>
            <w:tcBorders>
              <w:top w:val="single" w:sz="4" w:space="0" w:color="auto"/>
              <w:bottom w:val="single" w:sz="4" w:space="0" w:color="auto"/>
            </w:tcBorders>
            <w:shd w:val="clear" w:color="auto" w:fill="auto"/>
            <w:vAlign w:val="center"/>
            <w:hideMark/>
          </w:tcPr>
          <w:p w14:paraId="60D63F2D" w14:textId="77777777" w:rsidR="00F76CC1" w:rsidRPr="00BC13BA" w:rsidRDefault="00F76CC1" w:rsidP="00F76CC1">
            <w:pPr>
              <w:pStyle w:val="NormalWeb"/>
              <w:spacing w:before="0" w:beforeAutospacing="0" w:after="0" w:afterAutospacing="0"/>
              <w:jc w:val="center"/>
              <w:rPr>
                <w:b/>
                <w:sz w:val="20"/>
                <w:szCs w:val="20"/>
              </w:rPr>
            </w:pPr>
            <w:r w:rsidRPr="00BC13BA">
              <w:rPr>
                <w:b/>
                <w:sz w:val="20"/>
                <w:szCs w:val="20"/>
              </w:rPr>
              <w:t>2</w:t>
            </w:r>
          </w:p>
        </w:tc>
      </w:tr>
      <w:tr w:rsidR="00E16254" w:rsidRPr="005A497D" w14:paraId="3FC7198D" w14:textId="77777777" w:rsidTr="00F76CC1">
        <w:trPr>
          <w:trHeight w:val="397"/>
        </w:trPr>
        <w:tc>
          <w:tcPr>
            <w:tcW w:w="4557" w:type="dxa"/>
            <w:tcBorders>
              <w:top w:val="single" w:sz="4" w:space="0" w:color="auto"/>
              <w:bottom w:val="double" w:sz="4" w:space="0" w:color="auto"/>
            </w:tcBorders>
            <w:vAlign w:val="center"/>
          </w:tcPr>
          <w:p w14:paraId="1408DDBC" w14:textId="77777777" w:rsidR="00E16254" w:rsidRPr="00BC13BA" w:rsidRDefault="00E16254" w:rsidP="004D4EE0">
            <w:pPr>
              <w:pStyle w:val="NormalWeb"/>
              <w:spacing w:before="0" w:beforeAutospacing="0" w:after="0" w:afterAutospacing="0"/>
              <w:rPr>
                <w:b/>
                <w:kern w:val="24"/>
                <w:sz w:val="20"/>
                <w:szCs w:val="20"/>
              </w:rPr>
            </w:pPr>
            <w:r w:rsidRPr="00BC13BA">
              <w:rPr>
                <w:b/>
                <w:kern w:val="24"/>
                <w:sz w:val="20"/>
                <w:szCs w:val="20"/>
              </w:rPr>
              <w:t>Total</w:t>
            </w:r>
          </w:p>
        </w:tc>
        <w:tc>
          <w:tcPr>
            <w:tcW w:w="1468" w:type="dxa"/>
            <w:tcBorders>
              <w:top w:val="single" w:sz="4" w:space="0" w:color="auto"/>
              <w:bottom w:val="double" w:sz="4" w:space="0" w:color="auto"/>
            </w:tcBorders>
            <w:vAlign w:val="center"/>
          </w:tcPr>
          <w:p w14:paraId="332F3B48" w14:textId="7C7EFA21" w:rsidR="00E16254" w:rsidRPr="00BC13BA" w:rsidRDefault="00E16254" w:rsidP="004D4EE0">
            <w:pPr>
              <w:pStyle w:val="NormalWeb"/>
              <w:spacing w:before="0" w:beforeAutospacing="0" w:after="0" w:afterAutospacing="0"/>
              <w:jc w:val="center"/>
              <w:rPr>
                <w:b/>
                <w:kern w:val="24"/>
                <w:sz w:val="20"/>
                <w:szCs w:val="20"/>
              </w:rPr>
            </w:pPr>
            <w:r w:rsidRPr="00BC13BA">
              <w:rPr>
                <w:b/>
                <w:kern w:val="24"/>
                <w:sz w:val="20"/>
                <w:szCs w:val="20"/>
              </w:rPr>
              <w:t>1</w:t>
            </w:r>
            <w:r w:rsidR="00BE6D0F">
              <w:rPr>
                <w:b/>
                <w:kern w:val="24"/>
                <w:sz w:val="20"/>
                <w:szCs w:val="20"/>
              </w:rPr>
              <w:t>9</w:t>
            </w:r>
          </w:p>
        </w:tc>
        <w:tc>
          <w:tcPr>
            <w:tcW w:w="1630" w:type="dxa"/>
            <w:tcBorders>
              <w:top w:val="single" w:sz="4" w:space="0" w:color="auto"/>
              <w:bottom w:val="double" w:sz="4" w:space="0" w:color="auto"/>
            </w:tcBorders>
            <w:vAlign w:val="center"/>
          </w:tcPr>
          <w:p w14:paraId="360205A9" w14:textId="2E4EBC2D" w:rsidR="00E16254" w:rsidRPr="00BC13BA" w:rsidRDefault="00E16254" w:rsidP="004D4EE0">
            <w:pPr>
              <w:pStyle w:val="NormalWeb"/>
              <w:spacing w:before="0" w:beforeAutospacing="0" w:after="0" w:afterAutospacing="0"/>
              <w:jc w:val="center"/>
              <w:rPr>
                <w:b/>
                <w:kern w:val="24"/>
                <w:sz w:val="20"/>
                <w:szCs w:val="20"/>
              </w:rPr>
            </w:pPr>
            <w:r w:rsidRPr="00BC13BA">
              <w:rPr>
                <w:b/>
                <w:kern w:val="24"/>
                <w:sz w:val="20"/>
                <w:szCs w:val="20"/>
              </w:rPr>
              <w:t>1</w:t>
            </w:r>
            <w:r w:rsidR="00BE6D0F">
              <w:rPr>
                <w:b/>
                <w:kern w:val="24"/>
                <w:sz w:val="20"/>
                <w:szCs w:val="20"/>
              </w:rPr>
              <w:t>2</w:t>
            </w:r>
          </w:p>
        </w:tc>
        <w:tc>
          <w:tcPr>
            <w:tcW w:w="1705" w:type="dxa"/>
            <w:tcBorders>
              <w:top w:val="single" w:sz="4" w:space="0" w:color="auto"/>
              <w:bottom w:val="double" w:sz="4" w:space="0" w:color="auto"/>
            </w:tcBorders>
            <w:vAlign w:val="center"/>
          </w:tcPr>
          <w:p w14:paraId="069FE955" w14:textId="77777777" w:rsidR="00E16254" w:rsidRPr="00BC13BA" w:rsidRDefault="00E16254" w:rsidP="004D4EE0">
            <w:pPr>
              <w:pStyle w:val="NormalWeb"/>
              <w:spacing w:before="0" w:beforeAutospacing="0" w:after="0" w:afterAutospacing="0"/>
              <w:jc w:val="center"/>
              <w:rPr>
                <w:b/>
                <w:kern w:val="24"/>
                <w:sz w:val="20"/>
                <w:szCs w:val="20"/>
              </w:rPr>
            </w:pPr>
            <w:r w:rsidRPr="00BC13BA">
              <w:rPr>
                <w:b/>
                <w:kern w:val="24"/>
                <w:sz w:val="20"/>
                <w:szCs w:val="20"/>
              </w:rPr>
              <w:t>31</w:t>
            </w:r>
          </w:p>
        </w:tc>
      </w:tr>
    </w:tbl>
    <w:p w14:paraId="67E9F281" w14:textId="77777777" w:rsidR="00DB3CCB" w:rsidRDefault="00DB3CCB" w:rsidP="00DB3CCB">
      <w:pPr>
        <w:autoSpaceDE w:val="0"/>
        <w:autoSpaceDN w:val="0"/>
        <w:adjustRightInd w:val="0"/>
      </w:pPr>
    </w:p>
    <w:p w14:paraId="76FA0238" w14:textId="77777777" w:rsidR="001762EE" w:rsidRDefault="001762EE" w:rsidP="00DB3CCB">
      <w:pPr>
        <w:autoSpaceDE w:val="0"/>
        <w:autoSpaceDN w:val="0"/>
        <w:adjustRightInd w:val="0"/>
      </w:pPr>
    </w:p>
    <w:p w14:paraId="70340508" w14:textId="77777777" w:rsidR="001762EE" w:rsidRDefault="001762EE" w:rsidP="00DB3CCB">
      <w:pPr>
        <w:autoSpaceDE w:val="0"/>
        <w:autoSpaceDN w:val="0"/>
        <w:adjustRightInd w:val="0"/>
      </w:pPr>
    </w:p>
    <w:p w14:paraId="469D1D51" w14:textId="77777777" w:rsidR="0096547C" w:rsidRDefault="0096547C" w:rsidP="00DB3CCB">
      <w:pPr>
        <w:autoSpaceDE w:val="0"/>
        <w:autoSpaceDN w:val="0"/>
        <w:adjustRightInd w:val="0"/>
      </w:pPr>
    </w:p>
    <w:p w14:paraId="147A96FA" w14:textId="77777777" w:rsidR="0096547C" w:rsidRDefault="0096547C" w:rsidP="00DB3CCB">
      <w:pPr>
        <w:autoSpaceDE w:val="0"/>
        <w:autoSpaceDN w:val="0"/>
        <w:adjustRightInd w:val="0"/>
      </w:pPr>
    </w:p>
    <w:p w14:paraId="3DFEB389" w14:textId="77777777" w:rsidR="0096547C" w:rsidRDefault="0096547C" w:rsidP="00DB3CCB">
      <w:pPr>
        <w:autoSpaceDE w:val="0"/>
        <w:autoSpaceDN w:val="0"/>
        <w:adjustRightInd w:val="0"/>
      </w:pPr>
    </w:p>
    <w:p w14:paraId="1509322E" w14:textId="414BB291" w:rsidR="00DB3CCB" w:rsidRDefault="00CB2486" w:rsidP="001112A1">
      <w:pPr>
        <w:pStyle w:val="PEFATable"/>
        <w:spacing w:after="40"/>
        <w:jc w:val="both"/>
        <w:rPr>
          <w:sz w:val="24"/>
          <w:szCs w:val="24"/>
        </w:rPr>
      </w:pPr>
      <w:bookmarkStart w:id="12" w:name="_Toc454889229"/>
      <w:r>
        <w:rPr>
          <w:sz w:val="24"/>
          <w:szCs w:val="24"/>
        </w:rPr>
        <w:t>Table 0.2</w:t>
      </w:r>
      <w:r w:rsidR="00DB3CCB">
        <w:rPr>
          <w:sz w:val="24"/>
          <w:szCs w:val="24"/>
        </w:rPr>
        <w:t>: Distribution of PEFA assessment 2016 Ratings by Dimension</w:t>
      </w:r>
      <w:bookmarkEnd w:id="12"/>
    </w:p>
    <w:tbl>
      <w:tblPr>
        <w:tblStyle w:val="TableGrid"/>
        <w:tblW w:w="9360" w:type="dxa"/>
        <w:tblInd w:w="108" w:type="dxa"/>
        <w:tblBorders>
          <w:top w:val="double" w:sz="4" w:space="0" w:color="auto"/>
          <w:left w:val="double" w:sz="4" w:space="0" w:color="auto"/>
          <w:bottom w:val="double" w:sz="4" w:space="0" w:color="auto"/>
          <w:right w:val="double" w:sz="4" w:space="0" w:color="auto"/>
        </w:tblBorders>
        <w:tblLayout w:type="fixed"/>
        <w:tblLook w:val="0420" w:firstRow="1" w:lastRow="0" w:firstColumn="0" w:lastColumn="0" w:noHBand="0" w:noVBand="1"/>
      </w:tblPr>
      <w:tblGrid>
        <w:gridCol w:w="4557"/>
        <w:gridCol w:w="1468"/>
        <w:gridCol w:w="1630"/>
        <w:gridCol w:w="1705"/>
      </w:tblGrid>
      <w:tr w:rsidR="00E16254" w:rsidRPr="005A497D" w14:paraId="3D2907F8" w14:textId="77777777" w:rsidTr="00F76CC1">
        <w:trPr>
          <w:trHeight w:val="340"/>
        </w:trPr>
        <w:tc>
          <w:tcPr>
            <w:tcW w:w="4557" w:type="dxa"/>
            <w:vMerge w:val="restart"/>
            <w:shd w:val="clear" w:color="auto" w:fill="D9D9D9" w:themeFill="background1" w:themeFillShade="D9"/>
            <w:vAlign w:val="center"/>
            <w:hideMark/>
          </w:tcPr>
          <w:p w14:paraId="2914A93D" w14:textId="3559948B" w:rsidR="00E16254" w:rsidRPr="005A497D" w:rsidRDefault="00E16254" w:rsidP="00787D3B">
            <w:pPr>
              <w:pStyle w:val="NormalWeb"/>
              <w:spacing w:before="0" w:beforeAutospacing="0" w:after="0" w:afterAutospacing="0"/>
              <w:jc w:val="center"/>
              <w:rPr>
                <w:i/>
                <w:sz w:val="22"/>
                <w:szCs w:val="22"/>
              </w:rPr>
            </w:pPr>
            <w:r w:rsidRPr="005A497D">
              <w:rPr>
                <w:b/>
                <w:bCs/>
                <w:i/>
                <w:kern w:val="24"/>
                <w:sz w:val="22"/>
                <w:szCs w:val="22"/>
              </w:rPr>
              <w:t xml:space="preserve">Core </w:t>
            </w:r>
            <w:r w:rsidR="00787D3B">
              <w:rPr>
                <w:b/>
                <w:bCs/>
                <w:i/>
                <w:kern w:val="24"/>
                <w:sz w:val="22"/>
                <w:szCs w:val="22"/>
              </w:rPr>
              <w:t>Pillar</w:t>
            </w:r>
            <w:r w:rsidRPr="005A497D">
              <w:rPr>
                <w:b/>
                <w:bCs/>
                <w:i/>
                <w:kern w:val="24"/>
                <w:sz w:val="22"/>
                <w:szCs w:val="22"/>
              </w:rPr>
              <w:t xml:space="preserve">s of </w:t>
            </w:r>
            <w:r w:rsidR="00787D3B">
              <w:rPr>
                <w:b/>
                <w:bCs/>
                <w:i/>
                <w:kern w:val="24"/>
                <w:sz w:val="22"/>
                <w:szCs w:val="22"/>
              </w:rPr>
              <w:t xml:space="preserve">PFM </w:t>
            </w:r>
            <w:r w:rsidRPr="005A497D">
              <w:rPr>
                <w:b/>
                <w:bCs/>
                <w:i/>
                <w:kern w:val="24"/>
                <w:sz w:val="22"/>
                <w:szCs w:val="22"/>
              </w:rPr>
              <w:t>Performance</w:t>
            </w:r>
          </w:p>
        </w:tc>
        <w:tc>
          <w:tcPr>
            <w:tcW w:w="3098" w:type="dxa"/>
            <w:gridSpan w:val="2"/>
            <w:shd w:val="clear" w:color="auto" w:fill="D9D9D9" w:themeFill="background1" w:themeFillShade="D9"/>
            <w:vAlign w:val="center"/>
          </w:tcPr>
          <w:p w14:paraId="18AD4628" w14:textId="77777777" w:rsidR="00E16254" w:rsidRPr="005A497D" w:rsidRDefault="00E16254" w:rsidP="004D4EE0">
            <w:pPr>
              <w:pStyle w:val="NormalWeb"/>
              <w:spacing w:before="0" w:beforeAutospacing="0" w:after="0" w:afterAutospacing="0"/>
              <w:jc w:val="center"/>
              <w:rPr>
                <w:b/>
                <w:bCs/>
                <w:kern w:val="24"/>
                <w:sz w:val="22"/>
                <w:szCs w:val="22"/>
              </w:rPr>
            </w:pPr>
            <w:r w:rsidRPr="005A497D">
              <w:rPr>
                <w:b/>
                <w:bCs/>
                <w:kern w:val="24"/>
                <w:sz w:val="22"/>
                <w:szCs w:val="22"/>
              </w:rPr>
              <w:t>Ratings</w:t>
            </w:r>
          </w:p>
        </w:tc>
        <w:tc>
          <w:tcPr>
            <w:tcW w:w="1705" w:type="dxa"/>
            <w:vMerge w:val="restart"/>
            <w:shd w:val="clear" w:color="auto" w:fill="D9D9D9" w:themeFill="background1" w:themeFillShade="D9"/>
            <w:vAlign w:val="center"/>
            <w:hideMark/>
          </w:tcPr>
          <w:p w14:paraId="4A691A76" w14:textId="77777777" w:rsidR="00E16254" w:rsidRPr="005A497D" w:rsidRDefault="00E16254" w:rsidP="004D4EE0">
            <w:pPr>
              <w:pStyle w:val="NormalWeb"/>
              <w:spacing w:before="0" w:beforeAutospacing="0" w:after="0" w:afterAutospacing="0"/>
              <w:jc w:val="center"/>
              <w:rPr>
                <w:sz w:val="22"/>
                <w:szCs w:val="22"/>
              </w:rPr>
            </w:pPr>
            <w:r>
              <w:rPr>
                <w:b/>
                <w:bCs/>
                <w:kern w:val="24"/>
                <w:sz w:val="22"/>
                <w:szCs w:val="22"/>
              </w:rPr>
              <w:t>Total dimensions</w:t>
            </w:r>
          </w:p>
        </w:tc>
      </w:tr>
      <w:tr w:rsidR="00E16254" w:rsidRPr="005A497D" w14:paraId="7F261CF4" w14:textId="77777777" w:rsidTr="00F76CC1">
        <w:trPr>
          <w:trHeight w:val="340"/>
        </w:trPr>
        <w:tc>
          <w:tcPr>
            <w:tcW w:w="4557" w:type="dxa"/>
            <w:vMerge/>
            <w:tcBorders>
              <w:bottom w:val="double" w:sz="4" w:space="0" w:color="auto"/>
            </w:tcBorders>
            <w:vAlign w:val="center"/>
          </w:tcPr>
          <w:p w14:paraId="6A238C88" w14:textId="77777777" w:rsidR="00E16254" w:rsidRPr="005A497D" w:rsidRDefault="00E16254" w:rsidP="004D4EE0">
            <w:pPr>
              <w:pStyle w:val="NormalWeb"/>
              <w:spacing w:before="0" w:beforeAutospacing="0" w:after="0" w:afterAutospacing="0"/>
              <w:rPr>
                <w:kern w:val="24"/>
                <w:sz w:val="22"/>
                <w:szCs w:val="22"/>
              </w:rPr>
            </w:pPr>
          </w:p>
        </w:tc>
        <w:tc>
          <w:tcPr>
            <w:tcW w:w="1468" w:type="dxa"/>
            <w:tcBorders>
              <w:bottom w:val="double" w:sz="4" w:space="0" w:color="auto"/>
            </w:tcBorders>
            <w:shd w:val="clear" w:color="auto" w:fill="D9D9D9" w:themeFill="background1" w:themeFillShade="D9"/>
            <w:vAlign w:val="center"/>
          </w:tcPr>
          <w:p w14:paraId="70D33CA2" w14:textId="77777777" w:rsidR="00E16254" w:rsidRPr="005A497D" w:rsidRDefault="00E16254" w:rsidP="004D4EE0">
            <w:pPr>
              <w:pStyle w:val="NormalWeb"/>
              <w:spacing w:before="0" w:beforeAutospacing="0" w:after="0" w:afterAutospacing="0"/>
              <w:jc w:val="center"/>
              <w:rPr>
                <w:b/>
                <w:kern w:val="24"/>
                <w:sz w:val="22"/>
                <w:szCs w:val="22"/>
              </w:rPr>
            </w:pPr>
            <w:r w:rsidRPr="005A497D">
              <w:rPr>
                <w:b/>
                <w:kern w:val="24"/>
                <w:sz w:val="22"/>
                <w:szCs w:val="22"/>
              </w:rPr>
              <w:t>A / B</w:t>
            </w:r>
          </w:p>
        </w:tc>
        <w:tc>
          <w:tcPr>
            <w:tcW w:w="1630" w:type="dxa"/>
            <w:tcBorders>
              <w:bottom w:val="double" w:sz="4" w:space="0" w:color="auto"/>
            </w:tcBorders>
            <w:shd w:val="clear" w:color="auto" w:fill="D9D9D9" w:themeFill="background1" w:themeFillShade="D9"/>
            <w:vAlign w:val="center"/>
          </w:tcPr>
          <w:p w14:paraId="72C9FD06" w14:textId="77777777" w:rsidR="00E16254" w:rsidRPr="005A497D" w:rsidRDefault="00E16254" w:rsidP="004D4EE0">
            <w:pPr>
              <w:pStyle w:val="NormalWeb"/>
              <w:spacing w:before="0" w:beforeAutospacing="0" w:after="0" w:afterAutospacing="0"/>
              <w:jc w:val="center"/>
              <w:rPr>
                <w:b/>
                <w:kern w:val="24"/>
                <w:sz w:val="22"/>
                <w:szCs w:val="22"/>
              </w:rPr>
            </w:pPr>
            <w:r w:rsidRPr="005A497D">
              <w:rPr>
                <w:b/>
                <w:kern w:val="24"/>
                <w:sz w:val="22"/>
                <w:szCs w:val="22"/>
              </w:rPr>
              <w:t>C / D</w:t>
            </w:r>
          </w:p>
        </w:tc>
        <w:tc>
          <w:tcPr>
            <w:tcW w:w="1705" w:type="dxa"/>
            <w:vMerge/>
            <w:tcBorders>
              <w:bottom w:val="double" w:sz="4" w:space="0" w:color="auto"/>
            </w:tcBorders>
            <w:vAlign w:val="center"/>
          </w:tcPr>
          <w:p w14:paraId="49FCB7DB" w14:textId="77777777" w:rsidR="00E16254" w:rsidRPr="005A497D" w:rsidRDefault="00E16254" w:rsidP="004D4EE0">
            <w:pPr>
              <w:pStyle w:val="NormalWeb"/>
              <w:spacing w:before="0" w:beforeAutospacing="0" w:after="0" w:afterAutospacing="0"/>
              <w:jc w:val="center"/>
              <w:rPr>
                <w:kern w:val="24"/>
                <w:sz w:val="22"/>
                <w:szCs w:val="22"/>
              </w:rPr>
            </w:pPr>
          </w:p>
        </w:tc>
      </w:tr>
      <w:tr w:rsidR="00E16254" w:rsidRPr="005A497D" w14:paraId="6325E543" w14:textId="77777777" w:rsidTr="00F76CC1">
        <w:trPr>
          <w:trHeight w:val="340"/>
        </w:trPr>
        <w:tc>
          <w:tcPr>
            <w:tcW w:w="4557" w:type="dxa"/>
            <w:tcBorders>
              <w:top w:val="double" w:sz="4" w:space="0" w:color="auto"/>
              <w:bottom w:val="single" w:sz="4" w:space="0" w:color="auto"/>
            </w:tcBorders>
            <w:shd w:val="clear" w:color="auto" w:fill="auto"/>
            <w:vAlign w:val="center"/>
            <w:hideMark/>
          </w:tcPr>
          <w:p w14:paraId="7431B905" w14:textId="42DA869C" w:rsidR="00E16254" w:rsidRPr="001762EE" w:rsidRDefault="00F76CC1" w:rsidP="004D4EE0">
            <w:pPr>
              <w:pStyle w:val="NormalWeb"/>
              <w:rPr>
                <w:sz w:val="20"/>
                <w:szCs w:val="20"/>
              </w:rPr>
            </w:pPr>
            <w:r w:rsidRPr="001762EE">
              <w:rPr>
                <w:sz w:val="20"/>
                <w:szCs w:val="20"/>
              </w:rPr>
              <w:t xml:space="preserve">I. </w:t>
            </w:r>
            <w:r w:rsidR="00E16254" w:rsidRPr="001762EE">
              <w:rPr>
                <w:sz w:val="20"/>
                <w:szCs w:val="20"/>
              </w:rPr>
              <w:t>Budget reliability</w:t>
            </w:r>
          </w:p>
        </w:tc>
        <w:tc>
          <w:tcPr>
            <w:tcW w:w="1468" w:type="dxa"/>
            <w:tcBorders>
              <w:top w:val="double" w:sz="4" w:space="0" w:color="auto"/>
              <w:bottom w:val="single" w:sz="4" w:space="0" w:color="auto"/>
            </w:tcBorders>
            <w:shd w:val="clear" w:color="auto" w:fill="auto"/>
            <w:vAlign w:val="center"/>
            <w:hideMark/>
          </w:tcPr>
          <w:p w14:paraId="3293E2BD" w14:textId="5CCE4A8A" w:rsidR="00E16254" w:rsidRPr="001762EE" w:rsidRDefault="00BE6D0F" w:rsidP="004D4EE0">
            <w:pPr>
              <w:pStyle w:val="NormalWeb"/>
              <w:spacing w:before="0" w:beforeAutospacing="0" w:after="0" w:afterAutospacing="0"/>
              <w:jc w:val="center"/>
              <w:rPr>
                <w:sz w:val="20"/>
                <w:szCs w:val="20"/>
              </w:rPr>
            </w:pPr>
            <w:r w:rsidRPr="001762EE">
              <w:rPr>
                <w:sz w:val="20"/>
                <w:szCs w:val="20"/>
              </w:rPr>
              <w:t>2</w:t>
            </w:r>
          </w:p>
        </w:tc>
        <w:tc>
          <w:tcPr>
            <w:tcW w:w="1630" w:type="dxa"/>
            <w:tcBorders>
              <w:top w:val="double" w:sz="4" w:space="0" w:color="auto"/>
              <w:bottom w:val="single" w:sz="4" w:space="0" w:color="auto"/>
            </w:tcBorders>
            <w:shd w:val="clear" w:color="auto" w:fill="auto"/>
            <w:vAlign w:val="center"/>
            <w:hideMark/>
          </w:tcPr>
          <w:p w14:paraId="6E6E321E" w14:textId="710E882A" w:rsidR="00E16254" w:rsidRPr="001762EE" w:rsidRDefault="00BE6D0F" w:rsidP="004D4EE0">
            <w:pPr>
              <w:pStyle w:val="NormalWeb"/>
              <w:spacing w:before="0" w:beforeAutospacing="0" w:after="0" w:afterAutospacing="0"/>
              <w:jc w:val="center"/>
              <w:rPr>
                <w:sz w:val="20"/>
                <w:szCs w:val="20"/>
              </w:rPr>
            </w:pPr>
            <w:r w:rsidRPr="001762EE">
              <w:rPr>
                <w:sz w:val="20"/>
                <w:szCs w:val="20"/>
              </w:rPr>
              <w:t>4</w:t>
            </w:r>
          </w:p>
        </w:tc>
        <w:tc>
          <w:tcPr>
            <w:tcW w:w="1705" w:type="dxa"/>
            <w:tcBorders>
              <w:top w:val="double" w:sz="4" w:space="0" w:color="auto"/>
              <w:bottom w:val="single" w:sz="4" w:space="0" w:color="auto"/>
            </w:tcBorders>
            <w:shd w:val="clear" w:color="auto" w:fill="auto"/>
            <w:vAlign w:val="center"/>
            <w:hideMark/>
          </w:tcPr>
          <w:p w14:paraId="1485915A" w14:textId="77777777" w:rsidR="00E16254" w:rsidRPr="001762EE" w:rsidRDefault="00E16254" w:rsidP="004D4EE0">
            <w:pPr>
              <w:pStyle w:val="NormalWeb"/>
              <w:spacing w:before="0" w:beforeAutospacing="0" w:after="0" w:afterAutospacing="0"/>
              <w:jc w:val="center"/>
              <w:rPr>
                <w:b/>
                <w:sz w:val="20"/>
                <w:szCs w:val="20"/>
              </w:rPr>
            </w:pPr>
            <w:r w:rsidRPr="001762EE">
              <w:rPr>
                <w:b/>
                <w:sz w:val="20"/>
                <w:szCs w:val="20"/>
              </w:rPr>
              <w:t>6</w:t>
            </w:r>
          </w:p>
        </w:tc>
      </w:tr>
      <w:tr w:rsidR="00E16254" w:rsidRPr="005A497D" w14:paraId="00E240A4"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3FD924B0" w14:textId="546AF5C6" w:rsidR="00E16254" w:rsidRPr="001762EE" w:rsidRDefault="00F76CC1" w:rsidP="004D4EE0">
            <w:pPr>
              <w:pStyle w:val="NormalWeb"/>
              <w:rPr>
                <w:sz w:val="20"/>
                <w:szCs w:val="20"/>
              </w:rPr>
            </w:pPr>
            <w:r w:rsidRPr="001762EE">
              <w:rPr>
                <w:sz w:val="20"/>
                <w:szCs w:val="20"/>
              </w:rPr>
              <w:t xml:space="preserve">II. </w:t>
            </w:r>
            <w:r w:rsidR="00E16254" w:rsidRPr="001762EE">
              <w:rPr>
                <w:sz w:val="20"/>
                <w:szCs w:val="20"/>
              </w:rPr>
              <w:t>Transparency of public finances</w:t>
            </w:r>
          </w:p>
        </w:tc>
        <w:tc>
          <w:tcPr>
            <w:tcW w:w="1468" w:type="dxa"/>
            <w:tcBorders>
              <w:top w:val="single" w:sz="4" w:space="0" w:color="auto"/>
              <w:bottom w:val="single" w:sz="4" w:space="0" w:color="auto"/>
            </w:tcBorders>
            <w:shd w:val="clear" w:color="auto" w:fill="auto"/>
            <w:vAlign w:val="center"/>
            <w:hideMark/>
          </w:tcPr>
          <w:p w14:paraId="08615C9E"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9</w:t>
            </w:r>
          </w:p>
        </w:tc>
        <w:tc>
          <w:tcPr>
            <w:tcW w:w="1630" w:type="dxa"/>
            <w:tcBorders>
              <w:top w:val="single" w:sz="4" w:space="0" w:color="auto"/>
              <w:bottom w:val="single" w:sz="4" w:space="0" w:color="auto"/>
            </w:tcBorders>
            <w:shd w:val="clear" w:color="auto" w:fill="auto"/>
            <w:vAlign w:val="center"/>
            <w:hideMark/>
          </w:tcPr>
          <w:p w14:paraId="1A2AC35C"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3</w:t>
            </w:r>
          </w:p>
        </w:tc>
        <w:tc>
          <w:tcPr>
            <w:tcW w:w="1705" w:type="dxa"/>
            <w:tcBorders>
              <w:top w:val="single" w:sz="4" w:space="0" w:color="auto"/>
              <w:bottom w:val="single" w:sz="4" w:space="0" w:color="auto"/>
            </w:tcBorders>
            <w:shd w:val="clear" w:color="auto" w:fill="auto"/>
            <w:vAlign w:val="center"/>
            <w:hideMark/>
          </w:tcPr>
          <w:p w14:paraId="75956F78" w14:textId="77777777" w:rsidR="00E16254" w:rsidRPr="001762EE" w:rsidRDefault="00E16254" w:rsidP="004D4EE0">
            <w:pPr>
              <w:pStyle w:val="NormalWeb"/>
              <w:spacing w:before="0" w:beforeAutospacing="0" w:after="0" w:afterAutospacing="0"/>
              <w:jc w:val="center"/>
              <w:rPr>
                <w:b/>
                <w:sz w:val="20"/>
                <w:szCs w:val="20"/>
              </w:rPr>
            </w:pPr>
            <w:r w:rsidRPr="001762EE">
              <w:rPr>
                <w:b/>
                <w:sz w:val="20"/>
                <w:szCs w:val="20"/>
              </w:rPr>
              <w:t>12</w:t>
            </w:r>
          </w:p>
        </w:tc>
      </w:tr>
      <w:tr w:rsidR="00E16254" w:rsidRPr="005A497D" w14:paraId="70EE7723"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02D67261" w14:textId="2663845F" w:rsidR="00E16254" w:rsidRPr="001762EE" w:rsidRDefault="00F76CC1" w:rsidP="004D4EE0">
            <w:pPr>
              <w:pStyle w:val="NormalWeb"/>
              <w:rPr>
                <w:sz w:val="20"/>
                <w:szCs w:val="20"/>
              </w:rPr>
            </w:pPr>
            <w:r w:rsidRPr="001762EE">
              <w:rPr>
                <w:sz w:val="20"/>
                <w:szCs w:val="20"/>
              </w:rPr>
              <w:t xml:space="preserve">III. </w:t>
            </w:r>
            <w:r w:rsidR="00E16254" w:rsidRPr="001762EE">
              <w:rPr>
                <w:sz w:val="20"/>
                <w:szCs w:val="20"/>
              </w:rPr>
              <w:t>Management of assets and liabilities</w:t>
            </w:r>
          </w:p>
        </w:tc>
        <w:tc>
          <w:tcPr>
            <w:tcW w:w="1468" w:type="dxa"/>
            <w:tcBorders>
              <w:top w:val="single" w:sz="4" w:space="0" w:color="auto"/>
              <w:bottom w:val="single" w:sz="4" w:space="0" w:color="auto"/>
            </w:tcBorders>
            <w:shd w:val="clear" w:color="auto" w:fill="auto"/>
            <w:vAlign w:val="center"/>
            <w:hideMark/>
          </w:tcPr>
          <w:p w14:paraId="77EE9973"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8</w:t>
            </w:r>
          </w:p>
        </w:tc>
        <w:tc>
          <w:tcPr>
            <w:tcW w:w="1630" w:type="dxa"/>
            <w:tcBorders>
              <w:top w:val="single" w:sz="4" w:space="0" w:color="auto"/>
              <w:bottom w:val="single" w:sz="4" w:space="0" w:color="auto"/>
            </w:tcBorders>
            <w:shd w:val="clear" w:color="auto" w:fill="auto"/>
            <w:vAlign w:val="center"/>
            <w:hideMark/>
          </w:tcPr>
          <w:p w14:paraId="1781CE8C"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5</w:t>
            </w:r>
          </w:p>
        </w:tc>
        <w:tc>
          <w:tcPr>
            <w:tcW w:w="1705" w:type="dxa"/>
            <w:tcBorders>
              <w:top w:val="single" w:sz="4" w:space="0" w:color="auto"/>
              <w:bottom w:val="single" w:sz="4" w:space="0" w:color="auto"/>
            </w:tcBorders>
            <w:shd w:val="clear" w:color="auto" w:fill="auto"/>
            <w:vAlign w:val="center"/>
            <w:hideMark/>
          </w:tcPr>
          <w:p w14:paraId="69DD7C17" w14:textId="77777777" w:rsidR="00E16254" w:rsidRPr="001762EE" w:rsidRDefault="00E16254" w:rsidP="004D4EE0">
            <w:pPr>
              <w:pStyle w:val="NormalWeb"/>
              <w:spacing w:before="0" w:beforeAutospacing="0" w:after="0" w:afterAutospacing="0"/>
              <w:jc w:val="center"/>
              <w:rPr>
                <w:b/>
                <w:sz w:val="20"/>
                <w:szCs w:val="20"/>
              </w:rPr>
            </w:pPr>
            <w:r w:rsidRPr="001762EE">
              <w:rPr>
                <w:b/>
                <w:sz w:val="20"/>
                <w:szCs w:val="20"/>
              </w:rPr>
              <w:t>13</w:t>
            </w:r>
          </w:p>
        </w:tc>
      </w:tr>
      <w:tr w:rsidR="00E16254" w:rsidRPr="005A497D" w14:paraId="670A93DB"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075D726E" w14:textId="52DA0960" w:rsidR="00E16254" w:rsidRPr="001762EE" w:rsidRDefault="00F76CC1" w:rsidP="004D4EE0">
            <w:pPr>
              <w:pStyle w:val="NormalWeb"/>
              <w:rPr>
                <w:sz w:val="20"/>
                <w:szCs w:val="20"/>
              </w:rPr>
            </w:pPr>
            <w:r w:rsidRPr="001762EE">
              <w:rPr>
                <w:sz w:val="20"/>
                <w:szCs w:val="20"/>
              </w:rPr>
              <w:t xml:space="preserve">IV. </w:t>
            </w:r>
            <w:r w:rsidR="00E16254" w:rsidRPr="001762EE">
              <w:rPr>
                <w:sz w:val="20"/>
                <w:szCs w:val="20"/>
              </w:rPr>
              <w:t>Policy-based fiscal strategy and budgeting</w:t>
            </w:r>
          </w:p>
        </w:tc>
        <w:tc>
          <w:tcPr>
            <w:tcW w:w="1468" w:type="dxa"/>
            <w:tcBorders>
              <w:top w:val="single" w:sz="4" w:space="0" w:color="auto"/>
              <w:bottom w:val="single" w:sz="4" w:space="0" w:color="auto"/>
            </w:tcBorders>
            <w:shd w:val="clear" w:color="auto" w:fill="auto"/>
            <w:vAlign w:val="center"/>
            <w:hideMark/>
          </w:tcPr>
          <w:p w14:paraId="26FB8B0D" w14:textId="558AB302" w:rsidR="00E16254" w:rsidRPr="001762EE" w:rsidRDefault="00E16254" w:rsidP="004D4EE0">
            <w:pPr>
              <w:pStyle w:val="NormalWeb"/>
              <w:spacing w:before="0" w:beforeAutospacing="0" w:after="0" w:afterAutospacing="0"/>
              <w:jc w:val="center"/>
              <w:rPr>
                <w:sz w:val="20"/>
                <w:szCs w:val="20"/>
              </w:rPr>
            </w:pPr>
            <w:r w:rsidRPr="001762EE">
              <w:rPr>
                <w:sz w:val="20"/>
                <w:szCs w:val="20"/>
              </w:rPr>
              <w:t>1</w:t>
            </w:r>
            <w:r w:rsidR="00BE6D0F" w:rsidRPr="001762EE">
              <w:rPr>
                <w:sz w:val="20"/>
                <w:szCs w:val="20"/>
              </w:rPr>
              <w:t>6</w:t>
            </w:r>
          </w:p>
        </w:tc>
        <w:tc>
          <w:tcPr>
            <w:tcW w:w="1630" w:type="dxa"/>
            <w:tcBorders>
              <w:top w:val="single" w:sz="4" w:space="0" w:color="auto"/>
              <w:bottom w:val="single" w:sz="4" w:space="0" w:color="auto"/>
            </w:tcBorders>
            <w:shd w:val="clear" w:color="auto" w:fill="auto"/>
            <w:vAlign w:val="center"/>
            <w:hideMark/>
          </w:tcPr>
          <w:p w14:paraId="1B124831" w14:textId="45024864" w:rsidR="00E16254" w:rsidRPr="001762EE" w:rsidRDefault="00BE6D0F" w:rsidP="004D4EE0">
            <w:pPr>
              <w:pStyle w:val="NormalWeb"/>
              <w:spacing w:before="0" w:beforeAutospacing="0" w:after="0" w:afterAutospacing="0"/>
              <w:jc w:val="center"/>
              <w:rPr>
                <w:sz w:val="20"/>
                <w:szCs w:val="20"/>
              </w:rPr>
            </w:pPr>
            <w:r w:rsidRPr="001762EE">
              <w:rPr>
                <w:sz w:val="20"/>
                <w:szCs w:val="20"/>
              </w:rPr>
              <w:t>1</w:t>
            </w:r>
          </w:p>
        </w:tc>
        <w:tc>
          <w:tcPr>
            <w:tcW w:w="1705" w:type="dxa"/>
            <w:tcBorders>
              <w:top w:val="single" w:sz="4" w:space="0" w:color="auto"/>
              <w:bottom w:val="single" w:sz="4" w:space="0" w:color="auto"/>
            </w:tcBorders>
            <w:shd w:val="clear" w:color="auto" w:fill="auto"/>
            <w:vAlign w:val="center"/>
            <w:hideMark/>
          </w:tcPr>
          <w:p w14:paraId="27684ACE" w14:textId="77777777" w:rsidR="00E16254" w:rsidRPr="001762EE" w:rsidRDefault="00E16254" w:rsidP="004D4EE0">
            <w:pPr>
              <w:pStyle w:val="NormalWeb"/>
              <w:spacing w:before="0" w:beforeAutospacing="0" w:after="0" w:afterAutospacing="0"/>
              <w:jc w:val="center"/>
              <w:rPr>
                <w:b/>
                <w:sz w:val="20"/>
                <w:szCs w:val="20"/>
              </w:rPr>
            </w:pPr>
            <w:r w:rsidRPr="001762EE">
              <w:rPr>
                <w:b/>
                <w:sz w:val="20"/>
                <w:szCs w:val="20"/>
              </w:rPr>
              <w:t>17</w:t>
            </w:r>
          </w:p>
        </w:tc>
      </w:tr>
      <w:tr w:rsidR="00E16254" w:rsidRPr="005A497D" w14:paraId="5E006AAD"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1BD71C4A" w14:textId="11A6920D" w:rsidR="00E16254" w:rsidRPr="001762EE" w:rsidRDefault="00F76CC1" w:rsidP="004D4EE0">
            <w:pPr>
              <w:pStyle w:val="NormalWeb"/>
              <w:rPr>
                <w:sz w:val="20"/>
                <w:szCs w:val="20"/>
              </w:rPr>
            </w:pPr>
            <w:r w:rsidRPr="001762EE">
              <w:rPr>
                <w:sz w:val="20"/>
                <w:szCs w:val="20"/>
              </w:rPr>
              <w:t xml:space="preserve">V. </w:t>
            </w:r>
            <w:r w:rsidR="00E16254" w:rsidRPr="001762EE">
              <w:rPr>
                <w:sz w:val="20"/>
                <w:szCs w:val="20"/>
              </w:rPr>
              <w:t>Predictability and control in budget execution</w:t>
            </w:r>
          </w:p>
        </w:tc>
        <w:tc>
          <w:tcPr>
            <w:tcW w:w="1468" w:type="dxa"/>
            <w:tcBorders>
              <w:top w:val="single" w:sz="4" w:space="0" w:color="auto"/>
              <w:bottom w:val="single" w:sz="4" w:space="0" w:color="auto"/>
            </w:tcBorders>
            <w:shd w:val="clear" w:color="auto" w:fill="auto"/>
            <w:vAlign w:val="center"/>
            <w:hideMark/>
          </w:tcPr>
          <w:p w14:paraId="266513A8" w14:textId="039FF70E" w:rsidR="00E16254" w:rsidRPr="001762EE" w:rsidRDefault="00BE6D0F" w:rsidP="004D4EE0">
            <w:pPr>
              <w:pStyle w:val="NormalWeb"/>
              <w:spacing w:before="0" w:beforeAutospacing="0" w:after="0" w:afterAutospacing="0"/>
              <w:jc w:val="center"/>
              <w:rPr>
                <w:sz w:val="20"/>
                <w:szCs w:val="20"/>
              </w:rPr>
            </w:pPr>
            <w:r w:rsidRPr="001762EE">
              <w:rPr>
                <w:sz w:val="20"/>
                <w:szCs w:val="20"/>
              </w:rPr>
              <w:t>23</w:t>
            </w:r>
          </w:p>
        </w:tc>
        <w:tc>
          <w:tcPr>
            <w:tcW w:w="1630" w:type="dxa"/>
            <w:tcBorders>
              <w:top w:val="single" w:sz="4" w:space="0" w:color="auto"/>
              <w:bottom w:val="single" w:sz="4" w:space="0" w:color="auto"/>
            </w:tcBorders>
            <w:shd w:val="clear" w:color="auto" w:fill="auto"/>
            <w:vAlign w:val="center"/>
            <w:hideMark/>
          </w:tcPr>
          <w:p w14:paraId="0EAFE688" w14:textId="2AD57595" w:rsidR="00E16254" w:rsidRPr="001762EE" w:rsidRDefault="00BE6D0F" w:rsidP="004D4EE0">
            <w:pPr>
              <w:pStyle w:val="NormalWeb"/>
              <w:spacing w:before="0" w:beforeAutospacing="0" w:after="0" w:afterAutospacing="0"/>
              <w:jc w:val="center"/>
              <w:rPr>
                <w:sz w:val="20"/>
                <w:szCs w:val="20"/>
              </w:rPr>
            </w:pPr>
            <w:r w:rsidRPr="001762EE">
              <w:rPr>
                <w:sz w:val="20"/>
                <w:szCs w:val="20"/>
              </w:rPr>
              <w:t>5</w:t>
            </w:r>
          </w:p>
        </w:tc>
        <w:tc>
          <w:tcPr>
            <w:tcW w:w="1705" w:type="dxa"/>
            <w:tcBorders>
              <w:top w:val="single" w:sz="4" w:space="0" w:color="auto"/>
              <w:bottom w:val="single" w:sz="4" w:space="0" w:color="auto"/>
            </w:tcBorders>
            <w:shd w:val="clear" w:color="auto" w:fill="auto"/>
            <w:vAlign w:val="center"/>
            <w:hideMark/>
          </w:tcPr>
          <w:p w14:paraId="0D2BA25C" w14:textId="77777777" w:rsidR="00E16254" w:rsidRPr="001762EE" w:rsidRDefault="00E16254" w:rsidP="004D4EE0">
            <w:pPr>
              <w:pStyle w:val="NormalWeb"/>
              <w:spacing w:before="0" w:beforeAutospacing="0" w:after="0" w:afterAutospacing="0"/>
              <w:jc w:val="center"/>
              <w:rPr>
                <w:b/>
                <w:sz w:val="20"/>
                <w:szCs w:val="20"/>
              </w:rPr>
            </w:pPr>
            <w:r w:rsidRPr="001762EE">
              <w:rPr>
                <w:b/>
                <w:sz w:val="20"/>
                <w:szCs w:val="20"/>
              </w:rPr>
              <w:t>28</w:t>
            </w:r>
          </w:p>
        </w:tc>
      </w:tr>
      <w:tr w:rsidR="00E16254" w:rsidRPr="005A497D" w14:paraId="43464F3C"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51096515" w14:textId="3E3DBEF6" w:rsidR="00E16254" w:rsidRPr="001762EE" w:rsidRDefault="00F76CC1" w:rsidP="004D4EE0">
            <w:pPr>
              <w:pStyle w:val="NormalWeb"/>
              <w:rPr>
                <w:sz w:val="20"/>
                <w:szCs w:val="20"/>
              </w:rPr>
            </w:pPr>
            <w:r w:rsidRPr="001762EE">
              <w:rPr>
                <w:sz w:val="20"/>
                <w:szCs w:val="20"/>
              </w:rPr>
              <w:t xml:space="preserve">VI. </w:t>
            </w:r>
            <w:r w:rsidR="00E16254" w:rsidRPr="001762EE">
              <w:rPr>
                <w:sz w:val="20"/>
                <w:szCs w:val="20"/>
              </w:rPr>
              <w:t>Accounting and reporting</w:t>
            </w:r>
          </w:p>
        </w:tc>
        <w:tc>
          <w:tcPr>
            <w:tcW w:w="1468" w:type="dxa"/>
            <w:tcBorders>
              <w:top w:val="single" w:sz="4" w:space="0" w:color="auto"/>
              <w:bottom w:val="single" w:sz="4" w:space="0" w:color="auto"/>
            </w:tcBorders>
            <w:shd w:val="clear" w:color="auto" w:fill="auto"/>
            <w:vAlign w:val="center"/>
            <w:hideMark/>
          </w:tcPr>
          <w:p w14:paraId="7077C898"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4</w:t>
            </w:r>
          </w:p>
        </w:tc>
        <w:tc>
          <w:tcPr>
            <w:tcW w:w="1630" w:type="dxa"/>
            <w:tcBorders>
              <w:top w:val="single" w:sz="4" w:space="0" w:color="auto"/>
              <w:bottom w:val="single" w:sz="4" w:space="0" w:color="auto"/>
            </w:tcBorders>
            <w:shd w:val="clear" w:color="auto" w:fill="auto"/>
            <w:vAlign w:val="center"/>
            <w:hideMark/>
          </w:tcPr>
          <w:p w14:paraId="3E5753A0"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6</w:t>
            </w:r>
          </w:p>
        </w:tc>
        <w:tc>
          <w:tcPr>
            <w:tcW w:w="1705" w:type="dxa"/>
            <w:tcBorders>
              <w:top w:val="single" w:sz="4" w:space="0" w:color="auto"/>
              <w:bottom w:val="single" w:sz="4" w:space="0" w:color="auto"/>
            </w:tcBorders>
            <w:shd w:val="clear" w:color="auto" w:fill="auto"/>
            <w:vAlign w:val="center"/>
            <w:hideMark/>
          </w:tcPr>
          <w:p w14:paraId="372FE3E3" w14:textId="77777777" w:rsidR="00E16254" w:rsidRPr="001762EE" w:rsidRDefault="00E16254" w:rsidP="004D4EE0">
            <w:pPr>
              <w:pStyle w:val="NormalWeb"/>
              <w:spacing w:before="0" w:beforeAutospacing="0" w:after="0" w:afterAutospacing="0"/>
              <w:jc w:val="center"/>
              <w:rPr>
                <w:b/>
                <w:sz w:val="20"/>
                <w:szCs w:val="20"/>
              </w:rPr>
            </w:pPr>
            <w:r w:rsidRPr="001762EE">
              <w:rPr>
                <w:b/>
                <w:sz w:val="20"/>
                <w:szCs w:val="20"/>
              </w:rPr>
              <w:t>10</w:t>
            </w:r>
          </w:p>
        </w:tc>
      </w:tr>
      <w:tr w:rsidR="00E16254" w:rsidRPr="005A497D" w14:paraId="2CC70ACC" w14:textId="77777777" w:rsidTr="00F76CC1">
        <w:trPr>
          <w:trHeight w:val="340"/>
        </w:trPr>
        <w:tc>
          <w:tcPr>
            <w:tcW w:w="4557" w:type="dxa"/>
            <w:tcBorders>
              <w:top w:val="single" w:sz="4" w:space="0" w:color="auto"/>
              <w:bottom w:val="single" w:sz="4" w:space="0" w:color="auto"/>
            </w:tcBorders>
            <w:shd w:val="clear" w:color="auto" w:fill="auto"/>
            <w:vAlign w:val="center"/>
            <w:hideMark/>
          </w:tcPr>
          <w:p w14:paraId="7B5A8D7B" w14:textId="61D3ACB8" w:rsidR="00E16254" w:rsidRPr="001762EE" w:rsidRDefault="00F76CC1" w:rsidP="004D4EE0">
            <w:pPr>
              <w:pStyle w:val="NormalWeb"/>
              <w:rPr>
                <w:sz w:val="20"/>
                <w:szCs w:val="20"/>
              </w:rPr>
            </w:pPr>
            <w:r w:rsidRPr="001762EE">
              <w:rPr>
                <w:sz w:val="20"/>
                <w:szCs w:val="20"/>
              </w:rPr>
              <w:t xml:space="preserve">VII. </w:t>
            </w:r>
            <w:r w:rsidR="00E16254" w:rsidRPr="001762EE">
              <w:rPr>
                <w:sz w:val="20"/>
                <w:szCs w:val="20"/>
              </w:rPr>
              <w:t>External scrutiny and audit</w:t>
            </w:r>
          </w:p>
        </w:tc>
        <w:tc>
          <w:tcPr>
            <w:tcW w:w="1468" w:type="dxa"/>
            <w:tcBorders>
              <w:top w:val="single" w:sz="4" w:space="0" w:color="auto"/>
              <w:bottom w:val="single" w:sz="4" w:space="0" w:color="auto"/>
            </w:tcBorders>
            <w:shd w:val="clear" w:color="auto" w:fill="auto"/>
            <w:vAlign w:val="center"/>
            <w:hideMark/>
          </w:tcPr>
          <w:p w14:paraId="5BF29BF9" w14:textId="77777777" w:rsidR="00E16254" w:rsidRPr="001762EE" w:rsidRDefault="00E16254" w:rsidP="004D4EE0">
            <w:pPr>
              <w:pStyle w:val="NormalWeb"/>
              <w:spacing w:before="0" w:beforeAutospacing="0" w:after="0" w:afterAutospacing="0"/>
              <w:jc w:val="center"/>
              <w:rPr>
                <w:sz w:val="20"/>
                <w:szCs w:val="20"/>
              </w:rPr>
            </w:pPr>
            <w:r w:rsidRPr="001762EE">
              <w:rPr>
                <w:sz w:val="20"/>
                <w:szCs w:val="20"/>
              </w:rPr>
              <w:t>2</w:t>
            </w:r>
          </w:p>
        </w:tc>
        <w:tc>
          <w:tcPr>
            <w:tcW w:w="1630" w:type="dxa"/>
            <w:tcBorders>
              <w:top w:val="single" w:sz="4" w:space="0" w:color="auto"/>
              <w:bottom w:val="single" w:sz="4" w:space="0" w:color="auto"/>
            </w:tcBorders>
            <w:shd w:val="clear" w:color="auto" w:fill="auto"/>
            <w:vAlign w:val="center"/>
            <w:hideMark/>
          </w:tcPr>
          <w:p w14:paraId="055675B4" w14:textId="6834192F" w:rsidR="00E16254" w:rsidRPr="001762EE" w:rsidRDefault="00F76CC1" w:rsidP="004D4EE0">
            <w:pPr>
              <w:pStyle w:val="NormalWeb"/>
              <w:spacing w:before="0" w:beforeAutospacing="0" w:after="0" w:afterAutospacing="0"/>
              <w:jc w:val="center"/>
              <w:rPr>
                <w:sz w:val="20"/>
                <w:szCs w:val="20"/>
              </w:rPr>
            </w:pPr>
            <w:r w:rsidRPr="001762EE">
              <w:rPr>
                <w:sz w:val="20"/>
                <w:szCs w:val="20"/>
              </w:rPr>
              <w:t>6</w:t>
            </w:r>
          </w:p>
        </w:tc>
        <w:tc>
          <w:tcPr>
            <w:tcW w:w="1705" w:type="dxa"/>
            <w:tcBorders>
              <w:top w:val="single" w:sz="4" w:space="0" w:color="auto"/>
              <w:bottom w:val="single" w:sz="4" w:space="0" w:color="auto"/>
            </w:tcBorders>
            <w:shd w:val="clear" w:color="auto" w:fill="auto"/>
            <w:vAlign w:val="center"/>
            <w:hideMark/>
          </w:tcPr>
          <w:p w14:paraId="60EE307D" w14:textId="55A3C066" w:rsidR="00E16254" w:rsidRPr="001762EE" w:rsidRDefault="00F76CC1" w:rsidP="004D4EE0">
            <w:pPr>
              <w:pStyle w:val="NormalWeb"/>
              <w:spacing w:before="0" w:beforeAutospacing="0" w:after="0" w:afterAutospacing="0"/>
              <w:jc w:val="center"/>
              <w:rPr>
                <w:b/>
                <w:sz w:val="20"/>
                <w:szCs w:val="20"/>
              </w:rPr>
            </w:pPr>
            <w:r w:rsidRPr="001762EE">
              <w:rPr>
                <w:b/>
                <w:sz w:val="20"/>
                <w:szCs w:val="20"/>
              </w:rPr>
              <w:t>8</w:t>
            </w:r>
          </w:p>
        </w:tc>
      </w:tr>
      <w:tr w:rsidR="00E16254" w:rsidRPr="005A497D" w14:paraId="26CF722B" w14:textId="77777777" w:rsidTr="00F76CC1">
        <w:trPr>
          <w:trHeight w:val="397"/>
        </w:trPr>
        <w:tc>
          <w:tcPr>
            <w:tcW w:w="4557" w:type="dxa"/>
            <w:tcBorders>
              <w:top w:val="single" w:sz="4" w:space="0" w:color="auto"/>
              <w:bottom w:val="double" w:sz="4" w:space="0" w:color="auto"/>
            </w:tcBorders>
            <w:vAlign w:val="center"/>
          </w:tcPr>
          <w:p w14:paraId="6AF5F059" w14:textId="77777777" w:rsidR="00E16254" w:rsidRPr="001762EE" w:rsidRDefault="00E16254" w:rsidP="004D4EE0">
            <w:pPr>
              <w:pStyle w:val="NormalWeb"/>
              <w:spacing w:before="0" w:beforeAutospacing="0" w:after="0" w:afterAutospacing="0"/>
              <w:rPr>
                <w:b/>
                <w:kern w:val="24"/>
                <w:sz w:val="20"/>
                <w:szCs w:val="20"/>
              </w:rPr>
            </w:pPr>
            <w:r w:rsidRPr="001762EE">
              <w:rPr>
                <w:b/>
                <w:kern w:val="24"/>
                <w:sz w:val="20"/>
                <w:szCs w:val="20"/>
              </w:rPr>
              <w:t>Total</w:t>
            </w:r>
          </w:p>
        </w:tc>
        <w:tc>
          <w:tcPr>
            <w:tcW w:w="1468" w:type="dxa"/>
            <w:tcBorders>
              <w:top w:val="single" w:sz="4" w:space="0" w:color="auto"/>
              <w:bottom w:val="double" w:sz="4" w:space="0" w:color="auto"/>
            </w:tcBorders>
            <w:vAlign w:val="center"/>
          </w:tcPr>
          <w:p w14:paraId="78128808" w14:textId="5A0C9005" w:rsidR="00E16254" w:rsidRPr="001762EE" w:rsidRDefault="00BE6D0F" w:rsidP="004D4EE0">
            <w:pPr>
              <w:pStyle w:val="NormalWeb"/>
              <w:spacing w:before="0" w:beforeAutospacing="0" w:after="0" w:afterAutospacing="0"/>
              <w:jc w:val="center"/>
              <w:rPr>
                <w:b/>
                <w:kern w:val="24"/>
                <w:sz w:val="20"/>
                <w:szCs w:val="20"/>
              </w:rPr>
            </w:pPr>
            <w:r w:rsidRPr="001762EE">
              <w:rPr>
                <w:b/>
                <w:kern w:val="24"/>
                <w:sz w:val="20"/>
                <w:szCs w:val="20"/>
              </w:rPr>
              <w:t>64</w:t>
            </w:r>
          </w:p>
        </w:tc>
        <w:tc>
          <w:tcPr>
            <w:tcW w:w="1630" w:type="dxa"/>
            <w:tcBorders>
              <w:top w:val="single" w:sz="4" w:space="0" w:color="auto"/>
              <w:bottom w:val="double" w:sz="4" w:space="0" w:color="auto"/>
            </w:tcBorders>
            <w:vAlign w:val="center"/>
          </w:tcPr>
          <w:p w14:paraId="79F984ED" w14:textId="5C6F65CA" w:rsidR="00E16254" w:rsidRPr="001762EE" w:rsidRDefault="00F76CC1" w:rsidP="004D4EE0">
            <w:pPr>
              <w:pStyle w:val="NormalWeb"/>
              <w:spacing w:before="0" w:beforeAutospacing="0" w:after="0" w:afterAutospacing="0"/>
              <w:jc w:val="center"/>
              <w:rPr>
                <w:b/>
                <w:kern w:val="24"/>
                <w:sz w:val="20"/>
                <w:szCs w:val="20"/>
              </w:rPr>
            </w:pPr>
            <w:r w:rsidRPr="001762EE">
              <w:rPr>
                <w:b/>
                <w:kern w:val="24"/>
                <w:sz w:val="20"/>
                <w:szCs w:val="20"/>
              </w:rPr>
              <w:t>3</w:t>
            </w:r>
            <w:r w:rsidR="00BE6D0F" w:rsidRPr="001762EE">
              <w:rPr>
                <w:b/>
                <w:kern w:val="24"/>
                <w:sz w:val="20"/>
                <w:szCs w:val="20"/>
              </w:rPr>
              <w:t>0</w:t>
            </w:r>
          </w:p>
        </w:tc>
        <w:tc>
          <w:tcPr>
            <w:tcW w:w="1705" w:type="dxa"/>
            <w:tcBorders>
              <w:top w:val="single" w:sz="4" w:space="0" w:color="auto"/>
              <w:bottom w:val="double" w:sz="4" w:space="0" w:color="auto"/>
            </w:tcBorders>
            <w:vAlign w:val="center"/>
          </w:tcPr>
          <w:p w14:paraId="746D7932" w14:textId="078551AC" w:rsidR="00E16254" w:rsidRPr="001762EE" w:rsidRDefault="00F76CC1" w:rsidP="004D4EE0">
            <w:pPr>
              <w:pStyle w:val="NormalWeb"/>
              <w:spacing w:before="0" w:beforeAutospacing="0" w:after="0" w:afterAutospacing="0"/>
              <w:jc w:val="center"/>
              <w:rPr>
                <w:b/>
                <w:kern w:val="24"/>
                <w:sz w:val="20"/>
                <w:szCs w:val="20"/>
              </w:rPr>
            </w:pPr>
            <w:r w:rsidRPr="001762EE">
              <w:rPr>
                <w:b/>
                <w:kern w:val="24"/>
                <w:sz w:val="20"/>
                <w:szCs w:val="20"/>
              </w:rPr>
              <w:t>94</w:t>
            </w:r>
          </w:p>
        </w:tc>
      </w:tr>
    </w:tbl>
    <w:p w14:paraId="62725AD2" w14:textId="77777777" w:rsidR="00DB3CCB" w:rsidRPr="005A497D" w:rsidRDefault="00DB3CCB" w:rsidP="00DB3CCB">
      <w:pPr>
        <w:autoSpaceDE w:val="0"/>
        <w:autoSpaceDN w:val="0"/>
        <w:adjustRightInd w:val="0"/>
      </w:pPr>
    </w:p>
    <w:p w14:paraId="57C1AB6D" w14:textId="691F49A3" w:rsidR="00787D3B" w:rsidRPr="008F58D2" w:rsidRDefault="00787D3B" w:rsidP="00787D3B">
      <w:pPr>
        <w:pStyle w:val="ListParagraph"/>
        <w:tabs>
          <w:tab w:val="left" w:pos="720"/>
        </w:tabs>
        <w:autoSpaceDE w:val="0"/>
        <w:autoSpaceDN w:val="0"/>
        <w:adjustRightInd w:val="0"/>
        <w:spacing w:after="0" w:line="240" w:lineRule="auto"/>
        <w:ind w:left="0" w:firstLine="0"/>
        <w:jc w:val="both"/>
        <w:rPr>
          <w:b/>
        </w:rPr>
      </w:pPr>
      <w:r w:rsidRPr="008F58D2">
        <w:rPr>
          <w:b/>
        </w:rPr>
        <w:t xml:space="preserve">Major Strengths and Weaknesses in </w:t>
      </w:r>
      <w:r w:rsidR="00701C47" w:rsidRPr="00D73BDF">
        <w:rPr>
          <w:b/>
        </w:rPr>
        <w:t>A</w:t>
      </w:r>
      <w:r w:rsidR="00701C47" w:rsidRPr="008F58D2">
        <w:rPr>
          <w:b/>
        </w:rPr>
        <w:t xml:space="preserve">chieving </w:t>
      </w:r>
      <w:r w:rsidRPr="008F58D2">
        <w:rPr>
          <w:b/>
        </w:rPr>
        <w:t>Budget Outcomes</w:t>
      </w:r>
    </w:p>
    <w:p w14:paraId="3BDA5A93" w14:textId="77777777" w:rsidR="00787D3B" w:rsidRPr="005A497D" w:rsidRDefault="00787D3B" w:rsidP="00787D3B">
      <w:pPr>
        <w:pStyle w:val="ListParagraph"/>
        <w:tabs>
          <w:tab w:val="left" w:pos="720"/>
        </w:tabs>
        <w:autoSpaceDE w:val="0"/>
        <w:autoSpaceDN w:val="0"/>
        <w:adjustRightInd w:val="0"/>
        <w:spacing w:after="0" w:line="240" w:lineRule="auto"/>
        <w:ind w:left="0" w:firstLine="0"/>
        <w:jc w:val="both"/>
      </w:pPr>
    </w:p>
    <w:p w14:paraId="42D19B69" w14:textId="1BDDACA3" w:rsidR="00787D3B" w:rsidRDefault="00787D3B" w:rsidP="00787D3B">
      <w:pPr>
        <w:pStyle w:val="ListParagraph"/>
        <w:numPr>
          <w:ilvl w:val="0"/>
          <w:numId w:val="2"/>
        </w:numPr>
        <w:tabs>
          <w:tab w:val="left" w:pos="720"/>
        </w:tabs>
        <w:autoSpaceDE w:val="0"/>
        <w:autoSpaceDN w:val="0"/>
        <w:adjustRightInd w:val="0"/>
        <w:spacing w:after="0" w:line="240" w:lineRule="auto"/>
        <w:jc w:val="both"/>
      </w:pPr>
      <w:r>
        <w:t>This section considers the results for each pillar, examining the main strengths and weaknesses, and assessing how performance</w:t>
      </w:r>
      <w:r w:rsidR="003200A3">
        <w:t>,</w:t>
      </w:r>
      <w:r>
        <w:t xml:space="preserve"> in particular processes and systems</w:t>
      </w:r>
      <w:r w:rsidR="003200A3">
        <w:t>,</w:t>
      </w:r>
      <w:r>
        <w:t xml:space="preserve"> affect other </w:t>
      </w:r>
      <w:r w:rsidR="00BC13BA">
        <w:t>public financial management (</w:t>
      </w:r>
      <w:r>
        <w:t>PFM</w:t>
      </w:r>
      <w:r w:rsidR="00BC13BA">
        <w:t>)</w:t>
      </w:r>
      <w:r>
        <w:t xml:space="preserve"> processes as well as the budget outcomes</w:t>
      </w:r>
      <w:r w:rsidRPr="005A497D">
        <w:t>.</w:t>
      </w:r>
      <w:r>
        <w:t xml:space="preserve"> It is necessary to assess why a poor score justifies reform effort in terms of its likely effect on budget outcomes.</w:t>
      </w:r>
    </w:p>
    <w:p w14:paraId="7E43D518" w14:textId="77777777" w:rsidR="00787D3B" w:rsidRDefault="00787D3B" w:rsidP="00787D3B">
      <w:pPr>
        <w:pStyle w:val="ListParagraph"/>
        <w:tabs>
          <w:tab w:val="left" w:pos="720"/>
        </w:tabs>
        <w:autoSpaceDE w:val="0"/>
        <w:autoSpaceDN w:val="0"/>
        <w:adjustRightInd w:val="0"/>
        <w:spacing w:after="0" w:line="240" w:lineRule="auto"/>
        <w:ind w:left="0" w:firstLine="0"/>
        <w:jc w:val="both"/>
      </w:pPr>
    </w:p>
    <w:p w14:paraId="728CE235" w14:textId="2F1C581C" w:rsidR="00DB3CCB" w:rsidRDefault="00DB3CCB" w:rsidP="005A03CD">
      <w:pPr>
        <w:pStyle w:val="ListParagraph"/>
        <w:numPr>
          <w:ilvl w:val="0"/>
          <w:numId w:val="2"/>
        </w:numPr>
        <w:tabs>
          <w:tab w:val="left" w:pos="720"/>
        </w:tabs>
        <w:autoSpaceDE w:val="0"/>
        <w:autoSpaceDN w:val="0"/>
        <w:adjustRightInd w:val="0"/>
        <w:spacing w:after="0" w:line="240" w:lineRule="auto"/>
        <w:jc w:val="both"/>
      </w:pPr>
      <w:r w:rsidRPr="008F58D2">
        <w:rPr>
          <w:b/>
          <w:i/>
        </w:rPr>
        <w:t>Budget reliability</w:t>
      </w:r>
      <w:r w:rsidRPr="00813B44">
        <w:t xml:space="preserve"> </w:t>
      </w:r>
      <w:r w:rsidRPr="008F58D2">
        <w:rPr>
          <w:b/>
        </w:rPr>
        <w:t>(PI</w:t>
      </w:r>
      <w:r w:rsidR="00701C47" w:rsidRPr="008F58D2">
        <w:rPr>
          <w:b/>
        </w:rPr>
        <w:t>-</w:t>
      </w:r>
      <w:r w:rsidRPr="008F58D2">
        <w:rPr>
          <w:b/>
        </w:rPr>
        <w:t>1-3)</w:t>
      </w:r>
      <w:r w:rsidR="003200A3">
        <w:rPr>
          <w:b/>
        </w:rPr>
        <w:t>.</w:t>
      </w:r>
      <w:r w:rsidRPr="00813B44">
        <w:t xml:space="preserve"> </w:t>
      </w:r>
      <w:r w:rsidR="00BF11D7">
        <w:t xml:space="preserve">While the assessment framework specification </w:t>
      </w:r>
      <w:r w:rsidR="00082144">
        <w:t xml:space="preserve">for </w:t>
      </w:r>
      <w:r w:rsidR="00BF11D7">
        <w:t>comparing budgeted expenditure with expenditure outturn data could not be calculated as such due to the non-availability of consolidated</w:t>
      </w:r>
      <w:r w:rsidR="00082144">
        <w:t>,</w:t>
      </w:r>
      <w:r w:rsidR="00BF11D7">
        <w:t xml:space="preserve"> comparable numbers for actual disbursements, </w:t>
      </w:r>
      <w:r w:rsidR="00082144">
        <w:t xml:space="preserve">the </w:t>
      </w:r>
      <w:r w:rsidR="00BF11D7">
        <w:t xml:space="preserve">comparison was made with obligations incurred. As a proxy for expenditure, obligations would always be in excess, but the budget reliability still comes out as poor for both revenue and expenditure outturns. This </w:t>
      </w:r>
      <w:r w:rsidR="00BF11D7" w:rsidRPr="00D42587">
        <w:t xml:space="preserve">lack of credibility in the budget </w:t>
      </w:r>
      <w:r w:rsidR="00BF11D7">
        <w:t>can</w:t>
      </w:r>
      <w:r w:rsidR="00BF11D7" w:rsidRPr="00D42587">
        <w:t xml:space="preserve"> lead to shortfalls in the funding of priority expenditures</w:t>
      </w:r>
      <w:r w:rsidR="00BF11D7">
        <w:t>.</w:t>
      </w:r>
      <w:r w:rsidR="00BF11D7" w:rsidRPr="00D42587">
        <w:t xml:space="preserve"> </w:t>
      </w:r>
      <w:r w:rsidR="00BF11D7">
        <w:t>For the outturn by allotment class, the variance ranged from 14</w:t>
      </w:r>
      <w:r w:rsidR="0047177B">
        <w:t xml:space="preserve"> percent </w:t>
      </w:r>
      <w:r w:rsidR="00BF11D7">
        <w:t>in 2012 to 25</w:t>
      </w:r>
      <w:r w:rsidR="0047177B">
        <w:t xml:space="preserve"> percent </w:t>
      </w:r>
      <w:r w:rsidR="00BF11D7">
        <w:t xml:space="preserve">in 2014 with capital outlays showing the </w:t>
      </w:r>
      <w:r w:rsidR="0047177B">
        <w:t xml:space="preserve">greatest </w:t>
      </w:r>
      <w:r w:rsidR="00BF11D7">
        <w:t xml:space="preserve">gap in expenditures. Aggregate revenue outturn performed well, </w:t>
      </w:r>
      <w:r w:rsidR="00E52122">
        <w:t xml:space="preserve">but </w:t>
      </w:r>
      <w:r w:rsidR="00BF11D7">
        <w:t>aggregate expenditure outturn did not, with obligations falling short of appropriations by 1</w:t>
      </w:r>
      <w:r w:rsidR="00E52122">
        <w:t>3</w:t>
      </w:r>
      <w:r w:rsidR="0047177B">
        <w:t xml:space="preserve"> percent </w:t>
      </w:r>
      <w:r w:rsidR="00BF11D7">
        <w:t>in 2012 to 2</w:t>
      </w:r>
      <w:r w:rsidR="00E52122">
        <w:t>8</w:t>
      </w:r>
      <w:r w:rsidR="0047177B">
        <w:t xml:space="preserve"> percent </w:t>
      </w:r>
      <w:r w:rsidR="00BF11D7">
        <w:t xml:space="preserve">in 2014, </w:t>
      </w:r>
      <w:r w:rsidR="00E52122">
        <w:t xml:space="preserve">thereby affecting </w:t>
      </w:r>
      <w:r w:rsidR="00BF11D7">
        <w:t xml:space="preserve">fiscal discipline. </w:t>
      </w:r>
      <w:r w:rsidR="00E52122">
        <w:t xml:space="preserve">Improving budget outcomes would require an emphasis on both revenue and expenditure. </w:t>
      </w:r>
      <w:r w:rsidR="00BF11D7">
        <w:t>This depends on prompt</w:t>
      </w:r>
      <w:r w:rsidR="00E52122">
        <w:t xml:space="preserve"> and focused financial reporting processes </w:t>
      </w:r>
      <w:r>
        <w:t xml:space="preserve">so that </w:t>
      </w:r>
      <w:r w:rsidR="00E52122">
        <w:t xml:space="preserve">budget </w:t>
      </w:r>
      <w:r>
        <w:t xml:space="preserve">managers can respond to variations as they arise. The effect on desired budget outcomes is potentially substantial as the </w:t>
      </w:r>
      <w:r w:rsidR="007209D7">
        <w:t xml:space="preserve">Government </w:t>
      </w:r>
      <w:r>
        <w:t xml:space="preserve">has strong intentions to secure social service expenditure priorities and deliver these services in the most efficient manner. </w:t>
      </w:r>
      <w:r w:rsidR="00E52122">
        <w:t>A</w:t>
      </w:r>
      <w:r>
        <w:t xml:space="preserve"> </w:t>
      </w:r>
      <w:r w:rsidR="007209D7">
        <w:t>well-</w:t>
      </w:r>
      <w:r>
        <w:t xml:space="preserve">performing information system </w:t>
      </w:r>
      <w:r w:rsidR="00E52122">
        <w:t xml:space="preserve">within a </w:t>
      </w:r>
      <w:r>
        <w:t xml:space="preserve">strong regulatory framework </w:t>
      </w:r>
      <w:r w:rsidR="0047177B">
        <w:t xml:space="preserve">could </w:t>
      </w:r>
      <w:r w:rsidR="00E52122">
        <w:t xml:space="preserve">help achieve this objective. </w:t>
      </w:r>
    </w:p>
    <w:p w14:paraId="21CF09BC" w14:textId="77777777" w:rsidR="00DB3CCB" w:rsidRPr="00E34102" w:rsidRDefault="00DB3CCB" w:rsidP="00DB3CCB">
      <w:pPr>
        <w:pStyle w:val="ListParagraph"/>
      </w:pPr>
    </w:p>
    <w:p w14:paraId="1EB53C27" w14:textId="1F6B31F2" w:rsidR="00DB3CCB" w:rsidRDefault="00DB3CCB" w:rsidP="005A03CD">
      <w:pPr>
        <w:pStyle w:val="ListParagraph"/>
        <w:numPr>
          <w:ilvl w:val="0"/>
          <w:numId w:val="2"/>
        </w:numPr>
        <w:tabs>
          <w:tab w:val="left" w:pos="720"/>
        </w:tabs>
        <w:autoSpaceDE w:val="0"/>
        <w:autoSpaceDN w:val="0"/>
        <w:adjustRightInd w:val="0"/>
        <w:spacing w:after="0" w:line="240" w:lineRule="auto"/>
        <w:jc w:val="both"/>
      </w:pPr>
      <w:r w:rsidRPr="008F58D2">
        <w:rPr>
          <w:b/>
          <w:i/>
        </w:rPr>
        <w:t>Transparency of public finances</w:t>
      </w:r>
      <w:r w:rsidR="00813B44">
        <w:t xml:space="preserve"> </w:t>
      </w:r>
      <w:r w:rsidR="00813B44" w:rsidRPr="008F58D2">
        <w:rPr>
          <w:b/>
        </w:rPr>
        <w:t>(PI</w:t>
      </w:r>
      <w:r w:rsidR="00701C47" w:rsidRPr="008F58D2">
        <w:rPr>
          <w:b/>
        </w:rPr>
        <w:t>-</w:t>
      </w:r>
      <w:r w:rsidR="00813B44" w:rsidRPr="008F58D2">
        <w:rPr>
          <w:b/>
        </w:rPr>
        <w:t>4-9)</w:t>
      </w:r>
      <w:r w:rsidR="007209D7">
        <w:t>.</w:t>
      </w:r>
      <w:r>
        <w:t xml:space="preserve"> </w:t>
      </w:r>
      <w:r w:rsidR="007209D7">
        <w:t>T</w:t>
      </w:r>
      <w:r>
        <w:t xml:space="preserve">his area performs very well. The budget preparation and budget management processes rate </w:t>
      </w:r>
      <w:r w:rsidR="00040929">
        <w:t>highly</w:t>
      </w:r>
      <w:r>
        <w:t xml:space="preserve"> in public policy and transparency. There is room for greater accord with</w:t>
      </w:r>
      <w:r w:rsidR="007209D7">
        <w:t xml:space="preserve"> Government Finance Statistics</w:t>
      </w:r>
      <w:r>
        <w:t xml:space="preserve"> </w:t>
      </w:r>
      <w:r w:rsidR="007209D7">
        <w:t>(</w:t>
      </w:r>
      <w:r>
        <w:t>GFS</w:t>
      </w:r>
      <w:r w:rsidR="007209D7">
        <w:t>)</w:t>
      </w:r>
      <w:r>
        <w:t xml:space="preserve"> classifications </w:t>
      </w:r>
      <w:r w:rsidR="00040929">
        <w:t xml:space="preserve">in accounting processes </w:t>
      </w:r>
      <w:r>
        <w:t xml:space="preserve">to give better information </w:t>
      </w:r>
      <w:r w:rsidR="007209D7">
        <w:t xml:space="preserve">that </w:t>
      </w:r>
      <w:r>
        <w:t xml:space="preserve">will assist with </w:t>
      </w:r>
      <w:r w:rsidR="00E52122">
        <w:t xml:space="preserve">budget </w:t>
      </w:r>
      <w:r>
        <w:t>monitoring</w:t>
      </w:r>
      <w:r w:rsidR="007209D7">
        <w:t xml:space="preserve">; </w:t>
      </w:r>
      <w:r>
        <w:t xml:space="preserve">and there is need to improve data on financial assets. Timeliness of </w:t>
      </w:r>
      <w:r w:rsidR="00D53B92">
        <w:t>Annual Financial Report</w:t>
      </w:r>
      <w:r>
        <w:t xml:space="preserve">s </w:t>
      </w:r>
      <w:r w:rsidR="00040929">
        <w:t>for</w:t>
      </w:r>
      <w:r>
        <w:t xml:space="preserve"> extra</w:t>
      </w:r>
      <w:r w:rsidR="00813B44">
        <w:t>-</w:t>
      </w:r>
      <w:r>
        <w:t xml:space="preserve">budgetary agencies needs to improve to meet statutory requirements. </w:t>
      </w:r>
    </w:p>
    <w:p w14:paraId="29D16941" w14:textId="77777777" w:rsidR="00DB3CCB" w:rsidRPr="0057209D" w:rsidRDefault="00DB3CCB" w:rsidP="00DB3CCB">
      <w:pPr>
        <w:pStyle w:val="ListParagraph"/>
      </w:pPr>
    </w:p>
    <w:p w14:paraId="61BFA838" w14:textId="118F2E58" w:rsidR="00DB3CCB" w:rsidRDefault="00DB3CCB" w:rsidP="005A03CD">
      <w:pPr>
        <w:pStyle w:val="ListParagraph"/>
        <w:numPr>
          <w:ilvl w:val="0"/>
          <w:numId w:val="2"/>
        </w:numPr>
        <w:tabs>
          <w:tab w:val="left" w:pos="720"/>
        </w:tabs>
        <w:autoSpaceDE w:val="0"/>
        <w:autoSpaceDN w:val="0"/>
        <w:adjustRightInd w:val="0"/>
        <w:spacing w:after="0" w:line="240" w:lineRule="auto"/>
        <w:jc w:val="both"/>
      </w:pPr>
      <w:r w:rsidRPr="008F58D2">
        <w:rPr>
          <w:b/>
          <w:i/>
        </w:rPr>
        <w:t>Management of assets and liabilities</w:t>
      </w:r>
      <w:r>
        <w:t xml:space="preserve"> </w:t>
      </w:r>
      <w:r w:rsidR="00813B44" w:rsidRPr="008F58D2">
        <w:rPr>
          <w:b/>
        </w:rPr>
        <w:t>(PI</w:t>
      </w:r>
      <w:r w:rsidR="00701C47" w:rsidRPr="008F58D2">
        <w:rPr>
          <w:b/>
        </w:rPr>
        <w:t>-</w:t>
      </w:r>
      <w:r w:rsidR="00813B44" w:rsidRPr="008F58D2">
        <w:rPr>
          <w:b/>
        </w:rPr>
        <w:t>10-13)</w:t>
      </w:r>
      <w:r w:rsidR="00B931AB">
        <w:t>.</w:t>
      </w:r>
      <w:r w:rsidR="00813B44">
        <w:t xml:space="preserve"> </w:t>
      </w:r>
      <w:r w:rsidR="00B931AB">
        <w:t>R</w:t>
      </w:r>
      <w:r>
        <w:t xml:space="preserve">esults for this pillar are mixed. </w:t>
      </w:r>
      <w:r w:rsidR="00040929" w:rsidRPr="00C208F8">
        <w:t xml:space="preserve">Some annual audited reports for </w:t>
      </w:r>
      <w:r w:rsidR="0047177B">
        <w:t>g</w:t>
      </w:r>
      <w:r w:rsidR="0047177B" w:rsidRPr="0047177B">
        <w:t>overnment-owned or -controlled corporation</w:t>
      </w:r>
      <w:r w:rsidR="0047177B">
        <w:t>s</w:t>
      </w:r>
      <w:r w:rsidR="0047177B" w:rsidRPr="00C208F8">
        <w:t xml:space="preserve"> </w:t>
      </w:r>
      <w:r w:rsidR="0047177B">
        <w:t>(</w:t>
      </w:r>
      <w:r w:rsidR="00040929" w:rsidRPr="00C208F8">
        <w:t>GOCCs</w:t>
      </w:r>
      <w:r w:rsidR="0047177B">
        <w:t>)</w:t>
      </w:r>
      <w:r w:rsidR="00040929" w:rsidRPr="00C208F8">
        <w:t xml:space="preserve"> and</w:t>
      </w:r>
      <w:r w:rsidR="0047177B">
        <w:t xml:space="preserve"> local government units (</w:t>
      </w:r>
      <w:r w:rsidR="00040929" w:rsidRPr="00C208F8">
        <w:t>LGUs</w:t>
      </w:r>
      <w:r w:rsidR="0047177B">
        <w:t>)</w:t>
      </w:r>
      <w:r w:rsidR="00040929" w:rsidRPr="00C208F8">
        <w:t xml:space="preserve"> were not issued within 9 months risking the adequacy of the timeliness of fiscal risk monitoring.</w:t>
      </w:r>
      <w:r w:rsidR="00040929">
        <w:t xml:space="preserve"> </w:t>
      </w:r>
      <w:r>
        <w:t xml:space="preserve">Management of public investments rated well with strong institutional arrangements, </w:t>
      </w:r>
      <w:r w:rsidR="00B931AB">
        <w:t>an</w:t>
      </w:r>
      <w:r>
        <w:t xml:space="preserve"> important area for </w:t>
      </w:r>
      <w:r w:rsidR="00040929">
        <w:t>public financial management</w:t>
      </w:r>
      <w:r w:rsidRPr="00A370AD">
        <w:t>.</w:t>
      </w:r>
      <w:r>
        <w:t xml:space="preserve"> Management of public assets was less effective </w:t>
      </w:r>
      <w:r w:rsidR="00B931AB">
        <w:t xml:space="preserve">with need for </w:t>
      </w:r>
      <w:r>
        <w:t>better accountin</w:t>
      </w:r>
      <w:r w:rsidR="00813B44">
        <w:t>g systems for financial and non-</w:t>
      </w:r>
      <w:r>
        <w:t>financial assets to deal with audit reports of discrepancies leading to qualified a</w:t>
      </w:r>
      <w:r w:rsidR="00040929">
        <w:t>udit opinions</w:t>
      </w:r>
      <w:r>
        <w:t>. Debt management is an extremely important function for fiscal discipline and generally rates well</w:t>
      </w:r>
      <w:r w:rsidR="00B931AB">
        <w:t>,</w:t>
      </w:r>
      <w:r>
        <w:t xml:space="preserve"> but </w:t>
      </w:r>
      <w:r w:rsidR="00040929" w:rsidRPr="00C208F8">
        <w:t xml:space="preserve">the </w:t>
      </w:r>
      <w:r w:rsidR="0047177B" w:rsidRPr="00C208F8">
        <w:t>medium</w:t>
      </w:r>
      <w:r w:rsidR="0047177B">
        <w:t>-</w:t>
      </w:r>
      <w:r w:rsidR="00040929" w:rsidRPr="00C208F8">
        <w:t>term debt management strategy needs to be published to provide</w:t>
      </w:r>
      <w:r w:rsidR="00040929">
        <w:t xml:space="preserve"> </w:t>
      </w:r>
      <w:r>
        <w:t>transparency.</w:t>
      </w:r>
    </w:p>
    <w:p w14:paraId="10A562BC" w14:textId="77777777" w:rsidR="00DB3CCB" w:rsidRPr="007F3FE2" w:rsidRDefault="00DB3CCB" w:rsidP="00DB3CCB">
      <w:pPr>
        <w:pStyle w:val="ListParagraph"/>
      </w:pPr>
    </w:p>
    <w:p w14:paraId="33C97979" w14:textId="01F65499" w:rsidR="00DB3CCB" w:rsidRDefault="00813B44" w:rsidP="005A03CD">
      <w:pPr>
        <w:pStyle w:val="ListParagraph"/>
        <w:numPr>
          <w:ilvl w:val="0"/>
          <w:numId w:val="2"/>
        </w:numPr>
        <w:tabs>
          <w:tab w:val="left" w:pos="720"/>
        </w:tabs>
        <w:autoSpaceDE w:val="0"/>
        <w:autoSpaceDN w:val="0"/>
        <w:adjustRightInd w:val="0"/>
        <w:spacing w:after="0" w:line="240" w:lineRule="auto"/>
        <w:jc w:val="both"/>
      </w:pPr>
      <w:r w:rsidRPr="008F58D2">
        <w:rPr>
          <w:b/>
          <w:i/>
        </w:rPr>
        <w:t>Policy-</w:t>
      </w:r>
      <w:r w:rsidR="00DB3CCB" w:rsidRPr="008F58D2">
        <w:rPr>
          <w:b/>
          <w:i/>
        </w:rPr>
        <w:t>based fiscal strategy and budgeting</w:t>
      </w:r>
      <w:r w:rsidR="00DB3CCB">
        <w:t xml:space="preserve"> </w:t>
      </w:r>
      <w:r w:rsidRPr="008F58D2">
        <w:rPr>
          <w:b/>
        </w:rPr>
        <w:t>(PI</w:t>
      </w:r>
      <w:r w:rsidR="00701C47" w:rsidRPr="008F58D2">
        <w:rPr>
          <w:b/>
        </w:rPr>
        <w:t>-</w:t>
      </w:r>
      <w:r w:rsidRPr="008F58D2">
        <w:rPr>
          <w:b/>
        </w:rPr>
        <w:t>14-18)</w:t>
      </w:r>
      <w:r w:rsidR="00B931AB">
        <w:t>.</w:t>
      </w:r>
      <w:r>
        <w:t xml:space="preserve"> </w:t>
      </w:r>
      <w:r w:rsidR="00B931AB">
        <w:t>T</w:t>
      </w:r>
      <w:r w:rsidR="00DB3CCB">
        <w:t xml:space="preserve">his pillar rates well with </w:t>
      </w:r>
      <w:r w:rsidR="00040929">
        <w:t>all areas displaying satisfactory or good performance</w:t>
      </w:r>
      <w:r w:rsidR="00F41E84">
        <w:t>,</w:t>
      </w:r>
      <w:r w:rsidR="00040929">
        <w:t xml:space="preserve"> which reflects the many efforts made in the recent years to improve the budget formulation process. </w:t>
      </w:r>
    </w:p>
    <w:p w14:paraId="5345F31E" w14:textId="77777777" w:rsidR="00DB3CCB" w:rsidRPr="009C1275" w:rsidRDefault="00DB3CCB" w:rsidP="00DB3CCB">
      <w:pPr>
        <w:pStyle w:val="ListParagraph"/>
      </w:pPr>
    </w:p>
    <w:p w14:paraId="3D8CAFC6" w14:textId="3CF19446" w:rsidR="00DB3CCB" w:rsidRDefault="00DB3CCB" w:rsidP="005A03CD">
      <w:pPr>
        <w:pStyle w:val="ListParagraph"/>
        <w:numPr>
          <w:ilvl w:val="0"/>
          <w:numId w:val="2"/>
        </w:numPr>
        <w:tabs>
          <w:tab w:val="left" w:pos="720"/>
        </w:tabs>
        <w:autoSpaceDE w:val="0"/>
        <w:autoSpaceDN w:val="0"/>
        <w:adjustRightInd w:val="0"/>
        <w:spacing w:after="0" w:line="240" w:lineRule="auto"/>
        <w:jc w:val="both"/>
      </w:pPr>
      <w:r w:rsidRPr="008F58D2">
        <w:rPr>
          <w:b/>
          <w:i/>
        </w:rPr>
        <w:t>Predictability and control in budget execution</w:t>
      </w:r>
      <w:r>
        <w:t xml:space="preserve"> </w:t>
      </w:r>
      <w:r w:rsidR="00813B44" w:rsidRPr="008F58D2">
        <w:rPr>
          <w:b/>
        </w:rPr>
        <w:t>(PI</w:t>
      </w:r>
      <w:r w:rsidR="00701C47" w:rsidRPr="008F58D2">
        <w:rPr>
          <w:b/>
        </w:rPr>
        <w:t>-</w:t>
      </w:r>
      <w:r w:rsidR="00813B44" w:rsidRPr="008F58D2">
        <w:rPr>
          <w:b/>
        </w:rPr>
        <w:t>19-26)</w:t>
      </w:r>
      <w:r w:rsidR="00B931AB">
        <w:t>.</w:t>
      </w:r>
      <w:r w:rsidR="002C2BC8">
        <w:t xml:space="preserve"> </w:t>
      </w:r>
      <w:r w:rsidR="00B931AB">
        <w:t>R</w:t>
      </w:r>
      <w:r>
        <w:t xml:space="preserve">esults here are mixed with weaknesses </w:t>
      </w:r>
      <w:r w:rsidR="001C09FD">
        <w:t>undermining performance in other pillars</w:t>
      </w:r>
      <w:r>
        <w:t xml:space="preserve">. </w:t>
      </w:r>
      <w:r w:rsidR="001C09FD">
        <w:t xml:space="preserve">The </w:t>
      </w:r>
      <w:r w:rsidR="00234E21">
        <w:t>performance indicators</w:t>
      </w:r>
      <w:r>
        <w:t xml:space="preserve"> </w:t>
      </w:r>
      <w:r w:rsidR="001C09FD">
        <w:t xml:space="preserve">focus on </w:t>
      </w:r>
      <w:r>
        <w:t xml:space="preserve">the internal control framework. </w:t>
      </w:r>
      <w:r w:rsidR="00B931AB">
        <w:t xml:space="preserve">The Government </w:t>
      </w:r>
      <w:r>
        <w:t>has an extensive formal structure for internal control and internal audit with its Administrative Code and rules for the implementation of internal control and internal audit. However</w:t>
      </w:r>
      <w:r w:rsidR="00B931AB">
        <w:t>,</w:t>
      </w:r>
      <w:r>
        <w:t xml:space="preserve"> the de jure and de facto performance can diverge</w:t>
      </w:r>
      <w:r w:rsidR="00B931AB">
        <w:t xml:space="preserve">; </w:t>
      </w:r>
      <w:r w:rsidR="001C09FD">
        <w:t>internal audit programs can be delayed</w:t>
      </w:r>
      <w:r w:rsidR="00F41E84">
        <w:t>,</w:t>
      </w:r>
      <w:r w:rsidR="001C09FD">
        <w:t xml:space="preserve"> </w:t>
      </w:r>
      <w:r w:rsidR="00F41E84">
        <w:t>similarly as</w:t>
      </w:r>
      <w:r w:rsidR="001C09FD">
        <w:t xml:space="preserve"> the implementation of management actions</w:t>
      </w:r>
      <w:r w:rsidR="00F41E84">
        <w:t>,</w:t>
      </w:r>
      <w:r w:rsidR="001C09FD">
        <w:t xml:space="preserve"> to address concerns raised by the auditors. E</w:t>
      </w:r>
      <w:r>
        <w:t xml:space="preserve">xternal audit observations and audit qualifications </w:t>
      </w:r>
      <w:r w:rsidR="0032029B">
        <w:t>we</w:t>
      </w:r>
      <w:r>
        <w:t xml:space="preserve">re too numerous to be </w:t>
      </w:r>
      <w:r w:rsidR="001C09FD">
        <w:t xml:space="preserve">fully </w:t>
      </w:r>
      <w:r>
        <w:t xml:space="preserve">satisfied with the implementation of these controls, </w:t>
      </w:r>
      <w:r w:rsidR="00F41E84">
        <w:t xml:space="preserve">thus </w:t>
      </w:r>
      <w:r>
        <w:t xml:space="preserve">risking budget outcomes. Internal control of payroll and the conduct of payroll audits </w:t>
      </w:r>
      <w:r w:rsidR="00F41E84">
        <w:t xml:space="preserve">were </w:t>
      </w:r>
      <w:r w:rsidR="001C09FD">
        <w:t>assessed as</w:t>
      </w:r>
      <w:r w:rsidR="001C09FD" w:rsidRPr="00404C43">
        <w:t xml:space="preserve"> sufficiently effective </w:t>
      </w:r>
      <w:r>
        <w:t xml:space="preserve">as were arrangements for expenditure commitment </w:t>
      </w:r>
      <w:r w:rsidR="001C09FD">
        <w:t>contro</w:t>
      </w:r>
      <w:r w:rsidR="00F41E84">
        <w:t>l</w:t>
      </w:r>
      <w:r w:rsidR="001C09FD">
        <w:t xml:space="preserve">. However lack of automation limits the overview to enable effective monitoring of continuing appropriations and commitments brought forward from previous years. </w:t>
      </w:r>
      <w:r w:rsidR="00F41E84">
        <w:t>Audit</w:t>
      </w:r>
      <w:r w:rsidR="001C09FD" w:rsidRPr="008A491B">
        <w:t xml:space="preserve"> reports</w:t>
      </w:r>
      <w:r w:rsidR="00F41E84">
        <w:t xml:space="preserve"> from the Commission on Audit (CoA)</w:t>
      </w:r>
      <w:r w:rsidR="001C09FD" w:rsidRPr="008A491B">
        <w:t xml:space="preserve"> </w:t>
      </w:r>
      <w:r w:rsidR="001C09FD">
        <w:t>are routinely qualified</w:t>
      </w:r>
      <w:r w:rsidR="00F41E84">
        <w:t>,</w:t>
      </w:r>
      <w:r w:rsidR="001C09FD">
        <w:t xml:space="preserve"> and even adverse opinions and disclaimers are issued. Concerns raised include compliance with internal controls and largely the integrity of financial information presented. </w:t>
      </w:r>
      <w:r>
        <w:t>Procurement processes rated well apart from the need to introduce a</w:t>
      </w:r>
      <w:r w:rsidR="001C09FD">
        <w:t xml:space="preserve">n independent </w:t>
      </w:r>
      <w:r>
        <w:t>complaints mechanism, leaving concern</w:t>
      </w:r>
      <w:r w:rsidR="001C09FD">
        <w:t>s</w:t>
      </w:r>
      <w:r>
        <w:t xml:space="preserve"> about transparency</w:t>
      </w:r>
      <w:r w:rsidR="001C09FD">
        <w:t xml:space="preserve">, </w:t>
      </w:r>
      <w:r>
        <w:t>fairness</w:t>
      </w:r>
      <w:r w:rsidR="00A237BE">
        <w:t>,</w:t>
      </w:r>
      <w:r>
        <w:t xml:space="preserve"> and fiscal discipline. Also</w:t>
      </w:r>
      <w:r w:rsidR="00A237BE">
        <w:t>,</w:t>
      </w:r>
      <w:r>
        <w:t xml:space="preserve"> a significant proportion of procurements did not use competitive processes, again leaving similar concerns. Other areas that need rectification are </w:t>
      </w:r>
      <w:r w:rsidR="00D16090">
        <w:t>improving the effectiveness of internal audit through better resourcing and an independent reporting mechanism</w:t>
      </w:r>
      <w:r w:rsidR="00250522">
        <w:t xml:space="preserve">; </w:t>
      </w:r>
      <w:r w:rsidR="00D16090">
        <w:t xml:space="preserve">inclusion of </w:t>
      </w:r>
      <w:r>
        <w:t>a</w:t>
      </w:r>
      <w:r w:rsidRPr="0010522D">
        <w:t>ccounts for foreign-funded</w:t>
      </w:r>
      <w:r>
        <w:t xml:space="preserve"> projects in</w:t>
      </w:r>
      <w:r w:rsidRPr="0010522D">
        <w:t xml:space="preserve"> the</w:t>
      </w:r>
      <w:r w:rsidR="00250522">
        <w:t xml:space="preserve"> treasury single account</w:t>
      </w:r>
      <w:r w:rsidRPr="0010522D">
        <w:t xml:space="preserve"> </w:t>
      </w:r>
      <w:r w:rsidR="00250522">
        <w:t>(</w:t>
      </w:r>
      <w:r w:rsidRPr="0010522D">
        <w:t>TSA</w:t>
      </w:r>
      <w:r w:rsidR="00250522">
        <w:t>) system</w:t>
      </w:r>
      <w:r>
        <w:t xml:space="preserve"> to consolidate cash balances for effective fiscal management</w:t>
      </w:r>
      <w:r w:rsidR="00250522">
        <w:t xml:space="preserve">; </w:t>
      </w:r>
      <w:r>
        <w:t xml:space="preserve">and </w:t>
      </w:r>
      <w:r w:rsidR="00D16090">
        <w:t xml:space="preserve">an efficient regular process for capturing and aging arrears in both revenues and expenditures to mitigate risks to </w:t>
      </w:r>
      <w:r>
        <w:t>fiscal discipline.</w:t>
      </w:r>
    </w:p>
    <w:p w14:paraId="59400BA8" w14:textId="77777777" w:rsidR="00DB3CCB" w:rsidRPr="00061580" w:rsidRDefault="00DB3CCB" w:rsidP="00DB3CCB">
      <w:pPr>
        <w:pStyle w:val="ListParagraph"/>
      </w:pPr>
    </w:p>
    <w:p w14:paraId="071EB37A" w14:textId="53007A84" w:rsidR="00D16090" w:rsidRDefault="00DB3CCB" w:rsidP="00D16090">
      <w:pPr>
        <w:pStyle w:val="ListParagraph"/>
        <w:numPr>
          <w:ilvl w:val="0"/>
          <w:numId w:val="2"/>
        </w:numPr>
        <w:tabs>
          <w:tab w:val="left" w:pos="720"/>
        </w:tabs>
        <w:autoSpaceDE w:val="0"/>
        <w:autoSpaceDN w:val="0"/>
        <w:adjustRightInd w:val="0"/>
        <w:spacing w:after="0" w:line="240" w:lineRule="auto"/>
        <w:jc w:val="both"/>
      </w:pPr>
      <w:r w:rsidRPr="00601553">
        <w:rPr>
          <w:b/>
          <w:i/>
        </w:rPr>
        <w:t>Accounting and reporting</w:t>
      </w:r>
      <w:r>
        <w:t xml:space="preserve"> </w:t>
      </w:r>
      <w:r w:rsidR="00813B44" w:rsidRPr="00601553">
        <w:rPr>
          <w:b/>
        </w:rPr>
        <w:t>(PI</w:t>
      </w:r>
      <w:r w:rsidR="00701C47" w:rsidRPr="00601553">
        <w:rPr>
          <w:b/>
        </w:rPr>
        <w:t>-</w:t>
      </w:r>
      <w:r w:rsidR="00813B44" w:rsidRPr="00601553">
        <w:rPr>
          <w:b/>
        </w:rPr>
        <w:t>27-29)</w:t>
      </w:r>
      <w:r w:rsidR="00250522">
        <w:t>.</w:t>
      </w:r>
      <w:r w:rsidR="00813B44" w:rsidRPr="00D73BDF">
        <w:t xml:space="preserve"> </w:t>
      </w:r>
      <w:r w:rsidR="00D16090">
        <w:t>Systems and processes covered under t</w:t>
      </w:r>
      <w:r>
        <w:t>his pillar</w:t>
      </w:r>
      <w:r w:rsidR="00D16090">
        <w:t xml:space="preserve"> form the primary source of </w:t>
      </w:r>
      <w:r>
        <w:t xml:space="preserve">information for </w:t>
      </w:r>
      <w:r w:rsidR="00250522">
        <w:t>decision-</w:t>
      </w:r>
      <w:r>
        <w:t>making by management</w:t>
      </w:r>
      <w:r w:rsidR="00D16090">
        <w:t>. These did not rate well</w:t>
      </w:r>
      <w:r>
        <w:t xml:space="preserve">. Both financial data integrity </w:t>
      </w:r>
      <w:r w:rsidR="00D16090">
        <w:t xml:space="preserve">processes </w:t>
      </w:r>
      <w:r>
        <w:t xml:space="preserve">and in-year budget reporting </w:t>
      </w:r>
      <w:r w:rsidR="00D16090">
        <w:t>require substantial improvement</w:t>
      </w:r>
      <w:r>
        <w:t xml:space="preserve">. Some basic processes such as reconciliation of bank accounts, and </w:t>
      </w:r>
      <w:r w:rsidR="00D16090">
        <w:t xml:space="preserve">cash </w:t>
      </w:r>
      <w:r>
        <w:t xml:space="preserve">advances were not </w:t>
      </w:r>
      <w:r w:rsidR="00047DEE">
        <w:t xml:space="preserve">handled </w:t>
      </w:r>
      <w:r>
        <w:t xml:space="preserve">well. </w:t>
      </w:r>
      <w:r w:rsidR="00D16090">
        <w:t xml:space="preserve">Most financial reporting is compiled </w:t>
      </w:r>
      <w:r w:rsidR="00A237BE">
        <w:t xml:space="preserve">through </w:t>
      </w:r>
      <w:r w:rsidR="00D16090">
        <w:t>spreadsheets without the necessary controls that would ensure data integrity.</w:t>
      </w:r>
      <w:r>
        <w:t xml:space="preserve"> Most departmental annual accounts are given qualified audit opinions leaving the </w:t>
      </w:r>
      <w:r w:rsidR="00047DEE">
        <w:t xml:space="preserve">Government </w:t>
      </w:r>
      <w:r>
        <w:t xml:space="preserve">with no assurance as to the reliability of its annual accounts. </w:t>
      </w:r>
      <w:r w:rsidRPr="007F7623">
        <w:t>Timely submission</w:t>
      </w:r>
      <w:r>
        <w:t xml:space="preserve"> of </w:t>
      </w:r>
      <w:r w:rsidR="00A237BE">
        <w:t>in-</w:t>
      </w:r>
      <w:r w:rsidR="00047DEE">
        <w:t xml:space="preserve">year </w:t>
      </w:r>
      <w:r>
        <w:t>budget reports is</w:t>
      </w:r>
      <w:r w:rsidRPr="007F7623">
        <w:t xml:space="preserve"> a challenge among </w:t>
      </w:r>
      <w:r w:rsidR="00047DEE">
        <w:t>several</w:t>
      </w:r>
      <w:r w:rsidRPr="007F7623">
        <w:t xml:space="preserve"> line departments and agencies. </w:t>
      </w:r>
      <w:r w:rsidR="00D16090">
        <w:t>Most reports are prepared manually and</w:t>
      </w:r>
      <w:r w:rsidR="00A237BE">
        <w:t>,</w:t>
      </w:r>
      <w:r w:rsidR="00D16090">
        <w:t xml:space="preserve"> as of February 29, 2016, </w:t>
      </w:r>
      <w:r w:rsidR="00D16090" w:rsidRPr="00313CD7">
        <w:t>less than 20</w:t>
      </w:r>
      <w:r w:rsidR="00A237BE">
        <w:t xml:space="preserve"> percent</w:t>
      </w:r>
      <w:r w:rsidR="00A237BE" w:rsidRPr="00313CD7">
        <w:t xml:space="preserve"> </w:t>
      </w:r>
      <w:r w:rsidR="00D16090" w:rsidRPr="00313CD7">
        <w:t xml:space="preserve">of reports for </w:t>
      </w:r>
      <w:r w:rsidR="00D16090">
        <w:t xml:space="preserve">the </w:t>
      </w:r>
      <w:r w:rsidR="00D16090" w:rsidRPr="00313CD7">
        <w:t>second, third</w:t>
      </w:r>
      <w:r w:rsidR="00A237BE">
        <w:t>,</w:t>
      </w:r>
      <w:r w:rsidR="00D16090" w:rsidRPr="00313CD7">
        <w:t xml:space="preserve"> or fourth quarter </w:t>
      </w:r>
      <w:r w:rsidR="00D16090">
        <w:t>had been</w:t>
      </w:r>
      <w:r w:rsidR="00D16090" w:rsidRPr="00313CD7">
        <w:t xml:space="preserve"> received.</w:t>
      </w:r>
      <w:r w:rsidR="00D16090">
        <w:t xml:space="preserve"> </w:t>
      </w:r>
      <w:r>
        <w:t xml:space="preserve"> The need for a comprehensive accounting system is apparent if budget outcomes are to be assured. </w:t>
      </w:r>
      <w:r w:rsidR="00D16090">
        <w:t xml:space="preserve">With the pace of development of technology in recent years, </w:t>
      </w:r>
      <w:r w:rsidR="003230A6">
        <w:t xml:space="preserve">it is common for governments to rely on comprehensive accounting systems to monitor and achieve stated intentions for </w:t>
      </w:r>
      <w:r w:rsidR="00D16090">
        <w:t>f</w:t>
      </w:r>
      <w:r>
        <w:t xml:space="preserve">iscal discipline, </w:t>
      </w:r>
      <w:r w:rsidR="003230A6">
        <w:t xml:space="preserve">optimum </w:t>
      </w:r>
      <w:r>
        <w:t>resource allocation</w:t>
      </w:r>
      <w:r w:rsidR="00047DEE">
        <w:t>,</w:t>
      </w:r>
      <w:r>
        <w:t xml:space="preserve"> and service delivery.</w:t>
      </w:r>
      <w:r w:rsidR="00D16090" w:rsidRPr="00D16090">
        <w:t xml:space="preserve"> </w:t>
      </w:r>
      <w:r w:rsidR="00D16090">
        <w:t>The</w:t>
      </w:r>
      <w:r w:rsidR="00A237BE">
        <w:t xml:space="preserve"> electronic New Government Accounting System (</w:t>
      </w:r>
      <w:r w:rsidR="00D16090" w:rsidRPr="000D0E8D">
        <w:rPr>
          <w:i/>
        </w:rPr>
        <w:t>e</w:t>
      </w:r>
      <w:r w:rsidR="00D16090">
        <w:t>NGAS</w:t>
      </w:r>
      <w:r w:rsidR="00A237BE">
        <w:t>)</w:t>
      </w:r>
      <w:r w:rsidR="00463756">
        <w:t>, with its</w:t>
      </w:r>
      <w:r w:rsidR="00D16090">
        <w:t xml:space="preserve"> computerized accounting </w:t>
      </w:r>
      <w:r w:rsidR="003230A6">
        <w:t>solution</w:t>
      </w:r>
      <w:r w:rsidR="00463756">
        <w:t>s,</w:t>
      </w:r>
      <w:r w:rsidR="003230A6">
        <w:t xml:space="preserve"> </w:t>
      </w:r>
      <w:r w:rsidR="00D16090">
        <w:t xml:space="preserve">has been rolled out to many </w:t>
      </w:r>
      <w:r w:rsidR="00463756">
        <w:t xml:space="preserve">agencies, </w:t>
      </w:r>
      <w:r w:rsidR="00D16090">
        <w:t xml:space="preserve">but not all, and is undergoing development and further </w:t>
      </w:r>
      <w:r w:rsidR="00463756">
        <w:t>updating</w:t>
      </w:r>
      <w:r w:rsidR="00D16090">
        <w:t xml:space="preserve">. </w:t>
      </w:r>
      <w:r w:rsidR="003230A6">
        <w:t>A whole of government audit opinion is not currently issued by the Commission on Audit</w:t>
      </w:r>
      <w:r w:rsidR="00463756">
        <w:t xml:space="preserve">; </w:t>
      </w:r>
      <w:r w:rsidR="003230A6">
        <w:t xml:space="preserve">but with </w:t>
      </w:r>
      <w:r w:rsidR="00D16090" w:rsidRPr="00181F9F">
        <w:t xml:space="preserve">qualified opinions on the majority of the individual agency financial </w:t>
      </w:r>
      <w:r w:rsidR="003230A6" w:rsidRPr="00181F9F">
        <w:t>statements,</w:t>
      </w:r>
      <w:r w:rsidR="003230A6">
        <w:t xml:space="preserve"> it</w:t>
      </w:r>
      <w:r w:rsidR="00D16090">
        <w:t xml:space="preserve"> </w:t>
      </w:r>
      <w:r w:rsidR="003230A6">
        <w:t xml:space="preserve">may </w:t>
      </w:r>
      <w:r w:rsidR="00D16090">
        <w:t xml:space="preserve">not </w:t>
      </w:r>
      <w:r w:rsidR="003230A6">
        <w:t xml:space="preserve">be </w:t>
      </w:r>
      <w:r w:rsidR="00D16090">
        <w:t>possible to ascertain the</w:t>
      </w:r>
      <w:r w:rsidR="00D16090" w:rsidRPr="00181F9F">
        <w:t xml:space="preserve"> integrity and completeness of </w:t>
      </w:r>
      <w:r w:rsidR="00D16090">
        <w:t xml:space="preserve">the </w:t>
      </w:r>
      <w:r w:rsidR="00D16090" w:rsidRPr="00181F9F">
        <w:t>overall financial data</w:t>
      </w:r>
      <w:r w:rsidR="00D16090">
        <w:t xml:space="preserve"> for the Government. This is a continuing significant defect in the annual financial accountability framework.</w:t>
      </w:r>
    </w:p>
    <w:p w14:paraId="2D4A0DAF" w14:textId="77777777" w:rsidR="00DB3CCB" w:rsidRPr="00D21064" w:rsidRDefault="00DB3CCB" w:rsidP="00463756"/>
    <w:p w14:paraId="0CFBCBF8" w14:textId="4C9B8603" w:rsidR="00DB3CCB" w:rsidRDefault="00DB3CCB" w:rsidP="005A03CD">
      <w:pPr>
        <w:pStyle w:val="ListParagraph"/>
        <w:numPr>
          <w:ilvl w:val="0"/>
          <w:numId w:val="2"/>
        </w:numPr>
        <w:tabs>
          <w:tab w:val="left" w:pos="720"/>
        </w:tabs>
        <w:autoSpaceDE w:val="0"/>
        <w:autoSpaceDN w:val="0"/>
        <w:adjustRightInd w:val="0"/>
        <w:spacing w:after="0" w:line="240" w:lineRule="auto"/>
        <w:jc w:val="both"/>
      </w:pPr>
      <w:r w:rsidRPr="00601553">
        <w:rPr>
          <w:b/>
          <w:i/>
        </w:rPr>
        <w:t>External scrutiny and audit</w:t>
      </w:r>
      <w:r>
        <w:t xml:space="preserve"> </w:t>
      </w:r>
      <w:r w:rsidR="00813B44" w:rsidRPr="00601553">
        <w:rPr>
          <w:b/>
        </w:rPr>
        <w:t>(PI</w:t>
      </w:r>
      <w:r w:rsidR="00271651">
        <w:rPr>
          <w:b/>
        </w:rPr>
        <w:t>-</w:t>
      </w:r>
      <w:r w:rsidR="00813B44" w:rsidRPr="00601553">
        <w:rPr>
          <w:b/>
        </w:rPr>
        <w:t>30-31)</w:t>
      </w:r>
      <w:r w:rsidR="00047DEE">
        <w:t>.</w:t>
      </w:r>
      <w:r w:rsidR="00813B44">
        <w:t xml:space="preserve"> </w:t>
      </w:r>
      <w:r w:rsidR="00047DEE">
        <w:t>T</w:t>
      </w:r>
      <w:r>
        <w:t xml:space="preserve">his pillar is </w:t>
      </w:r>
      <w:r w:rsidR="003230A6">
        <w:t>incomplete</w:t>
      </w:r>
      <w:r w:rsidR="00463756">
        <w:t xml:space="preserve">; despite </w:t>
      </w:r>
      <w:r>
        <w:t>a strong external audit performance</w:t>
      </w:r>
      <w:r w:rsidR="003230A6">
        <w:t xml:space="preserve">, </w:t>
      </w:r>
      <w:r w:rsidR="00463756">
        <w:t>there is</w:t>
      </w:r>
      <w:r w:rsidR="003230A6">
        <w:t xml:space="preserve"> the lack of </w:t>
      </w:r>
      <w:r w:rsidR="00463756">
        <w:t xml:space="preserve">a </w:t>
      </w:r>
      <w:r w:rsidR="003230A6">
        <w:t xml:space="preserve">complete revenue audit. Absence of a formal scrutiny process at the legislature leaves the oversight function in the budget cycle incomplete. </w:t>
      </w:r>
    </w:p>
    <w:p w14:paraId="32CC90F5" w14:textId="77777777" w:rsidR="00DB3CCB" w:rsidRPr="005A497D" w:rsidRDefault="00DB3CCB" w:rsidP="00DB3CCB">
      <w:pPr>
        <w:jc w:val="both"/>
      </w:pPr>
    </w:p>
    <w:p w14:paraId="6CE1D2C1" w14:textId="6BCBD673" w:rsidR="00DB3CCB" w:rsidRPr="00601553" w:rsidRDefault="00DB3CCB" w:rsidP="00DB3CCB">
      <w:pPr>
        <w:jc w:val="both"/>
        <w:rPr>
          <w:b/>
        </w:rPr>
      </w:pPr>
      <w:r w:rsidRPr="00601553">
        <w:rPr>
          <w:b/>
        </w:rPr>
        <w:t xml:space="preserve">Main Performance Changes since </w:t>
      </w:r>
      <w:r w:rsidR="00B47EB0">
        <w:rPr>
          <w:b/>
        </w:rPr>
        <w:t>2010</w:t>
      </w:r>
      <w:r w:rsidR="00047DEE" w:rsidRPr="00601553">
        <w:rPr>
          <w:b/>
        </w:rPr>
        <w:t xml:space="preserve"> </w:t>
      </w:r>
      <w:r w:rsidRPr="00601553">
        <w:rPr>
          <w:b/>
        </w:rPr>
        <w:t>PEFA Assessment</w:t>
      </w:r>
    </w:p>
    <w:p w14:paraId="210887CF" w14:textId="77777777" w:rsidR="00DB3CCB" w:rsidRPr="005A497D" w:rsidRDefault="00DB3CCB" w:rsidP="00DB3CCB">
      <w:pPr>
        <w:jc w:val="both"/>
        <w:rPr>
          <w:u w:val="single"/>
        </w:rPr>
      </w:pPr>
    </w:p>
    <w:p w14:paraId="2E5F2875" w14:textId="2701995F" w:rsidR="00DB3CCB" w:rsidRPr="00F47A20" w:rsidRDefault="00FA46E2" w:rsidP="005A03CD">
      <w:pPr>
        <w:pStyle w:val="ListParagraph"/>
        <w:numPr>
          <w:ilvl w:val="0"/>
          <w:numId w:val="2"/>
        </w:numPr>
        <w:tabs>
          <w:tab w:val="left" w:pos="720"/>
        </w:tabs>
        <w:autoSpaceDE w:val="0"/>
        <w:autoSpaceDN w:val="0"/>
        <w:adjustRightInd w:val="0"/>
        <w:spacing w:after="0" w:line="240" w:lineRule="auto"/>
        <w:jc w:val="both"/>
      </w:pPr>
      <w:r>
        <w:t>Tables 0.3 and 0.4</w:t>
      </w:r>
      <w:r w:rsidR="00DB3CCB">
        <w:t xml:space="preserve"> </w:t>
      </w:r>
      <w:r w:rsidR="00271651">
        <w:t>compare</w:t>
      </w:r>
      <w:r w:rsidR="00045511">
        <w:t xml:space="preserve"> </w:t>
      </w:r>
      <w:r w:rsidR="00DB3CCB">
        <w:t xml:space="preserve">the changes in </w:t>
      </w:r>
      <w:r w:rsidR="00045511">
        <w:t xml:space="preserve">performance </w:t>
      </w:r>
      <w:r w:rsidR="00DB3CCB">
        <w:t>ratings</w:t>
      </w:r>
      <w:r w:rsidR="00045511">
        <w:t xml:space="preserve"> (by indicators and dimensions, respectively)</w:t>
      </w:r>
      <w:r w:rsidR="00DB3CCB">
        <w:t xml:space="preserve"> </w:t>
      </w:r>
      <w:r w:rsidR="00045511">
        <w:t xml:space="preserve">from the 2010 </w:t>
      </w:r>
      <w:r w:rsidR="00DB3CCB">
        <w:t>PEFA assessment</w:t>
      </w:r>
      <w:r w:rsidR="00045511">
        <w:t xml:space="preserve"> with those in 2016</w:t>
      </w:r>
      <w:r w:rsidR="00DB3CCB">
        <w:t>.</w:t>
      </w:r>
    </w:p>
    <w:p w14:paraId="139FCB2D" w14:textId="77777777" w:rsidR="00DB3CCB" w:rsidRDefault="00DB3CCB" w:rsidP="00DB3CCB">
      <w:pPr>
        <w:pStyle w:val="ListParagraph"/>
        <w:tabs>
          <w:tab w:val="left" w:pos="720"/>
        </w:tabs>
        <w:autoSpaceDE w:val="0"/>
        <w:autoSpaceDN w:val="0"/>
        <w:adjustRightInd w:val="0"/>
        <w:spacing w:after="0" w:line="240" w:lineRule="auto"/>
        <w:ind w:left="0" w:firstLine="0"/>
        <w:jc w:val="both"/>
      </w:pPr>
    </w:p>
    <w:p w14:paraId="74423970" w14:textId="732CCFD6" w:rsidR="00DB3CCB" w:rsidRPr="005A497D" w:rsidRDefault="00DB3CCB" w:rsidP="005A5A15">
      <w:pPr>
        <w:pStyle w:val="PEFATable"/>
        <w:spacing w:after="40"/>
        <w:jc w:val="both"/>
        <w:rPr>
          <w:sz w:val="24"/>
          <w:szCs w:val="24"/>
        </w:rPr>
      </w:pPr>
      <w:bookmarkStart w:id="13" w:name="_Toc454889230"/>
      <w:r>
        <w:rPr>
          <w:sz w:val="24"/>
          <w:szCs w:val="24"/>
        </w:rPr>
        <w:t xml:space="preserve">Table </w:t>
      </w:r>
      <w:r w:rsidR="00CB2486">
        <w:rPr>
          <w:sz w:val="24"/>
          <w:szCs w:val="24"/>
        </w:rPr>
        <w:t>0.3</w:t>
      </w:r>
      <w:r>
        <w:rPr>
          <w:sz w:val="24"/>
          <w:szCs w:val="24"/>
        </w:rPr>
        <w:t xml:space="preserve">: </w:t>
      </w:r>
      <w:r w:rsidRPr="005A497D">
        <w:rPr>
          <w:sz w:val="24"/>
          <w:szCs w:val="24"/>
        </w:rPr>
        <w:t xml:space="preserve">Distribution of </w:t>
      </w:r>
      <w:r>
        <w:rPr>
          <w:sz w:val="24"/>
          <w:szCs w:val="24"/>
        </w:rPr>
        <w:t>R</w:t>
      </w:r>
      <w:r w:rsidRPr="005A497D">
        <w:rPr>
          <w:sz w:val="24"/>
          <w:szCs w:val="24"/>
        </w:rPr>
        <w:t>atings</w:t>
      </w:r>
      <w:r>
        <w:rPr>
          <w:sz w:val="24"/>
          <w:szCs w:val="24"/>
        </w:rPr>
        <w:t xml:space="preserve"> by Indicator</w:t>
      </w:r>
      <w:r w:rsidR="009701F8">
        <w:rPr>
          <w:sz w:val="24"/>
          <w:szCs w:val="24"/>
        </w:rPr>
        <w:t xml:space="preserve"> </w:t>
      </w:r>
      <w:r w:rsidR="00D018CF">
        <w:rPr>
          <w:sz w:val="24"/>
          <w:szCs w:val="24"/>
        </w:rPr>
        <w:t>(old methodology)</w:t>
      </w:r>
      <w:bookmarkEnd w:id="13"/>
    </w:p>
    <w:tbl>
      <w:tblPr>
        <w:tblStyle w:val="TableGrid"/>
        <w:tblW w:w="9450" w:type="dxa"/>
        <w:tblInd w:w="-105" w:type="dxa"/>
        <w:tblBorders>
          <w:top w:val="double" w:sz="4" w:space="0" w:color="auto"/>
          <w:left w:val="double" w:sz="4" w:space="0" w:color="auto"/>
          <w:bottom w:val="double" w:sz="4" w:space="0" w:color="auto"/>
          <w:right w:val="double" w:sz="4" w:space="0" w:color="auto"/>
        </w:tblBorders>
        <w:tblLayout w:type="fixed"/>
        <w:tblLook w:val="0420" w:firstRow="1" w:lastRow="0" w:firstColumn="0" w:lastColumn="0" w:noHBand="0" w:noVBand="1"/>
      </w:tblPr>
      <w:tblGrid>
        <w:gridCol w:w="4320"/>
        <w:gridCol w:w="900"/>
        <w:gridCol w:w="900"/>
        <w:gridCol w:w="990"/>
        <w:gridCol w:w="1080"/>
        <w:gridCol w:w="1260"/>
      </w:tblGrid>
      <w:tr w:rsidR="009701F8" w:rsidRPr="005A497D" w14:paraId="11A8DA4D" w14:textId="77777777" w:rsidTr="004D4EE0">
        <w:trPr>
          <w:trHeight w:val="340"/>
        </w:trPr>
        <w:tc>
          <w:tcPr>
            <w:tcW w:w="4320" w:type="dxa"/>
            <w:vMerge w:val="restart"/>
            <w:tcBorders>
              <w:right w:val="double" w:sz="4" w:space="0" w:color="auto"/>
            </w:tcBorders>
            <w:shd w:val="clear" w:color="auto" w:fill="D9D9D9" w:themeFill="background1" w:themeFillShade="D9"/>
            <w:vAlign w:val="center"/>
            <w:hideMark/>
          </w:tcPr>
          <w:p w14:paraId="07C40676" w14:textId="74430804" w:rsidR="009701F8" w:rsidRPr="00601553" w:rsidRDefault="009701F8" w:rsidP="00F76CC1">
            <w:pPr>
              <w:pStyle w:val="NormalWeb"/>
              <w:spacing w:before="0" w:beforeAutospacing="0" w:after="0" w:afterAutospacing="0"/>
              <w:jc w:val="center"/>
              <w:rPr>
                <w:sz w:val="20"/>
                <w:szCs w:val="20"/>
              </w:rPr>
            </w:pPr>
            <w:r w:rsidRPr="00601553">
              <w:rPr>
                <w:b/>
                <w:bCs/>
                <w:kern w:val="24"/>
                <w:sz w:val="20"/>
                <w:szCs w:val="20"/>
              </w:rPr>
              <w:t xml:space="preserve">Core </w:t>
            </w:r>
            <w:r w:rsidR="00F76CC1" w:rsidRPr="00601553">
              <w:rPr>
                <w:b/>
                <w:bCs/>
                <w:kern w:val="24"/>
                <w:sz w:val="20"/>
                <w:szCs w:val="20"/>
              </w:rPr>
              <w:t xml:space="preserve">Pillars of PFM </w:t>
            </w:r>
            <w:r w:rsidRPr="00601553">
              <w:rPr>
                <w:b/>
                <w:bCs/>
                <w:kern w:val="24"/>
                <w:sz w:val="20"/>
                <w:szCs w:val="20"/>
              </w:rPr>
              <w:t>Performance</w:t>
            </w:r>
          </w:p>
        </w:tc>
        <w:tc>
          <w:tcPr>
            <w:tcW w:w="1800" w:type="dxa"/>
            <w:gridSpan w:val="2"/>
            <w:tcBorders>
              <w:left w:val="double" w:sz="4" w:space="0" w:color="auto"/>
              <w:right w:val="double" w:sz="4" w:space="0" w:color="auto"/>
            </w:tcBorders>
            <w:shd w:val="clear" w:color="auto" w:fill="D9D9D9" w:themeFill="background1" w:themeFillShade="D9"/>
          </w:tcPr>
          <w:p w14:paraId="06389524" w14:textId="77777777" w:rsidR="009701F8" w:rsidRPr="00104DB2" w:rsidRDefault="009701F8" w:rsidP="004D4EE0">
            <w:pPr>
              <w:pStyle w:val="NormalWeb"/>
              <w:spacing w:before="0" w:beforeAutospacing="0" w:after="0" w:afterAutospacing="0"/>
              <w:jc w:val="center"/>
              <w:rPr>
                <w:b/>
                <w:bCs/>
                <w:i/>
                <w:kern w:val="24"/>
                <w:sz w:val="20"/>
                <w:szCs w:val="20"/>
              </w:rPr>
            </w:pPr>
            <w:r w:rsidRPr="00104DB2">
              <w:rPr>
                <w:b/>
                <w:bCs/>
                <w:i/>
                <w:kern w:val="24"/>
                <w:sz w:val="20"/>
                <w:szCs w:val="20"/>
              </w:rPr>
              <w:t>2010 Ratings</w:t>
            </w:r>
          </w:p>
        </w:tc>
        <w:tc>
          <w:tcPr>
            <w:tcW w:w="2070" w:type="dxa"/>
            <w:gridSpan w:val="2"/>
            <w:tcBorders>
              <w:left w:val="double" w:sz="4" w:space="0" w:color="auto"/>
              <w:right w:val="double" w:sz="4" w:space="0" w:color="auto"/>
            </w:tcBorders>
            <w:shd w:val="clear" w:color="auto" w:fill="D9D9D9" w:themeFill="background1" w:themeFillShade="D9"/>
            <w:vAlign w:val="center"/>
          </w:tcPr>
          <w:p w14:paraId="43BE495D" w14:textId="77777777" w:rsidR="009701F8" w:rsidRPr="00104DB2" w:rsidRDefault="009701F8" w:rsidP="004D4EE0">
            <w:pPr>
              <w:pStyle w:val="NormalWeb"/>
              <w:spacing w:before="0" w:beforeAutospacing="0" w:after="0" w:afterAutospacing="0"/>
              <w:jc w:val="center"/>
              <w:rPr>
                <w:b/>
                <w:bCs/>
                <w:i/>
                <w:kern w:val="24"/>
                <w:sz w:val="20"/>
                <w:szCs w:val="20"/>
              </w:rPr>
            </w:pPr>
            <w:r w:rsidRPr="00104DB2">
              <w:rPr>
                <w:b/>
                <w:bCs/>
                <w:i/>
                <w:kern w:val="24"/>
                <w:sz w:val="20"/>
                <w:szCs w:val="20"/>
              </w:rPr>
              <w:t>2016 Ratings</w:t>
            </w:r>
          </w:p>
        </w:tc>
        <w:tc>
          <w:tcPr>
            <w:tcW w:w="1260" w:type="dxa"/>
            <w:vMerge w:val="restart"/>
            <w:tcBorders>
              <w:left w:val="double" w:sz="4" w:space="0" w:color="auto"/>
            </w:tcBorders>
            <w:shd w:val="clear" w:color="auto" w:fill="D9D9D9" w:themeFill="background1" w:themeFillShade="D9"/>
            <w:vAlign w:val="center"/>
            <w:hideMark/>
          </w:tcPr>
          <w:p w14:paraId="761152F8" w14:textId="77777777" w:rsidR="009701F8" w:rsidRPr="00463756" w:rsidRDefault="009701F8" w:rsidP="004D4EE0">
            <w:pPr>
              <w:pStyle w:val="NormalWeb"/>
              <w:spacing w:before="0" w:beforeAutospacing="0" w:after="0" w:afterAutospacing="0"/>
              <w:jc w:val="center"/>
              <w:rPr>
                <w:i/>
                <w:sz w:val="20"/>
                <w:szCs w:val="20"/>
              </w:rPr>
            </w:pPr>
            <w:r w:rsidRPr="00463756">
              <w:rPr>
                <w:b/>
                <w:bCs/>
                <w:i/>
                <w:kern w:val="24"/>
                <w:sz w:val="20"/>
                <w:szCs w:val="20"/>
              </w:rPr>
              <w:t>Total indicators</w:t>
            </w:r>
          </w:p>
        </w:tc>
      </w:tr>
      <w:tr w:rsidR="009701F8" w:rsidRPr="005A497D" w14:paraId="03F0477A" w14:textId="77777777" w:rsidTr="00601553">
        <w:trPr>
          <w:trHeight w:val="340"/>
        </w:trPr>
        <w:tc>
          <w:tcPr>
            <w:tcW w:w="4320" w:type="dxa"/>
            <w:vMerge/>
            <w:tcBorders>
              <w:bottom w:val="double" w:sz="4" w:space="0" w:color="auto"/>
              <w:right w:val="double" w:sz="4" w:space="0" w:color="auto"/>
            </w:tcBorders>
            <w:vAlign w:val="center"/>
          </w:tcPr>
          <w:p w14:paraId="15CB6629" w14:textId="77777777" w:rsidR="009701F8" w:rsidRPr="005A497D" w:rsidRDefault="009701F8" w:rsidP="004D4EE0">
            <w:pPr>
              <w:pStyle w:val="NormalWeb"/>
              <w:spacing w:before="0" w:beforeAutospacing="0" w:after="0" w:afterAutospacing="0"/>
              <w:rPr>
                <w:kern w:val="24"/>
                <w:sz w:val="22"/>
                <w:szCs w:val="22"/>
              </w:rPr>
            </w:pPr>
          </w:p>
        </w:tc>
        <w:tc>
          <w:tcPr>
            <w:tcW w:w="900" w:type="dxa"/>
            <w:tcBorders>
              <w:left w:val="double" w:sz="4" w:space="0" w:color="auto"/>
              <w:bottom w:val="double" w:sz="4" w:space="0" w:color="auto"/>
            </w:tcBorders>
            <w:shd w:val="clear" w:color="auto" w:fill="D9D9D9" w:themeFill="background1" w:themeFillShade="D9"/>
            <w:vAlign w:val="center"/>
          </w:tcPr>
          <w:p w14:paraId="371AF07D" w14:textId="77777777" w:rsidR="009701F8" w:rsidRPr="00601553" w:rsidRDefault="009701F8" w:rsidP="004D4EE0">
            <w:pPr>
              <w:pStyle w:val="NormalWeb"/>
              <w:spacing w:before="0" w:beforeAutospacing="0" w:after="0" w:afterAutospacing="0"/>
              <w:jc w:val="center"/>
              <w:rPr>
                <w:b/>
                <w:i/>
                <w:kern w:val="24"/>
                <w:sz w:val="20"/>
                <w:szCs w:val="20"/>
              </w:rPr>
            </w:pPr>
            <w:r w:rsidRPr="00601553">
              <w:rPr>
                <w:b/>
                <w:i/>
                <w:kern w:val="24"/>
                <w:sz w:val="20"/>
                <w:szCs w:val="20"/>
              </w:rPr>
              <w:t>A / B</w:t>
            </w:r>
          </w:p>
        </w:tc>
        <w:tc>
          <w:tcPr>
            <w:tcW w:w="900" w:type="dxa"/>
            <w:tcBorders>
              <w:bottom w:val="double" w:sz="4" w:space="0" w:color="auto"/>
              <w:right w:val="double" w:sz="4" w:space="0" w:color="auto"/>
            </w:tcBorders>
            <w:shd w:val="clear" w:color="auto" w:fill="D9D9D9" w:themeFill="background1" w:themeFillShade="D9"/>
            <w:vAlign w:val="center"/>
          </w:tcPr>
          <w:p w14:paraId="1F88AABA" w14:textId="77777777" w:rsidR="009701F8" w:rsidRPr="00601553" w:rsidRDefault="009701F8" w:rsidP="004D4EE0">
            <w:pPr>
              <w:pStyle w:val="NormalWeb"/>
              <w:spacing w:before="0" w:beforeAutospacing="0" w:after="0" w:afterAutospacing="0"/>
              <w:jc w:val="center"/>
              <w:rPr>
                <w:b/>
                <w:i/>
                <w:kern w:val="24"/>
                <w:sz w:val="20"/>
                <w:szCs w:val="20"/>
              </w:rPr>
            </w:pPr>
            <w:r w:rsidRPr="00601553">
              <w:rPr>
                <w:b/>
                <w:i/>
                <w:kern w:val="24"/>
                <w:sz w:val="20"/>
                <w:szCs w:val="20"/>
              </w:rPr>
              <w:t>C / D</w:t>
            </w:r>
          </w:p>
        </w:tc>
        <w:tc>
          <w:tcPr>
            <w:tcW w:w="990" w:type="dxa"/>
            <w:tcBorders>
              <w:left w:val="double" w:sz="4" w:space="0" w:color="auto"/>
              <w:bottom w:val="double" w:sz="4" w:space="0" w:color="auto"/>
            </w:tcBorders>
            <w:shd w:val="clear" w:color="auto" w:fill="D9D9D9" w:themeFill="background1" w:themeFillShade="D9"/>
            <w:vAlign w:val="center"/>
          </w:tcPr>
          <w:p w14:paraId="590A67B4" w14:textId="77777777" w:rsidR="009701F8" w:rsidRPr="00601553" w:rsidRDefault="009701F8" w:rsidP="004D4EE0">
            <w:pPr>
              <w:pStyle w:val="NormalWeb"/>
              <w:spacing w:before="0" w:beforeAutospacing="0" w:after="0" w:afterAutospacing="0"/>
              <w:jc w:val="center"/>
              <w:rPr>
                <w:b/>
                <w:i/>
                <w:kern w:val="24"/>
                <w:sz w:val="20"/>
                <w:szCs w:val="20"/>
              </w:rPr>
            </w:pPr>
            <w:r w:rsidRPr="00601553">
              <w:rPr>
                <w:b/>
                <w:i/>
                <w:kern w:val="24"/>
                <w:sz w:val="20"/>
                <w:szCs w:val="20"/>
              </w:rPr>
              <w:t>A / B</w:t>
            </w:r>
          </w:p>
        </w:tc>
        <w:tc>
          <w:tcPr>
            <w:tcW w:w="1080" w:type="dxa"/>
            <w:tcBorders>
              <w:bottom w:val="double" w:sz="4" w:space="0" w:color="auto"/>
              <w:right w:val="double" w:sz="4" w:space="0" w:color="auto"/>
            </w:tcBorders>
            <w:shd w:val="clear" w:color="auto" w:fill="D9D9D9" w:themeFill="background1" w:themeFillShade="D9"/>
            <w:vAlign w:val="center"/>
          </w:tcPr>
          <w:p w14:paraId="7F393ED3" w14:textId="77777777" w:rsidR="009701F8" w:rsidRPr="00601553" w:rsidRDefault="009701F8" w:rsidP="004D4EE0">
            <w:pPr>
              <w:pStyle w:val="NormalWeb"/>
              <w:spacing w:before="0" w:beforeAutospacing="0" w:after="0" w:afterAutospacing="0"/>
              <w:jc w:val="center"/>
              <w:rPr>
                <w:b/>
                <w:i/>
                <w:kern w:val="24"/>
                <w:sz w:val="20"/>
                <w:szCs w:val="20"/>
              </w:rPr>
            </w:pPr>
            <w:r w:rsidRPr="00601553">
              <w:rPr>
                <w:b/>
                <w:i/>
                <w:kern w:val="24"/>
                <w:sz w:val="20"/>
                <w:szCs w:val="20"/>
              </w:rPr>
              <w:t>C / D</w:t>
            </w:r>
          </w:p>
        </w:tc>
        <w:tc>
          <w:tcPr>
            <w:tcW w:w="1260" w:type="dxa"/>
            <w:vMerge/>
            <w:tcBorders>
              <w:left w:val="double" w:sz="4" w:space="0" w:color="auto"/>
              <w:bottom w:val="double" w:sz="4" w:space="0" w:color="auto"/>
            </w:tcBorders>
            <w:vAlign w:val="center"/>
          </w:tcPr>
          <w:p w14:paraId="522C2E12" w14:textId="77777777" w:rsidR="009701F8" w:rsidRPr="005A497D" w:rsidRDefault="009701F8" w:rsidP="004D4EE0">
            <w:pPr>
              <w:pStyle w:val="NormalWeb"/>
              <w:spacing w:before="0" w:beforeAutospacing="0" w:after="0" w:afterAutospacing="0"/>
              <w:jc w:val="center"/>
              <w:rPr>
                <w:kern w:val="24"/>
                <w:sz w:val="22"/>
                <w:szCs w:val="22"/>
              </w:rPr>
            </w:pPr>
          </w:p>
        </w:tc>
      </w:tr>
      <w:tr w:rsidR="009701F8" w:rsidRPr="005A497D" w14:paraId="7ACB7D35" w14:textId="77777777" w:rsidTr="00401133">
        <w:trPr>
          <w:trHeight w:val="288"/>
        </w:trPr>
        <w:tc>
          <w:tcPr>
            <w:tcW w:w="4320" w:type="dxa"/>
            <w:tcBorders>
              <w:top w:val="double" w:sz="4" w:space="0" w:color="auto"/>
              <w:bottom w:val="single" w:sz="4" w:space="0" w:color="auto"/>
              <w:right w:val="double" w:sz="4" w:space="0" w:color="auto"/>
            </w:tcBorders>
            <w:shd w:val="clear" w:color="auto" w:fill="auto"/>
            <w:vAlign w:val="center"/>
            <w:hideMark/>
          </w:tcPr>
          <w:p w14:paraId="33F2CC1E" w14:textId="77777777" w:rsidR="009701F8" w:rsidRPr="00601553" w:rsidRDefault="009701F8" w:rsidP="004D4EE0">
            <w:pPr>
              <w:pStyle w:val="NormalWeb"/>
              <w:rPr>
                <w:sz w:val="20"/>
                <w:szCs w:val="20"/>
              </w:rPr>
            </w:pPr>
            <w:r w:rsidRPr="00601553">
              <w:rPr>
                <w:sz w:val="20"/>
                <w:szCs w:val="20"/>
              </w:rPr>
              <w:t>Credibility of the budget</w:t>
            </w:r>
          </w:p>
        </w:tc>
        <w:tc>
          <w:tcPr>
            <w:tcW w:w="900" w:type="dxa"/>
            <w:tcBorders>
              <w:top w:val="double" w:sz="4" w:space="0" w:color="auto"/>
              <w:left w:val="double" w:sz="4" w:space="0" w:color="auto"/>
              <w:bottom w:val="single" w:sz="4" w:space="0" w:color="auto"/>
            </w:tcBorders>
            <w:vAlign w:val="center"/>
          </w:tcPr>
          <w:p w14:paraId="048D689A"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900" w:type="dxa"/>
            <w:tcBorders>
              <w:top w:val="double" w:sz="4" w:space="0" w:color="auto"/>
              <w:bottom w:val="single" w:sz="4" w:space="0" w:color="auto"/>
              <w:right w:val="double" w:sz="4" w:space="0" w:color="auto"/>
            </w:tcBorders>
            <w:vAlign w:val="center"/>
          </w:tcPr>
          <w:p w14:paraId="3FF29D48"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3</w:t>
            </w:r>
          </w:p>
        </w:tc>
        <w:tc>
          <w:tcPr>
            <w:tcW w:w="990" w:type="dxa"/>
            <w:tcBorders>
              <w:top w:val="double" w:sz="4" w:space="0" w:color="auto"/>
              <w:left w:val="double" w:sz="4" w:space="0" w:color="auto"/>
              <w:bottom w:val="single" w:sz="4" w:space="0" w:color="auto"/>
            </w:tcBorders>
            <w:shd w:val="clear" w:color="auto" w:fill="auto"/>
            <w:vAlign w:val="center"/>
          </w:tcPr>
          <w:p w14:paraId="5988BBFB"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1080" w:type="dxa"/>
            <w:tcBorders>
              <w:top w:val="double" w:sz="4" w:space="0" w:color="auto"/>
              <w:bottom w:val="single" w:sz="4" w:space="0" w:color="auto"/>
              <w:right w:val="double" w:sz="4" w:space="0" w:color="auto"/>
            </w:tcBorders>
            <w:shd w:val="clear" w:color="auto" w:fill="auto"/>
            <w:vAlign w:val="center"/>
          </w:tcPr>
          <w:p w14:paraId="6DA06A7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3</w:t>
            </w:r>
          </w:p>
        </w:tc>
        <w:tc>
          <w:tcPr>
            <w:tcW w:w="1260" w:type="dxa"/>
            <w:tcBorders>
              <w:top w:val="double" w:sz="4" w:space="0" w:color="auto"/>
              <w:left w:val="double" w:sz="4" w:space="0" w:color="auto"/>
              <w:bottom w:val="single" w:sz="4" w:space="0" w:color="auto"/>
            </w:tcBorders>
            <w:shd w:val="clear" w:color="auto" w:fill="auto"/>
            <w:vAlign w:val="center"/>
          </w:tcPr>
          <w:p w14:paraId="3E205E39"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4</w:t>
            </w:r>
          </w:p>
        </w:tc>
      </w:tr>
      <w:tr w:rsidR="009701F8" w:rsidRPr="005A497D" w14:paraId="476AAA26"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6B8F458D" w14:textId="77777777" w:rsidR="009701F8" w:rsidRPr="00601553" w:rsidRDefault="009701F8" w:rsidP="004D4EE0">
            <w:pPr>
              <w:pStyle w:val="NormalWeb"/>
              <w:rPr>
                <w:sz w:val="20"/>
                <w:szCs w:val="20"/>
              </w:rPr>
            </w:pPr>
            <w:r w:rsidRPr="00601553">
              <w:rPr>
                <w:sz w:val="20"/>
                <w:szCs w:val="20"/>
              </w:rPr>
              <w:t>Comprehensiveness and transparency</w:t>
            </w:r>
          </w:p>
        </w:tc>
        <w:tc>
          <w:tcPr>
            <w:tcW w:w="900" w:type="dxa"/>
            <w:tcBorders>
              <w:top w:val="single" w:sz="4" w:space="0" w:color="auto"/>
              <w:left w:val="double" w:sz="4" w:space="0" w:color="auto"/>
              <w:bottom w:val="single" w:sz="4" w:space="0" w:color="auto"/>
            </w:tcBorders>
            <w:vAlign w:val="center"/>
          </w:tcPr>
          <w:p w14:paraId="726C104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3</w:t>
            </w:r>
          </w:p>
        </w:tc>
        <w:tc>
          <w:tcPr>
            <w:tcW w:w="900" w:type="dxa"/>
            <w:tcBorders>
              <w:top w:val="single" w:sz="4" w:space="0" w:color="auto"/>
              <w:bottom w:val="single" w:sz="4" w:space="0" w:color="auto"/>
              <w:right w:val="double" w:sz="4" w:space="0" w:color="auto"/>
            </w:tcBorders>
            <w:vAlign w:val="center"/>
          </w:tcPr>
          <w:p w14:paraId="36B88C5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3</w:t>
            </w:r>
          </w:p>
        </w:tc>
        <w:tc>
          <w:tcPr>
            <w:tcW w:w="990" w:type="dxa"/>
            <w:tcBorders>
              <w:top w:val="single" w:sz="4" w:space="0" w:color="auto"/>
              <w:left w:val="double" w:sz="4" w:space="0" w:color="auto"/>
              <w:bottom w:val="single" w:sz="4" w:space="0" w:color="auto"/>
            </w:tcBorders>
            <w:shd w:val="clear" w:color="auto" w:fill="auto"/>
            <w:vAlign w:val="center"/>
          </w:tcPr>
          <w:p w14:paraId="60EBDF42"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5</w:t>
            </w:r>
          </w:p>
        </w:tc>
        <w:tc>
          <w:tcPr>
            <w:tcW w:w="1080" w:type="dxa"/>
            <w:tcBorders>
              <w:top w:val="single" w:sz="4" w:space="0" w:color="auto"/>
              <w:bottom w:val="single" w:sz="4" w:space="0" w:color="auto"/>
              <w:right w:val="double" w:sz="4" w:space="0" w:color="auto"/>
            </w:tcBorders>
            <w:shd w:val="clear" w:color="auto" w:fill="auto"/>
            <w:vAlign w:val="center"/>
          </w:tcPr>
          <w:p w14:paraId="53E0CD07"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1260" w:type="dxa"/>
            <w:tcBorders>
              <w:top w:val="single" w:sz="4" w:space="0" w:color="auto"/>
              <w:left w:val="double" w:sz="4" w:space="0" w:color="auto"/>
              <w:bottom w:val="single" w:sz="4" w:space="0" w:color="auto"/>
            </w:tcBorders>
            <w:shd w:val="clear" w:color="auto" w:fill="auto"/>
            <w:vAlign w:val="center"/>
          </w:tcPr>
          <w:p w14:paraId="72266E84"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6</w:t>
            </w:r>
          </w:p>
        </w:tc>
      </w:tr>
      <w:tr w:rsidR="009701F8" w:rsidRPr="005A497D" w14:paraId="5906C438"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620E58BB" w14:textId="77777777" w:rsidR="009701F8" w:rsidRPr="00601553" w:rsidRDefault="009701F8" w:rsidP="004D4EE0">
            <w:pPr>
              <w:pStyle w:val="NormalWeb"/>
              <w:rPr>
                <w:sz w:val="20"/>
                <w:szCs w:val="20"/>
              </w:rPr>
            </w:pPr>
            <w:r w:rsidRPr="00601553">
              <w:rPr>
                <w:sz w:val="20"/>
                <w:szCs w:val="20"/>
              </w:rPr>
              <w:t>Policy-based budgeting</w:t>
            </w:r>
          </w:p>
        </w:tc>
        <w:tc>
          <w:tcPr>
            <w:tcW w:w="900" w:type="dxa"/>
            <w:tcBorders>
              <w:top w:val="single" w:sz="4" w:space="0" w:color="auto"/>
              <w:left w:val="double" w:sz="4" w:space="0" w:color="auto"/>
              <w:bottom w:val="single" w:sz="4" w:space="0" w:color="auto"/>
            </w:tcBorders>
            <w:vAlign w:val="center"/>
          </w:tcPr>
          <w:p w14:paraId="5B6EF179"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900" w:type="dxa"/>
            <w:tcBorders>
              <w:top w:val="single" w:sz="4" w:space="0" w:color="auto"/>
              <w:bottom w:val="single" w:sz="4" w:space="0" w:color="auto"/>
              <w:right w:val="double" w:sz="4" w:space="0" w:color="auto"/>
            </w:tcBorders>
            <w:vAlign w:val="center"/>
          </w:tcPr>
          <w:p w14:paraId="4A328C3E"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990" w:type="dxa"/>
            <w:tcBorders>
              <w:top w:val="single" w:sz="4" w:space="0" w:color="auto"/>
              <w:left w:val="double" w:sz="4" w:space="0" w:color="auto"/>
              <w:bottom w:val="single" w:sz="4" w:space="0" w:color="auto"/>
            </w:tcBorders>
            <w:shd w:val="clear" w:color="auto" w:fill="auto"/>
            <w:vAlign w:val="center"/>
          </w:tcPr>
          <w:p w14:paraId="103B05D6"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2</w:t>
            </w:r>
          </w:p>
        </w:tc>
        <w:tc>
          <w:tcPr>
            <w:tcW w:w="1080" w:type="dxa"/>
            <w:tcBorders>
              <w:top w:val="single" w:sz="4" w:space="0" w:color="auto"/>
              <w:bottom w:val="single" w:sz="4" w:space="0" w:color="auto"/>
              <w:right w:val="double" w:sz="4" w:space="0" w:color="auto"/>
            </w:tcBorders>
            <w:shd w:val="clear" w:color="auto" w:fill="auto"/>
            <w:vAlign w:val="center"/>
          </w:tcPr>
          <w:p w14:paraId="435B9804"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w:t>
            </w:r>
          </w:p>
        </w:tc>
        <w:tc>
          <w:tcPr>
            <w:tcW w:w="1260" w:type="dxa"/>
            <w:tcBorders>
              <w:top w:val="single" w:sz="4" w:space="0" w:color="auto"/>
              <w:left w:val="double" w:sz="4" w:space="0" w:color="auto"/>
              <w:bottom w:val="single" w:sz="4" w:space="0" w:color="auto"/>
            </w:tcBorders>
            <w:shd w:val="clear" w:color="auto" w:fill="auto"/>
            <w:vAlign w:val="center"/>
          </w:tcPr>
          <w:p w14:paraId="2BE3B0EA"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2</w:t>
            </w:r>
          </w:p>
        </w:tc>
      </w:tr>
      <w:tr w:rsidR="009701F8" w:rsidRPr="005A497D" w14:paraId="6CABF0CC"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73A26F8F" w14:textId="77777777" w:rsidR="009701F8" w:rsidRPr="00601553" w:rsidRDefault="009701F8" w:rsidP="004D4EE0">
            <w:pPr>
              <w:pStyle w:val="NormalWeb"/>
              <w:rPr>
                <w:sz w:val="20"/>
                <w:szCs w:val="20"/>
              </w:rPr>
            </w:pPr>
            <w:r w:rsidRPr="00601553">
              <w:rPr>
                <w:sz w:val="20"/>
                <w:szCs w:val="20"/>
              </w:rPr>
              <w:t>Predictability and control in budget execution</w:t>
            </w:r>
          </w:p>
        </w:tc>
        <w:tc>
          <w:tcPr>
            <w:tcW w:w="900" w:type="dxa"/>
            <w:tcBorders>
              <w:top w:val="single" w:sz="4" w:space="0" w:color="auto"/>
              <w:left w:val="double" w:sz="4" w:space="0" w:color="auto"/>
              <w:bottom w:val="single" w:sz="4" w:space="0" w:color="auto"/>
            </w:tcBorders>
            <w:vAlign w:val="center"/>
          </w:tcPr>
          <w:p w14:paraId="399EAB46"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2</w:t>
            </w:r>
          </w:p>
        </w:tc>
        <w:tc>
          <w:tcPr>
            <w:tcW w:w="900" w:type="dxa"/>
            <w:tcBorders>
              <w:top w:val="single" w:sz="4" w:space="0" w:color="auto"/>
              <w:bottom w:val="single" w:sz="4" w:space="0" w:color="auto"/>
              <w:right w:val="double" w:sz="4" w:space="0" w:color="auto"/>
            </w:tcBorders>
            <w:vAlign w:val="center"/>
          </w:tcPr>
          <w:p w14:paraId="171D6CAE"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7</w:t>
            </w:r>
          </w:p>
        </w:tc>
        <w:tc>
          <w:tcPr>
            <w:tcW w:w="990" w:type="dxa"/>
            <w:tcBorders>
              <w:top w:val="single" w:sz="4" w:space="0" w:color="auto"/>
              <w:left w:val="double" w:sz="4" w:space="0" w:color="auto"/>
              <w:bottom w:val="single" w:sz="4" w:space="0" w:color="auto"/>
            </w:tcBorders>
            <w:shd w:val="clear" w:color="auto" w:fill="auto"/>
            <w:vAlign w:val="center"/>
          </w:tcPr>
          <w:p w14:paraId="5EDF174A"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6</w:t>
            </w:r>
          </w:p>
        </w:tc>
        <w:tc>
          <w:tcPr>
            <w:tcW w:w="1080" w:type="dxa"/>
            <w:tcBorders>
              <w:top w:val="single" w:sz="4" w:space="0" w:color="auto"/>
              <w:bottom w:val="single" w:sz="4" w:space="0" w:color="auto"/>
              <w:right w:val="double" w:sz="4" w:space="0" w:color="auto"/>
            </w:tcBorders>
            <w:shd w:val="clear" w:color="auto" w:fill="auto"/>
            <w:vAlign w:val="center"/>
          </w:tcPr>
          <w:p w14:paraId="2F8D680C"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3</w:t>
            </w:r>
          </w:p>
        </w:tc>
        <w:tc>
          <w:tcPr>
            <w:tcW w:w="1260" w:type="dxa"/>
            <w:tcBorders>
              <w:top w:val="single" w:sz="4" w:space="0" w:color="auto"/>
              <w:left w:val="double" w:sz="4" w:space="0" w:color="auto"/>
              <w:bottom w:val="single" w:sz="4" w:space="0" w:color="auto"/>
            </w:tcBorders>
            <w:shd w:val="clear" w:color="auto" w:fill="auto"/>
            <w:vAlign w:val="center"/>
          </w:tcPr>
          <w:p w14:paraId="5EDD58FE"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9</w:t>
            </w:r>
          </w:p>
        </w:tc>
      </w:tr>
      <w:tr w:rsidR="009701F8" w:rsidRPr="005A497D" w14:paraId="7966E149"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1B41AADD" w14:textId="77777777" w:rsidR="009701F8" w:rsidRPr="00601553" w:rsidRDefault="009701F8" w:rsidP="009B0551">
            <w:pPr>
              <w:pStyle w:val="NormalWeb"/>
              <w:rPr>
                <w:sz w:val="20"/>
                <w:szCs w:val="20"/>
              </w:rPr>
            </w:pPr>
            <w:r w:rsidRPr="00601553">
              <w:rPr>
                <w:sz w:val="20"/>
                <w:szCs w:val="20"/>
              </w:rPr>
              <w:t>Accounting, recording and reporting</w:t>
            </w:r>
          </w:p>
        </w:tc>
        <w:tc>
          <w:tcPr>
            <w:tcW w:w="900" w:type="dxa"/>
            <w:tcBorders>
              <w:top w:val="single" w:sz="4" w:space="0" w:color="auto"/>
              <w:left w:val="double" w:sz="4" w:space="0" w:color="auto"/>
              <w:bottom w:val="single" w:sz="4" w:space="0" w:color="auto"/>
            </w:tcBorders>
            <w:vAlign w:val="center"/>
          </w:tcPr>
          <w:p w14:paraId="4144915D"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w:t>
            </w:r>
          </w:p>
        </w:tc>
        <w:tc>
          <w:tcPr>
            <w:tcW w:w="900" w:type="dxa"/>
            <w:tcBorders>
              <w:top w:val="single" w:sz="4" w:space="0" w:color="auto"/>
              <w:bottom w:val="single" w:sz="4" w:space="0" w:color="auto"/>
              <w:right w:val="double" w:sz="4" w:space="0" w:color="auto"/>
            </w:tcBorders>
            <w:vAlign w:val="center"/>
          </w:tcPr>
          <w:p w14:paraId="7E8975A6"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4</w:t>
            </w:r>
          </w:p>
        </w:tc>
        <w:tc>
          <w:tcPr>
            <w:tcW w:w="990" w:type="dxa"/>
            <w:tcBorders>
              <w:top w:val="single" w:sz="4" w:space="0" w:color="auto"/>
              <w:left w:val="double" w:sz="4" w:space="0" w:color="auto"/>
              <w:bottom w:val="single" w:sz="4" w:space="0" w:color="auto"/>
            </w:tcBorders>
            <w:shd w:val="clear" w:color="auto" w:fill="auto"/>
            <w:vAlign w:val="center"/>
          </w:tcPr>
          <w:p w14:paraId="7A734B7A"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1080" w:type="dxa"/>
            <w:tcBorders>
              <w:top w:val="single" w:sz="4" w:space="0" w:color="auto"/>
              <w:bottom w:val="single" w:sz="4" w:space="0" w:color="auto"/>
              <w:right w:val="double" w:sz="4" w:space="0" w:color="auto"/>
            </w:tcBorders>
            <w:shd w:val="clear" w:color="auto" w:fill="auto"/>
            <w:vAlign w:val="center"/>
          </w:tcPr>
          <w:p w14:paraId="34236FFF"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3</w:t>
            </w:r>
          </w:p>
        </w:tc>
        <w:tc>
          <w:tcPr>
            <w:tcW w:w="1260" w:type="dxa"/>
            <w:tcBorders>
              <w:top w:val="single" w:sz="4" w:space="0" w:color="auto"/>
              <w:left w:val="double" w:sz="4" w:space="0" w:color="auto"/>
              <w:bottom w:val="single" w:sz="4" w:space="0" w:color="auto"/>
            </w:tcBorders>
            <w:shd w:val="clear" w:color="auto" w:fill="auto"/>
            <w:vAlign w:val="center"/>
          </w:tcPr>
          <w:p w14:paraId="4E8C5A09"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4</w:t>
            </w:r>
          </w:p>
        </w:tc>
      </w:tr>
      <w:tr w:rsidR="009701F8" w:rsidRPr="005A497D" w14:paraId="74FC43E6"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7ADD9B70" w14:textId="77777777" w:rsidR="009701F8" w:rsidRPr="00601553" w:rsidRDefault="009701F8" w:rsidP="004D4EE0">
            <w:pPr>
              <w:pStyle w:val="NormalWeb"/>
              <w:rPr>
                <w:sz w:val="20"/>
                <w:szCs w:val="20"/>
              </w:rPr>
            </w:pPr>
            <w:r w:rsidRPr="00601553">
              <w:rPr>
                <w:sz w:val="20"/>
                <w:szCs w:val="20"/>
              </w:rPr>
              <w:t>External scrutiny and audit</w:t>
            </w:r>
          </w:p>
        </w:tc>
        <w:tc>
          <w:tcPr>
            <w:tcW w:w="900" w:type="dxa"/>
            <w:tcBorders>
              <w:top w:val="single" w:sz="4" w:space="0" w:color="auto"/>
              <w:left w:val="double" w:sz="4" w:space="0" w:color="auto"/>
              <w:bottom w:val="single" w:sz="4" w:space="0" w:color="auto"/>
            </w:tcBorders>
            <w:vAlign w:val="center"/>
          </w:tcPr>
          <w:p w14:paraId="22A10383"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900" w:type="dxa"/>
            <w:tcBorders>
              <w:top w:val="single" w:sz="4" w:space="0" w:color="auto"/>
              <w:bottom w:val="single" w:sz="4" w:space="0" w:color="auto"/>
              <w:right w:val="double" w:sz="4" w:space="0" w:color="auto"/>
            </w:tcBorders>
            <w:vAlign w:val="center"/>
          </w:tcPr>
          <w:p w14:paraId="16107AC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2</w:t>
            </w:r>
          </w:p>
        </w:tc>
        <w:tc>
          <w:tcPr>
            <w:tcW w:w="990" w:type="dxa"/>
            <w:tcBorders>
              <w:top w:val="single" w:sz="4" w:space="0" w:color="auto"/>
              <w:left w:val="double" w:sz="4" w:space="0" w:color="auto"/>
              <w:bottom w:val="single" w:sz="4" w:space="0" w:color="auto"/>
            </w:tcBorders>
            <w:shd w:val="clear" w:color="auto" w:fill="auto"/>
            <w:vAlign w:val="center"/>
          </w:tcPr>
          <w:p w14:paraId="1142008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2</w:t>
            </w:r>
          </w:p>
        </w:tc>
        <w:tc>
          <w:tcPr>
            <w:tcW w:w="1080" w:type="dxa"/>
            <w:tcBorders>
              <w:top w:val="single" w:sz="4" w:space="0" w:color="auto"/>
              <w:bottom w:val="single" w:sz="4" w:space="0" w:color="auto"/>
              <w:right w:val="double" w:sz="4" w:space="0" w:color="auto"/>
            </w:tcBorders>
            <w:shd w:val="clear" w:color="auto" w:fill="auto"/>
            <w:vAlign w:val="center"/>
          </w:tcPr>
          <w:p w14:paraId="2C1A05CB"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1260" w:type="dxa"/>
            <w:tcBorders>
              <w:top w:val="single" w:sz="4" w:space="0" w:color="auto"/>
              <w:left w:val="double" w:sz="4" w:space="0" w:color="auto"/>
              <w:bottom w:val="single" w:sz="4" w:space="0" w:color="auto"/>
            </w:tcBorders>
            <w:shd w:val="clear" w:color="auto" w:fill="auto"/>
            <w:vAlign w:val="center"/>
          </w:tcPr>
          <w:p w14:paraId="7D5D07AC"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3</w:t>
            </w:r>
          </w:p>
        </w:tc>
      </w:tr>
      <w:tr w:rsidR="009701F8" w:rsidRPr="005A497D" w14:paraId="280EEA0E" w14:textId="77777777" w:rsidTr="00401133">
        <w:trPr>
          <w:trHeight w:val="288"/>
        </w:trPr>
        <w:tc>
          <w:tcPr>
            <w:tcW w:w="4320" w:type="dxa"/>
            <w:tcBorders>
              <w:top w:val="single" w:sz="4" w:space="0" w:color="auto"/>
              <w:bottom w:val="double" w:sz="4" w:space="0" w:color="auto"/>
              <w:right w:val="double" w:sz="4" w:space="0" w:color="auto"/>
            </w:tcBorders>
            <w:vAlign w:val="center"/>
          </w:tcPr>
          <w:p w14:paraId="0CC5B67C" w14:textId="77777777" w:rsidR="009701F8" w:rsidRPr="00601553" w:rsidRDefault="009701F8" w:rsidP="004D4EE0">
            <w:pPr>
              <w:pStyle w:val="NormalWeb"/>
              <w:spacing w:before="0" w:beforeAutospacing="0" w:after="0" w:afterAutospacing="0"/>
              <w:rPr>
                <w:b/>
                <w:kern w:val="24"/>
                <w:sz w:val="20"/>
                <w:szCs w:val="20"/>
              </w:rPr>
            </w:pPr>
            <w:r w:rsidRPr="00601553">
              <w:rPr>
                <w:b/>
                <w:kern w:val="24"/>
                <w:sz w:val="20"/>
                <w:szCs w:val="20"/>
              </w:rPr>
              <w:t>Total</w:t>
            </w:r>
          </w:p>
        </w:tc>
        <w:tc>
          <w:tcPr>
            <w:tcW w:w="900" w:type="dxa"/>
            <w:tcBorders>
              <w:top w:val="single" w:sz="4" w:space="0" w:color="auto"/>
              <w:left w:val="double" w:sz="4" w:space="0" w:color="auto"/>
              <w:bottom w:val="double" w:sz="4" w:space="0" w:color="auto"/>
            </w:tcBorders>
            <w:vAlign w:val="center"/>
          </w:tcPr>
          <w:p w14:paraId="17F66421"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8</w:t>
            </w:r>
          </w:p>
        </w:tc>
        <w:tc>
          <w:tcPr>
            <w:tcW w:w="900" w:type="dxa"/>
            <w:tcBorders>
              <w:top w:val="single" w:sz="4" w:space="0" w:color="auto"/>
              <w:bottom w:val="double" w:sz="4" w:space="0" w:color="auto"/>
              <w:right w:val="double" w:sz="4" w:space="0" w:color="auto"/>
            </w:tcBorders>
            <w:vAlign w:val="center"/>
          </w:tcPr>
          <w:p w14:paraId="626BF87D"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20</w:t>
            </w:r>
          </w:p>
        </w:tc>
        <w:tc>
          <w:tcPr>
            <w:tcW w:w="990" w:type="dxa"/>
            <w:tcBorders>
              <w:top w:val="single" w:sz="4" w:space="0" w:color="auto"/>
              <w:left w:val="double" w:sz="4" w:space="0" w:color="auto"/>
              <w:bottom w:val="double" w:sz="4" w:space="0" w:color="auto"/>
            </w:tcBorders>
            <w:vAlign w:val="center"/>
          </w:tcPr>
          <w:p w14:paraId="6328BD95"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17</w:t>
            </w:r>
          </w:p>
        </w:tc>
        <w:tc>
          <w:tcPr>
            <w:tcW w:w="1080" w:type="dxa"/>
            <w:tcBorders>
              <w:top w:val="single" w:sz="4" w:space="0" w:color="auto"/>
              <w:bottom w:val="double" w:sz="4" w:space="0" w:color="auto"/>
              <w:right w:val="double" w:sz="4" w:space="0" w:color="auto"/>
            </w:tcBorders>
            <w:vAlign w:val="center"/>
          </w:tcPr>
          <w:p w14:paraId="2CFDE5BB"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11</w:t>
            </w:r>
          </w:p>
        </w:tc>
        <w:tc>
          <w:tcPr>
            <w:tcW w:w="1260" w:type="dxa"/>
            <w:tcBorders>
              <w:top w:val="single" w:sz="4" w:space="0" w:color="auto"/>
              <w:left w:val="double" w:sz="4" w:space="0" w:color="auto"/>
              <w:bottom w:val="double" w:sz="4" w:space="0" w:color="auto"/>
            </w:tcBorders>
            <w:vAlign w:val="center"/>
          </w:tcPr>
          <w:p w14:paraId="2363004A"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28</w:t>
            </w:r>
          </w:p>
        </w:tc>
      </w:tr>
    </w:tbl>
    <w:p w14:paraId="44549D43" w14:textId="77777777" w:rsidR="00DB3CCB" w:rsidRDefault="00DB3CCB" w:rsidP="00DB3CCB">
      <w:pPr>
        <w:spacing w:after="40"/>
        <w:jc w:val="both"/>
        <w:rPr>
          <w:b/>
          <w:bCs/>
          <w:color w:val="4F81BD"/>
        </w:rPr>
      </w:pPr>
    </w:p>
    <w:p w14:paraId="7D21FE2F" w14:textId="192E4D0A" w:rsidR="00DB3CCB" w:rsidRPr="005A497D" w:rsidRDefault="00CB2486" w:rsidP="001112A1">
      <w:pPr>
        <w:pStyle w:val="PEFATable"/>
        <w:spacing w:after="40"/>
        <w:jc w:val="both"/>
        <w:rPr>
          <w:sz w:val="24"/>
          <w:szCs w:val="24"/>
        </w:rPr>
      </w:pPr>
      <w:bookmarkStart w:id="14" w:name="_Toc454889231"/>
      <w:r>
        <w:rPr>
          <w:sz w:val="24"/>
          <w:szCs w:val="24"/>
        </w:rPr>
        <w:t>Table 0.4</w:t>
      </w:r>
      <w:r w:rsidR="00DB3CCB">
        <w:rPr>
          <w:sz w:val="24"/>
          <w:szCs w:val="24"/>
        </w:rPr>
        <w:t xml:space="preserve">: </w:t>
      </w:r>
      <w:r w:rsidR="00DB3CCB" w:rsidRPr="005A497D">
        <w:rPr>
          <w:sz w:val="24"/>
          <w:szCs w:val="24"/>
        </w:rPr>
        <w:t xml:space="preserve">Distribution of </w:t>
      </w:r>
      <w:r w:rsidR="00DB3CCB">
        <w:rPr>
          <w:sz w:val="24"/>
          <w:szCs w:val="24"/>
        </w:rPr>
        <w:t>R</w:t>
      </w:r>
      <w:r w:rsidR="00DB3CCB" w:rsidRPr="005A497D">
        <w:rPr>
          <w:sz w:val="24"/>
          <w:szCs w:val="24"/>
        </w:rPr>
        <w:t>atings</w:t>
      </w:r>
      <w:r w:rsidR="00DB3CCB">
        <w:rPr>
          <w:sz w:val="24"/>
          <w:szCs w:val="24"/>
        </w:rPr>
        <w:t xml:space="preserve"> by Dimensions</w:t>
      </w:r>
      <w:r w:rsidR="009701F8">
        <w:rPr>
          <w:sz w:val="24"/>
          <w:szCs w:val="24"/>
        </w:rPr>
        <w:t xml:space="preserve"> </w:t>
      </w:r>
      <w:r w:rsidR="00D018CF">
        <w:rPr>
          <w:sz w:val="24"/>
          <w:szCs w:val="24"/>
        </w:rPr>
        <w:t>(old methodology)</w:t>
      </w:r>
      <w:bookmarkEnd w:id="14"/>
    </w:p>
    <w:tbl>
      <w:tblPr>
        <w:tblStyle w:val="TableGrid"/>
        <w:tblW w:w="9450" w:type="dxa"/>
        <w:tblInd w:w="-105" w:type="dxa"/>
        <w:tblBorders>
          <w:top w:val="double" w:sz="4" w:space="0" w:color="auto"/>
          <w:left w:val="double" w:sz="4" w:space="0" w:color="auto"/>
          <w:bottom w:val="double" w:sz="4" w:space="0" w:color="auto"/>
          <w:right w:val="double" w:sz="4" w:space="0" w:color="auto"/>
        </w:tblBorders>
        <w:tblLayout w:type="fixed"/>
        <w:tblLook w:val="0420" w:firstRow="1" w:lastRow="0" w:firstColumn="0" w:lastColumn="0" w:noHBand="0" w:noVBand="1"/>
      </w:tblPr>
      <w:tblGrid>
        <w:gridCol w:w="4320"/>
        <w:gridCol w:w="900"/>
        <w:gridCol w:w="900"/>
        <w:gridCol w:w="990"/>
        <w:gridCol w:w="1080"/>
        <w:gridCol w:w="1260"/>
      </w:tblGrid>
      <w:tr w:rsidR="009701F8" w:rsidRPr="005A497D" w14:paraId="0185B210" w14:textId="77777777" w:rsidTr="004D4EE0">
        <w:trPr>
          <w:trHeight w:val="340"/>
        </w:trPr>
        <w:tc>
          <w:tcPr>
            <w:tcW w:w="4320" w:type="dxa"/>
            <w:vMerge w:val="restart"/>
            <w:tcBorders>
              <w:right w:val="double" w:sz="4" w:space="0" w:color="auto"/>
            </w:tcBorders>
            <w:shd w:val="clear" w:color="auto" w:fill="D9D9D9" w:themeFill="background1" w:themeFillShade="D9"/>
            <w:vAlign w:val="center"/>
            <w:hideMark/>
          </w:tcPr>
          <w:p w14:paraId="72DC3F50" w14:textId="2E7E9C93" w:rsidR="009701F8" w:rsidRPr="00601553" w:rsidRDefault="00F76CC1" w:rsidP="004D4EE0">
            <w:pPr>
              <w:pStyle w:val="NormalWeb"/>
              <w:spacing w:before="0" w:beforeAutospacing="0" w:after="0" w:afterAutospacing="0"/>
              <w:jc w:val="center"/>
              <w:rPr>
                <w:i/>
                <w:sz w:val="20"/>
                <w:szCs w:val="20"/>
              </w:rPr>
            </w:pPr>
            <w:r w:rsidRPr="00601553">
              <w:rPr>
                <w:b/>
                <w:bCs/>
                <w:i/>
                <w:kern w:val="24"/>
                <w:sz w:val="20"/>
                <w:szCs w:val="20"/>
              </w:rPr>
              <w:t xml:space="preserve">Core Pillars of PFM </w:t>
            </w:r>
            <w:r w:rsidR="009701F8" w:rsidRPr="00601553">
              <w:rPr>
                <w:b/>
                <w:bCs/>
                <w:i/>
                <w:kern w:val="24"/>
                <w:sz w:val="20"/>
                <w:szCs w:val="20"/>
              </w:rPr>
              <w:t>Performance</w:t>
            </w:r>
          </w:p>
        </w:tc>
        <w:tc>
          <w:tcPr>
            <w:tcW w:w="1800" w:type="dxa"/>
            <w:gridSpan w:val="2"/>
            <w:tcBorders>
              <w:left w:val="double" w:sz="4" w:space="0" w:color="auto"/>
              <w:right w:val="double" w:sz="4" w:space="0" w:color="auto"/>
            </w:tcBorders>
            <w:shd w:val="clear" w:color="auto" w:fill="D9D9D9" w:themeFill="background1" w:themeFillShade="D9"/>
          </w:tcPr>
          <w:p w14:paraId="0675DACD" w14:textId="77777777" w:rsidR="009701F8" w:rsidRPr="00601553" w:rsidRDefault="009701F8" w:rsidP="004D4EE0">
            <w:pPr>
              <w:pStyle w:val="NormalWeb"/>
              <w:spacing w:before="0" w:beforeAutospacing="0" w:after="0" w:afterAutospacing="0"/>
              <w:jc w:val="center"/>
              <w:rPr>
                <w:b/>
                <w:bCs/>
                <w:i/>
                <w:kern w:val="24"/>
                <w:sz w:val="20"/>
                <w:szCs w:val="20"/>
              </w:rPr>
            </w:pPr>
            <w:r w:rsidRPr="00601553">
              <w:rPr>
                <w:b/>
                <w:bCs/>
                <w:i/>
                <w:kern w:val="24"/>
                <w:sz w:val="20"/>
                <w:szCs w:val="20"/>
              </w:rPr>
              <w:t>2010 Ratings</w:t>
            </w:r>
          </w:p>
        </w:tc>
        <w:tc>
          <w:tcPr>
            <w:tcW w:w="2070" w:type="dxa"/>
            <w:gridSpan w:val="2"/>
            <w:tcBorders>
              <w:left w:val="double" w:sz="4" w:space="0" w:color="auto"/>
              <w:right w:val="double" w:sz="4" w:space="0" w:color="auto"/>
            </w:tcBorders>
            <w:shd w:val="clear" w:color="auto" w:fill="D9D9D9" w:themeFill="background1" w:themeFillShade="D9"/>
            <w:vAlign w:val="center"/>
          </w:tcPr>
          <w:p w14:paraId="72578BF6" w14:textId="77777777" w:rsidR="009701F8" w:rsidRPr="00601553" w:rsidRDefault="009701F8" w:rsidP="004D4EE0">
            <w:pPr>
              <w:pStyle w:val="NormalWeb"/>
              <w:spacing w:before="0" w:beforeAutospacing="0" w:after="0" w:afterAutospacing="0"/>
              <w:jc w:val="center"/>
              <w:rPr>
                <w:b/>
                <w:bCs/>
                <w:i/>
                <w:kern w:val="24"/>
                <w:sz w:val="20"/>
                <w:szCs w:val="20"/>
              </w:rPr>
            </w:pPr>
            <w:r w:rsidRPr="00601553">
              <w:rPr>
                <w:b/>
                <w:bCs/>
                <w:i/>
                <w:kern w:val="24"/>
                <w:sz w:val="20"/>
                <w:szCs w:val="20"/>
              </w:rPr>
              <w:t>2016 Ratings</w:t>
            </w:r>
          </w:p>
        </w:tc>
        <w:tc>
          <w:tcPr>
            <w:tcW w:w="1260" w:type="dxa"/>
            <w:vMerge w:val="restart"/>
            <w:tcBorders>
              <w:left w:val="double" w:sz="4" w:space="0" w:color="auto"/>
            </w:tcBorders>
            <w:shd w:val="clear" w:color="auto" w:fill="D9D9D9" w:themeFill="background1" w:themeFillShade="D9"/>
            <w:vAlign w:val="center"/>
            <w:hideMark/>
          </w:tcPr>
          <w:p w14:paraId="23A163FD" w14:textId="77777777" w:rsidR="009701F8" w:rsidRPr="00601553" w:rsidRDefault="009701F8" w:rsidP="004D4EE0">
            <w:pPr>
              <w:pStyle w:val="NormalWeb"/>
              <w:spacing w:before="0" w:beforeAutospacing="0" w:after="0" w:afterAutospacing="0"/>
              <w:jc w:val="center"/>
              <w:rPr>
                <w:i/>
                <w:sz w:val="20"/>
                <w:szCs w:val="20"/>
              </w:rPr>
            </w:pPr>
            <w:r w:rsidRPr="00601553">
              <w:rPr>
                <w:b/>
                <w:bCs/>
                <w:i/>
                <w:kern w:val="24"/>
                <w:sz w:val="20"/>
                <w:szCs w:val="20"/>
              </w:rPr>
              <w:t>Total indicators</w:t>
            </w:r>
          </w:p>
        </w:tc>
      </w:tr>
      <w:tr w:rsidR="009701F8" w:rsidRPr="005A497D" w14:paraId="22028139" w14:textId="77777777" w:rsidTr="00601553">
        <w:trPr>
          <w:trHeight w:val="340"/>
        </w:trPr>
        <w:tc>
          <w:tcPr>
            <w:tcW w:w="4320" w:type="dxa"/>
            <w:vMerge/>
            <w:tcBorders>
              <w:bottom w:val="double" w:sz="4" w:space="0" w:color="auto"/>
              <w:right w:val="double" w:sz="4" w:space="0" w:color="auto"/>
            </w:tcBorders>
            <w:vAlign w:val="center"/>
          </w:tcPr>
          <w:p w14:paraId="010CB86E" w14:textId="77777777" w:rsidR="009701F8" w:rsidRPr="005A497D" w:rsidRDefault="009701F8" w:rsidP="004D4EE0">
            <w:pPr>
              <w:pStyle w:val="NormalWeb"/>
              <w:spacing w:before="0" w:beforeAutospacing="0" w:after="0" w:afterAutospacing="0"/>
              <w:rPr>
                <w:kern w:val="24"/>
                <w:sz w:val="22"/>
                <w:szCs w:val="22"/>
              </w:rPr>
            </w:pPr>
          </w:p>
        </w:tc>
        <w:tc>
          <w:tcPr>
            <w:tcW w:w="900" w:type="dxa"/>
            <w:tcBorders>
              <w:left w:val="double" w:sz="4" w:space="0" w:color="auto"/>
              <w:bottom w:val="double" w:sz="4" w:space="0" w:color="auto"/>
            </w:tcBorders>
            <w:shd w:val="clear" w:color="auto" w:fill="D9D9D9" w:themeFill="background1" w:themeFillShade="D9"/>
            <w:vAlign w:val="center"/>
          </w:tcPr>
          <w:p w14:paraId="600BF24E"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A / B</w:t>
            </w:r>
          </w:p>
        </w:tc>
        <w:tc>
          <w:tcPr>
            <w:tcW w:w="900" w:type="dxa"/>
            <w:tcBorders>
              <w:bottom w:val="double" w:sz="4" w:space="0" w:color="auto"/>
              <w:right w:val="double" w:sz="4" w:space="0" w:color="auto"/>
            </w:tcBorders>
            <w:shd w:val="clear" w:color="auto" w:fill="D9D9D9" w:themeFill="background1" w:themeFillShade="D9"/>
            <w:vAlign w:val="center"/>
          </w:tcPr>
          <w:p w14:paraId="455B9554"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C / D</w:t>
            </w:r>
          </w:p>
        </w:tc>
        <w:tc>
          <w:tcPr>
            <w:tcW w:w="990" w:type="dxa"/>
            <w:tcBorders>
              <w:left w:val="double" w:sz="4" w:space="0" w:color="auto"/>
              <w:bottom w:val="double" w:sz="4" w:space="0" w:color="auto"/>
            </w:tcBorders>
            <w:shd w:val="clear" w:color="auto" w:fill="D9D9D9" w:themeFill="background1" w:themeFillShade="D9"/>
            <w:vAlign w:val="center"/>
          </w:tcPr>
          <w:p w14:paraId="657C93D3"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A / B</w:t>
            </w:r>
          </w:p>
        </w:tc>
        <w:tc>
          <w:tcPr>
            <w:tcW w:w="1080" w:type="dxa"/>
            <w:tcBorders>
              <w:bottom w:val="double" w:sz="4" w:space="0" w:color="auto"/>
              <w:right w:val="double" w:sz="4" w:space="0" w:color="auto"/>
            </w:tcBorders>
            <w:shd w:val="clear" w:color="auto" w:fill="D9D9D9" w:themeFill="background1" w:themeFillShade="D9"/>
            <w:vAlign w:val="center"/>
          </w:tcPr>
          <w:p w14:paraId="773FFD76"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C / D</w:t>
            </w:r>
          </w:p>
        </w:tc>
        <w:tc>
          <w:tcPr>
            <w:tcW w:w="1260" w:type="dxa"/>
            <w:vMerge/>
            <w:tcBorders>
              <w:left w:val="double" w:sz="4" w:space="0" w:color="auto"/>
              <w:bottom w:val="double" w:sz="4" w:space="0" w:color="auto"/>
            </w:tcBorders>
            <w:vAlign w:val="center"/>
          </w:tcPr>
          <w:p w14:paraId="6CEB82B6" w14:textId="77777777" w:rsidR="009701F8" w:rsidRPr="005A497D" w:rsidRDefault="009701F8" w:rsidP="004D4EE0">
            <w:pPr>
              <w:pStyle w:val="NormalWeb"/>
              <w:spacing w:before="0" w:beforeAutospacing="0" w:after="0" w:afterAutospacing="0"/>
              <w:jc w:val="center"/>
              <w:rPr>
                <w:kern w:val="24"/>
                <w:sz w:val="22"/>
                <w:szCs w:val="22"/>
              </w:rPr>
            </w:pPr>
          </w:p>
        </w:tc>
      </w:tr>
      <w:tr w:rsidR="009701F8" w:rsidRPr="005A497D" w14:paraId="348EDD5D" w14:textId="77777777" w:rsidTr="00401133">
        <w:trPr>
          <w:trHeight w:val="288"/>
        </w:trPr>
        <w:tc>
          <w:tcPr>
            <w:tcW w:w="4320" w:type="dxa"/>
            <w:tcBorders>
              <w:top w:val="double" w:sz="4" w:space="0" w:color="auto"/>
              <w:bottom w:val="single" w:sz="4" w:space="0" w:color="auto"/>
              <w:right w:val="double" w:sz="4" w:space="0" w:color="auto"/>
            </w:tcBorders>
            <w:shd w:val="clear" w:color="auto" w:fill="auto"/>
            <w:vAlign w:val="center"/>
            <w:hideMark/>
          </w:tcPr>
          <w:p w14:paraId="552419FC" w14:textId="77777777" w:rsidR="009701F8" w:rsidRPr="00601553" w:rsidRDefault="009701F8" w:rsidP="004D4EE0">
            <w:pPr>
              <w:pStyle w:val="NormalWeb"/>
              <w:rPr>
                <w:sz w:val="20"/>
                <w:szCs w:val="20"/>
              </w:rPr>
            </w:pPr>
            <w:r w:rsidRPr="00601553">
              <w:rPr>
                <w:sz w:val="20"/>
                <w:szCs w:val="20"/>
              </w:rPr>
              <w:t>Credibility of the budget</w:t>
            </w:r>
          </w:p>
        </w:tc>
        <w:tc>
          <w:tcPr>
            <w:tcW w:w="900" w:type="dxa"/>
            <w:tcBorders>
              <w:top w:val="double" w:sz="4" w:space="0" w:color="auto"/>
              <w:left w:val="double" w:sz="4" w:space="0" w:color="auto"/>
              <w:bottom w:val="single" w:sz="4" w:space="0" w:color="auto"/>
            </w:tcBorders>
            <w:vAlign w:val="center"/>
          </w:tcPr>
          <w:p w14:paraId="6505ADD0"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900" w:type="dxa"/>
            <w:tcBorders>
              <w:top w:val="double" w:sz="4" w:space="0" w:color="auto"/>
              <w:bottom w:val="single" w:sz="4" w:space="0" w:color="auto"/>
              <w:right w:val="double" w:sz="4" w:space="0" w:color="auto"/>
            </w:tcBorders>
            <w:vAlign w:val="center"/>
          </w:tcPr>
          <w:p w14:paraId="25E9F987"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4</w:t>
            </w:r>
          </w:p>
        </w:tc>
        <w:tc>
          <w:tcPr>
            <w:tcW w:w="990" w:type="dxa"/>
            <w:tcBorders>
              <w:top w:val="double" w:sz="4" w:space="0" w:color="auto"/>
              <w:left w:val="double" w:sz="4" w:space="0" w:color="auto"/>
              <w:bottom w:val="single" w:sz="4" w:space="0" w:color="auto"/>
            </w:tcBorders>
            <w:shd w:val="clear" w:color="auto" w:fill="auto"/>
            <w:vAlign w:val="center"/>
          </w:tcPr>
          <w:p w14:paraId="1C167847" w14:textId="1AD22503" w:rsidR="009701F8" w:rsidRPr="00601553" w:rsidRDefault="0032029B" w:rsidP="004D4EE0">
            <w:pPr>
              <w:pStyle w:val="NormalWeb"/>
              <w:spacing w:before="0" w:beforeAutospacing="0" w:after="0" w:afterAutospacing="0"/>
              <w:jc w:val="center"/>
              <w:rPr>
                <w:sz w:val="20"/>
                <w:szCs w:val="20"/>
              </w:rPr>
            </w:pPr>
            <w:r>
              <w:rPr>
                <w:sz w:val="20"/>
                <w:szCs w:val="20"/>
              </w:rPr>
              <w:t>2</w:t>
            </w:r>
          </w:p>
        </w:tc>
        <w:tc>
          <w:tcPr>
            <w:tcW w:w="1080" w:type="dxa"/>
            <w:tcBorders>
              <w:top w:val="double" w:sz="4" w:space="0" w:color="auto"/>
              <w:bottom w:val="single" w:sz="4" w:space="0" w:color="auto"/>
              <w:right w:val="double" w:sz="4" w:space="0" w:color="auto"/>
            </w:tcBorders>
            <w:shd w:val="clear" w:color="auto" w:fill="auto"/>
            <w:vAlign w:val="center"/>
          </w:tcPr>
          <w:p w14:paraId="2510F32B" w14:textId="0AE2A6EE" w:rsidR="009701F8" w:rsidRPr="00601553" w:rsidRDefault="0032029B" w:rsidP="004D4EE0">
            <w:pPr>
              <w:pStyle w:val="NormalWeb"/>
              <w:spacing w:before="0" w:beforeAutospacing="0" w:after="0" w:afterAutospacing="0"/>
              <w:jc w:val="center"/>
              <w:rPr>
                <w:sz w:val="20"/>
                <w:szCs w:val="20"/>
              </w:rPr>
            </w:pPr>
            <w:r>
              <w:rPr>
                <w:sz w:val="20"/>
                <w:szCs w:val="20"/>
              </w:rPr>
              <w:t>4</w:t>
            </w:r>
            <w:r w:rsidR="00FA46E2" w:rsidRPr="00601553">
              <w:rPr>
                <w:sz w:val="20"/>
                <w:szCs w:val="20"/>
                <w:vertAlign w:val="superscript"/>
              </w:rPr>
              <w:t>/a</w:t>
            </w:r>
          </w:p>
        </w:tc>
        <w:tc>
          <w:tcPr>
            <w:tcW w:w="1260" w:type="dxa"/>
            <w:tcBorders>
              <w:top w:val="double" w:sz="4" w:space="0" w:color="auto"/>
              <w:left w:val="double" w:sz="4" w:space="0" w:color="auto"/>
              <w:bottom w:val="single" w:sz="4" w:space="0" w:color="auto"/>
            </w:tcBorders>
            <w:shd w:val="clear" w:color="auto" w:fill="auto"/>
            <w:vAlign w:val="center"/>
          </w:tcPr>
          <w:p w14:paraId="164D7504"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5</w:t>
            </w:r>
          </w:p>
        </w:tc>
      </w:tr>
      <w:tr w:rsidR="009701F8" w:rsidRPr="005A497D" w14:paraId="251713FB"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67CF1A7D" w14:textId="77777777" w:rsidR="009701F8" w:rsidRPr="00601553" w:rsidRDefault="009701F8" w:rsidP="004D4EE0">
            <w:pPr>
              <w:pStyle w:val="NormalWeb"/>
              <w:rPr>
                <w:sz w:val="20"/>
                <w:szCs w:val="20"/>
              </w:rPr>
            </w:pPr>
            <w:r w:rsidRPr="00601553">
              <w:rPr>
                <w:sz w:val="20"/>
                <w:szCs w:val="20"/>
              </w:rPr>
              <w:t>Comprehensiveness and transparency</w:t>
            </w:r>
          </w:p>
        </w:tc>
        <w:tc>
          <w:tcPr>
            <w:tcW w:w="900" w:type="dxa"/>
            <w:tcBorders>
              <w:top w:val="single" w:sz="4" w:space="0" w:color="auto"/>
              <w:left w:val="double" w:sz="4" w:space="0" w:color="auto"/>
              <w:bottom w:val="single" w:sz="4" w:space="0" w:color="auto"/>
            </w:tcBorders>
            <w:vAlign w:val="center"/>
          </w:tcPr>
          <w:p w14:paraId="0F382839"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6</w:t>
            </w:r>
          </w:p>
        </w:tc>
        <w:tc>
          <w:tcPr>
            <w:tcW w:w="900" w:type="dxa"/>
            <w:tcBorders>
              <w:top w:val="single" w:sz="4" w:space="0" w:color="auto"/>
              <w:bottom w:val="single" w:sz="4" w:space="0" w:color="auto"/>
              <w:right w:val="double" w:sz="4" w:space="0" w:color="auto"/>
            </w:tcBorders>
            <w:vAlign w:val="center"/>
          </w:tcPr>
          <w:p w14:paraId="786BBB04"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4</w:t>
            </w:r>
          </w:p>
        </w:tc>
        <w:tc>
          <w:tcPr>
            <w:tcW w:w="990" w:type="dxa"/>
            <w:tcBorders>
              <w:top w:val="single" w:sz="4" w:space="0" w:color="auto"/>
              <w:left w:val="double" w:sz="4" w:space="0" w:color="auto"/>
              <w:bottom w:val="single" w:sz="4" w:space="0" w:color="auto"/>
            </w:tcBorders>
            <w:shd w:val="clear" w:color="auto" w:fill="auto"/>
            <w:vAlign w:val="center"/>
          </w:tcPr>
          <w:p w14:paraId="57F27E04"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9</w:t>
            </w:r>
          </w:p>
        </w:tc>
        <w:tc>
          <w:tcPr>
            <w:tcW w:w="1080" w:type="dxa"/>
            <w:tcBorders>
              <w:top w:val="single" w:sz="4" w:space="0" w:color="auto"/>
              <w:bottom w:val="single" w:sz="4" w:space="0" w:color="auto"/>
              <w:right w:val="double" w:sz="4" w:space="0" w:color="auto"/>
            </w:tcBorders>
            <w:shd w:val="clear" w:color="auto" w:fill="auto"/>
            <w:vAlign w:val="center"/>
          </w:tcPr>
          <w:p w14:paraId="0CD93925"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w:t>
            </w:r>
          </w:p>
        </w:tc>
        <w:tc>
          <w:tcPr>
            <w:tcW w:w="1260" w:type="dxa"/>
            <w:tcBorders>
              <w:top w:val="single" w:sz="4" w:space="0" w:color="auto"/>
              <w:left w:val="double" w:sz="4" w:space="0" w:color="auto"/>
              <w:bottom w:val="single" w:sz="4" w:space="0" w:color="auto"/>
            </w:tcBorders>
            <w:shd w:val="clear" w:color="auto" w:fill="auto"/>
            <w:vAlign w:val="center"/>
          </w:tcPr>
          <w:p w14:paraId="0472042E"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10</w:t>
            </w:r>
          </w:p>
        </w:tc>
      </w:tr>
      <w:tr w:rsidR="009701F8" w:rsidRPr="005A497D" w14:paraId="40940C3E"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016651AA" w14:textId="77777777" w:rsidR="009701F8" w:rsidRPr="00601553" w:rsidRDefault="009701F8" w:rsidP="004D4EE0">
            <w:pPr>
              <w:pStyle w:val="NormalWeb"/>
              <w:rPr>
                <w:sz w:val="20"/>
                <w:szCs w:val="20"/>
              </w:rPr>
            </w:pPr>
            <w:r w:rsidRPr="00601553">
              <w:rPr>
                <w:sz w:val="20"/>
                <w:szCs w:val="20"/>
              </w:rPr>
              <w:t>Policy-based budgeting</w:t>
            </w:r>
          </w:p>
        </w:tc>
        <w:tc>
          <w:tcPr>
            <w:tcW w:w="900" w:type="dxa"/>
            <w:tcBorders>
              <w:top w:val="single" w:sz="4" w:space="0" w:color="auto"/>
              <w:left w:val="double" w:sz="4" w:space="0" w:color="auto"/>
              <w:bottom w:val="single" w:sz="4" w:space="0" w:color="auto"/>
            </w:tcBorders>
            <w:vAlign w:val="center"/>
          </w:tcPr>
          <w:p w14:paraId="4D57933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2</w:t>
            </w:r>
          </w:p>
        </w:tc>
        <w:tc>
          <w:tcPr>
            <w:tcW w:w="900" w:type="dxa"/>
            <w:tcBorders>
              <w:top w:val="single" w:sz="4" w:space="0" w:color="auto"/>
              <w:bottom w:val="single" w:sz="4" w:space="0" w:color="auto"/>
              <w:right w:val="double" w:sz="4" w:space="0" w:color="auto"/>
            </w:tcBorders>
            <w:vAlign w:val="center"/>
          </w:tcPr>
          <w:p w14:paraId="33B68DA1"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5</w:t>
            </w:r>
          </w:p>
        </w:tc>
        <w:tc>
          <w:tcPr>
            <w:tcW w:w="990" w:type="dxa"/>
            <w:tcBorders>
              <w:top w:val="single" w:sz="4" w:space="0" w:color="auto"/>
              <w:left w:val="double" w:sz="4" w:space="0" w:color="auto"/>
              <w:bottom w:val="single" w:sz="4" w:space="0" w:color="auto"/>
            </w:tcBorders>
            <w:shd w:val="clear" w:color="auto" w:fill="auto"/>
            <w:vAlign w:val="center"/>
          </w:tcPr>
          <w:p w14:paraId="7D641BB9"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7</w:t>
            </w:r>
          </w:p>
        </w:tc>
        <w:tc>
          <w:tcPr>
            <w:tcW w:w="1080" w:type="dxa"/>
            <w:tcBorders>
              <w:top w:val="single" w:sz="4" w:space="0" w:color="auto"/>
              <w:bottom w:val="single" w:sz="4" w:space="0" w:color="auto"/>
              <w:right w:val="double" w:sz="4" w:space="0" w:color="auto"/>
            </w:tcBorders>
            <w:shd w:val="clear" w:color="auto" w:fill="auto"/>
            <w:vAlign w:val="center"/>
          </w:tcPr>
          <w:p w14:paraId="048877EE"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w:t>
            </w:r>
          </w:p>
        </w:tc>
        <w:tc>
          <w:tcPr>
            <w:tcW w:w="1260" w:type="dxa"/>
            <w:tcBorders>
              <w:top w:val="single" w:sz="4" w:space="0" w:color="auto"/>
              <w:left w:val="double" w:sz="4" w:space="0" w:color="auto"/>
              <w:bottom w:val="single" w:sz="4" w:space="0" w:color="auto"/>
            </w:tcBorders>
            <w:shd w:val="clear" w:color="auto" w:fill="auto"/>
            <w:vAlign w:val="center"/>
          </w:tcPr>
          <w:p w14:paraId="026D9259"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7</w:t>
            </w:r>
          </w:p>
        </w:tc>
      </w:tr>
      <w:tr w:rsidR="009701F8" w:rsidRPr="005A497D" w14:paraId="1C25B16F"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0AA66AF0" w14:textId="77777777" w:rsidR="009701F8" w:rsidRPr="00601553" w:rsidRDefault="009701F8" w:rsidP="004D4EE0">
            <w:pPr>
              <w:pStyle w:val="NormalWeb"/>
              <w:rPr>
                <w:sz w:val="20"/>
                <w:szCs w:val="20"/>
              </w:rPr>
            </w:pPr>
            <w:r w:rsidRPr="00601553">
              <w:rPr>
                <w:sz w:val="20"/>
                <w:szCs w:val="20"/>
              </w:rPr>
              <w:t>Predictability and control in budget execution</w:t>
            </w:r>
          </w:p>
        </w:tc>
        <w:tc>
          <w:tcPr>
            <w:tcW w:w="900" w:type="dxa"/>
            <w:tcBorders>
              <w:top w:val="single" w:sz="4" w:space="0" w:color="auto"/>
              <w:left w:val="double" w:sz="4" w:space="0" w:color="auto"/>
              <w:bottom w:val="single" w:sz="4" w:space="0" w:color="auto"/>
            </w:tcBorders>
            <w:vAlign w:val="center"/>
          </w:tcPr>
          <w:p w14:paraId="2D613D73"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10</w:t>
            </w:r>
          </w:p>
        </w:tc>
        <w:tc>
          <w:tcPr>
            <w:tcW w:w="900" w:type="dxa"/>
            <w:tcBorders>
              <w:top w:val="single" w:sz="4" w:space="0" w:color="auto"/>
              <w:bottom w:val="single" w:sz="4" w:space="0" w:color="auto"/>
              <w:right w:val="double" w:sz="4" w:space="0" w:color="auto"/>
            </w:tcBorders>
            <w:vAlign w:val="center"/>
          </w:tcPr>
          <w:p w14:paraId="067F2A77"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18</w:t>
            </w:r>
          </w:p>
        </w:tc>
        <w:tc>
          <w:tcPr>
            <w:tcW w:w="990" w:type="dxa"/>
            <w:tcBorders>
              <w:top w:val="single" w:sz="4" w:space="0" w:color="auto"/>
              <w:left w:val="double" w:sz="4" w:space="0" w:color="auto"/>
              <w:bottom w:val="single" w:sz="4" w:space="0" w:color="auto"/>
            </w:tcBorders>
            <w:shd w:val="clear" w:color="auto" w:fill="auto"/>
            <w:vAlign w:val="center"/>
          </w:tcPr>
          <w:p w14:paraId="578CC7DC"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19</w:t>
            </w:r>
          </w:p>
        </w:tc>
        <w:tc>
          <w:tcPr>
            <w:tcW w:w="1080" w:type="dxa"/>
            <w:tcBorders>
              <w:top w:val="single" w:sz="4" w:space="0" w:color="auto"/>
              <w:bottom w:val="single" w:sz="4" w:space="0" w:color="auto"/>
              <w:right w:val="double" w:sz="4" w:space="0" w:color="auto"/>
            </w:tcBorders>
            <w:shd w:val="clear" w:color="auto" w:fill="auto"/>
            <w:vAlign w:val="center"/>
          </w:tcPr>
          <w:p w14:paraId="4EDC1857"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9</w:t>
            </w:r>
          </w:p>
        </w:tc>
        <w:tc>
          <w:tcPr>
            <w:tcW w:w="1260" w:type="dxa"/>
            <w:tcBorders>
              <w:top w:val="single" w:sz="4" w:space="0" w:color="auto"/>
              <w:left w:val="double" w:sz="4" w:space="0" w:color="auto"/>
              <w:bottom w:val="single" w:sz="4" w:space="0" w:color="auto"/>
            </w:tcBorders>
            <w:shd w:val="clear" w:color="auto" w:fill="auto"/>
            <w:vAlign w:val="center"/>
          </w:tcPr>
          <w:p w14:paraId="6C9E9E24"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28</w:t>
            </w:r>
          </w:p>
        </w:tc>
      </w:tr>
      <w:tr w:rsidR="009701F8" w:rsidRPr="005A497D" w14:paraId="5A1036E3"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6D14A798" w14:textId="77777777" w:rsidR="009701F8" w:rsidRPr="00601553" w:rsidRDefault="009701F8" w:rsidP="004D4EE0">
            <w:pPr>
              <w:pStyle w:val="NormalWeb"/>
              <w:rPr>
                <w:sz w:val="20"/>
                <w:szCs w:val="20"/>
              </w:rPr>
            </w:pPr>
            <w:r w:rsidRPr="00601553">
              <w:rPr>
                <w:sz w:val="20"/>
                <w:szCs w:val="20"/>
              </w:rPr>
              <w:t>Accounting, recording and reporting</w:t>
            </w:r>
          </w:p>
        </w:tc>
        <w:tc>
          <w:tcPr>
            <w:tcW w:w="900" w:type="dxa"/>
            <w:tcBorders>
              <w:top w:val="single" w:sz="4" w:space="0" w:color="auto"/>
              <w:left w:val="double" w:sz="4" w:space="0" w:color="auto"/>
              <w:bottom w:val="single" w:sz="4" w:space="0" w:color="auto"/>
            </w:tcBorders>
            <w:vAlign w:val="center"/>
          </w:tcPr>
          <w:p w14:paraId="4C6E5BDE"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2</w:t>
            </w:r>
          </w:p>
        </w:tc>
        <w:tc>
          <w:tcPr>
            <w:tcW w:w="900" w:type="dxa"/>
            <w:tcBorders>
              <w:top w:val="single" w:sz="4" w:space="0" w:color="auto"/>
              <w:bottom w:val="single" w:sz="4" w:space="0" w:color="auto"/>
              <w:right w:val="double" w:sz="4" w:space="0" w:color="auto"/>
            </w:tcBorders>
            <w:vAlign w:val="center"/>
          </w:tcPr>
          <w:p w14:paraId="40C731FC"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7</w:t>
            </w:r>
          </w:p>
        </w:tc>
        <w:tc>
          <w:tcPr>
            <w:tcW w:w="990" w:type="dxa"/>
            <w:tcBorders>
              <w:top w:val="single" w:sz="4" w:space="0" w:color="auto"/>
              <w:left w:val="double" w:sz="4" w:space="0" w:color="auto"/>
              <w:bottom w:val="single" w:sz="4" w:space="0" w:color="auto"/>
            </w:tcBorders>
            <w:shd w:val="clear" w:color="auto" w:fill="auto"/>
            <w:vAlign w:val="center"/>
          </w:tcPr>
          <w:p w14:paraId="34D55E53"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4</w:t>
            </w:r>
          </w:p>
        </w:tc>
        <w:tc>
          <w:tcPr>
            <w:tcW w:w="1080" w:type="dxa"/>
            <w:tcBorders>
              <w:top w:val="single" w:sz="4" w:space="0" w:color="auto"/>
              <w:bottom w:val="single" w:sz="4" w:space="0" w:color="auto"/>
              <w:right w:val="double" w:sz="4" w:space="0" w:color="auto"/>
            </w:tcBorders>
            <w:shd w:val="clear" w:color="auto" w:fill="auto"/>
            <w:vAlign w:val="center"/>
          </w:tcPr>
          <w:p w14:paraId="78905E74"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5</w:t>
            </w:r>
          </w:p>
        </w:tc>
        <w:tc>
          <w:tcPr>
            <w:tcW w:w="1260" w:type="dxa"/>
            <w:tcBorders>
              <w:top w:val="single" w:sz="4" w:space="0" w:color="auto"/>
              <w:left w:val="double" w:sz="4" w:space="0" w:color="auto"/>
              <w:bottom w:val="single" w:sz="4" w:space="0" w:color="auto"/>
            </w:tcBorders>
            <w:shd w:val="clear" w:color="auto" w:fill="auto"/>
            <w:vAlign w:val="center"/>
          </w:tcPr>
          <w:p w14:paraId="55849335"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9</w:t>
            </w:r>
          </w:p>
        </w:tc>
      </w:tr>
      <w:tr w:rsidR="009701F8" w:rsidRPr="005A497D" w14:paraId="52EB5658" w14:textId="77777777" w:rsidTr="00401133">
        <w:trPr>
          <w:trHeight w:val="288"/>
        </w:trPr>
        <w:tc>
          <w:tcPr>
            <w:tcW w:w="4320" w:type="dxa"/>
            <w:tcBorders>
              <w:top w:val="single" w:sz="4" w:space="0" w:color="auto"/>
              <w:bottom w:val="single" w:sz="4" w:space="0" w:color="auto"/>
              <w:right w:val="double" w:sz="4" w:space="0" w:color="auto"/>
            </w:tcBorders>
            <w:shd w:val="clear" w:color="auto" w:fill="auto"/>
            <w:vAlign w:val="center"/>
            <w:hideMark/>
          </w:tcPr>
          <w:p w14:paraId="3B168C1D" w14:textId="77777777" w:rsidR="009701F8" w:rsidRPr="00601553" w:rsidRDefault="009701F8" w:rsidP="004D4EE0">
            <w:pPr>
              <w:pStyle w:val="NormalWeb"/>
              <w:rPr>
                <w:sz w:val="20"/>
                <w:szCs w:val="20"/>
              </w:rPr>
            </w:pPr>
            <w:r w:rsidRPr="00601553">
              <w:rPr>
                <w:sz w:val="20"/>
                <w:szCs w:val="20"/>
              </w:rPr>
              <w:t>External scrutiny and audit</w:t>
            </w:r>
          </w:p>
        </w:tc>
        <w:tc>
          <w:tcPr>
            <w:tcW w:w="900" w:type="dxa"/>
            <w:tcBorders>
              <w:top w:val="single" w:sz="4" w:space="0" w:color="auto"/>
              <w:left w:val="double" w:sz="4" w:space="0" w:color="auto"/>
              <w:bottom w:val="single" w:sz="4" w:space="0" w:color="auto"/>
            </w:tcBorders>
            <w:vAlign w:val="center"/>
          </w:tcPr>
          <w:p w14:paraId="6B0A12B8"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5</w:t>
            </w:r>
          </w:p>
        </w:tc>
        <w:tc>
          <w:tcPr>
            <w:tcW w:w="900" w:type="dxa"/>
            <w:tcBorders>
              <w:top w:val="single" w:sz="4" w:space="0" w:color="auto"/>
              <w:bottom w:val="single" w:sz="4" w:space="0" w:color="auto"/>
              <w:right w:val="double" w:sz="4" w:space="0" w:color="auto"/>
            </w:tcBorders>
            <w:vAlign w:val="center"/>
          </w:tcPr>
          <w:p w14:paraId="7C7D030B"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5</w:t>
            </w:r>
          </w:p>
        </w:tc>
        <w:tc>
          <w:tcPr>
            <w:tcW w:w="990" w:type="dxa"/>
            <w:tcBorders>
              <w:top w:val="single" w:sz="4" w:space="0" w:color="auto"/>
              <w:left w:val="double" w:sz="4" w:space="0" w:color="auto"/>
              <w:bottom w:val="single" w:sz="4" w:space="0" w:color="auto"/>
            </w:tcBorders>
            <w:shd w:val="clear" w:color="auto" w:fill="auto"/>
            <w:vAlign w:val="center"/>
          </w:tcPr>
          <w:p w14:paraId="62EAB3E8"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6</w:t>
            </w:r>
          </w:p>
        </w:tc>
        <w:tc>
          <w:tcPr>
            <w:tcW w:w="1080" w:type="dxa"/>
            <w:tcBorders>
              <w:top w:val="single" w:sz="4" w:space="0" w:color="auto"/>
              <w:bottom w:val="single" w:sz="4" w:space="0" w:color="auto"/>
              <w:right w:val="double" w:sz="4" w:space="0" w:color="auto"/>
            </w:tcBorders>
            <w:shd w:val="clear" w:color="auto" w:fill="auto"/>
            <w:vAlign w:val="center"/>
          </w:tcPr>
          <w:p w14:paraId="6104AF4F" w14:textId="77777777" w:rsidR="009701F8" w:rsidRPr="00601553" w:rsidRDefault="009701F8" w:rsidP="004D4EE0">
            <w:pPr>
              <w:pStyle w:val="NormalWeb"/>
              <w:spacing w:before="0" w:beforeAutospacing="0" w:after="0" w:afterAutospacing="0"/>
              <w:jc w:val="center"/>
              <w:rPr>
                <w:sz w:val="20"/>
                <w:szCs w:val="20"/>
              </w:rPr>
            </w:pPr>
            <w:r w:rsidRPr="00601553">
              <w:rPr>
                <w:sz w:val="20"/>
                <w:szCs w:val="20"/>
              </w:rPr>
              <w:t>4</w:t>
            </w:r>
          </w:p>
        </w:tc>
        <w:tc>
          <w:tcPr>
            <w:tcW w:w="1260" w:type="dxa"/>
            <w:tcBorders>
              <w:top w:val="single" w:sz="4" w:space="0" w:color="auto"/>
              <w:left w:val="double" w:sz="4" w:space="0" w:color="auto"/>
              <w:bottom w:val="single" w:sz="4" w:space="0" w:color="auto"/>
            </w:tcBorders>
            <w:shd w:val="clear" w:color="auto" w:fill="auto"/>
            <w:vAlign w:val="center"/>
          </w:tcPr>
          <w:p w14:paraId="0BC65659" w14:textId="77777777" w:rsidR="009701F8" w:rsidRPr="00601553" w:rsidRDefault="009701F8" w:rsidP="004D4EE0">
            <w:pPr>
              <w:pStyle w:val="NormalWeb"/>
              <w:spacing w:before="0" w:beforeAutospacing="0" w:after="0" w:afterAutospacing="0"/>
              <w:jc w:val="center"/>
              <w:rPr>
                <w:b/>
                <w:sz w:val="20"/>
                <w:szCs w:val="20"/>
              </w:rPr>
            </w:pPr>
            <w:r w:rsidRPr="00601553">
              <w:rPr>
                <w:b/>
                <w:sz w:val="20"/>
                <w:szCs w:val="20"/>
              </w:rPr>
              <w:t>10</w:t>
            </w:r>
          </w:p>
        </w:tc>
      </w:tr>
      <w:tr w:rsidR="009701F8" w:rsidRPr="005A497D" w14:paraId="32C6FD78" w14:textId="77777777" w:rsidTr="00401133">
        <w:trPr>
          <w:trHeight w:val="288"/>
        </w:trPr>
        <w:tc>
          <w:tcPr>
            <w:tcW w:w="4320" w:type="dxa"/>
            <w:tcBorders>
              <w:top w:val="single" w:sz="4" w:space="0" w:color="auto"/>
              <w:bottom w:val="single" w:sz="4" w:space="0" w:color="auto"/>
              <w:right w:val="double" w:sz="4" w:space="0" w:color="auto"/>
            </w:tcBorders>
            <w:vAlign w:val="center"/>
          </w:tcPr>
          <w:p w14:paraId="295C48C9" w14:textId="77777777" w:rsidR="009701F8" w:rsidRPr="00601553" w:rsidRDefault="009701F8" w:rsidP="004D4EE0">
            <w:pPr>
              <w:pStyle w:val="NormalWeb"/>
              <w:spacing w:before="0" w:beforeAutospacing="0" w:after="0" w:afterAutospacing="0"/>
              <w:rPr>
                <w:b/>
                <w:kern w:val="24"/>
                <w:sz w:val="20"/>
                <w:szCs w:val="20"/>
              </w:rPr>
            </w:pPr>
            <w:r w:rsidRPr="00601553">
              <w:rPr>
                <w:b/>
                <w:kern w:val="24"/>
                <w:sz w:val="20"/>
                <w:szCs w:val="20"/>
              </w:rPr>
              <w:t>Total</w:t>
            </w:r>
          </w:p>
        </w:tc>
        <w:tc>
          <w:tcPr>
            <w:tcW w:w="900" w:type="dxa"/>
            <w:tcBorders>
              <w:top w:val="single" w:sz="4" w:space="0" w:color="auto"/>
              <w:left w:val="double" w:sz="4" w:space="0" w:color="auto"/>
              <w:bottom w:val="single" w:sz="4" w:space="0" w:color="auto"/>
            </w:tcBorders>
            <w:vAlign w:val="center"/>
          </w:tcPr>
          <w:p w14:paraId="54610030"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26</w:t>
            </w:r>
          </w:p>
        </w:tc>
        <w:tc>
          <w:tcPr>
            <w:tcW w:w="900" w:type="dxa"/>
            <w:tcBorders>
              <w:top w:val="single" w:sz="4" w:space="0" w:color="auto"/>
              <w:bottom w:val="single" w:sz="4" w:space="0" w:color="auto"/>
              <w:right w:val="double" w:sz="4" w:space="0" w:color="auto"/>
            </w:tcBorders>
            <w:vAlign w:val="center"/>
          </w:tcPr>
          <w:p w14:paraId="285121FB"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43</w:t>
            </w:r>
          </w:p>
        </w:tc>
        <w:tc>
          <w:tcPr>
            <w:tcW w:w="990" w:type="dxa"/>
            <w:tcBorders>
              <w:top w:val="single" w:sz="4" w:space="0" w:color="auto"/>
              <w:left w:val="double" w:sz="4" w:space="0" w:color="auto"/>
              <w:bottom w:val="single" w:sz="4" w:space="0" w:color="auto"/>
            </w:tcBorders>
            <w:vAlign w:val="center"/>
          </w:tcPr>
          <w:p w14:paraId="4B916D47" w14:textId="342AACD6"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4</w:t>
            </w:r>
            <w:r w:rsidR="0032029B">
              <w:rPr>
                <w:b/>
                <w:kern w:val="24"/>
                <w:sz w:val="20"/>
                <w:szCs w:val="20"/>
              </w:rPr>
              <w:t>7</w:t>
            </w:r>
          </w:p>
        </w:tc>
        <w:tc>
          <w:tcPr>
            <w:tcW w:w="1080" w:type="dxa"/>
            <w:tcBorders>
              <w:top w:val="single" w:sz="4" w:space="0" w:color="auto"/>
              <w:bottom w:val="single" w:sz="4" w:space="0" w:color="auto"/>
              <w:right w:val="double" w:sz="4" w:space="0" w:color="auto"/>
            </w:tcBorders>
            <w:vAlign w:val="center"/>
          </w:tcPr>
          <w:p w14:paraId="251A277E" w14:textId="6435664E"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2</w:t>
            </w:r>
            <w:r w:rsidR="0032029B">
              <w:rPr>
                <w:b/>
                <w:kern w:val="24"/>
                <w:sz w:val="20"/>
                <w:szCs w:val="20"/>
              </w:rPr>
              <w:t>3</w:t>
            </w:r>
          </w:p>
        </w:tc>
        <w:tc>
          <w:tcPr>
            <w:tcW w:w="1260" w:type="dxa"/>
            <w:tcBorders>
              <w:top w:val="single" w:sz="4" w:space="0" w:color="auto"/>
              <w:left w:val="double" w:sz="4" w:space="0" w:color="auto"/>
              <w:bottom w:val="single" w:sz="4" w:space="0" w:color="auto"/>
            </w:tcBorders>
            <w:vAlign w:val="center"/>
          </w:tcPr>
          <w:p w14:paraId="7769D96C" w14:textId="77777777" w:rsidR="009701F8" w:rsidRPr="00601553" w:rsidRDefault="009701F8" w:rsidP="004D4EE0">
            <w:pPr>
              <w:pStyle w:val="NormalWeb"/>
              <w:spacing w:before="0" w:beforeAutospacing="0" w:after="0" w:afterAutospacing="0"/>
              <w:jc w:val="center"/>
              <w:rPr>
                <w:b/>
                <w:kern w:val="24"/>
                <w:sz w:val="20"/>
                <w:szCs w:val="20"/>
              </w:rPr>
            </w:pPr>
            <w:r w:rsidRPr="00601553">
              <w:rPr>
                <w:b/>
                <w:kern w:val="24"/>
                <w:sz w:val="20"/>
                <w:szCs w:val="20"/>
              </w:rPr>
              <w:t>69</w:t>
            </w:r>
          </w:p>
        </w:tc>
      </w:tr>
      <w:tr w:rsidR="00FA46E2" w:rsidRPr="005A497D" w14:paraId="764D6F50" w14:textId="77777777" w:rsidTr="00401133">
        <w:trPr>
          <w:trHeight w:val="288"/>
        </w:trPr>
        <w:tc>
          <w:tcPr>
            <w:tcW w:w="9450" w:type="dxa"/>
            <w:gridSpan w:val="6"/>
            <w:tcBorders>
              <w:top w:val="single" w:sz="4" w:space="0" w:color="auto"/>
              <w:bottom w:val="double" w:sz="4" w:space="0" w:color="auto"/>
            </w:tcBorders>
            <w:vAlign w:val="center"/>
          </w:tcPr>
          <w:p w14:paraId="7EA76151" w14:textId="4416319A" w:rsidR="00FA46E2" w:rsidRPr="00D73BDF" w:rsidRDefault="00FA46E2" w:rsidP="00601553">
            <w:pPr>
              <w:pStyle w:val="NormalWeb"/>
              <w:spacing w:before="0" w:beforeAutospacing="0" w:after="0" w:afterAutospacing="0"/>
              <w:rPr>
                <w:b/>
                <w:kern w:val="24"/>
                <w:sz w:val="20"/>
                <w:szCs w:val="20"/>
              </w:rPr>
            </w:pPr>
            <w:r w:rsidRPr="00601553">
              <w:rPr>
                <w:b/>
                <w:kern w:val="24"/>
                <w:sz w:val="20"/>
                <w:szCs w:val="20"/>
                <w:vertAlign w:val="superscript"/>
              </w:rPr>
              <w:t>/a</w:t>
            </w:r>
            <w:r>
              <w:rPr>
                <w:b/>
                <w:kern w:val="24"/>
                <w:sz w:val="20"/>
                <w:szCs w:val="20"/>
              </w:rPr>
              <w:t xml:space="preserve">  </w:t>
            </w:r>
            <w:r w:rsidRPr="00601553">
              <w:rPr>
                <w:kern w:val="24"/>
                <w:sz w:val="18"/>
                <w:szCs w:val="18"/>
              </w:rPr>
              <w:t>Indicator was revised in 2011 to add a dimension</w:t>
            </w:r>
            <w:r w:rsidRPr="00601553">
              <w:rPr>
                <w:kern w:val="24"/>
                <w:sz w:val="20"/>
                <w:szCs w:val="20"/>
              </w:rPr>
              <w:t>.</w:t>
            </w:r>
          </w:p>
        </w:tc>
      </w:tr>
    </w:tbl>
    <w:p w14:paraId="1F06B850" w14:textId="77777777" w:rsidR="00DB3CCB" w:rsidRPr="00F47A20" w:rsidRDefault="00DB3CCB" w:rsidP="00DB3CCB">
      <w:pPr>
        <w:pStyle w:val="ListParagraph"/>
        <w:tabs>
          <w:tab w:val="left" w:pos="720"/>
        </w:tabs>
        <w:autoSpaceDE w:val="0"/>
        <w:autoSpaceDN w:val="0"/>
        <w:adjustRightInd w:val="0"/>
        <w:spacing w:after="0" w:line="240" w:lineRule="auto"/>
        <w:ind w:left="0" w:firstLine="0"/>
        <w:jc w:val="both"/>
      </w:pPr>
    </w:p>
    <w:p w14:paraId="6CAE605C" w14:textId="6B065C42" w:rsidR="00787D3B" w:rsidRPr="0011747E" w:rsidRDefault="0011747E" w:rsidP="0011747E">
      <w:pPr>
        <w:pStyle w:val="ListParagraph"/>
        <w:numPr>
          <w:ilvl w:val="0"/>
          <w:numId w:val="2"/>
        </w:numPr>
        <w:tabs>
          <w:tab w:val="left" w:pos="720"/>
        </w:tabs>
        <w:autoSpaceDE w:val="0"/>
        <w:autoSpaceDN w:val="0"/>
        <w:adjustRightInd w:val="0"/>
        <w:spacing w:after="0" w:line="240" w:lineRule="auto"/>
        <w:jc w:val="both"/>
      </w:pPr>
      <w:r>
        <w:t xml:space="preserve">It is clear that the </w:t>
      </w:r>
      <w:r w:rsidR="00FA46E2">
        <w:t xml:space="preserve">Government of the Philippines </w:t>
      </w:r>
      <w:r>
        <w:t>has improved its PFM performance in some areas but not in the most crucial areas of budget credibility and accounting, recording</w:t>
      </w:r>
      <w:r w:rsidR="00FA46E2">
        <w:t>,</w:t>
      </w:r>
      <w:r>
        <w:t xml:space="preserve"> and reporting. Annex 5 contains a table showing the current PI ratings and explanations along with the 2010 report ratings for comparison. The previous assessment resulted in a number of recommendations</w:t>
      </w:r>
      <w:r w:rsidR="00FA46E2">
        <w:t>.</w:t>
      </w:r>
      <w:r>
        <w:t xml:space="preserve"> </w:t>
      </w:r>
      <w:r w:rsidR="00FA46E2">
        <w:t>The following</w:t>
      </w:r>
      <w:r>
        <w:t xml:space="preserve"> </w:t>
      </w:r>
      <w:r w:rsidR="00420427">
        <w:t>list gives those recommended areas in need of change and</w:t>
      </w:r>
      <w:r>
        <w:t xml:space="preserve"> the current position in relation to their most relevant desired budget outcome parameter</w:t>
      </w:r>
      <w:r w:rsidR="00420427">
        <w:t xml:space="preserve">: </w:t>
      </w:r>
      <w:r w:rsidR="00420427" w:rsidRPr="0011747E">
        <w:t xml:space="preserve"> </w:t>
      </w:r>
    </w:p>
    <w:p w14:paraId="3B379B30" w14:textId="77777777" w:rsidR="00DB3CCB" w:rsidRDefault="00DB3CCB" w:rsidP="00DB3CCB">
      <w:pPr>
        <w:pStyle w:val="ListParagraph"/>
        <w:tabs>
          <w:tab w:val="left" w:pos="720"/>
        </w:tabs>
        <w:autoSpaceDE w:val="0"/>
        <w:autoSpaceDN w:val="0"/>
        <w:adjustRightInd w:val="0"/>
        <w:spacing w:after="0" w:line="240" w:lineRule="auto"/>
        <w:ind w:left="0" w:firstLine="0"/>
        <w:jc w:val="both"/>
      </w:pPr>
    </w:p>
    <w:p w14:paraId="35F7167C" w14:textId="071CCCDB" w:rsidR="00420427" w:rsidRPr="0018356A" w:rsidRDefault="00DB3CCB" w:rsidP="00601553">
      <w:pPr>
        <w:tabs>
          <w:tab w:val="left" w:pos="720"/>
        </w:tabs>
        <w:autoSpaceDE w:val="0"/>
        <w:autoSpaceDN w:val="0"/>
        <w:adjustRightInd w:val="0"/>
        <w:ind w:left="360"/>
        <w:jc w:val="both"/>
      </w:pPr>
      <w:r w:rsidRPr="00601553">
        <w:rPr>
          <w:b/>
          <w:i/>
        </w:rPr>
        <w:t>Fiscal discipline</w:t>
      </w:r>
      <w:r w:rsidRPr="00D73BDF">
        <w:t xml:space="preserve"> </w:t>
      </w:r>
    </w:p>
    <w:p w14:paraId="3C859728" w14:textId="3A166E3F" w:rsidR="00420427" w:rsidRDefault="00DB3CCB" w:rsidP="00830FB1">
      <w:pPr>
        <w:pStyle w:val="ListParagraph"/>
        <w:numPr>
          <w:ilvl w:val="0"/>
          <w:numId w:val="40"/>
        </w:numPr>
        <w:tabs>
          <w:tab w:val="left" w:pos="720"/>
        </w:tabs>
        <w:autoSpaceDE w:val="0"/>
        <w:autoSpaceDN w:val="0"/>
        <w:adjustRightInd w:val="0"/>
        <w:spacing w:line="240" w:lineRule="auto"/>
        <w:jc w:val="both"/>
      </w:pPr>
      <w:r w:rsidRPr="0012738A">
        <w:t>Proliferation of banking arrangements with limited central control/oversight</w:t>
      </w:r>
      <w:r w:rsidR="00420427">
        <w:t xml:space="preserve"> – </w:t>
      </w:r>
      <w:r w:rsidRPr="0012738A">
        <w:t>now resolved through the</w:t>
      </w:r>
      <w:r w:rsidR="00250522" w:rsidRPr="0012738A">
        <w:t xml:space="preserve"> treasury single acc</w:t>
      </w:r>
      <w:r w:rsidR="00250522" w:rsidRPr="00485F66">
        <w:t>ount</w:t>
      </w:r>
      <w:r w:rsidRPr="00D86E79">
        <w:t xml:space="preserve">. </w:t>
      </w:r>
    </w:p>
    <w:p w14:paraId="3B19EF6E" w14:textId="7AA338AF" w:rsidR="00420427" w:rsidRDefault="00DB3CCB" w:rsidP="00830FB1">
      <w:pPr>
        <w:pStyle w:val="ListParagraph"/>
        <w:numPr>
          <w:ilvl w:val="0"/>
          <w:numId w:val="40"/>
        </w:numPr>
        <w:tabs>
          <w:tab w:val="left" w:pos="720"/>
        </w:tabs>
        <w:autoSpaceDE w:val="0"/>
        <w:autoSpaceDN w:val="0"/>
        <w:adjustRightInd w:val="0"/>
        <w:spacing w:line="240" w:lineRule="auto"/>
        <w:jc w:val="both"/>
      </w:pPr>
      <w:r w:rsidRPr="0012738A">
        <w:t>Absence of a central fiscal authority with government</w:t>
      </w:r>
      <w:r w:rsidR="00420427">
        <w:t>-</w:t>
      </w:r>
      <w:r w:rsidRPr="0012738A">
        <w:t>wide responsibility for financial risk management</w:t>
      </w:r>
      <w:r w:rsidR="00420427">
        <w:t xml:space="preserve"> – </w:t>
      </w:r>
      <w:r w:rsidRPr="0012738A">
        <w:t xml:space="preserve">now resolved through effective fiscal risk management. </w:t>
      </w:r>
    </w:p>
    <w:p w14:paraId="422983BD" w14:textId="62C28842" w:rsidR="00420427" w:rsidRDefault="00DB3CCB" w:rsidP="00830FB1">
      <w:pPr>
        <w:pStyle w:val="ListParagraph"/>
        <w:numPr>
          <w:ilvl w:val="0"/>
          <w:numId w:val="40"/>
        </w:numPr>
        <w:tabs>
          <w:tab w:val="left" w:pos="720"/>
        </w:tabs>
        <w:autoSpaceDE w:val="0"/>
        <w:autoSpaceDN w:val="0"/>
        <w:adjustRightInd w:val="0"/>
        <w:spacing w:line="240" w:lineRule="auto"/>
        <w:jc w:val="both"/>
      </w:pPr>
      <w:r w:rsidRPr="0012738A">
        <w:t>Lack of codification of financial management rules</w:t>
      </w:r>
      <w:r w:rsidR="00420427">
        <w:t xml:space="preserve"> –</w:t>
      </w:r>
      <w:r w:rsidR="00420427" w:rsidRPr="0012738A">
        <w:t xml:space="preserve"> </w:t>
      </w:r>
      <w:r w:rsidRPr="0012738A">
        <w:t>now resolved through comp</w:t>
      </w:r>
      <w:r w:rsidRPr="00485F66">
        <w:t xml:space="preserve">rehensive manuals. </w:t>
      </w:r>
    </w:p>
    <w:p w14:paraId="359BCC12" w14:textId="77C36501" w:rsidR="00420427" w:rsidRDefault="00DB3CCB" w:rsidP="00830FB1">
      <w:pPr>
        <w:pStyle w:val="ListParagraph"/>
        <w:numPr>
          <w:ilvl w:val="0"/>
          <w:numId w:val="40"/>
        </w:numPr>
        <w:tabs>
          <w:tab w:val="left" w:pos="720"/>
        </w:tabs>
        <w:autoSpaceDE w:val="0"/>
        <w:autoSpaceDN w:val="0"/>
        <w:adjustRightInd w:val="0"/>
        <w:spacing w:line="240" w:lineRule="auto"/>
        <w:jc w:val="both"/>
      </w:pPr>
      <w:r w:rsidRPr="0012738A">
        <w:t>Ineffective external audit</w:t>
      </w:r>
      <w:r w:rsidR="00420427">
        <w:t xml:space="preserve"> – </w:t>
      </w:r>
      <w:r w:rsidRPr="0012738A">
        <w:t xml:space="preserve">now resolved with well performing </w:t>
      </w:r>
      <w:r w:rsidR="007209D7" w:rsidRPr="00485F66">
        <w:t>Commission on Audit</w:t>
      </w:r>
      <w:r w:rsidRPr="00346EDE">
        <w:t>.</w:t>
      </w:r>
    </w:p>
    <w:p w14:paraId="5F495781" w14:textId="04698B61" w:rsidR="00DB3CCB" w:rsidRPr="0012738A" w:rsidRDefault="00DB3CCB" w:rsidP="00830FB1">
      <w:pPr>
        <w:pStyle w:val="ListParagraph"/>
        <w:numPr>
          <w:ilvl w:val="0"/>
          <w:numId w:val="40"/>
        </w:numPr>
        <w:tabs>
          <w:tab w:val="left" w:pos="720"/>
        </w:tabs>
        <w:autoSpaceDE w:val="0"/>
        <w:autoSpaceDN w:val="0"/>
        <w:adjustRightInd w:val="0"/>
        <w:spacing w:line="240" w:lineRule="auto"/>
        <w:jc w:val="both"/>
      </w:pPr>
      <w:r w:rsidRPr="0012738A">
        <w:t>The issue of unreconciled bank accounts is a continuing problem for departments and agencies</w:t>
      </w:r>
      <w:r w:rsidR="00420427">
        <w:t xml:space="preserve"> – </w:t>
      </w:r>
      <w:r w:rsidRPr="0012738A">
        <w:t>not yet resolved, needing a comprehensive accounting system.</w:t>
      </w:r>
    </w:p>
    <w:p w14:paraId="1BAECC41" w14:textId="77777777" w:rsidR="00DB3CCB" w:rsidRDefault="00DB3CCB" w:rsidP="00DB3CCB">
      <w:pPr>
        <w:pStyle w:val="ListParagraph"/>
        <w:tabs>
          <w:tab w:val="left" w:pos="720"/>
        </w:tabs>
        <w:autoSpaceDE w:val="0"/>
        <w:autoSpaceDN w:val="0"/>
        <w:adjustRightInd w:val="0"/>
        <w:spacing w:after="0" w:line="240" w:lineRule="auto"/>
        <w:ind w:left="0" w:firstLine="0"/>
        <w:jc w:val="both"/>
      </w:pPr>
    </w:p>
    <w:p w14:paraId="530B36AB" w14:textId="6014BCFC" w:rsidR="00420427" w:rsidRDefault="00DB3CCB" w:rsidP="00601553">
      <w:pPr>
        <w:tabs>
          <w:tab w:val="left" w:pos="720"/>
        </w:tabs>
        <w:autoSpaceDE w:val="0"/>
        <w:autoSpaceDN w:val="0"/>
        <w:adjustRightInd w:val="0"/>
        <w:ind w:left="360"/>
        <w:jc w:val="both"/>
      </w:pPr>
      <w:r w:rsidRPr="00601553">
        <w:rPr>
          <w:b/>
          <w:i/>
        </w:rPr>
        <w:t>Resource allocation</w:t>
      </w:r>
      <w:r w:rsidRPr="00D73BDF">
        <w:t xml:space="preserve"> </w:t>
      </w:r>
    </w:p>
    <w:p w14:paraId="0902A0B8" w14:textId="16A30AF5" w:rsidR="00A77424" w:rsidRDefault="00DB3CCB" w:rsidP="00830FB1">
      <w:pPr>
        <w:pStyle w:val="ListParagraph"/>
        <w:numPr>
          <w:ilvl w:val="0"/>
          <w:numId w:val="41"/>
        </w:numPr>
        <w:tabs>
          <w:tab w:val="left" w:pos="720"/>
        </w:tabs>
        <w:autoSpaceDE w:val="0"/>
        <w:autoSpaceDN w:val="0"/>
        <w:adjustRightInd w:val="0"/>
        <w:spacing w:line="240" w:lineRule="auto"/>
        <w:jc w:val="both"/>
      </w:pPr>
      <w:r w:rsidRPr="0012738A">
        <w:t>Ineffective control in procurement process</w:t>
      </w:r>
      <w:r w:rsidR="00A77424">
        <w:t xml:space="preserve"> –</w:t>
      </w:r>
      <w:r w:rsidR="00A77424" w:rsidRPr="0012738A">
        <w:t xml:space="preserve"> </w:t>
      </w:r>
      <w:r w:rsidRPr="0012738A">
        <w:t xml:space="preserve">now resolved through formal procurement arrangements. </w:t>
      </w:r>
    </w:p>
    <w:p w14:paraId="7887FD23" w14:textId="53D67D5F" w:rsidR="00A77424" w:rsidRDefault="00DB3CCB" w:rsidP="00830FB1">
      <w:pPr>
        <w:pStyle w:val="ListParagraph"/>
        <w:numPr>
          <w:ilvl w:val="0"/>
          <w:numId w:val="41"/>
        </w:numPr>
        <w:tabs>
          <w:tab w:val="left" w:pos="720"/>
        </w:tabs>
        <w:autoSpaceDE w:val="0"/>
        <w:autoSpaceDN w:val="0"/>
        <w:adjustRightInd w:val="0"/>
        <w:spacing w:line="240" w:lineRule="auto"/>
        <w:jc w:val="both"/>
      </w:pPr>
      <w:r w:rsidRPr="0012738A">
        <w:t>Lack of monitoring/</w:t>
      </w:r>
      <w:r w:rsidRPr="00485F66">
        <w:t xml:space="preserve">control of budgetary realignments </w:t>
      </w:r>
      <w:r w:rsidR="00A77424">
        <w:t>and</w:t>
      </w:r>
      <w:r w:rsidR="00A77424" w:rsidRPr="0012738A">
        <w:t xml:space="preserve"> </w:t>
      </w:r>
      <w:r w:rsidRPr="0012738A">
        <w:t>use of savings</w:t>
      </w:r>
      <w:r w:rsidR="00A77424">
        <w:t xml:space="preserve"> –</w:t>
      </w:r>
      <w:r w:rsidR="00A77424" w:rsidRPr="0012738A">
        <w:t xml:space="preserve"> </w:t>
      </w:r>
      <w:r w:rsidRPr="0012738A">
        <w:t>now resolved through improved budget ma</w:t>
      </w:r>
      <w:r w:rsidRPr="00485F66">
        <w:t xml:space="preserve">nagement. </w:t>
      </w:r>
    </w:p>
    <w:p w14:paraId="7BB96F85" w14:textId="481B881C" w:rsidR="00A77424" w:rsidRDefault="00DB3CCB" w:rsidP="00830FB1">
      <w:pPr>
        <w:pStyle w:val="ListParagraph"/>
        <w:numPr>
          <w:ilvl w:val="0"/>
          <w:numId w:val="41"/>
        </w:numPr>
        <w:tabs>
          <w:tab w:val="left" w:pos="720"/>
        </w:tabs>
        <w:autoSpaceDE w:val="0"/>
        <w:autoSpaceDN w:val="0"/>
        <w:adjustRightInd w:val="0"/>
        <w:spacing w:line="240" w:lineRule="auto"/>
        <w:jc w:val="both"/>
      </w:pPr>
      <w:r w:rsidRPr="0012738A">
        <w:t xml:space="preserve">Fragmented </w:t>
      </w:r>
      <w:r w:rsidR="00A77424">
        <w:t>financial management information system</w:t>
      </w:r>
      <w:r w:rsidRPr="0012738A">
        <w:t xml:space="preserve"> with limited capability to track transactions and reconcile the individual systems</w:t>
      </w:r>
      <w:r w:rsidR="00A77424">
        <w:t xml:space="preserve"> –</w:t>
      </w:r>
      <w:r w:rsidR="00A77424" w:rsidRPr="0012738A">
        <w:t xml:space="preserve"> </w:t>
      </w:r>
      <w:r w:rsidRPr="0012738A">
        <w:t xml:space="preserve">partly resolved through IT improvements but still in need of major revamp. </w:t>
      </w:r>
    </w:p>
    <w:p w14:paraId="1BDE8BAB" w14:textId="63417D26" w:rsidR="00DB3CCB" w:rsidRPr="0012738A" w:rsidRDefault="00DB3CCB" w:rsidP="00830FB1">
      <w:pPr>
        <w:pStyle w:val="ListParagraph"/>
        <w:numPr>
          <w:ilvl w:val="0"/>
          <w:numId w:val="41"/>
        </w:numPr>
        <w:tabs>
          <w:tab w:val="left" w:pos="720"/>
        </w:tabs>
        <w:autoSpaceDE w:val="0"/>
        <w:autoSpaceDN w:val="0"/>
        <w:adjustRightInd w:val="0"/>
        <w:spacing w:line="240" w:lineRule="auto"/>
        <w:jc w:val="both"/>
      </w:pPr>
      <w:r w:rsidRPr="0012738A">
        <w:t>Many inventory and asset management systems are presently manual systems, subject to the usual weakness of any manual record-keeping system</w:t>
      </w:r>
      <w:r w:rsidR="00A77424">
        <w:t xml:space="preserve"> –</w:t>
      </w:r>
      <w:r w:rsidR="00A77424" w:rsidRPr="0012738A">
        <w:t xml:space="preserve"> </w:t>
      </w:r>
      <w:r w:rsidRPr="0012738A">
        <w:t>not fully resolved needing a comprehensive accounting system.</w:t>
      </w:r>
    </w:p>
    <w:p w14:paraId="43A0DF7C" w14:textId="77777777" w:rsidR="00DB3CCB" w:rsidRPr="007B6ED0" w:rsidRDefault="00DB3CCB" w:rsidP="00DB3CCB">
      <w:pPr>
        <w:pStyle w:val="ListParagraph"/>
        <w:tabs>
          <w:tab w:val="left" w:pos="720"/>
        </w:tabs>
        <w:autoSpaceDE w:val="0"/>
        <w:autoSpaceDN w:val="0"/>
        <w:adjustRightInd w:val="0"/>
        <w:spacing w:after="0" w:line="240" w:lineRule="auto"/>
        <w:ind w:left="0" w:firstLine="0"/>
        <w:jc w:val="both"/>
      </w:pPr>
    </w:p>
    <w:p w14:paraId="2D137BA8" w14:textId="626B18FB" w:rsidR="00A77424" w:rsidRDefault="00DB3CCB" w:rsidP="00601553">
      <w:pPr>
        <w:tabs>
          <w:tab w:val="left" w:pos="720"/>
        </w:tabs>
        <w:autoSpaceDE w:val="0"/>
        <w:autoSpaceDN w:val="0"/>
        <w:adjustRightInd w:val="0"/>
        <w:ind w:left="360"/>
        <w:jc w:val="both"/>
      </w:pPr>
      <w:r w:rsidRPr="00601553">
        <w:rPr>
          <w:b/>
          <w:i/>
        </w:rPr>
        <w:t>Service delivery</w:t>
      </w:r>
      <w:r w:rsidRPr="00D73BDF">
        <w:t xml:space="preserve"> </w:t>
      </w:r>
    </w:p>
    <w:p w14:paraId="6DD60749" w14:textId="3DEE1066" w:rsidR="00A77424" w:rsidRPr="0043657F" w:rsidRDefault="00DB3CCB" w:rsidP="00830FB1">
      <w:pPr>
        <w:pStyle w:val="ListParagraph"/>
        <w:numPr>
          <w:ilvl w:val="0"/>
          <w:numId w:val="44"/>
        </w:numPr>
        <w:tabs>
          <w:tab w:val="left" w:pos="720"/>
        </w:tabs>
        <w:autoSpaceDE w:val="0"/>
        <w:autoSpaceDN w:val="0"/>
        <w:adjustRightInd w:val="0"/>
        <w:spacing w:line="240" w:lineRule="auto"/>
        <w:jc w:val="both"/>
        <w:rPr>
          <w:rFonts w:ascii="Calibri" w:hAnsi="Calibri"/>
        </w:rPr>
      </w:pPr>
      <w:r w:rsidRPr="0012738A">
        <w:t xml:space="preserve">Persistence of </w:t>
      </w:r>
      <w:r w:rsidR="00A77424" w:rsidRPr="00485F66">
        <w:t>high</w:t>
      </w:r>
      <w:r w:rsidR="00A77424">
        <w:t>-</w:t>
      </w:r>
      <w:r w:rsidRPr="0012738A">
        <w:t>risk transactions</w:t>
      </w:r>
      <w:r w:rsidR="00A77424">
        <w:t xml:space="preserve"> –</w:t>
      </w:r>
      <w:r w:rsidRPr="0012738A">
        <w:t xml:space="preserve"> not fully </w:t>
      </w:r>
      <w:r w:rsidRPr="00485F66">
        <w:t xml:space="preserve">resolved with continuing internal control deficiencies. </w:t>
      </w:r>
    </w:p>
    <w:p w14:paraId="1C390093" w14:textId="5CEC5F62" w:rsidR="00A77424" w:rsidRPr="0043657F" w:rsidRDefault="00DB3CCB" w:rsidP="00830FB1">
      <w:pPr>
        <w:pStyle w:val="ListParagraph"/>
        <w:numPr>
          <w:ilvl w:val="0"/>
          <w:numId w:val="44"/>
        </w:numPr>
        <w:tabs>
          <w:tab w:val="left" w:pos="720"/>
        </w:tabs>
        <w:autoSpaceDE w:val="0"/>
        <w:autoSpaceDN w:val="0"/>
        <w:adjustRightInd w:val="0"/>
        <w:spacing w:line="240" w:lineRule="auto"/>
        <w:jc w:val="both"/>
        <w:rPr>
          <w:rFonts w:ascii="Calibri" w:hAnsi="Calibri"/>
        </w:rPr>
      </w:pPr>
      <w:r w:rsidRPr="0012738A">
        <w:t>Limited use of risk-based audit</w:t>
      </w:r>
      <w:r w:rsidR="00A77424">
        <w:t xml:space="preserve"> – </w:t>
      </w:r>
      <w:r w:rsidR="00A77424" w:rsidRPr="00D73BDF">
        <w:t>now</w:t>
      </w:r>
      <w:r w:rsidRPr="0012738A">
        <w:t xml:space="preserve"> resolved through more modern </w:t>
      </w:r>
      <w:r w:rsidR="00A77424" w:rsidRPr="00346EDE">
        <w:t>CoA</w:t>
      </w:r>
      <w:r w:rsidR="00A77424">
        <w:t>-</w:t>
      </w:r>
      <w:r w:rsidRPr="0012738A">
        <w:t>audit methods.</w:t>
      </w:r>
    </w:p>
    <w:p w14:paraId="72982AC8" w14:textId="305C9E2F" w:rsidR="00A77424" w:rsidRPr="0043657F" w:rsidRDefault="00DB3CCB" w:rsidP="00830FB1">
      <w:pPr>
        <w:pStyle w:val="ListParagraph"/>
        <w:numPr>
          <w:ilvl w:val="0"/>
          <w:numId w:val="44"/>
        </w:numPr>
        <w:tabs>
          <w:tab w:val="left" w:pos="720"/>
        </w:tabs>
        <w:autoSpaceDE w:val="0"/>
        <w:autoSpaceDN w:val="0"/>
        <w:adjustRightInd w:val="0"/>
        <w:spacing w:line="240" w:lineRule="auto"/>
        <w:jc w:val="both"/>
        <w:rPr>
          <w:rFonts w:ascii="Calibri" w:hAnsi="Calibri"/>
        </w:rPr>
      </w:pPr>
      <w:r w:rsidRPr="0012738A">
        <w:t xml:space="preserve"> Generally weak capacity of </w:t>
      </w:r>
      <w:r w:rsidR="008B0256">
        <w:t>Internal Audit Unit</w:t>
      </w:r>
      <w:r w:rsidRPr="0012738A">
        <w:t>s</w:t>
      </w:r>
      <w:r w:rsidR="00A77424">
        <w:t xml:space="preserve"> –</w:t>
      </w:r>
      <w:r w:rsidR="00A77424" w:rsidRPr="0012738A">
        <w:t xml:space="preserve"> </w:t>
      </w:r>
      <w:r w:rsidRPr="0012738A">
        <w:t xml:space="preserve">now partly resolved through more resources in </w:t>
      </w:r>
      <w:r w:rsidR="008B0256">
        <w:t>Internal Audit Service</w:t>
      </w:r>
      <w:r w:rsidRPr="0012738A">
        <w:t xml:space="preserve"> but more central </w:t>
      </w:r>
      <w:r w:rsidRPr="00485F66">
        <w:t xml:space="preserve">monitoring could be considered. </w:t>
      </w:r>
    </w:p>
    <w:p w14:paraId="3752ED51" w14:textId="115A9364" w:rsidR="00A77424" w:rsidRPr="00485F66" w:rsidRDefault="00DB3CCB" w:rsidP="00830FB1">
      <w:pPr>
        <w:pStyle w:val="ListParagraph"/>
        <w:numPr>
          <w:ilvl w:val="0"/>
          <w:numId w:val="44"/>
        </w:numPr>
        <w:tabs>
          <w:tab w:val="left" w:pos="720"/>
        </w:tabs>
        <w:autoSpaceDE w:val="0"/>
        <w:autoSpaceDN w:val="0"/>
        <w:adjustRightInd w:val="0"/>
        <w:spacing w:line="240" w:lineRule="auto"/>
        <w:jc w:val="both"/>
      </w:pPr>
      <w:r w:rsidRPr="0012738A">
        <w:t xml:space="preserve">Apart from the absence or the limited development of </w:t>
      </w:r>
      <w:r w:rsidR="00A77424">
        <w:t>a management information system</w:t>
      </w:r>
      <w:r w:rsidRPr="0012738A">
        <w:t xml:space="preserve">, the extensive reliance on </w:t>
      </w:r>
      <w:r w:rsidR="00A77424">
        <w:t xml:space="preserve">hard-copy </w:t>
      </w:r>
      <w:r w:rsidRPr="0012738A">
        <w:t xml:space="preserve">memos </w:t>
      </w:r>
      <w:r w:rsidRPr="00485F66">
        <w:t>appears to slow down</w:t>
      </w:r>
      <w:r w:rsidRPr="00D73BDF">
        <w:t xml:space="preserve"> </w:t>
      </w:r>
      <w:r w:rsidRPr="0012738A">
        <w:t>internal communications</w:t>
      </w:r>
      <w:r w:rsidR="00A77424">
        <w:t xml:space="preserve"> –</w:t>
      </w:r>
      <w:r w:rsidR="00A77424" w:rsidRPr="00D73BDF">
        <w:t xml:space="preserve"> </w:t>
      </w:r>
      <w:r w:rsidRPr="0012738A">
        <w:t xml:space="preserve">not fully resolved without a comprehensive </w:t>
      </w:r>
      <w:r w:rsidR="00A77424" w:rsidRPr="00D73BDF">
        <w:t>management information system</w:t>
      </w:r>
      <w:r w:rsidRPr="0012738A">
        <w:t xml:space="preserve">. </w:t>
      </w:r>
    </w:p>
    <w:p w14:paraId="0DAA7303" w14:textId="51401245" w:rsidR="00DB3CCB" w:rsidRPr="0012738A" w:rsidRDefault="00DB3CCB" w:rsidP="00830FB1">
      <w:pPr>
        <w:pStyle w:val="ListParagraph"/>
        <w:numPr>
          <w:ilvl w:val="0"/>
          <w:numId w:val="44"/>
        </w:numPr>
        <w:tabs>
          <w:tab w:val="left" w:pos="720"/>
        </w:tabs>
        <w:autoSpaceDE w:val="0"/>
        <w:autoSpaceDN w:val="0"/>
        <w:adjustRightInd w:val="0"/>
        <w:spacing w:line="240" w:lineRule="auto"/>
        <w:jc w:val="both"/>
      </w:pPr>
      <w:r w:rsidRPr="00346EDE">
        <w:t>Sanctions for financial mismanagement are rarely applied, partly because of the inexact assignments of accountabilities</w:t>
      </w:r>
      <w:r w:rsidR="00A77424">
        <w:t>;</w:t>
      </w:r>
      <w:r w:rsidRPr="0012738A">
        <w:t xml:space="preserve"> </w:t>
      </w:r>
      <w:r w:rsidR="00A77424">
        <w:t>t</w:t>
      </w:r>
      <w:r w:rsidR="00A77424" w:rsidRPr="0012738A">
        <w:t xml:space="preserve">he </w:t>
      </w:r>
      <w:r w:rsidRPr="0012738A">
        <w:t xml:space="preserve">apparent lack of concern </w:t>
      </w:r>
      <w:r w:rsidR="00A77424">
        <w:t>over</w:t>
      </w:r>
      <w:r w:rsidRPr="0012738A">
        <w:t xml:space="preserve"> compliance</w:t>
      </w:r>
      <w:r w:rsidR="00A77424">
        <w:t xml:space="preserve"> with rules</w:t>
      </w:r>
      <w:r w:rsidRPr="0012738A">
        <w:t xml:space="preserve"> means that the government is not in a position to identify systemic weaknesses in the existing internal control and financial accountability regime and take corrective measures</w:t>
      </w:r>
      <w:r w:rsidR="00A77424">
        <w:t xml:space="preserve"> </w:t>
      </w:r>
      <w:r w:rsidR="00271651">
        <w:t>–</w:t>
      </w:r>
      <w:r w:rsidR="00271651" w:rsidRPr="00E014BE">
        <w:t xml:space="preserve"> </w:t>
      </w:r>
      <w:r w:rsidR="00271651" w:rsidRPr="0012738A">
        <w:t>not</w:t>
      </w:r>
      <w:r w:rsidRPr="0012738A">
        <w:t xml:space="preserve"> fully resolved with a need to consider modernized financial management legislation. </w:t>
      </w:r>
    </w:p>
    <w:p w14:paraId="5F0B0132" w14:textId="77777777" w:rsidR="00DB3CCB" w:rsidRPr="00F47A20" w:rsidRDefault="00DB3CCB" w:rsidP="00DB3CCB">
      <w:pPr>
        <w:pStyle w:val="ListParagraph"/>
        <w:tabs>
          <w:tab w:val="left" w:pos="720"/>
        </w:tabs>
        <w:autoSpaceDE w:val="0"/>
        <w:autoSpaceDN w:val="0"/>
        <w:adjustRightInd w:val="0"/>
        <w:spacing w:after="0" w:line="240" w:lineRule="auto"/>
        <w:ind w:left="0" w:firstLine="0"/>
        <w:jc w:val="both"/>
      </w:pPr>
    </w:p>
    <w:p w14:paraId="5111BF78" w14:textId="77777777" w:rsidR="0082052E" w:rsidRDefault="0082052E" w:rsidP="00DB3CCB">
      <w:pPr>
        <w:jc w:val="both"/>
        <w:rPr>
          <w:b/>
        </w:rPr>
      </w:pPr>
    </w:p>
    <w:p w14:paraId="30EB37AF" w14:textId="77777777" w:rsidR="0082052E" w:rsidRDefault="0082052E" w:rsidP="00DB3CCB">
      <w:pPr>
        <w:jc w:val="both"/>
        <w:rPr>
          <w:b/>
        </w:rPr>
      </w:pPr>
    </w:p>
    <w:p w14:paraId="4439C377" w14:textId="77777777" w:rsidR="00DB3CCB" w:rsidRPr="00601553" w:rsidRDefault="00DB3CCB" w:rsidP="00DB3CCB">
      <w:pPr>
        <w:jc w:val="both"/>
        <w:rPr>
          <w:b/>
        </w:rPr>
      </w:pPr>
      <w:r w:rsidRPr="00601553">
        <w:rPr>
          <w:b/>
        </w:rPr>
        <w:t>On-Going and Planned PFM Reform Agenda</w:t>
      </w:r>
    </w:p>
    <w:p w14:paraId="5F4EC34C" w14:textId="77777777" w:rsidR="00DB3CCB" w:rsidRPr="00F47A20" w:rsidRDefault="00DB3CCB" w:rsidP="00DB3CCB">
      <w:pPr>
        <w:jc w:val="both"/>
        <w:rPr>
          <w:u w:val="single"/>
        </w:rPr>
      </w:pPr>
    </w:p>
    <w:p w14:paraId="4DE861FA" w14:textId="0906CA9D" w:rsidR="0011747E" w:rsidRPr="0018356A" w:rsidRDefault="0011747E" w:rsidP="00D73BDF">
      <w:pPr>
        <w:pStyle w:val="ListParagraph"/>
        <w:numPr>
          <w:ilvl w:val="0"/>
          <w:numId w:val="2"/>
        </w:numPr>
        <w:tabs>
          <w:tab w:val="left" w:pos="720"/>
        </w:tabs>
        <w:autoSpaceDE w:val="0"/>
        <w:autoSpaceDN w:val="0"/>
        <w:adjustRightInd w:val="0"/>
        <w:spacing w:after="0" w:line="240" w:lineRule="auto"/>
        <w:jc w:val="both"/>
      </w:pPr>
      <w:r w:rsidRPr="00D73BDF">
        <w:t>The Philippines Government is implementing its Philippine PFM Reform Roadmap: Towards Improved Accountability and Transparency, 2011–2015. Also the Good Governance and Anti-Corruption Cabinet Cluster Action Plan 2013-2016 includes several PFM-related acti</w:t>
      </w:r>
      <w:r w:rsidRPr="0018356A">
        <w:t>vities</w:t>
      </w:r>
      <w:r w:rsidR="00D73BDF">
        <w:t>.</w:t>
      </w:r>
      <w:r w:rsidRPr="0018356A">
        <w:t xml:space="preserve"> The</w:t>
      </w:r>
      <w:r w:rsidRPr="00D55AB9">
        <w:t xml:space="preserve"> comprehensive PFM reform agenda aim</w:t>
      </w:r>
      <w:r w:rsidR="00D73BDF">
        <w:t>s</w:t>
      </w:r>
      <w:r w:rsidRPr="0018356A">
        <w:t xml:space="preserve"> to clarify, simplify, improve</w:t>
      </w:r>
      <w:r w:rsidR="00D73BDF">
        <w:t>,</w:t>
      </w:r>
      <w:r w:rsidRPr="0018356A">
        <w:t xml:space="preserve"> and harmonize the financial manageme</w:t>
      </w:r>
      <w:r w:rsidRPr="000B5F77">
        <w:t xml:space="preserve">nt processes and information systems of the </w:t>
      </w:r>
      <w:r w:rsidR="00D73BDF">
        <w:t xml:space="preserve">Philippines’ </w:t>
      </w:r>
      <w:r w:rsidRPr="0018356A">
        <w:t>civil service</w:t>
      </w:r>
      <w:r w:rsidRPr="00D55AB9">
        <w:t xml:space="preserve">. The </w:t>
      </w:r>
      <w:r w:rsidR="00D73BDF">
        <w:t xml:space="preserve">PFM </w:t>
      </w:r>
      <w:r w:rsidRPr="0018356A">
        <w:t xml:space="preserve">program is the main vehicle for consideration </w:t>
      </w:r>
      <w:r w:rsidR="00D73BDF">
        <w:t>when evaluating the</w:t>
      </w:r>
      <w:r w:rsidRPr="0018356A">
        <w:t xml:space="preserve"> results of this PEFA assessment. </w:t>
      </w:r>
    </w:p>
    <w:p w14:paraId="67038E08" w14:textId="77777777" w:rsidR="0011747E" w:rsidRDefault="0011747E" w:rsidP="0011747E">
      <w:pPr>
        <w:pStyle w:val="ListParagraph"/>
        <w:tabs>
          <w:tab w:val="left" w:pos="720"/>
        </w:tabs>
        <w:autoSpaceDE w:val="0"/>
        <w:autoSpaceDN w:val="0"/>
        <w:adjustRightInd w:val="0"/>
        <w:spacing w:after="0" w:line="240" w:lineRule="auto"/>
        <w:ind w:left="0" w:firstLine="0"/>
        <w:jc w:val="both"/>
      </w:pPr>
    </w:p>
    <w:p w14:paraId="5EB398EA" w14:textId="0151F137" w:rsidR="0011747E" w:rsidRPr="00D55AB9" w:rsidRDefault="0011747E" w:rsidP="0018356A">
      <w:pPr>
        <w:pStyle w:val="ListParagraph"/>
        <w:numPr>
          <w:ilvl w:val="0"/>
          <w:numId w:val="2"/>
        </w:numPr>
        <w:tabs>
          <w:tab w:val="left" w:pos="720"/>
        </w:tabs>
        <w:autoSpaceDE w:val="0"/>
        <w:autoSpaceDN w:val="0"/>
        <w:adjustRightInd w:val="0"/>
        <w:spacing w:after="0" w:line="240" w:lineRule="auto"/>
        <w:jc w:val="both"/>
      </w:pPr>
      <w:r w:rsidRPr="00D73BDF">
        <w:t xml:space="preserve">A </w:t>
      </w:r>
      <w:r w:rsidR="00D73BDF">
        <w:t xml:space="preserve">PFM </w:t>
      </w:r>
      <w:r w:rsidRPr="00D73BDF">
        <w:t>Program Steering Committee provides strategic oversight to program planning and implementation and decides funding priorities year to year. The National Economic and Development Authority plays an important advi</w:t>
      </w:r>
      <w:r w:rsidRPr="0018356A">
        <w:t>sory role to the program. </w:t>
      </w:r>
      <w:r w:rsidRPr="00D55AB9">
        <w:t xml:space="preserve">The </w:t>
      </w:r>
      <w:r w:rsidR="00D73BDF" w:rsidRPr="00D55AB9">
        <w:t>PFM</w:t>
      </w:r>
      <w:r w:rsidR="00D73BDF">
        <w:t xml:space="preserve"> program</w:t>
      </w:r>
      <w:r w:rsidR="00D73BDF" w:rsidRPr="0018356A">
        <w:t xml:space="preserve"> </w:t>
      </w:r>
      <w:r w:rsidRPr="000B5F77">
        <w:t xml:space="preserve">has ongoing </w:t>
      </w:r>
      <w:r w:rsidR="00D73BDF">
        <w:t xml:space="preserve">improvement </w:t>
      </w:r>
      <w:r w:rsidRPr="0018356A">
        <w:t>act</w:t>
      </w:r>
      <w:r w:rsidRPr="000B5F77">
        <w:t xml:space="preserve">ivities in the following areas </w:t>
      </w:r>
      <w:r w:rsidRPr="00D55AB9">
        <w:t>relevant to the findings of this assessment</w:t>
      </w:r>
      <w:r w:rsidR="00D73BDF">
        <w:t>:</w:t>
      </w:r>
      <w:r w:rsidRPr="0018356A">
        <w:t xml:space="preserve"> </w:t>
      </w:r>
      <w:r w:rsidRPr="00D55AB9">
        <w:t>automating financial management processes in large spending agencies</w:t>
      </w:r>
      <w:r w:rsidR="00D73BDF">
        <w:t>;</w:t>
      </w:r>
      <w:r w:rsidR="00D73BDF" w:rsidRPr="0018356A">
        <w:t xml:space="preserve"> </w:t>
      </w:r>
      <w:r w:rsidR="00D73BDF">
        <w:t>introducing</w:t>
      </w:r>
      <w:r w:rsidRPr="0018356A">
        <w:t xml:space="preserve"> a </w:t>
      </w:r>
      <w:r w:rsidR="00D73BDF" w:rsidRPr="000B5F77">
        <w:t>government integrated financia</w:t>
      </w:r>
      <w:r w:rsidR="00D73BDF" w:rsidRPr="00D55AB9">
        <w:t xml:space="preserve">l management information system </w:t>
      </w:r>
      <w:r w:rsidRPr="00D55AB9">
        <w:t>(GIFMIS</w:t>
      </w:r>
      <w:r w:rsidR="00D73BDF" w:rsidRPr="00D55AB9">
        <w:t>)</w:t>
      </w:r>
      <w:r w:rsidR="00D73BDF">
        <w:t>;</w:t>
      </w:r>
      <w:r w:rsidR="00D73BDF" w:rsidRPr="0018356A">
        <w:t xml:space="preserve"> </w:t>
      </w:r>
      <w:r w:rsidRPr="000B5F77">
        <w:t>supporting departments to improve their </w:t>
      </w:r>
      <w:r w:rsidRPr="00D55AB9">
        <w:t>internal controls, risk management</w:t>
      </w:r>
      <w:r w:rsidR="00D73BDF">
        <w:t>,</w:t>
      </w:r>
      <w:r w:rsidRPr="0018356A">
        <w:t xml:space="preserve"> and internal audit </w:t>
      </w:r>
      <w:r w:rsidRPr="000B5F77">
        <w:t>functions</w:t>
      </w:r>
      <w:r w:rsidR="00D973AD">
        <w:t>;</w:t>
      </w:r>
      <w:r w:rsidR="00D973AD" w:rsidRPr="0018356A">
        <w:t xml:space="preserve"> </w:t>
      </w:r>
      <w:r w:rsidRPr="000B5F77">
        <w:t>and pilot-testing a </w:t>
      </w:r>
      <w:r w:rsidRPr="00D55AB9">
        <w:t xml:space="preserve">PFM </w:t>
      </w:r>
      <w:r w:rsidR="00D973AD">
        <w:t>c</w:t>
      </w:r>
      <w:r w:rsidR="00D973AD" w:rsidRPr="0018356A">
        <w:t xml:space="preserve">ompetency </w:t>
      </w:r>
      <w:r w:rsidR="00D973AD">
        <w:t>f</w:t>
      </w:r>
      <w:r w:rsidR="00D973AD" w:rsidRPr="0018356A">
        <w:t>ramework</w:t>
      </w:r>
      <w:r w:rsidRPr="000B5F77">
        <w:t xml:space="preserve">.  </w:t>
      </w:r>
    </w:p>
    <w:p w14:paraId="2AFE2998" w14:textId="77777777" w:rsidR="0011747E" w:rsidRPr="00D55AB9" w:rsidRDefault="0011747E" w:rsidP="00601553">
      <w:pPr>
        <w:pStyle w:val="ListParagraph"/>
        <w:tabs>
          <w:tab w:val="left" w:pos="720"/>
        </w:tabs>
        <w:autoSpaceDE w:val="0"/>
        <w:autoSpaceDN w:val="0"/>
        <w:adjustRightInd w:val="0"/>
        <w:spacing w:after="0" w:line="240" w:lineRule="auto"/>
        <w:ind w:left="0" w:firstLine="0"/>
        <w:jc w:val="both"/>
      </w:pPr>
    </w:p>
    <w:p w14:paraId="738E64DD" w14:textId="5920DC19" w:rsidR="0011747E" w:rsidRPr="00D55AB9" w:rsidRDefault="0011747E" w:rsidP="00D73BDF">
      <w:pPr>
        <w:pStyle w:val="ListParagraph"/>
        <w:numPr>
          <w:ilvl w:val="0"/>
          <w:numId w:val="2"/>
        </w:numPr>
        <w:tabs>
          <w:tab w:val="left" w:pos="720"/>
        </w:tabs>
        <w:autoSpaceDE w:val="0"/>
        <w:autoSpaceDN w:val="0"/>
        <w:adjustRightInd w:val="0"/>
        <w:spacing w:after="0" w:line="240" w:lineRule="auto"/>
        <w:jc w:val="both"/>
      </w:pPr>
      <w:r w:rsidRPr="00D73BDF">
        <w:t xml:space="preserve">The PEFA results show that the reform program to date has had </w:t>
      </w:r>
      <w:r w:rsidRPr="0018356A">
        <w:t xml:space="preserve">success in strengthening the capacity of central agencies such </w:t>
      </w:r>
      <w:r w:rsidR="00D973AD">
        <w:t>as the Department of Budget and Management</w:t>
      </w:r>
      <w:r w:rsidRPr="0018356A">
        <w:t xml:space="preserve"> </w:t>
      </w:r>
      <w:r w:rsidR="00D973AD">
        <w:t>(</w:t>
      </w:r>
      <w:r w:rsidRPr="0018356A">
        <w:t>DBM</w:t>
      </w:r>
      <w:r w:rsidR="00D973AD">
        <w:t>)</w:t>
      </w:r>
      <w:r w:rsidRPr="0018356A">
        <w:t xml:space="preserve"> in budget development and transparency, but this has not been matched by reform improvements in the capacity of l</w:t>
      </w:r>
      <w:r w:rsidRPr="000B5F77">
        <w:t xml:space="preserve">ine agencies to provide accurate and timely reporting. </w:t>
      </w:r>
      <w:r w:rsidRPr="0018356A">
        <w:t>It is clear from the results of this PEFA assessment that the reforms associated with technology need substantial increases in scope to enable line agen</w:t>
      </w:r>
      <w:r w:rsidRPr="000B5F77">
        <w:t xml:space="preserve">cies to manage financial transactions in accord with regulations and budget intentions and to obtain </w:t>
      </w:r>
      <w:r w:rsidR="00D973AD" w:rsidRPr="00D55AB9">
        <w:t>real</w:t>
      </w:r>
      <w:r w:rsidR="00D973AD">
        <w:t>-</w:t>
      </w:r>
      <w:r w:rsidRPr="0018356A">
        <w:t>time financial reporting to maintain budget execution in line with service delivery requirements. The improved accounting systems must enable age</w:t>
      </w:r>
      <w:r w:rsidRPr="000B5F77">
        <w:t xml:space="preserve">ncies to produce annual accounts that are timely and free from audit qualifications. </w:t>
      </w:r>
      <w:r w:rsidR="003230A6">
        <w:t xml:space="preserve">The performance of </w:t>
      </w:r>
      <w:r w:rsidR="003230A6" w:rsidRPr="000D0E8D">
        <w:rPr>
          <w:i/>
        </w:rPr>
        <w:t>e</w:t>
      </w:r>
      <w:r w:rsidR="003230A6">
        <w:t>NGAS and c</w:t>
      </w:r>
      <w:r w:rsidRPr="000B5F77">
        <w:t xml:space="preserve">urrent IT </w:t>
      </w:r>
      <w:r w:rsidRPr="00D55AB9">
        <w:t xml:space="preserve">development plans need to be reviewed </w:t>
      </w:r>
      <w:r w:rsidR="003230A6">
        <w:t xml:space="preserve">against international practices and </w:t>
      </w:r>
      <w:r w:rsidR="00D973AD">
        <w:t>in relation with</w:t>
      </w:r>
      <w:r w:rsidR="00D973AD" w:rsidRPr="0018356A">
        <w:t xml:space="preserve"> </w:t>
      </w:r>
      <w:r w:rsidRPr="000B5F77">
        <w:t>the PEFA results and revised as necessary to provide the PFM information and management s</w:t>
      </w:r>
      <w:r w:rsidRPr="00D55AB9">
        <w:t>ystems needed.</w:t>
      </w:r>
    </w:p>
    <w:p w14:paraId="25BEC408" w14:textId="16A4D1B6" w:rsidR="00787D3B" w:rsidRPr="006031CC" w:rsidRDefault="00787D3B" w:rsidP="00787D3B">
      <w:pPr>
        <w:tabs>
          <w:tab w:val="left" w:pos="720"/>
        </w:tabs>
        <w:autoSpaceDE w:val="0"/>
        <w:autoSpaceDN w:val="0"/>
        <w:adjustRightInd w:val="0"/>
        <w:jc w:val="both"/>
      </w:pPr>
    </w:p>
    <w:p w14:paraId="4ABAAA79" w14:textId="406D5550" w:rsidR="00A77424" w:rsidRDefault="00A77424"/>
    <w:p w14:paraId="5B973BD9" w14:textId="791591E9" w:rsidR="00C52B40" w:rsidRDefault="00C52B40">
      <w:pPr>
        <w:rPr>
          <w:b/>
          <w:bCs/>
          <w:color w:val="4F81BD" w:themeColor="accent1"/>
        </w:rPr>
      </w:pPr>
      <w:r>
        <w:br w:type="page"/>
      </w:r>
    </w:p>
    <w:p w14:paraId="224B8A4A" w14:textId="4DFB8AE3" w:rsidR="001B4745" w:rsidRPr="005A497D" w:rsidRDefault="001B4745" w:rsidP="001112A1">
      <w:pPr>
        <w:pStyle w:val="PEFATable"/>
        <w:spacing w:after="40"/>
        <w:jc w:val="both"/>
        <w:rPr>
          <w:sz w:val="24"/>
          <w:szCs w:val="24"/>
        </w:rPr>
      </w:pPr>
      <w:bookmarkStart w:id="15" w:name="_Toc454889232"/>
      <w:r w:rsidRPr="005A497D">
        <w:rPr>
          <w:sz w:val="24"/>
          <w:szCs w:val="24"/>
        </w:rPr>
        <w:t xml:space="preserve">Table </w:t>
      </w:r>
      <w:r w:rsidR="00CB2486">
        <w:rPr>
          <w:sz w:val="24"/>
          <w:szCs w:val="24"/>
        </w:rPr>
        <w:t>0.5</w:t>
      </w:r>
      <w:r w:rsidRPr="005A497D">
        <w:rPr>
          <w:sz w:val="24"/>
          <w:szCs w:val="24"/>
        </w:rPr>
        <w:t xml:space="preserve">: </w:t>
      </w:r>
      <w:r w:rsidR="00990B9A" w:rsidRPr="005A497D">
        <w:rPr>
          <w:sz w:val="24"/>
          <w:szCs w:val="24"/>
        </w:rPr>
        <w:t xml:space="preserve">PEFA Assessment </w:t>
      </w:r>
      <w:r w:rsidRPr="005A497D">
        <w:rPr>
          <w:sz w:val="24"/>
          <w:szCs w:val="24"/>
        </w:rPr>
        <w:t>Summary of Scores</w:t>
      </w:r>
      <w:r w:rsidRPr="005A497D">
        <w:rPr>
          <w:noProof/>
          <w:sz w:val="24"/>
          <w:szCs w:val="24"/>
        </w:rPr>
        <w:t xml:space="preserve"> 201</w:t>
      </w:r>
      <w:r w:rsidR="00C52B40">
        <w:rPr>
          <w:noProof/>
          <w:sz w:val="24"/>
          <w:szCs w:val="24"/>
        </w:rPr>
        <w:t>6</w:t>
      </w:r>
      <w:bookmarkEnd w:id="15"/>
    </w:p>
    <w:tbl>
      <w:tblPr>
        <w:tblStyle w:val="TableGrid"/>
        <w:tblW w:w="9464" w:type="dxa"/>
        <w:tblLayout w:type="fixed"/>
        <w:tblLook w:val="04A0" w:firstRow="1" w:lastRow="0" w:firstColumn="1" w:lastColumn="0" w:noHBand="0" w:noVBand="1"/>
      </w:tblPr>
      <w:tblGrid>
        <w:gridCol w:w="531"/>
        <w:gridCol w:w="5096"/>
        <w:gridCol w:w="9"/>
        <w:gridCol w:w="564"/>
        <w:gridCol w:w="603"/>
        <w:gridCol w:w="603"/>
        <w:gridCol w:w="603"/>
        <w:gridCol w:w="604"/>
        <w:gridCol w:w="851"/>
      </w:tblGrid>
      <w:tr w:rsidR="009701F8" w:rsidRPr="00FD6C96" w14:paraId="6E5C7F84" w14:textId="77777777" w:rsidTr="004D4EE0">
        <w:tc>
          <w:tcPr>
            <w:tcW w:w="5627" w:type="dxa"/>
            <w:gridSpan w:val="2"/>
            <w:vMerge w:val="restart"/>
            <w:tcBorders>
              <w:top w:val="double" w:sz="4" w:space="0" w:color="auto"/>
              <w:left w:val="double" w:sz="4" w:space="0" w:color="auto"/>
            </w:tcBorders>
            <w:shd w:val="clear" w:color="auto" w:fill="D9D9D9"/>
            <w:vAlign w:val="center"/>
          </w:tcPr>
          <w:p w14:paraId="3AA2BB01" w14:textId="77777777" w:rsidR="009701F8" w:rsidRPr="00C337CF" w:rsidRDefault="009701F8" w:rsidP="004D4EE0">
            <w:pPr>
              <w:spacing w:before="60" w:after="60"/>
              <w:jc w:val="center"/>
              <w:rPr>
                <w:b/>
                <w:i/>
                <w:sz w:val="16"/>
                <w:szCs w:val="16"/>
              </w:rPr>
            </w:pPr>
            <w:r w:rsidRPr="00C337CF">
              <w:rPr>
                <w:b/>
                <w:i/>
                <w:szCs w:val="16"/>
              </w:rPr>
              <w:t>Performance Indicators (PIs)</w:t>
            </w:r>
          </w:p>
        </w:tc>
        <w:tc>
          <w:tcPr>
            <w:tcW w:w="573" w:type="dxa"/>
            <w:gridSpan w:val="2"/>
            <w:vMerge w:val="restart"/>
            <w:tcBorders>
              <w:top w:val="double" w:sz="4" w:space="0" w:color="auto"/>
            </w:tcBorders>
            <w:shd w:val="clear" w:color="auto" w:fill="D9D9D9"/>
            <w:textDirection w:val="btLr"/>
            <w:vAlign w:val="center"/>
          </w:tcPr>
          <w:p w14:paraId="0FECF580" w14:textId="77777777" w:rsidR="009701F8" w:rsidRPr="00FD6C96" w:rsidRDefault="009701F8" w:rsidP="004D4EE0">
            <w:pPr>
              <w:spacing w:before="60" w:after="60"/>
              <w:jc w:val="center"/>
              <w:rPr>
                <w:b/>
                <w:sz w:val="16"/>
                <w:szCs w:val="16"/>
              </w:rPr>
            </w:pPr>
            <w:r w:rsidRPr="00FD6C96">
              <w:rPr>
                <w:b/>
                <w:sz w:val="16"/>
                <w:szCs w:val="16"/>
              </w:rPr>
              <w:t>Scoring Method</w:t>
            </w:r>
          </w:p>
        </w:tc>
        <w:tc>
          <w:tcPr>
            <w:tcW w:w="3264" w:type="dxa"/>
            <w:gridSpan w:val="5"/>
            <w:tcBorders>
              <w:top w:val="double" w:sz="4" w:space="0" w:color="auto"/>
              <w:right w:val="double" w:sz="4" w:space="0" w:color="auto"/>
            </w:tcBorders>
            <w:shd w:val="clear" w:color="auto" w:fill="D9D9D9"/>
            <w:vAlign w:val="center"/>
          </w:tcPr>
          <w:p w14:paraId="1092E4B4" w14:textId="77777777" w:rsidR="009701F8" w:rsidRPr="00C337CF" w:rsidRDefault="009701F8" w:rsidP="004D4EE0">
            <w:pPr>
              <w:spacing w:before="60" w:after="60"/>
              <w:jc w:val="center"/>
              <w:rPr>
                <w:b/>
                <w:i/>
                <w:sz w:val="16"/>
                <w:szCs w:val="16"/>
              </w:rPr>
            </w:pPr>
            <w:r w:rsidRPr="00C337CF">
              <w:rPr>
                <w:b/>
                <w:i/>
                <w:sz w:val="16"/>
                <w:szCs w:val="16"/>
              </w:rPr>
              <w:t>2016</w:t>
            </w:r>
          </w:p>
        </w:tc>
      </w:tr>
      <w:tr w:rsidR="009701F8" w:rsidRPr="00FD6C96" w14:paraId="439C171B" w14:textId="77777777" w:rsidTr="004D4EE0">
        <w:tc>
          <w:tcPr>
            <w:tcW w:w="5627" w:type="dxa"/>
            <w:gridSpan w:val="2"/>
            <w:vMerge/>
            <w:tcBorders>
              <w:left w:val="double" w:sz="4" w:space="0" w:color="auto"/>
            </w:tcBorders>
            <w:shd w:val="clear" w:color="auto" w:fill="D9D9D9"/>
            <w:vAlign w:val="center"/>
          </w:tcPr>
          <w:p w14:paraId="6D94D8A5" w14:textId="77777777" w:rsidR="009701F8" w:rsidRPr="00FD6C96" w:rsidRDefault="009701F8" w:rsidP="004D4EE0">
            <w:pPr>
              <w:spacing w:before="60" w:after="60"/>
              <w:jc w:val="center"/>
              <w:rPr>
                <w:b/>
                <w:sz w:val="16"/>
                <w:szCs w:val="16"/>
              </w:rPr>
            </w:pPr>
          </w:p>
        </w:tc>
        <w:tc>
          <w:tcPr>
            <w:tcW w:w="573" w:type="dxa"/>
            <w:gridSpan w:val="2"/>
            <w:vMerge/>
            <w:shd w:val="clear" w:color="auto" w:fill="D9D9D9"/>
            <w:vAlign w:val="center"/>
          </w:tcPr>
          <w:p w14:paraId="02482F27" w14:textId="77777777" w:rsidR="009701F8" w:rsidRPr="00FD6C96" w:rsidRDefault="009701F8" w:rsidP="004D4EE0">
            <w:pPr>
              <w:spacing w:before="60" w:after="60"/>
              <w:jc w:val="center"/>
              <w:rPr>
                <w:b/>
                <w:sz w:val="16"/>
                <w:szCs w:val="16"/>
              </w:rPr>
            </w:pPr>
          </w:p>
        </w:tc>
        <w:tc>
          <w:tcPr>
            <w:tcW w:w="2413" w:type="dxa"/>
            <w:gridSpan w:val="4"/>
            <w:shd w:val="clear" w:color="auto" w:fill="D9D9D9"/>
            <w:vAlign w:val="center"/>
          </w:tcPr>
          <w:p w14:paraId="26458C5D" w14:textId="77777777" w:rsidR="009701F8" w:rsidRPr="00C337CF" w:rsidRDefault="009701F8" w:rsidP="004D4EE0">
            <w:pPr>
              <w:spacing w:before="60" w:after="60"/>
              <w:jc w:val="center"/>
              <w:rPr>
                <w:b/>
                <w:i/>
                <w:sz w:val="16"/>
                <w:szCs w:val="16"/>
              </w:rPr>
            </w:pPr>
            <w:r w:rsidRPr="00C337CF">
              <w:rPr>
                <w:b/>
                <w:i/>
                <w:sz w:val="18"/>
                <w:szCs w:val="16"/>
              </w:rPr>
              <w:t>Dimension Rating</w:t>
            </w:r>
          </w:p>
        </w:tc>
        <w:tc>
          <w:tcPr>
            <w:tcW w:w="851" w:type="dxa"/>
            <w:vMerge w:val="restart"/>
            <w:tcBorders>
              <w:right w:val="double" w:sz="4" w:space="0" w:color="auto"/>
            </w:tcBorders>
            <w:shd w:val="clear" w:color="auto" w:fill="D9D9D9"/>
            <w:vAlign w:val="center"/>
          </w:tcPr>
          <w:p w14:paraId="5526912C" w14:textId="77777777" w:rsidR="009701F8" w:rsidRPr="00C337CF" w:rsidRDefault="009701F8" w:rsidP="004D4EE0">
            <w:pPr>
              <w:spacing w:before="60" w:after="60"/>
              <w:ind w:left="-57" w:right="-57"/>
              <w:jc w:val="center"/>
              <w:rPr>
                <w:b/>
                <w:i/>
                <w:sz w:val="16"/>
                <w:szCs w:val="16"/>
              </w:rPr>
            </w:pPr>
            <w:r w:rsidRPr="00C337CF">
              <w:rPr>
                <w:b/>
                <w:i/>
                <w:sz w:val="16"/>
                <w:szCs w:val="16"/>
              </w:rPr>
              <w:t>Overall Score</w:t>
            </w:r>
          </w:p>
        </w:tc>
      </w:tr>
      <w:tr w:rsidR="009701F8" w:rsidRPr="00FD6C96" w14:paraId="2AD79CD2" w14:textId="77777777" w:rsidTr="004D4EE0">
        <w:trPr>
          <w:trHeight w:val="312"/>
        </w:trPr>
        <w:tc>
          <w:tcPr>
            <w:tcW w:w="5627" w:type="dxa"/>
            <w:gridSpan w:val="2"/>
            <w:vMerge/>
            <w:tcBorders>
              <w:left w:val="double" w:sz="4" w:space="0" w:color="auto"/>
              <w:bottom w:val="double" w:sz="4" w:space="0" w:color="auto"/>
            </w:tcBorders>
            <w:shd w:val="clear" w:color="auto" w:fill="D9D9D9"/>
            <w:vAlign w:val="center"/>
          </w:tcPr>
          <w:p w14:paraId="562F43A5" w14:textId="77777777" w:rsidR="009701F8" w:rsidRPr="00FD6C96" w:rsidRDefault="009701F8" w:rsidP="004D4EE0">
            <w:pPr>
              <w:spacing w:before="60" w:after="60"/>
              <w:jc w:val="center"/>
              <w:rPr>
                <w:b/>
                <w:sz w:val="16"/>
                <w:szCs w:val="16"/>
              </w:rPr>
            </w:pPr>
          </w:p>
        </w:tc>
        <w:tc>
          <w:tcPr>
            <w:tcW w:w="573" w:type="dxa"/>
            <w:gridSpan w:val="2"/>
            <w:vMerge/>
            <w:tcBorders>
              <w:bottom w:val="double" w:sz="4" w:space="0" w:color="auto"/>
            </w:tcBorders>
            <w:shd w:val="clear" w:color="auto" w:fill="D9D9D9"/>
            <w:vAlign w:val="center"/>
          </w:tcPr>
          <w:p w14:paraId="6E42ECCD" w14:textId="77777777" w:rsidR="009701F8" w:rsidRPr="00FD6C96" w:rsidRDefault="009701F8" w:rsidP="004D4EE0">
            <w:pPr>
              <w:spacing w:before="60" w:after="60"/>
              <w:jc w:val="center"/>
              <w:rPr>
                <w:b/>
                <w:sz w:val="16"/>
                <w:szCs w:val="16"/>
              </w:rPr>
            </w:pPr>
          </w:p>
        </w:tc>
        <w:tc>
          <w:tcPr>
            <w:tcW w:w="603" w:type="dxa"/>
            <w:tcBorders>
              <w:bottom w:val="double" w:sz="4" w:space="0" w:color="auto"/>
            </w:tcBorders>
            <w:shd w:val="clear" w:color="auto" w:fill="D9D9D9"/>
            <w:vAlign w:val="center"/>
          </w:tcPr>
          <w:p w14:paraId="188368D7" w14:textId="77777777" w:rsidR="009701F8" w:rsidRPr="00C337CF" w:rsidRDefault="009701F8" w:rsidP="004D4EE0">
            <w:pPr>
              <w:spacing w:before="60" w:after="60"/>
              <w:ind w:left="-57" w:right="-57"/>
              <w:jc w:val="center"/>
              <w:rPr>
                <w:b/>
                <w:i/>
                <w:sz w:val="16"/>
                <w:szCs w:val="16"/>
              </w:rPr>
            </w:pPr>
            <w:r w:rsidRPr="00C337CF">
              <w:rPr>
                <w:b/>
                <w:i/>
                <w:sz w:val="16"/>
                <w:szCs w:val="16"/>
              </w:rPr>
              <w:t>(i)</w:t>
            </w:r>
          </w:p>
        </w:tc>
        <w:tc>
          <w:tcPr>
            <w:tcW w:w="603" w:type="dxa"/>
            <w:tcBorders>
              <w:bottom w:val="double" w:sz="4" w:space="0" w:color="auto"/>
            </w:tcBorders>
            <w:shd w:val="clear" w:color="auto" w:fill="D9D9D9"/>
            <w:vAlign w:val="center"/>
          </w:tcPr>
          <w:p w14:paraId="0459B708" w14:textId="77777777" w:rsidR="009701F8" w:rsidRPr="00C337CF" w:rsidRDefault="009701F8" w:rsidP="004D4EE0">
            <w:pPr>
              <w:spacing w:before="60" w:after="60"/>
              <w:ind w:left="-57" w:right="-57"/>
              <w:jc w:val="center"/>
              <w:rPr>
                <w:b/>
                <w:i/>
                <w:sz w:val="16"/>
                <w:szCs w:val="16"/>
              </w:rPr>
            </w:pPr>
            <w:r w:rsidRPr="00C337CF">
              <w:rPr>
                <w:b/>
                <w:i/>
                <w:sz w:val="16"/>
                <w:szCs w:val="16"/>
              </w:rPr>
              <w:t>(ii)</w:t>
            </w:r>
          </w:p>
        </w:tc>
        <w:tc>
          <w:tcPr>
            <w:tcW w:w="603" w:type="dxa"/>
            <w:tcBorders>
              <w:bottom w:val="double" w:sz="4" w:space="0" w:color="auto"/>
            </w:tcBorders>
            <w:shd w:val="clear" w:color="auto" w:fill="D9D9D9"/>
            <w:vAlign w:val="center"/>
          </w:tcPr>
          <w:p w14:paraId="00CF66DB" w14:textId="77777777" w:rsidR="009701F8" w:rsidRPr="00C337CF" w:rsidRDefault="009701F8" w:rsidP="004D4EE0">
            <w:pPr>
              <w:spacing w:before="60" w:after="60"/>
              <w:ind w:left="-57" w:right="-57"/>
              <w:jc w:val="center"/>
              <w:rPr>
                <w:b/>
                <w:i/>
                <w:sz w:val="16"/>
                <w:szCs w:val="16"/>
              </w:rPr>
            </w:pPr>
            <w:r w:rsidRPr="00C337CF">
              <w:rPr>
                <w:b/>
                <w:i/>
                <w:sz w:val="16"/>
                <w:szCs w:val="16"/>
              </w:rPr>
              <w:t>(iii)</w:t>
            </w:r>
          </w:p>
        </w:tc>
        <w:tc>
          <w:tcPr>
            <w:tcW w:w="604" w:type="dxa"/>
            <w:tcBorders>
              <w:bottom w:val="double" w:sz="4" w:space="0" w:color="auto"/>
            </w:tcBorders>
            <w:shd w:val="clear" w:color="auto" w:fill="D9D9D9"/>
            <w:vAlign w:val="center"/>
          </w:tcPr>
          <w:p w14:paraId="2FA994D5" w14:textId="77777777" w:rsidR="009701F8" w:rsidRPr="00C337CF" w:rsidRDefault="009701F8" w:rsidP="004D4EE0">
            <w:pPr>
              <w:spacing w:before="60" w:after="60"/>
              <w:ind w:left="-57" w:right="-57"/>
              <w:jc w:val="center"/>
              <w:rPr>
                <w:b/>
                <w:i/>
                <w:sz w:val="16"/>
                <w:szCs w:val="16"/>
              </w:rPr>
            </w:pPr>
            <w:r w:rsidRPr="00C337CF">
              <w:rPr>
                <w:b/>
                <w:i/>
                <w:sz w:val="16"/>
                <w:szCs w:val="16"/>
              </w:rPr>
              <w:t>(iv)</w:t>
            </w:r>
          </w:p>
        </w:tc>
        <w:tc>
          <w:tcPr>
            <w:tcW w:w="851" w:type="dxa"/>
            <w:vMerge/>
            <w:tcBorders>
              <w:bottom w:val="double" w:sz="4" w:space="0" w:color="auto"/>
              <w:right w:val="double" w:sz="4" w:space="0" w:color="auto"/>
            </w:tcBorders>
            <w:shd w:val="clear" w:color="auto" w:fill="D9D9D9"/>
            <w:vAlign w:val="center"/>
          </w:tcPr>
          <w:p w14:paraId="17BF8ED7" w14:textId="77777777" w:rsidR="009701F8" w:rsidRPr="00FD6C96" w:rsidRDefault="009701F8" w:rsidP="004D4EE0">
            <w:pPr>
              <w:spacing w:before="60" w:after="60"/>
              <w:ind w:left="-57" w:right="-57"/>
              <w:jc w:val="center"/>
              <w:rPr>
                <w:b/>
                <w:sz w:val="16"/>
                <w:szCs w:val="16"/>
              </w:rPr>
            </w:pPr>
          </w:p>
        </w:tc>
      </w:tr>
      <w:tr w:rsidR="009701F8" w:rsidRPr="00FD6C96" w14:paraId="3FDAA71E" w14:textId="77777777" w:rsidTr="004D4EE0">
        <w:tc>
          <w:tcPr>
            <w:tcW w:w="9464" w:type="dxa"/>
            <w:gridSpan w:val="9"/>
            <w:tcBorders>
              <w:top w:val="double" w:sz="4" w:space="0" w:color="auto"/>
              <w:left w:val="double" w:sz="4" w:space="0" w:color="auto"/>
              <w:right w:val="double" w:sz="4" w:space="0" w:color="auto"/>
            </w:tcBorders>
            <w:shd w:val="clear" w:color="auto" w:fill="D9D9D9"/>
            <w:vAlign w:val="center"/>
          </w:tcPr>
          <w:p w14:paraId="2CA7E3CB" w14:textId="77777777" w:rsidR="009701F8" w:rsidRPr="00FD6C96" w:rsidRDefault="009701F8" w:rsidP="004D4EE0">
            <w:pPr>
              <w:spacing w:before="40" w:after="40"/>
              <w:rPr>
                <w:sz w:val="16"/>
                <w:szCs w:val="16"/>
              </w:rPr>
            </w:pPr>
            <w:r w:rsidRPr="00FD6C96">
              <w:rPr>
                <w:b/>
                <w:sz w:val="16"/>
                <w:szCs w:val="16"/>
              </w:rPr>
              <w:t>Pillar I. Budget reliability</w:t>
            </w:r>
          </w:p>
        </w:tc>
      </w:tr>
      <w:tr w:rsidR="009701F8" w:rsidRPr="00FD6C96" w14:paraId="65D34D40" w14:textId="77777777" w:rsidTr="004D4EE0">
        <w:tc>
          <w:tcPr>
            <w:tcW w:w="531" w:type="dxa"/>
            <w:tcBorders>
              <w:left w:val="double" w:sz="4" w:space="0" w:color="auto"/>
            </w:tcBorders>
            <w:vAlign w:val="center"/>
          </w:tcPr>
          <w:p w14:paraId="424A0D37" w14:textId="77777777" w:rsidR="009701F8" w:rsidRPr="00FD6C96" w:rsidRDefault="009701F8" w:rsidP="004D4EE0">
            <w:pPr>
              <w:spacing w:before="40" w:after="40"/>
              <w:ind w:left="-57" w:right="-57"/>
              <w:jc w:val="center"/>
              <w:rPr>
                <w:sz w:val="16"/>
                <w:szCs w:val="16"/>
              </w:rPr>
            </w:pPr>
            <w:r w:rsidRPr="00FD6C96">
              <w:rPr>
                <w:sz w:val="16"/>
                <w:szCs w:val="16"/>
              </w:rPr>
              <w:t>PI-1</w:t>
            </w:r>
          </w:p>
        </w:tc>
        <w:tc>
          <w:tcPr>
            <w:tcW w:w="5096" w:type="dxa"/>
          </w:tcPr>
          <w:p w14:paraId="2DE9DAF0" w14:textId="316D753F" w:rsidR="009701F8" w:rsidRPr="00FD6C96" w:rsidRDefault="009701F8" w:rsidP="004D4EE0">
            <w:pPr>
              <w:spacing w:before="40" w:after="40"/>
              <w:rPr>
                <w:sz w:val="16"/>
                <w:szCs w:val="16"/>
              </w:rPr>
            </w:pPr>
            <w:r w:rsidRPr="00FD6C96">
              <w:rPr>
                <w:sz w:val="16"/>
                <w:szCs w:val="16"/>
              </w:rPr>
              <w:t xml:space="preserve">Aggregate expenditure </w:t>
            </w:r>
            <w:r w:rsidR="0047177B">
              <w:rPr>
                <w:sz w:val="16"/>
                <w:szCs w:val="16"/>
              </w:rPr>
              <w:t>outturn</w:t>
            </w:r>
          </w:p>
        </w:tc>
        <w:tc>
          <w:tcPr>
            <w:tcW w:w="573" w:type="dxa"/>
            <w:gridSpan w:val="2"/>
            <w:vAlign w:val="center"/>
          </w:tcPr>
          <w:p w14:paraId="7F80E880"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0F646300" w14:textId="4F37C0A3" w:rsidR="009701F8" w:rsidRPr="00FD6C96" w:rsidRDefault="00BE6D0F" w:rsidP="004D4EE0">
            <w:pPr>
              <w:spacing w:before="40" w:after="40"/>
              <w:jc w:val="center"/>
              <w:rPr>
                <w:sz w:val="16"/>
                <w:szCs w:val="16"/>
              </w:rPr>
            </w:pPr>
            <w:r>
              <w:rPr>
                <w:sz w:val="16"/>
                <w:szCs w:val="16"/>
              </w:rPr>
              <w:t>D</w:t>
            </w:r>
          </w:p>
        </w:tc>
        <w:tc>
          <w:tcPr>
            <w:tcW w:w="603" w:type="dxa"/>
            <w:shd w:val="clear" w:color="auto" w:fill="F2F2F2"/>
            <w:vAlign w:val="center"/>
          </w:tcPr>
          <w:p w14:paraId="1936AB14" w14:textId="77777777" w:rsidR="009701F8" w:rsidRPr="00FD6C96" w:rsidRDefault="009701F8" w:rsidP="004D4EE0">
            <w:pPr>
              <w:spacing w:before="40" w:after="40"/>
              <w:jc w:val="center"/>
              <w:rPr>
                <w:sz w:val="16"/>
                <w:szCs w:val="16"/>
              </w:rPr>
            </w:pPr>
          </w:p>
        </w:tc>
        <w:tc>
          <w:tcPr>
            <w:tcW w:w="603" w:type="dxa"/>
            <w:shd w:val="clear" w:color="auto" w:fill="F2F2F2"/>
            <w:vAlign w:val="center"/>
          </w:tcPr>
          <w:p w14:paraId="614DDAF5" w14:textId="77777777" w:rsidR="009701F8" w:rsidRPr="00FD6C96" w:rsidRDefault="009701F8" w:rsidP="004D4EE0">
            <w:pPr>
              <w:spacing w:before="40" w:after="40"/>
              <w:jc w:val="center"/>
              <w:rPr>
                <w:sz w:val="16"/>
                <w:szCs w:val="16"/>
              </w:rPr>
            </w:pPr>
          </w:p>
        </w:tc>
        <w:tc>
          <w:tcPr>
            <w:tcW w:w="604" w:type="dxa"/>
            <w:shd w:val="clear" w:color="auto" w:fill="F2F2F2"/>
            <w:vAlign w:val="center"/>
          </w:tcPr>
          <w:p w14:paraId="02D5C7CB"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5E5E619B" w14:textId="28E60362" w:rsidR="009701F8" w:rsidRPr="00FD6C96" w:rsidRDefault="00BE6D0F" w:rsidP="004D4EE0">
            <w:pPr>
              <w:spacing w:before="40" w:after="40"/>
              <w:jc w:val="center"/>
              <w:rPr>
                <w:b/>
                <w:sz w:val="16"/>
                <w:szCs w:val="16"/>
              </w:rPr>
            </w:pPr>
            <w:r>
              <w:rPr>
                <w:b/>
                <w:sz w:val="16"/>
                <w:szCs w:val="16"/>
              </w:rPr>
              <w:t>D</w:t>
            </w:r>
          </w:p>
        </w:tc>
      </w:tr>
      <w:tr w:rsidR="009701F8" w:rsidRPr="00FD6C96" w14:paraId="1C5F8F98" w14:textId="77777777" w:rsidTr="004D4EE0">
        <w:tc>
          <w:tcPr>
            <w:tcW w:w="531" w:type="dxa"/>
            <w:tcBorders>
              <w:left w:val="double" w:sz="4" w:space="0" w:color="auto"/>
            </w:tcBorders>
            <w:vAlign w:val="center"/>
          </w:tcPr>
          <w:p w14:paraId="76478E34" w14:textId="77777777" w:rsidR="009701F8" w:rsidRPr="00FD6C96" w:rsidRDefault="009701F8" w:rsidP="004D4EE0">
            <w:pPr>
              <w:spacing w:before="40" w:after="40"/>
              <w:ind w:left="-57" w:right="-57"/>
              <w:jc w:val="center"/>
              <w:rPr>
                <w:sz w:val="16"/>
                <w:szCs w:val="16"/>
              </w:rPr>
            </w:pPr>
            <w:r w:rsidRPr="00FD6C96">
              <w:rPr>
                <w:sz w:val="16"/>
                <w:szCs w:val="16"/>
              </w:rPr>
              <w:t>PI-2</w:t>
            </w:r>
          </w:p>
        </w:tc>
        <w:tc>
          <w:tcPr>
            <w:tcW w:w="5096" w:type="dxa"/>
          </w:tcPr>
          <w:p w14:paraId="322747B2" w14:textId="1B1C9C19" w:rsidR="009701F8" w:rsidRPr="00FD6C96" w:rsidRDefault="009701F8" w:rsidP="004D4EE0">
            <w:pPr>
              <w:spacing w:before="40" w:after="40"/>
              <w:rPr>
                <w:sz w:val="16"/>
                <w:szCs w:val="16"/>
              </w:rPr>
            </w:pPr>
            <w:r w:rsidRPr="00FD6C96">
              <w:rPr>
                <w:sz w:val="16"/>
                <w:szCs w:val="16"/>
              </w:rPr>
              <w:t xml:space="preserve">Expenditure composition </w:t>
            </w:r>
            <w:r w:rsidR="0047177B">
              <w:rPr>
                <w:sz w:val="16"/>
                <w:szCs w:val="16"/>
              </w:rPr>
              <w:t>outturn</w:t>
            </w:r>
          </w:p>
        </w:tc>
        <w:tc>
          <w:tcPr>
            <w:tcW w:w="573" w:type="dxa"/>
            <w:gridSpan w:val="2"/>
            <w:vAlign w:val="center"/>
          </w:tcPr>
          <w:p w14:paraId="27F6333C"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2B1847C9" w14:textId="77777777" w:rsidR="009701F8" w:rsidRPr="00FD6C96" w:rsidRDefault="009701F8" w:rsidP="004D4EE0">
            <w:pPr>
              <w:spacing w:before="40" w:after="40"/>
              <w:jc w:val="center"/>
              <w:rPr>
                <w:sz w:val="16"/>
                <w:szCs w:val="16"/>
              </w:rPr>
            </w:pPr>
            <w:r>
              <w:rPr>
                <w:sz w:val="16"/>
                <w:szCs w:val="16"/>
              </w:rPr>
              <w:t>D</w:t>
            </w:r>
          </w:p>
        </w:tc>
        <w:tc>
          <w:tcPr>
            <w:tcW w:w="603" w:type="dxa"/>
            <w:vAlign w:val="center"/>
          </w:tcPr>
          <w:p w14:paraId="5D86AC54" w14:textId="339D2839" w:rsidR="009701F8" w:rsidRPr="00FD6C96" w:rsidRDefault="002D50E5" w:rsidP="004D4EE0">
            <w:pPr>
              <w:spacing w:before="40" w:after="40"/>
              <w:jc w:val="center"/>
              <w:rPr>
                <w:sz w:val="16"/>
                <w:szCs w:val="16"/>
              </w:rPr>
            </w:pPr>
            <w:r>
              <w:rPr>
                <w:sz w:val="16"/>
                <w:szCs w:val="16"/>
              </w:rPr>
              <w:t>C</w:t>
            </w:r>
          </w:p>
        </w:tc>
        <w:tc>
          <w:tcPr>
            <w:tcW w:w="603" w:type="dxa"/>
            <w:tcBorders>
              <w:bottom w:val="single" w:sz="4" w:space="0" w:color="auto"/>
            </w:tcBorders>
            <w:vAlign w:val="center"/>
          </w:tcPr>
          <w:p w14:paraId="128E0935" w14:textId="2F1CF4F0" w:rsidR="009701F8" w:rsidRPr="00FD6C96" w:rsidRDefault="00BE6D0F" w:rsidP="004D4EE0">
            <w:pPr>
              <w:spacing w:before="40" w:after="40"/>
              <w:jc w:val="center"/>
              <w:rPr>
                <w:sz w:val="16"/>
                <w:szCs w:val="16"/>
              </w:rPr>
            </w:pPr>
            <w:r>
              <w:rPr>
                <w:sz w:val="16"/>
                <w:szCs w:val="16"/>
              </w:rPr>
              <w:t>A</w:t>
            </w:r>
          </w:p>
        </w:tc>
        <w:tc>
          <w:tcPr>
            <w:tcW w:w="604" w:type="dxa"/>
            <w:tcBorders>
              <w:bottom w:val="single" w:sz="4" w:space="0" w:color="auto"/>
            </w:tcBorders>
            <w:shd w:val="clear" w:color="auto" w:fill="F2F2F2"/>
            <w:vAlign w:val="center"/>
          </w:tcPr>
          <w:p w14:paraId="6E03DEF0"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258C8F3B" w14:textId="51767129" w:rsidR="009701F8" w:rsidRPr="00FD6C96" w:rsidRDefault="009701F8" w:rsidP="004D4EE0">
            <w:pPr>
              <w:spacing w:before="40" w:after="40"/>
              <w:jc w:val="center"/>
              <w:rPr>
                <w:b/>
                <w:sz w:val="16"/>
                <w:szCs w:val="16"/>
              </w:rPr>
            </w:pPr>
            <w:r>
              <w:rPr>
                <w:b/>
                <w:sz w:val="16"/>
                <w:szCs w:val="16"/>
              </w:rPr>
              <w:t>D</w:t>
            </w:r>
            <w:r w:rsidR="002D50E5">
              <w:rPr>
                <w:b/>
                <w:sz w:val="16"/>
                <w:szCs w:val="16"/>
              </w:rPr>
              <w:t>+</w:t>
            </w:r>
          </w:p>
        </w:tc>
      </w:tr>
      <w:tr w:rsidR="009701F8" w:rsidRPr="00FD6C96" w14:paraId="02E4A7A5" w14:textId="77777777" w:rsidTr="004D4EE0">
        <w:tc>
          <w:tcPr>
            <w:tcW w:w="531" w:type="dxa"/>
            <w:tcBorders>
              <w:left w:val="double" w:sz="4" w:space="0" w:color="auto"/>
            </w:tcBorders>
            <w:vAlign w:val="center"/>
          </w:tcPr>
          <w:p w14:paraId="191486CC" w14:textId="77777777" w:rsidR="009701F8" w:rsidRPr="00FD6C96" w:rsidRDefault="009701F8" w:rsidP="004D4EE0">
            <w:pPr>
              <w:spacing w:before="40" w:after="40"/>
              <w:ind w:left="-57" w:right="-57"/>
              <w:jc w:val="center"/>
              <w:rPr>
                <w:sz w:val="16"/>
                <w:szCs w:val="16"/>
              </w:rPr>
            </w:pPr>
            <w:r w:rsidRPr="00FD6C96">
              <w:rPr>
                <w:sz w:val="16"/>
                <w:szCs w:val="16"/>
              </w:rPr>
              <w:t>PI-3</w:t>
            </w:r>
          </w:p>
        </w:tc>
        <w:tc>
          <w:tcPr>
            <w:tcW w:w="5096" w:type="dxa"/>
          </w:tcPr>
          <w:p w14:paraId="43840C03" w14:textId="04ED7A0D" w:rsidR="009701F8" w:rsidRPr="00FD6C96" w:rsidRDefault="009701F8" w:rsidP="004D4EE0">
            <w:pPr>
              <w:spacing w:before="40" w:after="40"/>
              <w:rPr>
                <w:sz w:val="16"/>
                <w:szCs w:val="16"/>
              </w:rPr>
            </w:pPr>
            <w:r w:rsidRPr="00FD6C96">
              <w:rPr>
                <w:sz w:val="16"/>
                <w:szCs w:val="16"/>
              </w:rPr>
              <w:t xml:space="preserve">Revenue </w:t>
            </w:r>
            <w:r w:rsidR="0047177B">
              <w:rPr>
                <w:sz w:val="16"/>
                <w:szCs w:val="16"/>
              </w:rPr>
              <w:t>outturn</w:t>
            </w:r>
          </w:p>
        </w:tc>
        <w:tc>
          <w:tcPr>
            <w:tcW w:w="573" w:type="dxa"/>
            <w:gridSpan w:val="2"/>
            <w:vAlign w:val="center"/>
          </w:tcPr>
          <w:p w14:paraId="3BCDA901"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5BD96401" w14:textId="77777777" w:rsidR="009701F8" w:rsidRPr="00FD6C96" w:rsidRDefault="009701F8" w:rsidP="004D4EE0">
            <w:pPr>
              <w:spacing w:before="40" w:after="40"/>
              <w:jc w:val="center"/>
              <w:rPr>
                <w:sz w:val="16"/>
                <w:szCs w:val="16"/>
              </w:rPr>
            </w:pPr>
            <w:r w:rsidRPr="00FD6C96">
              <w:rPr>
                <w:sz w:val="16"/>
                <w:szCs w:val="16"/>
              </w:rPr>
              <w:t>A</w:t>
            </w:r>
          </w:p>
        </w:tc>
        <w:tc>
          <w:tcPr>
            <w:tcW w:w="603" w:type="dxa"/>
            <w:shd w:val="clear" w:color="auto" w:fill="auto"/>
            <w:vAlign w:val="center"/>
          </w:tcPr>
          <w:p w14:paraId="3DDE4FA2" w14:textId="256FF68D" w:rsidR="009701F8" w:rsidRPr="00FD6C96" w:rsidRDefault="00BE6D0F" w:rsidP="004D4EE0">
            <w:pPr>
              <w:spacing w:before="40" w:after="40"/>
              <w:jc w:val="center"/>
              <w:rPr>
                <w:sz w:val="16"/>
                <w:szCs w:val="16"/>
              </w:rPr>
            </w:pPr>
            <w:r>
              <w:rPr>
                <w:sz w:val="16"/>
                <w:szCs w:val="16"/>
              </w:rPr>
              <w:t>C</w:t>
            </w:r>
          </w:p>
        </w:tc>
        <w:tc>
          <w:tcPr>
            <w:tcW w:w="603" w:type="dxa"/>
            <w:shd w:val="clear" w:color="auto" w:fill="F2F2F2"/>
            <w:vAlign w:val="center"/>
          </w:tcPr>
          <w:p w14:paraId="14A1C874" w14:textId="77777777" w:rsidR="009701F8" w:rsidRPr="00FD6C96" w:rsidRDefault="009701F8" w:rsidP="004D4EE0">
            <w:pPr>
              <w:spacing w:before="40" w:after="40"/>
              <w:jc w:val="center"/>
              <w:rPr>
                <w:sz w:val="16"/>
                <w:szCs w:val="16"/>
              </w:rPr>
            </w:pPr>
          </w:p>
        </w:tc>
        <w:tc>
          <w:tcPr>
            <w:tcW w:w="604" w:type="dxa"/>
            <w:shd w:val="clear" w:color="auto" w:fill="F2F2F2"/>
            <w:vAlign w:val="center"/>
          </w:tcPr>
          <w:p w14:paraId="1D93D260"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4AFA643F" w14:textId="5352510B" w:rsidR="009701F8" w:rsidRPr="00FD6C96" w:rsidRDefault="00BE6D0F" w:rsidP="004D4EE0">
            <w:pPr>
              <w:spacing w:before="40" w:after="40"/>
              <w:jc w:val="center"/>
              <w:rPr>
                <w:b/>
                <w:sz w:val="16"/>
                <w:szCs w:val="16"/>
              </w:rPr>
            </w:pPr>
            <w:r>
              <w:rPr>
                <w:b/>
                <w:sz w:val="16"/>
                <w:szCs w:val="16"/>
              </w:rPr>
              <w:t>B</w:t>
            </w:r>
          </w:p>
        </w:tc>
      </w:tr>
      <w:tr w:rsidR="009701F8" w:rsidRPr="00FD6C96" w14:paraId="3605B7E8" w14:textId="77777777" w:rsidTr="004D4EE0">
        <w:tc>
          <w:tcPr>
            <w:tcW w:w="9464" w:type="dxa"/>
            <w:gridSpan w:val="9"/>
            <w:tcBorders>
              <w:left w:val="double" w:sz="4" w:space="0" w:color="auto"/>
              <w:right w:val="double" w:sz="4" w:space="0" w:color="auto"/>
            </w:tcBorders>
            <w:shd w:val="clear" w:color="auto" w:fill="D9D9D9"/>
            <w:vAlign w:val="center"/>
          </w:tcPr>
          <w:p w14:paraId="190027DB" w14:textId="77777777" w:rsidR="009701F8" w:rsidRPr="00FD6C96" w:rsidRDefault="009701F8" w:rsidP="004D4EE0">
            <w:pPr>
              <w:spacing w:before="40" w:after="40"/>
              <w:rPr>
                <w:b/>
                <w:sz w:val="16"/>
                <w:szCs w:val="16"/>
              </w:rPr>
            </w:pPr>
            <w:r w:rsidRPr="00FD6C96">
              <w:rPr>
                <w:b/>
                <w:sz w:val="16"/>
                <w:szCs w:val="16"/>
              </w:rPr>
              <w:t>Pillar II-III. KEY CROSS-CUTTING ISSUES:</w:t>
            </w:r>
          </w:p>
        </w:tc>
      </w:tr>
      <w:tr w:rsidR="009701F8" w:rsidRPr="00FD6C96" w14:paraId="354D4FC2" w14:textId="77777777" w:rsidTr="004D4EE0">
        <w:tc>
          <w:tcPr>
            <w:tcW w:w="9464" w:type="dxa"/>
            <w:gridSpan w:val="9"/>
            <w:tcBorders>
              <w:left w:val="double" w:sz="4" w:space="0" w:color="auto"/>
              <w:right w:val="double" w:sz="4" w:space="0" w:color="auto"/>
            </w:tcBorders>
            <w:shd w:val="clear" w:color="auto" w:fill="F2F2F2"/>
            <w:vAlign w:val="center"/>
          </w:tcPr>
          <w:p w14:paraId="146D045E" w14:textId="77777777" w:rsidR="009701F8" w:rsidRPr="00FD6C96" w:rsidRDefault="009701F8" w:rsidP="004D4EE0">
            <w:pPr>
              <w:spacing w:before="40" w:after="40"/>
              <w:rPr>
                <w:b/>
                <w:sz w:val="16"/>
                <w:szCs w:val="16"/>
              </w:rPr>
            </w:pPr>
            <w:r w:rsidRPr="00FD6C96">
              <w:rPr>
                <w:b/>
                <w:sz w:val="16"/>
                <w:szCs w:val="16"/>
              </w:rPr>
              <w:t>II. Transparency of public finances</w:t>
            </w:r>
          </w:p>
        </w:tc>
      </w:tr>
      <w:tr w:rsidR="009701F8" w:rsidRPr="00FD6C96" w14:paraId="24F7E22A" w14:textId="77777777" w:rsidTr="004D4EE0">
        <w:tc>
          <w:tcPr>
            <w:tcW w:w="531" w:type="dxa"/>
            <w:tcBorders>
              <w:left w:val="double" w:sz="4" w:space="0" w:color="auto"/>
            </w:tcBorders>
            <w:vAlign w:val="center"/>
          </w:tcPr>
          <w:p w14:paraId="71F9957F" w14:textId="77777777" w:rsidR="009701F8" w:rsidRPr="00FD6C96" w:rsidRDefault="009701F8" w:rsidP="004D4EE0">
            <w:pPr>
              <w:spacing w:before="40" w:after="40"/>
              <w:ind w:left="-57" w:right="-57"/>
              <w:jc w:val="center"/>
              <w:rPr>
                <w:sz w:val="16"/>
                <w:szCs w:val="16"/>
              </w:rPr>
            </w:pPr>
            <w:r w:rsidRPr="00FD6C96">
              <w:rPr>
                <w:sz w:val="16"/>
                <w:szCs w:val="16"/>
              </w:rPr>
              <w:t>PI-4</w:t>
            </w:r>
          </w:p>
        </w:tc>
        <w:tc>
          <w:tcPr>
            <w:tcW w:w="5096" w:type="dxa"/>
          </w:tcPr>
          <w:p w14:paraId="0EE9290B" w14:textId="77777777" w:rsidR="009701F8" w:rsidRPr="00FD6C96" w:rsidRDefault="009701F8" w:rsidP="004D4EE0">
            <w:pPr>
              <w:spacing w:before="40" w:after="40"/>
              <w:rPr>
                <w:sz w:val="16"/>
                <w:szCs w:val="16"/>
              </w:rPr>
            </w:pPr>
            <w:r w:rsidRPr="00FD6C96">
              <w:rPr>
                <w:sz w:val="16"/>
                <w:szCs w:val="16"/>
              </w:rPr>
              <w:t>Budget classification</w:t>
            </w:r>
          </w:p>
        </w:tc>
        <w:tc>
          <w:tcPr>
            <w:tcW w:w="573" w:type="dxa"/>
            <w:gridSpan w:val="2"/>
            <w:vAlign w:val="center"/>
          </w:tcPr>
          <w:p w14:paraId="21D840DF"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003D757F" w14:textId="77777777" w:rsidR="009701F8" w:rsidRPr="00FD6C96" w:rsidRDefault="009701F8" w:rsidP="004D4EE0">
            <w:pPr>
              <w:spacing w:before="40" w:after="40"/>
              <w:jc w:val="center"/>
              <w:rPr>
                <w:sz w:val="16"/>
                <w:szCs w:val="16"/>
              </w:rPr>
            </w:pPr>
            <w:r w:rsidRPr="00FD6C96">
              <w:rPr>
                <w:sz w:val="16"/>
                <w:szCs w:val="16"/>
              </w:rPr>
              <w:t>C</w:t>
            </w:r>
          </w:p>
        </w:tc>
        <w:tc>
          <w:tcPr>
            <w:tcW w:w="603" w:type="dxa"/>
            <w:shd w:val="clear" w:color="auto" w:fill="F2F2F2"/>
            <w:vAlign w:val="center"/>
          </w:tcPr>
          <w:p w14:paraId="50D12B61" w14:textId="77777777" w:rsidR="009701F8" w:rsidRPr="00FD6C96" w:rsidRDefault="009701F8" w:rsidP="004D4EE0">
            <w:pPr>
              <w:spacing w:before="40" w:after="40"/>
              <w:jc w:val="center"/>
              <w:rPr>
                <w:sz w:val="16"/>
                <w:szCs w:val="16"/>
              </w:rPr>
            </w:pPr>
          </w:p>
        </w:tc>
        <w:tc>
          <w:tcPr>
            <w:tcW w:w="603" w:type="dxa"/>
            <w:shd w:val="clear" w:color="auto" w:fill="F2F2F2"/>
            <w:vAlign w:val="center"/>
          </w:tcPr>
          <w:p w14:paraId="037A0275" w14:textId="77777777" w:rsidR="009701F8" w:rsidRPr="00FD6C96" w:rsidRDefault="009701F8" w:rsidP="004D4EE0">
            <w:pPr>
              <w:spacing w:before="40" w:after="40"/>
              <w:jc w:val="center"/>
              <w:rPr>
                <w:sz w:val="16"/>
                <w:szCs w:val="16"/>
              </w:rPr>
            </w:pPr>
          </w:p>
        </w:tc>
        <w:tc>
          <w:tcPr>
            <w:tcW w:w="604" w:type="dxa"/>
            <w:shd w:val="clear" w:color="auto" w:fill="F2F2F2"/>
            <w:vAlign w:val="center"/>
          </w:tcPr>
          <w:p w14:paraId="7ABCF8AC"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3E9CEB33" w14:textId="77777777" w:rsidR="009701F8" w:rsidRPr="00FD6C96" w:rsidRDefault="009701F8" w:rsidP="004D4EE0">
            <w:pPr>
              <w:spacing w:before="40" w:after="40"/>
              <w:jc w:val="center"/>
              <w:rPr>
                <w:b/>
                <w:sz w:val="16"/>
                <w:szCs w:val="16"/>
              </w:rPr>
            </w:pPr>
            <w:r w:rsidRPr="00FD6C96">
              <w:rPr>
                <w:b/>
                <w:sz w:val="16"/>
                <w:szCs w:val="16"/>
              </w:rPr>
              <w:t>C</w:t>
            </w:r>
          </w:p>
        </w:tc>
      </w:tr>
      <w:tr w:rsidR="009701F8" w:rsidRPr="00FD6C96" w14:paraId="55125A00" w14:textId="77777777" w:rsidTr="004D4EE0">
        <w:tc>
          <w:tcPr>
            <w:tcW w:w="531" w:type="dxa"/>
            <w:tcBorders>
              <w:left w:val="double" w:sz="4" w:space="0" w:color="auto"/>
            </w:tcBorders>
            <w:vAlign w:val="center"/>
          </w:tcPr>
          <w:p w14:paraId="54AC288B" w14:textId="77777777" w:rsidR="009701F8" w:rsidRPr="00FD6C96" w:rsidRDefault="009701F8" w:rsidP="004D4EE0">
            <w:pPr>
              <w:spacing w:before="40" w:after="40"/>
              <w:ind w:left="-57" w:right="-57"/>
              <w:jc w:val="center"/>
              <w:rPr>
                <w:sz w:val="16"/>
                <w:szCs w:val="16"/>
              </w:rPr>
            </w:pPr>
            <w:r w:rsidRPr="00FD6C96">
              <w:rPr>
                <w:sz w:val="16"/>
                <w:szCs w:val="16"/>
              </w:rPr>
              <w:t>PI-5</w:t>
            </w:r>
          </w:p>
        </w:tc>
        <w:tc>
          <w:tcPr>
            <w:tcW w:w="5096" w:type="dxa"/>
          </w:tcPr>
          <w:p w14:paraId="6B9C3AAE" w14:textId="77777777" w:rsidR="009701F8" w:rsidRPr="00FD6C96" w:rsidRDefault="009701F8" w:rsidP="004D4EE0">
            <w:pPr>
              <w:spacing w:before="40" w:after="40"/>
              <w:rPr>
                <w:sz w:val="16"/>
                <w:szCs w:val="16"/>
              </w:rPr>
            </w:pPr>
            <w:r w:rsidRPr="00FD6C96">
              <w:rPr>
                <w:sz w:val="16"/>
                <w:szCs w:val="16"/>
              </w:rPr>
              <w:t>Budget documentation</w:t>
            </w:r>
          </w:p>
        </w:tc>
        <w:tc>
          <w:tcPr>
            <w:tcW w:w="573" w:type="dxa"/>
            <w:gridSpan w:val="2"/>
            <w:vAlign w:val="center"/>
          </w:tcPr>
          <w:p w14:paraId="63840B69"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5BB6B20E" w14:textId="77777777" w:rsidR="009701F8" w:rsidRPr="00FD6C96" w:rsidRDefault="009701F8" w:rsidP="004D4EE0">
            <w:pPr>
              <w:spacing w:before="40" w:after="40"/>
              <w:jc w:val="center"/>
              <w:rPr>
                <w:sz w:val="16"/>
                <w:szCs w:val="16"/>
              </w:rPr>
            </w:pPr>
            <w:r>
              <w:rPr>
                <w:sz w:val="16"/>
                <w:szCs w:val="16"/>
              </w:rPr>
              <w:t>A</w:t>
            </w:r>
          </w:p>
        </w:tc>
        <w:tc>
          <w:tcPr>
            <w:tcW w:w="603" w:type="dxa"/>
            <w:shd w:val="clear" w:color="auto" w:fill="F2F2F2"/>
            <w:vAlign w:val="center"/>
          </w:tcPr>
          <w:p w14:paraId="0AD9A70B" w14:textId="77777777" w:rsidR="009701F8" w:rsidRPr="00FD6C96" w:rsidRDefault="009701F8" w:rsidP="004D4EE0">
            <w:pPr>
              <w:spacing w:before="40" w:after="40"/>
              <w:jc w:val="center"/>
              <w:rPr>
                <w:sz w:val="16"/>
                <w:szCs w:val="16"/>
              </w:rPr>
            </w:pPr>
          </w:p>
        </w:tc>
        <w:tc>
          <w:tcPr>
            <w:tcW w:w="603" w:type="dxa"/>
            <w:tcBorders>
              <w:bottom w:val="single" w:sz="4" w:space="0" w:color="auto"/>
            </w:tcBorders>
            <w:shd w:val="clear" w:color="auto" w:fill="F2F2F2"/>
            <w:vAlign w:val="center"/>
          </w:tcPr>
          <w:p w14:paraId="5AEA104F" w14:textId="77777777" w:rsidR="009701F8" w:rsidRPr="00FD6C96" w:rsidRDefault="009701F8" w:rsidP="004D4EE0">
            <w:pPr>
              <w:spacing w:before="40" w:after="40"/>
              <w:jc w:val="center"/>
              <w:rPr>
                <w:sz w:val="16"/>
                <w:szCs w:val="16"/>
              </w:rPr>
            </w:pPr>
          </w:p>
        </w:tc>
        <w:tc>
          <w:tcPr>
            <w:tcW w:w="604" w:type="dxa"/>
            <w:shd w:val="clear" w:color="auto" w:fill="F2F2F2"/>
            <w:vAlign w:val="center"/>
          </w:tcPr>
          <w:p w14:paraId="60809332"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3F9BBF9A" w14:textId="77777777" w:rsidR="009701F8" w:rsidRPr="00FD6C96" w:rsidRDefault="009701F8" w:rsidP="004D4EE0">
            <w:pPr>
              <w:spacing w:before="40" w:after="40"/>
              <w:jc w:val="center"/>
              <w:rPr>
                <w:b/>
                <w:sz w:val="16"/>
                <w:szCs w:val="16"/>
              </w:rPr>
            </w:pPr>
            <w:r>
              <w:rPr>
                <w:b/>
                <w:sz w:val="16"/>
                <w:szCs w:val="16"/>
              </w:rPr>
              <w:t>A</w:t>
            </w:r>
          </w:p>
        </w:tc>
      </w:tr>
      <w:tr w:rsidR="009701F8" w:rsidRPr="00FD6C96" w14:paraId="2651AD80" w14:textId="77777777" w:rsidTr="004D4EE0">
        <w:tc>
          <w:tcPr>
            <w:tcW w:w="531" w:type="dxa"/>
            <w:tcBorders>
              <w:left w:val="double" w:sz="4" w:space="0" w:color="auto"/>
            </w:tcBorders>
            <w:vAlign w:val="center"/>
          </w:tcPr>
          <w:p w14:paraId="3C1390C9" w14:textId="77777777" w:rsidR="009701F8" w:rsidRPr="00FD6C96" w:rsidRDefault="009701F8" w:rsidP="004D4EE0">
            <w:pPr>
              <w:spacing w:before="40" w:after="40"/>
              <w:ind w:left="-57" w:right="-57"/>
              <w:jc w:val="center"/>
              <w:rPr>
                <w:sz w:val="16"/>
                <w:szCs w:val="16"/>
              </w:rPr>
            </w:pPr>
            <w:r w:rsidRPr="00FD6C96">
              <w:rPr>
                <w:sz w:val="16"/>
                <w:szCs w:val="16"/>
              </w:rPr>
              <w:t>PI-6</w:t>
            </w:r>
          </w:p>
        </w:tc>
        <w:tc>
          <w:tcPr>
            <w:tcW w:w="5096" w:type="dxa"/>
          </w:tcPr>
          <w:p w14:paraId="55A6403E" w14:textId="77777777" w:rsidR="009701F8" w:rsidRPr="00FD6C96" w:rsidRDefault="009701F8" w:rsidP="004D4EE0">
            <w:pPr>
              <w:spacing w:before="40" w:after="40"/>
              <w:rPr>
                <w:sz w:val="16"/>
                <w:szCs w:val="16"/>
              </w:rPr>
            </w:pPr>
            <w:r w:rsidRPr="00FD6C96">
              <w:rPr>
                <w:sz w:val="16"/>
                <w:szCs w:val="16"/>
              </w:rPr>
              <w:t>Central government operations outside financial reports</w:t>
            </w:r>
          </w:p>
        </w:tc>
        <w:tc>
          <w:tcPr>
            <w:tcW w:w="573" w:type="dxa"/>
            <w:gridSpan w:val="2"/>
            <w:vAlign w:val="center"/>
          </w:tcPr>
          <w:p w14:paraId="65FB6077"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77B09C2E"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4D648094" w14:textId="77777777" w:rsidR="009701F8" w:rsidRPr="00FD6C96" w:rsidRDefault="009701F8" w:rsidP="004D4EE0">
            <w:pPr>
              <w:spacing w:before="40" w:after="40"/>
              <w:jc w:val="center"/>
              <w:rPr>
                <w:sz w:val="16"/>
                <w:szCs w:val="16"/>
              </w:rPr>
            </w:pPr>
            <w:r w:rsidRPr="00FD6C96">
              <w:rPr>
                <w:sz w:val="16"/>
                <w:szCs w:val="16"/>
              </w:rPr>
              <w:t>A</w:t>
            </w:r>
          </w:p>
        </w:tc>
        <w:tc>
          <w:tcPr>
            <w:tcW w:w="603" w:type="dxa"/>
            <w:tcBorders>
              <w:bottom w:val="single" w:sz="4" w:space="0" w:color="auto"/>
            </w:tcBorders>
            <w:shd w:val="clear" w:color="auto" w:fill="FFFFFF"/>
            <w:vAlign w:val="center"/>
          </w:tcPr>
          <w:p w14:paraId="23A58EF3" w14:textId="77777777" w:rsidR="009701F8" w:rsidRPr="00FD6C96" w:rsidRDefault="009701F8" w:rsidP="004D4EE0">
            <w:pPr>
              <w:spacing w:before="40" w:after="40"/>
              <w:jc w:val="center"/>
              <w:rPr>
                <w:sz w:val="16"/>
                <w:szCs w:val="16"/>
              </w:rPr>
            </w:pPr>
            <w:r w:rsidRPr="00FD6C96">
              <w:rPr>
                <w:sz w:val="16"/>
                <w:szCs w:val="16"/>
              </w:rPr>
              <w:t>C</w:t>
            </w:r>
          </w:p>
        </w:tc>
        <w:tc>
          <w:tcPr>
            <w:tcW w:w="604" w:type="dxa"/>
            <w:shd w:val="clear" w:color="auto" w:fill="F2F2F2"/>
            <w:vAlign w:val="center"/>
          </w:tcPr>
          <w:p w14:paraId="2169CA4F"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7282FDDB" w14:textId="77777777" w:rsidR="009701F8" w:rsidRPr="00FD6C96" w:rsidRDefault="009701F8" w:rsidP="004D4EE0">
            <w:pPr>
              <w:spacing w:before="40" w:after="40"/>
              <w:jc w:val="center"/>
              <w:rPr>
                <w:b/>
                <w:sz w:val="16"/>
                <w:szCs w:val="16"/>
              </w:rPr>
            </w:pPr>
            <w:r w:rsidRPr="00FD6C96">
              <w:rPr>
                <w:b/>
                <w:sz w:val="16"/>
                <w:szCs w:val="16"/>
              </w:rPr>
              <w:t>B+</w:t>
            </w:r>
          </w:p>
        </w:tc>
      </w:tr>
      <w:tr w:rsidR="009701F8" w:rsidRPr="00FD6C96" w14:paraId="544CB956" w14:textId="77777777" w:rsidTr="004D4EE0">
        <w:tc>
          <w:tcPr>
            <w:tcW w:w="531" w:type="dxa"/>
            <w:tcBorders>
              <w:left w:val="double" w:sz="4" w:space="0" w:color="auto"/>
            </w:tcBorders>
            <w:vAlign w:val="center"/>
          </w:tcPr>
          <w:p w14:paraId="2679D38E" w14:textId="77777777" w:rsidR="009701F8" w:rsidRPr="00FD6C96" w:rsidRDefault="009701F8" w:rsidP="004D4EE0">
            <w:pPr>
              <w:spacing w:before="40" w:after="40"/>
              <w:ind w:left="-57" w:right="-57"/>
              <w:jc w:val="center"/>
              <w:rPr>
                <w:sz w:val="16"/>
                <w:szCs w:val="16"/>
              </w:rPr>
            </w:pPr>
            <w:r w:rsidRPr="00FD6C96">
              <w:rPr>
                <w:sz w:val="16"/>
                <w:szCs w:val="16"/>
              </w:rPr>
              <w:t>PI-7</w:t>
            </w:r>
          </w:p>
        </w:tc>
        <w:tc>
          <w:tcPr>
            <w:tcW w:w="5096" w:type="dxa"/>
          </w:tcPr>
          <w:p w14:paraId="2AB5B013" w14:textId="626F4F06" w:rsidR="009701F8" w:rsidRPr="00FD6C96" w:rsidRDefault="009701F8" w:rsidP="004D4EE0">
            <w:pPr>
              <w:spacing w:before="40" w:after="40"/>
              <w:rPr>
                <w:sz w:val="16"/>
                <w:szCs w:val="16"/>
              </w:rPr>
            </w:pPr>
            <w:r w:rsidRPr="00FD6C96">
              <w:rPr>
                <w:sz w:val="16"/>
                <w:szCs w:val="16"/>
              </w:rPr>
              <w:t xml:space="preserve">Transfers to </w:t>
            </w:r>
            <w:r w:rsidR="006F78DF">
              <w:rPr>
                <w:sz w:val="16"/>
                <w:szCs w:val="16"/>
              </w:rPr>
              <w:t>subnational</w:t>
            </w:r>
            <w:r w:rsidRPr="00FD6C96">
              <w:rPr>
                <w:sz w:val="16"/>
                <w:szCs w:val="16"/>
              </w:rPr>
              <w:t xml:space="preserve"> governments</w:t>
            </w:r>
          </w:p>
        </w:tc>
        <w:tc>
          <w:tcPr>
            <w:tcW w:w="573" w:type="dxa"/>
            <w:gridSpan w:val="2"/>
            <w:vAlign w:val="center"/>
          </w:tcPr>
          <w:p w14:paraId="1730994E"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3E75F4FE" w14:textId="17FBFA53" w:rsidR="009701F8" w:rsidRPr="00FD6C96" w:rsidRDefault="00BE6D0F" w:rsidP="004D4EE0">
            <w:pPr>
              <w:spacing w:before="40" w:after="40"/>
              <w:jc w:val="center"/>
              <w:rPr>
                <w:sz w:val="16"/>
                <w:szCs w:val="16"/>
              </w:rPr>
            </w:pPr>
            <w:r>
              <w:rPr>
                <w:sz w:val="16"/>
                <w:szCs w:val="16"/>
              </w:rPr>
              <w:t>A</w:t>
            </w:r>
          </w:p>
        </w:tc>
        <w:tc>
          <w:tcPr>
            <w:tcW w:w="603" w:type="dxa"/>
            <w:vAlign w:val="center"/>
          </w:tcPr>
          <w:p w14:paraId="4E447BD4" w14:textId="77777777" w:rsidR="009701F8" w:rsidRPr="00FD6C96" w:rsidRDefault="009701F8" w:rsidP="004D4EE0">
            <w:pPr>
              <w:spacing w:before="40" w:after="40"/>
              <w:jc w:val="center"/>
              <w:rPr>
                <w:sz w:val="16"/>
                <w:szCs w:val="16"/>
              </w:rPr>
            </w:pPr>
            <w:r>
              <w:rPr>
                <w:sz w:val="16"/>
                <w:szCs w:val="16"/>
              </w:rPr>
              <w:t>A</w:t>
            </w:r>
          </w:p>
        </w:tc>
        <w:tc>
          <w:tcPr>
            <w:tcW w:w="603" w:type="dxa"/>
            <w:shd w:val="clear" w:color="auto" w:fill="F2F2F2"/>
            <w:vAlign w:val="center"/>
          </w:tcPr>
          <w:p w14:paraId="344F5FC3" w14:textId="77777777" w:rsidR="009701F8" w:rsidRPr="00FD6C96" w:rsidRDefault="009701F8" w:rsidP="004D4EE0">
            <w:pPr>
              <w:spacing w:before="40" w:after="40"/>
              <w:jc w:val="center"/>
              <w:rPr>
                <w:sz w:val="16"/>
                <w:szCs w:val="16"/>
              </w:rPr>
            </w:pPr>
          </w:p>
        </w:tc>
        <w:tc>
          <w:tcPr>
            <w:tcW w:w="604" w:type="dxa"/>
            <w:shd w:val="clear" w:color="auto" w:fill="F2F2F2"/>
            <w:vAlign w:val="center"/>
          </w:tcPr>
          <w:p w14:paraId="64199D52"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45B538B1" w14:textId="13A7F338" w:rsidR="009701F8" w:rsidRPr="00FD6C96" w:rsidRDefault="00BE6D0F" w:rsidP="004D4EE0">
            <w:pPr>
              <w:spacing w:before="40" w:after="40"/>
              <w:jc w:val="center"/>
              <w:rPr>
                <w:b/>
                <w:sz w:val="16"/>
                <w:szCs w:val="16"/>
              </w:rPr>
            </w:pPr>
            <w:r>
              <w:rPr>
                <w:b/>
                <w:sz w:val="16"/>
                <w:szCs w:val="16"/>
              </w:rPr>
              <w:t>A</w:t>
            </w:r>
          </w:p>
        </w:tc>
      </w:tr>
      <w:tr w:rsidR="009701F8" w:rsidRPr="00FD6C96" w14:paraId="2B3265F0" w14:textId="77777777" w:rsidTr="004D4EE0">
        <w:tc>
          <w:tcPr>
            <w:tcW w:w="531" w:type="dxa"/>
            <w:tcBorders>
              <w:left w:val="double" w:sz="4" w:space="0" w:color="auto"/>
            </w:tcBorders>
            <w:vAlign w:val="center"/>
          </w:tcPr>
          <w:p w14:paraId="1E6F0CAF" w14:textId="77777777" w:rsidR="009701F8" w:rsidRPr="00FD6C96" w:rsidRDefault="009701F8" w:rsidP="004D4EE0">
            <w:pPr>
              <w:spacing w:before="40" w:after="40"/>
              <w:ind w:left="-57" w:right="-57"/>
              <w:jc w:val="center"/>
              <w:rPr>
                <w:sz w:val="16"/>
                <w:szCs w:val="16"/>
              </w:rPr>
            </w:pPr>
            <w:r w:rsidRPr="00FD6C96">
              <w:rPr>
                <w:sz w:val="16"/>
                <w:szCs w:val="16"/>
              </w:rPr>
              <w:t>PI-8</w:t>
            </w:r>
          </w:p>
        </w:tc>
        <w:tc>
          <w:tcPr>
            <w:tcW w:w="5096" w:type="dxa"/>
          </w:tcPr>
          <w:p w14:paraId="25465364" w14:textId="77777777" w:rsidR="009701F8" w:rsidRPr="00FD6C96" w:rsidRDefault="009701F8" w:rsidP="004D4EE0">
            <w:pPr>
              <w:spacing w:before="40" w:after="40"/>
              <w:rPr>
                <w:sz w:val="16"/>
                <w:szCs w:val="16"/>
              </w:rPr>
            </w:pPr>
            <w:r w:rsidRPr="00FD6C96">
              <w:rPr>
                <w:sz w:val="16"/>
                <w:szCs w:val="16"/>
              </w:rPr>
              <w:t>Performance information for service delivery</w:t>
            </w:r>
          </w:p>
        </w:tc>
        <w:tc>
          <w:tcPr>
            <w:tcW w:w="573" w:type="dxa"/>
            <w:gridSpan w:val="2"/>
            <w:vAlign w:val="center"/>
          </w:tcPr>
          <w:p w14:paraId="15F9F78D"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319A95FE" w14:textId="2D2A7047" w:rsidR="009701F8" w:rsidRPr="00FD6C96" w:rsidRDefault="00BE6D0F" w:rsidP="004D4EE0">
            <w:pPr>
              <w:spacing w:before="40" w:after="40"/>
              <w:jc w:val="center"/>
              <w:rPr>
                <w:sz w:val="16"/>
                <w:szCs w:val="16"/>
              </w:rPr>
            </w:pPr>
            <w:r>
              <w:rPr>
                <w:sz w:val="16"/>
                <w:szCs w:val="16"/>
              </w:rPr>
              <w:t>A</w:t>
            </w:r>
          </w:p>
        </w:tc>
        <w:tc>
          <w:tcPr>
            <w:tcW w:w="603" w:type="dxa"/>
            <w:vAlign w:val="center"/>
          </w:tcPr>
          <w:p w14:paraId="12790CD7" w14:textId="502231D4" w:rsidR="009701F8" w:rsidRPr="00FD6C96" w:rsidRDefault="00BE6D0F" w:rsidP="004D4EE0">
            <w:pPr>
              <w:spacing w:before="40" w:after="40"/>
              <w:jc w:val="center"/>
              <w:rPr>
                <w:sz w:val="16"/>
                <w:szCs w:val="16"/>
              </w:rPr>
            </w:pPr>
            <w:r>
              <w:rPr>
                <w:sz w:val="16"/>
                <w:szCs w:val="16"/>
              </w:rPr>
              <w:t>A</w:t>
            </w:r>
          </w:p>
        </w:tc>
        <w:tc>
          <w:tcPr>
            <w:tcW w:w="603" w:type="dxa"/>
            <w:vAlign w:val="center"/>
          </w:tcPr>
          <w:p w14:paraId="48EE463B" w14:textId="77777777" w:rsidR="009701F8" w:rsidRPr="00FD6C96" w:rsidRDefault="009701F8" w:rsidP="004D4EE0">
            <w:pPr>
              <w:spacing w:before="40" w:after="40"/>
              <w:jc w:val="center"/>
              <w:rPr>
                <w:sz w:val="16"/>
                <w:szCs w:val="16"/>
              </w:rPr>
            </w:pPr>
            <w:r>
              <w:rPr>
                <w:sz w:val="16"/>
                <w:szCs w:val="16"/>
              </w:rPr>
              <w:t>C</w:t>
            </w:r>
          </w:p>
        </w:tc>
        <w:tc>
          <w:tcPr>
            <w:tcW w:w="604" w:type="dxa"/>
            <w:vAlign w:val="center"/>
          </w:tcPr>
          <w:p w14:paraId="78093320" w14:textId="77777777" w:rsidR="009701F8" w:rsidRPr="00FD6C96" w:rsidRDefault="009701F8" w:rsidP="004D4EE0">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13FB4FD5" w14:textId="786A4370" w:rsidR="009701F8" w:rsidRPr="00FD6C96" w:rsidRDefault="009701F8" w:rsidP="004D4EE0">
            <w:pPr>
              <w:spacing w:before="40" w:after="40"/>
              <w:jc w:val="center"/>
              <w:rPr>
                <w:b/>
                <w:sz w:val="16"/>
                <w:szCs w:val="16"/>
              </w:rPr>
            </w:pPr>
            <w:r>
              <w:rPr>
                <w:b/>
                <w:sz w:val="16"/>
                <w:szCs w:val="16"/>
              </w:rPr>
              <w:t>B</w:t>
            </w:r>
            <w:r w:rsidR="00BE6D0F">
              <w:rPr>
                <w:b/>
                <w:sz w:val="16"/>
                <w:szCs w:val="16"/>
              </w:rPr>
              <w:t>+</w:t>
            </w:r>
          </w:p>
        </w:tc>
      </w:tr>
      <w:tr w:rsidR="009701F8" w:rsidRPr="00FD6C96" w14:paraId="5C0D6405" w14:textId="77777777" w:rsidTr="004D4EE0">
        <w:tc>
          <w:tcPr>
            <w:tcW w:w="531" w:type="dxa"/>
            <w:tcBorders>
              <w:left w:val="double" w:sz="4" w:space="0" w:color="auto"/>
            </w:tcBorders>
            <w:vAlign w:val="center"/>
          </w:tcPr>
          <w:p w14:paraId="477D6D92" w14:textId="77777777" w:rsidR="009701F8" w:rsidRPr="00FD6C96" w:rsidRDefault="009701F8" w:rsidP="004D4EE0">
            <w:pPr>
              <w:spacing w:before="40" w:after="40"/>
              <w:ind w:left="-57" w:right="-57"/>
              <w:jc w:val="center"/>
              <w:rPr>
                <w:sz w:val="16"/>
                <w:szCs w:val="16"/>
              </w:rPr>
            </w:pPr>
            <w:r w:rsidRPr="00FD6C96">
              <w:rPr>
                <w:sz w:val="16"/>
                <w:szCs w:val="16"/>
              </w:rPr>
              <w:t>PI-9</w:t>
            </w:r>
          </w:p>
        </w:tc>
        <w:tc>
          <w:tcPr>
            <w:tcW w:w="5096" w:type="dxa"/>
          </w:tcPr>
          <w:p w14:paraId="31E15B86" w14:textId="77777777" w:rsidR="009701F8" w:rsidRPr="00FD6C96" w:rsidRDefault="009701F8" w:rsidP="004D4EE0">
            <w:pPr>
              <w:spacing w:before="40" w:after="40"/>
              <w:rPr>
                <w:sz w:val="16"/>
                <w:szCs w:val="16"/>
              </w:rPr>
            </w:pPr>
            <w:r w:rsidRPr="00FD6C96">
              <w:rPr>
                <w:sz w:val="16"/>
                <w:szCs w:val="16"/>
              </w:rPr>
              <w:t>Public access to fiscal information</w:t>
            </w:r>
          </w:p>
        </w:tc>
        <w:tc>
          <w:tcPr>
            <w:tcW w:w="573" w:type="dxa"/>
            <w:gridSpan w:val="2"/>
            <w:vAlign w:val="center"/>
          </w:tcPr>
          <w:p w14:paraId="2D80E338"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4499B662" w14:textId="6FA2B2FF" w:rsidR="009701F8" w:rsidRPr="00FD6C96" w:rsidRDefault="00F448CD" w:rsidP="004D4EE0">
            <w:pPr>
              <w:spacing w:before="40" w:after="40"/>
              <w:jc w:val="center"/>
              <w:rPr>
                <w:sz w:val="16"/>
                <w:szCs w:val="16"/>
              </w:rPr>
            </w:pPr>
            <w:r>
              <w:rPr>
                <w:sz w:val="16"/>
                <w:szCs w:val="16"/>
              </w:rPr>
              <w:t>A</w:t>
            </w:r>
          </w:p>
        </w:tc>
        <w:tc>
          <w:tcPr>
            <w:tcW w:w="603" w:type="dxa"/>
            <w:shd w:val="clear" w:color="auto" w:fill="F2F2F2"/>
            <w:vAlign w:val="center"/>
          </w:tcPr>
          <w:p w14:paraId="57F69BAD" w14:textId="77777777" w:rsidR="009701F8" w:rsidRPr="00FD6C96" w:rsidRDefault="009701F8" w:rsidP="004D4EE0">
            <w:pPr>
              <w:spacing w:before="40" w:after="40"/>
              <w:jc w:val="center"/>
              <w:rPr>
                <w:sz w:val="16"/>
                <w:szCs w:val="16"/>
              </w:rPr>
            </w:pPr>
          </w:p>
        </w:tc>
        <w:tc>
          <w:tcPr>
            <w:tcW w:w="603" w:type="dxa"/>
            <w:shd w:val="clear" w:color="auto" w:fill="F2F2F2"/>
            <w:vAlign w:val="center"/>
          </w:tcPr>
          <w:p w14:paraId="2ABF2007" w14:textId="77777777" w:rsidR="009701F8" w:rsidRPr="00FD6C96" w:rsidRDefault="009701F8" w:rsidP="004D4EE0">
            <w:pPr>
              <w:spacing w:before="40" w:after="40"/>
              <w:jc w:val="center"/>
              <w:rPr>
                <w:sz w:val="16"/>
                <w:szCs w:val="16"/>
              </w:rPr>
            </w:pPr>
          </w:p>
        </w:tc>
        <w:tc>
          <w:tcPr>
            <w:tcW w:w="604" w:type="dxa"/>
            <w:shd w:val="clear" w:color="auto" w:fill="F2F2F2"/>
            <w:vAlign w:val="center"/>
          </w:tcPr>
          <w:p w14:paraId="013C80C4"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092498FA" w14:textId="4FB9D9B8" w:rsidR="009701F8" w:rsidRPr="00FD6C96" w:rsidRDefault="00F448CD" w:rsidP="004D4EE0">
            <w:pPr>
              <w:spacing w:before="40" w:after="40"/>
              <w:jc w:val="center"/>
              <w:rPr>
                <w:b/>
                <w:sz w:val="16"/>
                <w:szCs w:val="16"/>
              </w:rPr>
            </w:pPr>
            <w:r>
              <w:rPr>
                <w:b/>
                <w:sz w:val="16"/>
                <w:szCs w:val="16"/>
              </w:rPr>
              <w:t>A</w:t>
            </w:r>
          </w:p>
        </w:tc>
      </w:tr>
      <w:tr w:rsidR="009701F8" w:rsidRPr="00FD6C96" w14:paraId="3AA99638" w14:textId="77777777" w:rsidTr="004D4EE0">
        <w:tc>
          <w:tcPr>
            <w:tcW w:w="9464" w:type="dxa"/>
            <w:gridSpan w:val="9"/>
            <w:tcBorders>
              <w:left w:val="double" w:sz="4" w:space="0" w:color="auto"/>
              <w:right w:val="double" w:sz="4" w:space="0" w:color="auto"/>
            </w:tcBorders>
            <w:shd w:val="clear" w:color="auto" w:fill="D9D9D9"/>
            <w:vAlign w:val="center"/>
          </w:tcPr>
          <w:p w14:paraId="08C2F7D0" w14:textId="77777777" w:rsidR="009701F8" w:rsidRPr="00FD6C96" w:rsidRDefault="009701F8" w:rsidP="004D4EE0">
            <w:pPr>
              <w:spacing w:before="40" w:after="40"/>
              <w:rPr>
                <w:sz w:val="16"/>
                <w:szCs w:val="16"/>
              </w:rPr>
            </w:pPr>
            <w:r w:rsidRPr="00FD6C96">
              <w:rPr>
                <w:b/>
                <w:sz w:val="16"/>
                <w:szCs w:val="16"/>
              </w:rPr>
              <w:t>III. Management of Assets and Liabilities</w:t>
            </w:r>
          </w:p>
        </w:tc>
      </w:tr>
      <w:tr w:rsidR="009701F8" w:rsidRPr="00FD6C96" w14:paraId="4188BF50" w14:textId="77777777" w:rsidTr="004D4EE0">
        <w:tc>
          <w:tcPr>
            <w:tcW w:w="531" w:type="dxa"/>
            <w:tcBorders>
              <w:left w:val="double" w:sz="4" w:space="0" w:color="auto"/>
            </w:tcBorders>
            <w:vAlign w:val="center"/>
          </w:tcPr>
          <w:p w14:paraId="16F4A9E7" w14:textId="77777777" w:rsidR="009701F8" w:rsidRPr="00FD6C96" w:rsidRDefault="009701F8" w:rsidP="004D4EE0">
            <w:pPr>
              <w:spacing w:before="40" w:after="40"/>
              <w:ind w:left="-57" w:right="-57"/>
              <w:jc w:val="center"/>
              <w:rPr>
                <w:sz w:val="16"/>
                <w:szCs w:val="16"/>
              </w:rPr>
            </w:pPr>
            <w:r w:rsidRPr="00FD6C96">
              <w:rPr>
                <w:sz w:val="16"/>
                <w:szCs w:val="16"/>
              </w:rPr>
              <w:t>PI-10</w:t>
            </w:r>
          </w:p>
        </w:tc>
        <w:tc>
          <w:tcPr>
            <w:tcW w:w="5096" w:type="dxa"/>
          </w:tcPr>
          <w:p w14:paraId="4326C84D" w14:textId="77777777" w:rsidR="009701F8" w:rsidRPr="00FD6C96" w:rsidRDefault="009701F8" w:rsidP="004D4EE0">
            <w:pPr>
              <w:spacing w:before="40" w:after="40"/>
              <w:rPr>
                <w:sz w:val="16"/>
                <w:szCs w:val="16"/>
              </w:rPr>
            </w:pPr>
            <w:r w:rsidRPr="00FD6C96">
              <w:rPr>
                <w:sz w:val="16"/>
                <w:szCs w:val="16"/>
              </w:rPr>
              <w:t>Fiscal risk reporting</w:t>
            </w:r>
          </w:p>
        </w:tc>
        <w:tc>
          <w:tcPr>
            <w:tcW w:w="573" w:type="dxa"/>
            <w:gridSpan w:val="2"/>
            <w:vAlign w:val="center"/>
          </w:tcPr>
          <w:p w14:paraId="41DF1374"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25FA2F0C" w14:textId="77777777" w:rsidR="009701F8" w:rsidRPr="00FD6C96" w:rsidRDefault="009701F8" w:rsidP="004D4EE0">
            <w:pPr>
              <w:spacing w:before="40" w:after="40"/>
              <w:jc w:val="center"/>
              <w:rPr>
                <w:sz w:val="16"/>
                <w:szCs w:val="16"/>
              </w:rPr>
            </w:pPr>
            <w:r w:rsidRPr="00FD6C96">
              <w:rPr>
                <w:sz w:val="16"/>
                <w:szCs w:val="16"/>
              </w:rPr>
              <w:t>C</w:t>
            </w:r>
          </w:p>
        </w:tc>
        <w:tc>
          <w:tcPr>
            <w:tcW w:w="603" w:type="dxa"/>
            <w:vAlign w:val="center"/>
          </w:tcPr>
          <w:p w14:paraId="09EB940A" w14:textId="77777777" w:rsidR="009701F8" w:rsidRPr="00FD6C96" w:rsidRDefault="009701F8" w:rsidP="004D4EE0">
            <w:pPr>
              <w:spacing w:before="40" w:after="40"/>
              <w:jc w:val="center"/>
              <w:rPr>
                <w:sz w:val="16"/>
                <w:szCs w:val="16"/>
              </w:rPr>
            </w:pPr>
            <w:r>
              <w:rPr>
                <w:sz w:val="16"/>
                <w:szCs w:val="16"/>
              </w:rPr>
              <w:t>C</w:t>
            </w:r>
          </w:p>
        </w:tc>
        <w:tc>
          <w:tcPr>
            <w:tcW w:w="603" w:type="dxa"/>
            <w:vAlign w:val="center"/>
          </w:tcPr>
          <w:p w14:paraId="2D9AEB59" w14:textId="4ADE6A48" w:rsidR="009701F8" w:rsidRPr="00FD6C96" w:rsidRDefault="00BE6D0F" w:rsidP="004D4EE0">
            <w:pPr>
              <w:spacing w:before="40" w:after="40"/>
              <w:jc w:val="center"/>
              <w:rPr>
                <w:sz w:val="16"/>
                <w:szCs w:val="16"/>
              </w:rPr>
            </w:pPr>
            <w:r>
              <w:rPr>
                <w:sz w:val="16"/>
                <w:szCs w:val="16"/>
              </w:rPr>
              <w:t>A</w:t>
            </w:r>
          </w:p>
        </w:tc>
        <w:tc>
          <w:tcPr>
            <w:tcW w:w="604" w:type="dxa"/>
            <w:shd w:val="clear" w:color="auto" w:fill="F2F2F2"/>
            <w:vAlign w:val="center"/>
          </w:tcPr>
          <w:p w14:paraId="2B437326"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55A54D06" w14:textId="51A024F2" w:rsidR="009701F8" w:rsidRPr="00FD6C96" w:rsidRDefault="00BE6D0F" w:rsidP="004D4EE0">
            <w:pPr>
              <w:spacing w:before="40" w:after="40"/>
              <w:jc w:val="center"/>
              <w:rPr>
                <w:b/>
                <w:sz w:val="16"/>
                <w:szCs w:val="16"/>
              </w:rPr>
            </w:pPr>
            <w:r>
              <w:rPr>
                <w:b/>
                <w:sz w:val="16"/>
                <w:szCs w:val="16"/>
              </w:rPr>
              <w:t>B</w:t>
            </w:r>
          </w:p>
        </w:tc>
      </w:tr>
      <w:tr w:rsidR="009701F8" w:rsidRPr="00FD6C96" w14:paraId="7A6A5C74" w14:textId="77777777" w:rsidTr="004D4EE0">
        <w:tc>
          <w:tcPr>
            <w:tcW w:w="531" w:type="dxa"/>
            <w:tcBorders>
              <w:left w:val="double" w:sz="4" w:space="0" w:color="auto"/>
            </w:tcBorders>
            <w:vAlign w:val="center"/>
          </w:tcPr>
          <w:p w14:paraId="36203BA0" w14:textId="77777777" w:rsidR="009701F8" w:rsidRPr="00FD6C96" w:rsidRDefault="009701F8" w:rsidP="004D4EE0">
            <w:pPr>
              <w:spacing w:before="40" w:after="40"/>
              <w:ind w:left="-57" w:right="-57"/>
              <w:jc w:val="center"/>
              <w:rPr>
                <w:sz w:val="16"/>
                <w:szCs w:val="16"/>
              </w:rPr>
            </w:pPr>
            <w:r w:rsidRPr="00FD6C96">
              <w:rPr>
                <w:sz w:val="16"/>
                <w:szCs w:val="16"/>
              </w:rPr>
              <w:t>PI-11</w:t>
            </w:r>
          </w:p>
        </w:tc>
        <w:tc>
          <w:tcPr>
            <w:tcW w:w="5096" w:type="dxa"/>
          </w:tcPr>
          <w:p w14:paraId="0D9C419E" w14:textId="77777777" w:rsidR="009701F8" w:rsidRPr="00FD6C96" w:rsidRDefault="009701F8" w:rsidP="004D4EE0">
            <w:pPr>
              <w:spacing w:before="40" w:after="40"/>
              <w:rPr>
                <w:sz w:val="16"/>
                <w:szCs w:val="16"/>
              </w:rPr>
            </w:pPr>
            <w:r w:rsidRPr="00FD6C96">
              <w:rPr>
                <w:sz w:val="16"/>
                <w:szCs w:val="16"/>
              </w:rPr>
              <w:t>Public Investment Management</w:t>
            </w:r>
          </w:p>
        </w:tc>
        <w:tc>
          <w:tcPr>
            <w:tcW w:w="573" w:type="dxa"/>
            <w:gridSpan w:val="2"/>
            <w:vAlign w:val="center"/>
          </w:tcPr>
          <w:p w14:paraId="3E8E11BB"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6B4B09C6"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38C2DEC6"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26E936DC" w14:textId="77777777" w:rsidR="009701F8" w:rsidRPr="00FD6C96" w:rsidRDefault="009701F8" w:rsidP="004D4EE0">
            <w:pPr>
              <w:spacing w:before="40" w:after="40"/>
              <w:jc w:val="center"/>
              <w:rPr>
                <w:sz w:val="16"/>
                <w:szCs w:val="16"/>
              </w:rPr>
            </w:pPr>
            <w:r w:rsidRPr="00FD6C96">
              <w:rPr>
                <w:sz w:val="16"/>
                <w:szCs w:val="16"/>
              </w:rPr>
              <w:t>A</w:t>
            </w:r>
          </w:p>
        </w:tc>
        <w:tc>
          <w:tcPr>
            <w:tcW w:w="604" w:type="dxa"/>
            <w:shd w:val="clear" w:color="auto" w:fill="auto"/>
            <w:vAlign w:val="center"/>
          </w:tcPr>
          <w:p w14:paraId="5BEA6319" w14:textId="77777777" w:rsidR="009701F8" w:rsidRPr="00FD6C96" w:rsidRDefault="009701F8" w:rsidP="004D4EE0">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49E8935E" w14:textId="5ACC48D4" w:rsidR="009701F8" w:rsidRPr="00FD6C96" w:rsidRDefault="00CD374D" w:rsidP="004D4EE0">
            <w:pPr>
              <w:spacing w:before="40" w:after="40"/>
              <w:jc w:val="center"/>
              <w:rPr>
                <w:b/>
                <w:sz w:val="16"/>
                <w:szCs w:val="16"/>
              </w:rPr>
            </w:pPr>
            <w:r>
              <w:rPr>
                <w:b/>
                <w:sz w:val="16"/>
                <w:szCs w:val="16"/>
              </w:rPr>
              <w:t>A</w:t>
            </w:r>
          </w:p>
        </w:tc>
      </w:tr>
      <w:tr w:rsidR="009701F8" w:rsidRPr="00FD6C96" w14:paraId="6C12C194" w14:textId="77777777" w:rsidTr="004D4EE0">
        <w:tc>
          <w:tcPr>
            <w:tcW w:w="531" w:type="dxa"/>
            <w:tcBorders>
              <w:left w:val="double" w:sz="4" w:space="0" w:color="auto"/>
            </w:tcBorders>
            <w:vAlign w:val="center"/>
          </w:tcPr>
          <w:p w14:paraId="5D69D024" w14:textId="77777777" w:rsidR="009701F8" w:rsidRPr="00FD6C96" w:rsidRDefault="009701F8" w:rsidP="004D4EE0">
            <w:pPr>
              <w:spacing w:before="40" w:after="40"/>
              <w:ind w:left="-57" w:right="-57"/>
              <w:jc w:val="center"/>
              <w:rPr>
                <w:sz w:val="16"/>
                <w:szCs w:val="16"/>
              </w:rPr>
            </w:pPr>
            <w:r w:rsidRPr="00FD6C96">
              <w:rPr>
                <w:sz w:val="16"/>
                <w:szCs w:val="16"/>
              </w:rPr>
              <w:t>PI-12</w:t>
            </w:r>
          </w:p>
        </w:tc>
        <w:tc>
          <w:tcPr>
            <w:tcW w:w="5096" w:type="dxa"/>
          </w:tcPr>
          <w:p w14:paraId="3F62D49D" w14:textId="77777777" w:rsidR="009701F8" w:rsidRPr="00FD6C96" w:rsidRDefault="009701F8" w:rsidP="004D4EE0">
            <w:pPr>
              <w:spacing w:before="40" w:after="40"/>
              <w:rPr>
                <w:sz w:val="16"/>
                <w:szCs w:val="16"/>
              </w:rPr>
            </w:pPr>
            <w:r w:rsidRPr="00FD6C96">
              <w:rPr>
                <w:sz w:val="16"/>
                <w:szCs w:val="16"/>
              </w:rPr>
              <w:t>Public Asset Management</w:t>
            </w:r>
          </w:p>
        </w:tc>
        <w:tc>
          <w:tcPr>
            <w:tcW w:w="573" w:type="dxa"/>
            <w:gridSpan w:val="2"/>
            <w:vAlign w:val="center"/>
          </w:tcPr>
          <w:p w14:paraId="4D835537"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4268F213" w14:textId="07B63B1F" w:rsidR="009701F8" w:rsidRPr="00FD6C96" w:rsidRDefault="00BE6D0F" w:rsidP="004D4EE0">
            <w:pPr>
              <w:spacing w:before="40" w:after="40"/>
              <w:jc w:val="center"/>
              <w:rPr>
                <w:sz w:val="16"/>
                <w:szCs w:val="16"/>
              </w:rPr>
            </w:pPr>
            <w:r>
              <w:rPr>
                <w:sz w:val="16"/>
                <w:szCs w:val="16"/>
              </w:rPr>
              <w:t>C</w:t>
            </w:r>
          </w:p>
        </w:tc>
        <w:tc>
          <w:tcPr>
            <w:tcW w:w="603" w:type="dxa"/>
            <w:vAlign w:val="center"/>
          </w:tcPr>
          <w:p w14:paraId="4F1BAD9A" w14:textId="77777777" w:rsidR="009701F8" w:rsidRPr="00FD6C96" w:rsidRDefault="009701F8" w:rsidP="004D4EE0">
            <w:pPr>
              <w:spacing w:before="40" w:after="40"/>
              <w:jc w:val="center"/>
              <w:rPr>
                <w:sz w:val="16"/>
                <w:szCs w:val="16"/>
              </w:rPr>
            </w:pPr>
            <w:r>
              <w:rPr>
                <w:sz w:val="16"/>
                <w:szCs w:val="16"/>
              </w:rPr>
              <w:t>C</w:t>
            </w:r>
          </w:p>
        </w:tc>
        <w:tc>
          <w:tcPr>
            <w:tcW w:w="603" w:type="dxa"/>
            <w:vAlign w:val="center"/>
          </w:tcPr>
          <w:p w14:paraId="73DFB998" w14:textId="77777777" w:rsidR="009701F8" w:rsidRPr="00FD6C96" w:rsidRDefault="009701F8" w:rsidP="004D4EE0">
            <w:pPr>
              <w:spacing w:before="40" w:after="40"/>
              <w:jc w:val="center"/>
              <w:rPr>
                <w:sz w:val="16"/>
                <w:szCs w:val="16"/>
              </w:rPr>
            </w:pPr>
            <w:r>
              <w:rPr>
                <w:sz w:val="16"/>
                <w:szCs w:val="16"/>
              </w:rPr>
              <w:t>B</w:t>
            </w:r>
          </w:p>
        </w:tc>
        <w:tc>
          <w:tcPr>
            <w:tcW w:w="604" w:type="dxa"/>
            <w:tcBorders>
              <w:bottom w:val="single" w:sz="4" w:space="0" w:color="auto"/>
            </w:tcBorders>
            <w:shd w:val="clear" w:color="auto" w:fill="F2F2F2" w:themeFill="background1" w:themeFillShade="F2"/>
            <w:vAlign w:val="center"/>
          </w:tcPr>
          <w:p w14:paraId="68DFF573"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72D83915" w14:textId="169CF661" w:rsidR="009701F8" w:rsidRPr="00FD6C96" w:rsidRDefault="009701F8" w:rsidP="004D4EE0">
            <w:pPr>
              <w:spacing w:before="40" w:after="40"/>
              <w:jc w:val="center"/>
              <w:rPr>
                <w:b/>
                <w:sz w:val="16"/>
                <w:szCs w:val="16"/>
              </w:rPr>
            </w:pPr>
            <w:r>
              <w:rPr>
                <w:b/>
                <w:sz w:val="16"/>
                <w:szCs w:val="16"/>
              </w:rPr>
              <w:t>C</w:t>
            </w:r>
            <w:r w:rsidR="00BE6D0F">
              <w:rPr>
                <w:b/>
                <w:sz w:val="16"/>
                <w:szCs w:val="16"/>
              </w:rPr>
              <w:t>+</w:t>
            </w:r>
          </w:p>
        </w:tc>
      </w:tr>
      <w:tr w:rsidR="009701F8" w:rsidRPr="00FD6C96" w14:paraId="6099F30F" w14:textId="77777777" w:rsidTr="004D4EE0">
        <w:tc>
          <w:tcPr>
            <w:tcW w:w="531" w:type="dxa"/>
            <w:tcBorders>
              <w:left w:val="double" w:sz="4" w:space="0" w:color="auto"/>
            </w:tcBorders>
            <w:vAlign w:val="center"/>
          </w:tcPr>
          <w:p w14:paraId="26993AC9" w14:textId="77777777" w:rsidR="009701F8" w:rsidRPr="00FD6C96" w:rsidRDefault="009701F8" w:rsidP="004D4EE0">
            <w:pPr>
              <w:spacing w:before="40" w:after="40"/>
              <w:ind w:left="-57" w:right="-57"/>
              <w:jc w:val="center"/>
              <w:rPr>
                <w:sz w:val="16"/>
                <w:szCs w:val="16"/>
              </w:rPr>
            </w:pPr>
            <w:r w:rsidRPr="00FD6C96">
              <w:rPr>
                <w:sz w:val="16"/>
                <w:szCs w:val="16"/>
              </w:rPr>
              <w:t>PI-13</w:t>
            </w:r>
          </w:p>
        </w:tc>
        <w:tc>
          <w:tcPr>
            <w:tcW w:w="5096" w:type="dxa"/>
          </w:tcPr>
          <w:p w14:paraId="5F70F9C6" w14:textId="77777777" w:rsidR="009701F8" w:rsidRPr="00FD6C96" w:rsidRDefault="009701F8" w:rsidP="004D4EE0">
            <w:pPr>
              <w:spacing w:before="40" w:after="40"/>
              <w:rPr>
                <w:sz w:val="16"/>
                <w:szCs w:val="16"/>
              </w:rPr>
            </w:pPr>
            <w:r w:rsidRPr="00FD6C96">
              <w:rPr>
                <w:sz w:val="16"/>
                <w:szCs w:val="16"/>
              </w:rPr>
              <w:t>Debt Management</w:t>
            </w:r>
          </w:p>
        </w:tc>
        <w:tc>
          <w:tcPr>
            <w:tcW w:w="573" w:type="dxa"/>
            <w:gridSpan w:val="2"/>
            <w:vAlign w:val="center"/>
          </w:tcPr>
          <w:p w14:paraId="0C2B0915"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6A083089" w14:textId="7506DA9E" w:rsidR="009701F8" w:rsidRPr="00FD6C96" w:rsidRDefault="00BE6D0F" w:rsidP="004D4EE0">
            <w:pPr>
              <w:spacing w:before="40" w:after="40"/>
              <w:jc w:val="center"/>
              <w:rPr>
                <w:sz w:val="16"/>
                <w:szCs w:val="16"/>
              </w:rPr>
            </w:pPr>
            <w:r>
              <w:rPr>
                <w:sz w:val="16"/>
                <w:szCs w:val="16"/>
              </w:rPr>
              <w:t>A</w:t>
            </w:r>
          </w:p>
        </w:tc>
        <w:tc>
          <w:tcPr>
            <w:tcW w:w="603" w:type="dxa"/>
            <w:vAlign w:val="center"/>
          </w:tcPr>
          <w:p w14:paraId="573AE3AA"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093CE02E" w14:textId="77777777" w:rsidR="009701F8" w:rsidRPr="00FD6C96" w:rsidRDefault="009701F8" w:rsidP="004D4EE0">
            <w:pPr>
              <w:spacing w:before="40" w:after="40"/>
              <w:jc w:val="center"/>
              <w:rPr>
                <w:sz w:val="16"/>
                <w:szCs w:val="16"/>
              </w:rPr>
            </w:pPr>
            <w:r>
              <w:rPr>
                <w:sz w:val="16"/>
                <w:szCs w:val="16"/>
              </w:rPr>
              <w:t>D</w:t>
            </w:r>
          </w:p>
        </w:tc>
        <w:tc>
          <w:tcPr>
            <w:tcW w:w="604" w:type="dxa"/>
            <w:shd w:val="clear" w:color="auto" w:fill="F2F2F2"/>
            <w:vAlign w:val="center"/>
          </w:tcPr>
          <w:p w14:paraId="7F70FC01"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2C80B484" w14:textId="77777777" w:rsidR="009701F8" w:rsidRPr="00FD6C96" w:rsidRDefault="009701F8" w:rsidP="004D4EE0">
            <w:pPr>
              <w:spacing w:before="40" w:after="40"/>
              <w:jc w:val="center"/>
              <w:rPr>
                <w:b/>
                <w:sz w:val="16"/>
                <w:szCs w:val="16"/>
              </w:rPr>
            </w:pPr>
            <w:r w:rsidRPr="00FD6C96">
              <w:rPr>
                <w:b/>
                <w:sz w:val="16"/>
                <w:szCs w:val="16"/>
              </w:rPr>
              <w:t>B</w:t>
            </w:r>
          </w:p>
        </w:tc>
      </w:tr>
      <w:tr w:rsidR="009701F8" w:rsidRPr="00FD6C96" w14:paraId="7DBB8F97" w14:textId="77777777" w:rsidTr="004D4EE0">
        <w:tc>
          <w:tcPr>
            <w:tcW w:w="9464" w:type="dxa"/>
            <w:gridSpan w:val="9"/>
            <w:tcBorders>
              <w:left w:val="double" w:sz="4" w:space="0" w:color="auto"/>
              <w:right w:val="double" w:sz="4" w:space="0" w:color="auto"/>
            </w:tcBorders>
            <w:shd w:val="clear" w:color="auto" w:fill="D9D9D9"/>
            <w:vAlign w:val="center"/>
          </w:tcPr>
          <w:p w14:paraId="0D0E6EC1" w14:textId="77777777" w:rsidR="009701F8" w:rsidRPr="00FD6C96" w:rsidRDefault="009701F8" w:rsidP="004D4EE0">
            <w:pPr>
              <w:spacing w:before="40" w:after="40"/>
              <w:rPr>
                <w:b/>
                <w:sz w:val="16"/>
                <w:szCs w:val="16"/>
              </w:rPr>
            </w:pPr>
            <w:r w:rsidRPr="00FD6C96">
              <w:rPr>
                <w:b/>
                <w:sz w:val="16"/>
                <w:szCs w:val="16"/>
              </w:rPr>
              <w:t>Pillars IV-VII. BUDGET CYCLE</w:t>
            </w:r>
          </w:p>
        </w:tc>
      </w:tr>
      <w:tr w:rsidR="009701F8" w:rsidRPr="00FD6C96" w14:paraId="24356455" w14:textId="77777777" w:rsidTr="004D4EE0">
        <w:tc>
          <w:tcPr>
            <w:tcW w:w="9464" w:type="dxa"/>
            <w:gridSpan w:val="9"/>
            <w:tcBorders>
              <w:left w:val="double" w:sz="4" w:space="0" w:color="auto"/>
              <w:right w:val="double" w:sz="4" w:space="0" w:color="auto"/>
            </w:tcBorders>
            <w:shd w:val="clear" w:color="auto" w:fill="F2F2F2"/>
            <w:vAlign w:val="center"/>
          </w:tcPr>
          <w:p w14:paraId="1F809DE0" w14:textId="77777777" w:rsidR="009701F8" w:rsidRPr="00FD6C96" w:rsidRDefault="009701F8" w:rsidP="004D4EE0">
            <w:pPr>
              <w:spacing w:before="40" w:after="40"/>
              <w:rPr>
                <w:b/>
                <w:sz w:val="16"/>
                <w:szCs w:val="16"/>
              </w:rPr>
            </w:pPr>
            <w:r w:rsidRPr="00FD6C96">
              <w:rPr>
                <w:b/>
                <w:sz w:val="16"/>
                <w:szCs w:val="16"/>
              </w:rPr>
              <w:t>IV. Policy-based Fiscal Strategy and Budgeting</w:t>
            </w:r>
          </w:p>
        </w:tc>
      </w:tr>
      <w:tr w:rsidR="009701F8" w:rsidRPr="00FD6C96" w14:paraId="57C34E0F" w14:textId="77777777" w:rsidTr="004D4EE0">
        <w:tc>
          <w:tcPr>
            <w:tcW w:w="531" w:type="dxa"/>
            <w:tcBorders>
              <w:left w:val="double" w:sz="4" w:space="0" w:color="auto"/>
            </w:tcBorders>
            <w:vAlign w:val="center"/>
          </w:tcPr>
          <w:p w14:paraId="2F56CF12" w14:textId="77777777" w:rsidR="009701F8" w:rsidRPr="00FD6C96" w:rsidRDefault="009701F8" w:rsidP="004D4EE0">
            <w:pPr>
              <w:spacing w:before="40" w:after="40"/>
              <w:ind w:left="-57" w:right="-57"/>
              <w:jc w:val="center"/>
              <w:rPr>
                <w:sz w:val="16"/>
                <w:szCs w:val="16"/>
              </w:rPr>
            </w:pPr>
            <w:r w:rsidRPr="00FD6C96">
              <w:rPr>
                <w:sz w:val="16"/>
                <w:szCs w:val="16"/>
              </w:rPr>
              <w:t>PI-14</w:t>
            </w:r>
          </w:p>
        </w:tc>
        <w:tc>
          <w:tcPr>
            <w:tcW w:w="5096" w:type="dxa"/>
          </w:tcPr>
          <w:p w14:paraId="3052B63D" w14:textId="77777777" w:rsidR="009701F8" w:rsidRPr="00FD6C96" w:rsidRDefault="009701F8" w:rsidP="004D4EE0">
            <w:pPr>
              <w:spacing w:before="40" w:after="40"/>
              <w:rPr>
                <w:sz w:val="16"/>
                <w:szCs w:val="16"/>
              </w:rPr>
            </w:pPr>
            <w:r w:rsidRPr="00FD6C96">
              <w:rPr>
                <w:sz w:val="16"/>
                <w:szCs w:val="16"/>
              </w:rPr>
              <w:t>Macroeconomic and fiscal forecasting</w:t>
            </w:r>
          </w:p>
        </w:tc>
        <w:tc>
          <w:tcPr>
            <w:tcW w:w="573" w:type="dxa"/>
            <w:gridSpan w:val="2"/>
            <w:vAlign w:val="center"/>
          </w:tcPr>
          <w:p w14:paraId="70260DAF"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7EE7F65F"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23E387D6" w14:textId="77777777" w:rsidR="009701F8" w:rsidRPr="00FD6C96" w:rsidRDefault="009701F8" w:rsidP="004D4EE0">
            <w:pPr>
              <w:spacing w:before="40" w:after="40"/>
              <w:jc w:val="center"/>
              <w:rPr>
                <w:sz w:val="16"/>
                <w:szCs w:val="16"/>
              </w:rPr>
            </w:pPr>
            <w:r w:rsidRPr="00FD6C96">
              <w:rPr>
                <w:sz w:val="16"/>
                <w:szCs w:val="16"/>
              </w:rPr>
              <w:t>B</w:t>
            </w:r>
          </w:p>
        </w:tc>
        <w:tc>
          <w:tcPr>
            <w:tcW w:w="603" w:type="dxa"/>
            <w:tcBorders>
              <w:bottom w:val="single" w:sz="4" w:space="0" w:color="auto"/>
            </w:tcBorders>
            <w:vAlign w:val="center"/>
          </w:tcPr>
          <w:p w14:paraId="6ADED0D1" w14:textId="77777777" w:rsidR="009701F8" w:rsidRPr="00FD6C96" w:rsidRDefault="009701F8" w:rsidP="004D4EE0">
            <w:pPr>
              <w:spacing w:before="40" w:after="40"/>
              <w:jc w:val="center"/>
              <w:rPr>
                <w:sz w:val="16"/>
                <w:szCs w:val="16"/>
              </w:rPr>
            </w:pPr>
            <w:r w:rsidRPr="00FD6C96">
              <w:rPr>
                <w:sz w:val="16"/>
                <w:szCs w:val="16"/>
              </w:rPr>
              <w:t>A</w:t>
            </w:r>
          </w:p>
        </w:tc>
        <w:tc>
          <w:tcPr>
            <w:tcW w:w="604" w:type="dxa"/>
            <w:shd w:val="clear" w:color="auto" w:fill="F2F2F2"/>
            <w:vAlign w:val="center"/>
          </w:tcPr>
          <w:p w14:paraId="00FDC4FC"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227AB01F" w14:textId="77777777" w:rsidR="009701F8" w:rsidRPr="00FD6C96" w:rsidRDefault="009701F8" w:rsidP="004D4EE0">
            <w:pPr>
              <w:spacing w:before="40" w:after="40"/>
              <w:jc w:val="center"/>
              <w:rPr>
                <w:b/>
                <w:sz w:val="16"/>
                <w:szCs w:val="16"/>
              </w:rPr>
            </w:pPr>
            <w:r w:rsidRPr="00FD6C96">
              <w:rPr>
                <w:b/>
                <w:sz w:val="16"/>
                <w:szCs w:val="16"/>
              </w:rPr>
              <w:t>A</w:t>
            </w:r>
          </w:p>
        </w:tc>
      </w:tr>
      <w:tr w:rsidR="009701F8" w:rsidRPr="00FD6C96" w14:paraId="00C0816C" w14:textId="77777777" w:rsidTr="004D4EE0">
        <w:tc>
          <w:tcPr>
            <w:tcW w:w="531" w:type="dxa"/>
            <w:tcBorders>
              <w:left w:val="double" w:sz="4" w:space="0" w:color="auto"/>
            </w:tcBorders>
            <w:vAlign w:val="center"/>
          </w:tcPr>
          <w:p w14:paraId="7A966EA6" w14:textId="77777777" w:rsidR="009701F8" w:rsidRPr="00FD6C96" w:rsidRDefault="009701F8" w:rsidP="004D4EE0">
            <w:pPr>
              <w:spacing w:before="40" w:after="40"/>
              <w:ind w:left="-57" w:right="-57"/>
              <w:jc w:val="center"/>
              <w:rPr>
                <w:sz w:val="16"/>
                <w:szCs w:val="16"/>
              </w:rPr>
            </w:pPr>
            <w:r w:rsidRPr="00FD6C96">
              <w:rPr>
                <w:sz w:val="16"/>
                <w:szCs w:val="16"/>
              </w:rPr>
              <w:t>PI-15</w:t>
            </w:r>
          </w:p>
        </w:tc>
        <w:tc>
          <w:tcPr>
            <w:tcW w:w="5096" w:type="dxa"/>
          </w:tcPr>
          <w:p w14:paraId="781FCCB0" w14:textId="77777777" w:rsidR="009701F8" w:rsidRPr="00FD6C96" w:rsidRDefault="009701F8" w:rsidP="004D4EE0">
            <w:pPr>
              <w:spacing w:before="40" w:after="40"/>
              <w:rPr>
                <w:sz w:val="16"/>
                <w:szCs w:val="16"/>
              </w:rPr>
            </w:pPr>
            <w:r w:rsidRPr="00FD6C96">
              <w:rPr>
                <w:sz w:val="16"/>
                <w:szCs w:val="16"/>
              </w:rPr>
              <w:t>Fiscal Strategy</w:t>
            </w:r>
          </w:p>
        </w:tc>
        <w:tc>
          <w:tcPr>
            <w:tcW w:w="573" w:type="dxa"/>
            <w:gridSpan w:val="2"/>
            <w:vAlign w:val="center"/>
          </w:tcPr>
          <w:p w14:paraId="76FC7BD6"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4F27C357" w14:textId="22FDCEBE" w:rsidR="009701F8" w:rsidRPr="00FD6C96" w:rsidRDefault="00BE6D0F" w:rsidP="004D4EE0">
            <w:pPr>
              <w:spacing w:before="40" w:after="40"/>
              <w:jc w:val="center"/>
              <w:rPr>
                <w:sz w:val="16"/>
                <w:szCs w:val="16"/>
              </w:rPr>
            </w:pPr>
            <w:r>
              <w:rPr>
                <w:sz w:val="16"/>
                <w:szCs w:val="16"/>
              </w:rPr>
              <w:t>A</w:t>
            </w:r>
          </w:p>
        </w:tc>
        <w:tc>
          <w:tcPr>
            <w:tcW w:w="603" w:type="dxa"/>
            <w:vAlign w:val="center"/>
          </w:tcPr>
          <w:p w14:paraId="437DD186" w14:textId="77777777" w:rsidR="009701F8" w:rsidRPr="00FD6C96" w:rsidRDefault="009701F8" w:rsidP="004D4EE0">
            <w:pPr>
              <w:spacing w:before="40" w:after="40"/>
              <w:jc w:val="center"/>
              <w:rPr>
                <w:sz w:val="16"/>
                <w:szCs w:val="16"/>
              </w:rPr>
            </w:pPr>
            <w:r w:rsidRPr="00FD6C96">
              <w:rPr>
                <w:sz w:val="16"/>
                <w:szCs w:val="16"/>
              </w:rPr>
              <w:t>B</w:t>
            </w:r>
          </w:p>
        </w:tc>
        <w:tc>
          <w:tcPr>
            <w:tcW w:w="603" w:type="dxa"/>
            <w:shd w:val="clear" w:color="auto" w:fill="auto"/>
            <w:vAlign w:val="center"/>
          </w:tcPr>
          <w:p w14:paraId="4CDBD141" w14:textId="77777777" w:rsidR="009701F8" w:rsidRPr="00FD6C96" w:rsidRDefault="009701F8" w:rsidP="004D4EE0">
            <w:pPr>
              <w:spacing w:before="40" w:after="40"/>
              <w:jc w:val="center"/>
              <w:rPr>
                <w:sz w:val="16"/>
                <w:szCs w:val="16"/>
              </w:rPr>
            </w:pPr>
            <w:r w:rsidRPr="00FD6C96">
              <w:rPr>
                <w:sz w:val="16"/>
                <w:szCs w:val="16"/>
              </w:rPr>
              <w:t>C</w:t>
            </w:r>
          </w:p>
        </w:tc>
        <w:tc>
          <w:tcPr>
            <w:tcW w:w="604" w:type="dxa"/>
            <w:shd w:val="clear" w:color="auto" w:fill="F2F2F2"/>
            <w:vAlign w:val="center"/>
          </w:tcPr>
          <w:p w14:paraId="27F780B5"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5D116E47" w14:textId="77777777" w:rsidR="009701F8" w:rsidRPr="00FD6C96" w:rsidRDefault="009701F8" w:rsidP="004D4EE0">
            <w:pPr>
              <w:spacing w:before="40" w:after="40"/>
              <w:jc w:val="center"/>
              <w:rPr>
                <w:b/>
                <w:sz w:val="16"/>
                <w:szCs w:val="16"/>
              </w:rPr>
            </w:pPr>
            <w:r w:rsidRPr="00FD6C96">
              <w:rPr>
                <w:b/>
                <w:sz w:val="16"/>
                <w:szCs w:val="16"/>
              </w:rPr>
              <w:t>B</w:t>
            </w:r>
          </w:p>
        </w:tc>
      </w:tr>
      <w:tr w:rsidR="009701F8" w:rsidRPr="00FD6C96" w14:paraId="498ECCB6" w14:textId="77777777" w:rsidTr="004D4EE0">
        <w:tc>
          <w:tcPr>
            <w:tcW w:w="531" w:type="dxa"/>
            <w:tcBorders>
              <w:left w:val="double" w:sz="4" w:space="0" w:color="auto"/>
            </w:tcBorders>
            <w:vAlign w:val="center"/>
          </w:tcPr>
          <w:p w14:paraId="7431C7B9" w14:textId="77777777" w:rsidR="009701F8" w:rsidRPr="00FD6C96" w:rsidRDefault="009701F8" w:rsidP="004D4EE0">
            <w:pPr>
              <w:spacing w:before="40" w:after="40"/>
              <w:ind w:left="-57" w:right="-57"/>
              <w:jc w:val="center"/>
              <w:rPr>
                <w:sz w:val="16"/>
                <w:szCs w:val="16"/>
              </w:rPr>
            </w:pPr>
            <w:r w:rsidRPr="00FD6C96">
              <w:rPr>
                <w:sz w:val="16"/>
                <w:szCs w:val="16"/>
              </w:rPr>
              <w:t>PI-16</w:t>
            </w:r>
          </w:p>
        </w:tc>
        <w:tc>
          <w:tcPr>
            <w:tcW w:w="5096" w:type="dxa"/>
          </w:tcPr>
          <w:p w14:paraId="34C80CF4" w14:textId="77777777" w:rsidR="009701F8" w:rsidRPr="00FD6C96" w:rsidRDefault="009701F8" w:rsidP="004D4EE0">
            <w:pPr>
              <w:spacing w:before="40" w:after="40"/>
              <w:rPr>
                <w:sz w:val="16"/>
                <w:szCs w:val="16"/>
              </w:rPr>
            </w:pPr>
            <w:r w:rsidRPr="00FD6C96">
              <w:rPr>
                <w:sz w:val="16"/>
                <w:szCs w:val="16"/>
              </w:rPr>
              <w:t>Medium-term perspective in expenditure budgeting</w:t>
            </w:r>
          </w:p>
        </w:tc>
        <w:tc>
          <w:tcPr>
            <w:tcW w:w="573" w:type="dxa"/>
            <w:gridSpan w:val="2"/>
            <w:vAlign w:val="center"/>
          </w:tcPr>
          <w:p w14:paraId="79A5BEAF"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66913BCE"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6CB02DF7" w14:textId="7DF125DD" w:rsidR="009701F8" w:rsidRPr="00FD6C96" w:rsidRDefault="00BE6D0F" w:rsidP="004D4EE0">
            <w:pPr>
              <w:spacing w:before="40" w:after="40"/>
              <w:jc w:val="center"/>
              <w:rPr>
                <w:sz w:val="16"/>
                <w:szCs w:val="16"/>
              </w:rPr>
            </w:pPr>
            <w:r>
              <w:rPr>
                <w:sz w:val="16"/>
                <w:szCs w:val="16"/>
              </w:rPr>
              <w:t>A</w:t>
            </w:r>
          </w:p>
        </w:tc>
        <w:tc>
          <w:tcPr>
            <w:tcW w:w="603" w:type="dxa"/>
            <w:vAlign w:val="center"/>
          </w:tcPr>
          <w:p w14:paraId="3DE05EA8" w14:textId="77777777" w:rsidR="009701F8" w:rsidRPr="00FD6C96" w:rsidRDefault="009701F8" w:rsidP="004D4EE0">
            <w:pPr>
              <w:spacing w:before="40" w:after="40"/>
              <w:jc w:val="center"/>
              <w:rPr>
                <w:sz w:val="16"/>
                <w:szCs w:val="16"/>
              </w:rPr>
            </w:pPr>
            <w:r>
              <w:rPr>
                <w:sz w:val="16"/>
                <w:szCs w:val="16"/>
              </w:rPr>
              <w:t>B</w:t>
            </w:r>
          </w:p>
        </w:tc>
        <w:tc>
          <w:tcPr>
            <w:tcW w:w="604" w:type="dxa"/>
            <w:shd w:val="clear" w:color="auto" w:fill="auto"/>
            <w:vAlign w:val="center"/>
          </w:tcPr>
          <w:p w14:paraId="639C2BAB" w14:textId="77777777" w:rsidR="009701F8" w:rsidRPr="00FD6C96" w:rsidRDefault="009701F8" w:rsidP="004D4EE0">
            <w:pPr>
              <w:spacing w:before="40" w:after="40"/>
              <w:jc w:val="center"/>
              <w:rPr>
                <w:sz w:val="16"/>
                <w:szCs w:val="16"/>
              </w:rPr>
            </w:pPr>
            <w:r w:rsidRPr="00FD6C96">
              <w:rPr>
                <w:sz w:val="16"/>
                <w:szCs w:val="16"/>
              </w:rPr>
              <w:t>A</w:t>
            </w:r>
          </w:p>
        </w:tc>
        <w:tc>
          <w:tcPr>
            <w:tcW w:w="851" w:type="dxa"/>
            <w:tcBorders>
              <w:right w:val="double" w:sz="4" w:space="0" w:color="auto"/>
            </w:tcBorders>
            <w:vAlign w:val="center"/>
          </w:tcPr>
          <w:p w14:paraId="79443AC0" w14:textId="27467D22" w:rsidR="009701F8" w:rsidRPr="00FD6C96" w:rsidRDefault="00BE6D0F" w:rsidP="004D4EE0">
            <w:pPr>
              <w:spacing w:before="40" w:after="40"/>
              <w:jc w:val="center"/>
              <w:rPr>
                <w:b/>
                <w:sz w:val="16"/>
                <w:szCs w:val="16"/>
              </w:rPr>
            </w:pPr>
            <w:r>
              <w:rPr>
                <w:b/>
                <w:sz w:val="16"/>
                <w:szCs w:val="16"/>
              </w:rPr>
              <w:t>A</w:t>
            </w:r>
          </w:p>
        </w:tc>
      </w:tr>
      <w:tr w:rsidR="009701F8" w:rsidRPr="00FD6C96" w14:paraId="1125BD4E" w14:textId="77777777" w:rsidTr="004D4EE0">
        <w:tc>
          <w:tcPr>
            <w:tcW w:w="531" w:type="dxa"/>
            <w:tcBorders>
              <w:left w:val="double" w:sz="4" w:space="0" w:color="auto"/>
            </w:tcBorders>
            <w:vAlign w:val="center"/>
          </w:tcPr>
          <w:p w14:paraId="065050CA" w14:textId="77777777" w:rsidR="009701F8" w:rsidRPr="00FD6C96" w:rsidRDefault="009701F8" w:rsidP="004D4EE0">
            <w:pPr>
              <w:spacing w:before="40" w:after="40"/>
              <w:ind w:left="-57" w:right="-57"/>
              <w:jc w:val="center"/>
              <w:rPr>
                <w:sz w:val="16"/>
                <w:szCs w:val="16"/>
              </w:rPr>
            </w:pPr>
            <w:r w:rsidRPr="00FD6C96">
              <w:rPr>
                <w:sz w:val="16"/>
                <w:szCs w:val="16"/>
              </w:rPr>
              <w:t>PI-17</w:t>
            </w:r>
          </w:p>
        </w:tc>
        <w:tc>
          <w:tcPr>
            <w:tcW w:w="5096" w:type="dxa"/>
          </w:tcPr>
          <w:p w14:paraId="523813B9" w14:textId="77777777" w:rsidR="009701F8" w:rsidRPr="00FD6C96" w:rsidRDefault="009701F8" w:rsidP="004D4EE0">
            <w:pPr>
              <w:spacing w:before="40" w:after="40"/>
              <w:rPr>
                <w:sz w:val="16"/>
                <w:szCs w:val="16"/>
              </w:rPr>
            </w:pPr>
            <w:r w:rsidRPr="00FD6C96">
              <w:rPr>
                <w:sz w:val="16"/>
                <w:szCs w:val="16"/>
              </w:rPr>
              <w:t>Budget preparation process</w:t>
            </w:r>
          </w:p>
        </w:tc>
        <w:tc>
          <w:tcPr>
            <w:tcW w:w="573" w:type="dxa"/>
            <w:gridSpan w:val="2"/>
            <w:vAlign w:val="center"/>
          </w:tcPr>
          <w:p w14:paraId="4C597ED7"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2063E7C2"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33BEB54D"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363E0AD0" w14:textId="77777777" w:rsidR="009701F8" w:rsidRPr="00FD6C96" w:rsidRDefault="009701F8" w:rsidP="004D4EE0">
            <w:pPr>
              <w:spacing w:before="40" w:after="40"/>
              <w:jc w:val="center"/>
              <w:rPr>
                <w:sz w:val="16"/>
                <w:szCs w:val="16"/>
              </w:rPr>
            </w:pPr>
            <w:r w:rsidRPr="00FD6C96">
              <w:rPr>
                <w:sz w:val="16"/>
                <w:szCs w:val="16"/>
              </w:rPr>
              <w:t>A</w:t>
            </w:r>
          </w:p>
        </w:tc>
        <w:tc>
          <w:tcPr>
            <w:tcW w:w="604" w:type="dxa"/>
            <w:shd w:val="clear" w:color="auto" w:fill="F2F2F2"/>
            <w:vAlign w:val="center"/>
          </w:tcPr>
          <w:p w14:paraId="05319E1D"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5B8B7C20" w14:textId="77777777" w:rsidR="009701F8" w:rsidRPr="00FD6C96" w:rsidRDefault="009701F8" w:rsidP="004D4EE0">
            <w:pPr>
              <w:spacing w:before="40" w:after="40"/>
              <w:jc w:val="center"/>
              <w:rPr>
                <w:b/>
                <w:sz w:val="16"/>
                <w:szCs w:val="16"/>
              </w:rPr>
            </w:pPr>
            <w:r w:rsidRPr="00FD6C96">
              <w:rPr>
                <w:b/>
                <w:sz w:val="16"/>
                <w:szCs w:val="16"/>
              </w:rPr>
              <w:t>A</w:t>
            </w:r>
          </w:p>
        </w:tc>
      </w:tr>
      <w:tr w:rsidR="009701F8" w:rsidRPr="00FD6C96" w14:paraId="4338E639" w14:textId="77777777" w:rsidTr="004D4EE0">
        <w:tc>
          <w:tcPr>
            <w:tcW w:w="531" w:type="dxa"/>
            <w:tcBorders>
              <w:left w:val="double" w:sz="4" w:space="0" w:color="auto"/>
            </w:tcBorders>
            <w:vAlign w:val="center"/>
          </w:tcPr>
          <w:p w14:paraId="6FDC1F77" w14:textId="77777777" w:rsidR="009701F8" w:rsidRPr="00FD6C96" w:rsidRDefault="009701F8" w:rsidP="004D4EE0">
            <w:pPr>
              <w:spacing w:before="40" w:after="40"/>
              <w:ind w:left="-57" w:right="-57"/>
              <w:jc w:val="center"/>
              <w:rPr>
                <w:sz w:val="16"/>
                <w:szCs w:val="16"/>
              </w:rPr>
            </w:pPr>
            <w:r w:rsidRPr="00FD6C96">
              <w:rPr>
                <w:sz w:val="16"/>
                <w:szCs w:val="16"/>
              </w:rPr>
              <w:t>PI-18</w:t>
            </w:r>
          </w:p>
        </w:tc>
        <w:tc>
          <w:tcPr>
            <w:tcW w:w="5096" w:type="dxa"/>
          </w:tcPr>
          <w:p w14:paraId="6AB01908" w14:textId="77777777" w:rsidR="009701F8" w:rsidRPr="00FD6C96" w:rsidRDefault="009701F8" w:rsidP="004D4EE0">
            <w:pPr>
              <w:spacing w:before="40" w:after="40"/>
              <w:rPr>
                <w:sz w:val="16"/>
                <w:szCs w:val="16"/>
              </w:rPr>
            </w:pPr>
            <w:r w:rsidRPr="00FD6C96">
              <w:rPr>
                <w:sz w:val="16"/>
                <w:szCs w:val="16"/>
              </w:rPr>
              <w:t xml:space="preserve">Legislative scrutiny of budgets </w:t>
            </w:r>
          </w:p>
        </w:tc>
        <w:tc>
          <w:tcPr>
            <w:tcW w:w="573" w:type="dxa"/>
            <w:gridSpan w:val="2"/>
            <w:vAlign w:val="center"/>
          </w:tcPr>
          <w:p w14:paraId="00BD2B0A"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7428DE05" w14:textId="77777777" w:rsidR="009701F8" w:rsidRPr="00FD6C96" w:rsidRDefault="009701F8" w:rsidP="004D4EE0">
            <w:pPr>
              <w:spacing w:before="40" w:after="40"/>
              <w:jc w:val="center"/>
              <w:rPr>
                <w:sz w:val="16"/>
                <w:szCs w:val="16"/>
              </w:rPr>
            </w:pPr>
            <w:r w:rsidRPr="00FD6C96">
              <w:rPr>
                <w:sz w:val="16"/>
                <w:szCs w:val="16"/>
              </w:rPr>
              <w:t>B</w:t>
            </w:r>
          </w:p>
        </w:tc>
        <w:tc>
          <w:tcPr>
            <w:tcW w:w="603" w:type="dxa"/>
            <w:vAlign w:val="center"/>
          </w:tcPr>
          <w:p w14:paraId="5EDA5948"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79A00116" w14:textId="77777777" w:rsidR="009701F8" w:rsidRPr="00FD6C96" w:rsidRDefault="009701F8" w:rsidP="004D4EE0">
            <w:pPr>
              <w:spacing w:before="40" w:after="40"/>
              <w:jc w:val="center"/>
              <w:rPr>
                <w:sz w:val="16"/>
                <w:szCs w:val="16"/>
              </w:rPr>
            </w:pPr>
            <w:r w:rsidRPr="00FD6C96">
              <w:rPr>
                <w:sz w:val="16"/>
                <w:szCs w:val="16"/>
              </w:rPr>
              <w:t>A</w:t>
            </w:r>
          </w:p>
        </w:tc>
        <w:tc>
          <w:tcPr>
            <w:tcW w:w="604" w:type="dxa"/>
            <w:vAlign w:val="center"/>
          </w:tcPr>
          <w:p w14:paraId="0A569258" w14:textId="77777777" w:rsidR="009701F8" w:rsidRPr="00FD6C96" w:rsidRDefault="009701F8" w:rsidP="004D4EE0">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3638FC6E" w14:textId="77777777" w:rsidR="009701F8" w:rsidRPr="00FD6C96" w:rsidRDefault="009701F8" w:rsidP="004D4EE0">
            <w:pPr>
              <w:spacing w:before="40" w:after="40"/>
              <w:jc w:val="center"/>
              <w:rPr>
                <w:b/>
                <w:sz w:val="16"/>
                <w:szCs w:val="16"/>
              </w:rPr>
            </w:pPr>
            <w:r w:rsidRPr="00FD6C96">
              <w:rPr>
                <w:b/>
                <w:sz w:val="16"/>
                <w:szCs w:val="16"/>
              </w:rPr>
              <w:t>B+</w:t>
            </w:r>
          </w:p>
        </w:tc>
      </w:tr>
      <w:tr w:rsidR="009701F8" w:rsidRPr="00FD6C96" w14:paraId="7F5F9760" w14:textId="77777777" w:rsidTr="004D4EE0">
        <w:tc>
          <w:tcPr>
            <w:tcW w:w="9464" w:type="dxa"/>
            <w:gridSpan w:val="9"/>
            <w:tcBorders>
              <w:left w:val="double" w:sz="4" w:space="0" w:color="auto"/>
              <w:right w:val="double" w:sz="4" w:space="0" w:color="auto"/>
            </w:tcBorders>
            <w:shd w:val="clear" w:color="auto" w:fill="F2F2F2"/>
            <w:vAlign w:val="center"/>
          </w:tcPr>
          <w:p w14:paraId="78E4DF83" w14:textId="77777777" w:rsidR="009701F8" w:rsidRPr="00FD6C96" w:rsidRDefault="009701F8" w:rsidP="004D4EE0">
            <w:pPr>
              <w:spacing w:before="40" w:after="40"/>
              <w:rPr>
                <w:sz w:val="16"/>
                <w:szCs w:val="16"/>
              </w:rPr>
            </w:pPr>
            <w:r w:rsidRPr="00FD6C96">
              <w:rPr>
                <w:b/>
                <w:sz w:val="16"/>
                <w:szCs w:val="16"/>
              </w:rPr>
              <w:t>V. Predictability and Control in Budget Execution</w:t>
            </w:r>
          </w:p>
        </w:tc>
      </w:tr>
      <w:tr w:rsidR="009701F8" w:rsidRPr="00FD6C96" w14:paraId="30497183" w14:textId="77777777" w:rsidTr="004D4EE0">
        <w:tc>
          <w:tcPr>
            <w:tcW w:w="531" w:type="dxa"/>
            <w:tcBorders>
              <w:left w:val="double" w:sz="4" w:space="0" w:color="auto"/>
            </w:tcBorders>
            <w:vAlign w:val="center"/>
          </w:tcPr>
          <w:p w14:paraId="113F4892" w14:textId="77777777" w:rsidR="009701F8" w:rsidRPr="00FD6C96" w:rsidRDefault="009701F8" w:rsidP="004D4EE0">
            <w:pPr>
              <w:spacing w:before="40" w:after="40"/>
              <w:ind w:left="-57" w:right="-57"/>
              <w:jc w:val="center"/>
              <w:rPr>
                <w:sz w:val="16"/>
                <w:szCs w:val="16"/>
              </w:rPr>
            </w:pPr>
            <w:r w:rsidRPr="00FD6C96">
              <w:rPr>
                <w:sz w:val="16"/>
                <w:szCs w:val="16"/>
              </w:rPr>
              <w:t>PI-19</w:t>
            </w:r>
          </w:p>
        </w:tc>
        <w:tc>
          <w:tcPr>
            <w:tcW w:w="5096" w:type="dxa"/>
          </w:tcPr>
          <w:p w14:paraId="43CFC4E8" w14:textId="77777777" w:rsidR="009701F8" w:rsidRPr="00FD6C96" w:rsidRDefault="009701F8" w:rsidP="004D4EE0">
            <w:pPr>
              <w:spacing w:before="40" w:after="40"/>
              <w:rPr>
                <w:sz w:val="16"/>
                <w:szCs w:val="16"/>
              </w:rPr>
            </w:pPr>
            <w:r w:rsidRPr="00FD6C96">
              <w:rPr>
                <w:sz w:val="16"/>
                <w:szCs w:val="16"/>
              </w:rPr>
              <w:t>Revenue administration</w:t>
            </w:r>
          </w:p>
        </w:tc>
        <w:tc>
          <w:tcPr>
            <w:tcW w:w="573" w:type="dxa"/>
            <w:gridSpan w:val="2"/>
            <w:vAlign w:val="center"/>
          </w:tcPr>
          <w:p w14:paraId="14C1D725"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6B675844" w14:textId="77777777" w:rsidR="009701F8" w:rsidRPr="00FD6C96" w:rsidRDefault="009701F8" w:rsidP="004D4EE0">
            <w:pPr>
              <w:spacing w:before="40" w:after="40"/>
              <w:jc w:val="center"/>
              <w:rPr>
                <w:sz w:val="16"/>
                <w:szCs w:val="16"/>
              </w:rPr>
            </w:pPr>
            <w:r w:rsidRPr="00FD6C96">
              <w:rPr>
                <w:sz w:val="16"/>
                <w:szCs w:val="16"/>
              </w:rPr>
              <w:t>B</w:t>
            </w:r>
          </w:p>
        </w:tc>
        <w:tc>
          <w:tcPr>
            <w:tcW w:w="603" w:type="dxa"/>
            <w:vAlign w:val="center"/>
          </w:tcPr>
          <w:p w14:paraId="76B220E3" w14:textId="77777777" w:rsidR="009701F8" w:rsidRPr="00FD6C96" w:rsidRDefault="009701F8" w:rsidP="004D4EE0">
            <w:pPr>
              <w:spacing w:before="40" w:after="40"/>
              <w:jc w:val="center"/>
              <w:rPr>
                <w:sz w:val="16"/>
                <w:szCs w:val="16"/>
              </w:rPr>
            </w:pPr>
            <w:r>
              <w:rPr>
                <w:sz w:val="16"/>
                <w:szCs w:val="16"/>
              </w:rPr>
              <w:t>B</w:t>
            </w:r>
          </w:p>
        </w:tc>
        <w:tc>
          <w:tcPr>
            <w:tcW w:w="603" w:type="dxa"/>
            <w:vAlign w:val="center"/>
          </w:tcPr>
          <w:p w14:paraId="2AA48BCB" w14:textId="563B3FEA" w:rsidR="009701F8" w:rsidRPr="00FD6C96" w:rsidRDefault="00BE6D0F" w:rsidP="004D4EE0">
            <w:pPr>
              <w:spacing w:before="40" w:after="40"/>
              <w:jc w:val="center"/>
              <w:rPr>
                <w:sz w:val="16"/>
                <w:szCs w:val="16"/>
              </w:rPr>
            </w:pPr>
            <w:r>
              <w:rPr>
                <w:sz w:val="16"/>
                <w:szCs w:val="16"/>
              </w:rPr>
              <w:t>A</w:t>
            </w:r>
          </w:p>
        </w:tc>
        <w:tc>
          <w:tcPr>
            <w:tcW w:w="604" w:type="dxa"/>
            <w:vAlign w:val="center"/>
          </w:tcPr>
          <w:p w14:paraId="0593B0CF" w14:textId="3A0FE78C" w:rsidR="009701F8" w:rsidRPr="00FD6C96" w:rsidRDefault="00BE6D0F" w:rsidP="004D4EE0">
            <w:pPr>
              <w:spacing w:before="40" w:after="40"/>
              <w:jc w:val="center"/>
              <w:rPr>
                <w:sz w:val="16"/>
                <w:szCs w:val="16"/>
              </w:rPr>
            </w:pPr>
            <w:r>
              <w:rPr>
                <w:sz w:val="16"/>
                <w:szCs w:val="16"/>
              </w:rPr>
              <w:t>D</w:t>
            </w:r>
          </w:p>
        </w:tc>
        <w:tc>
          <w:tcPr>
            <w:tcW w:w="851" w:type="dxa"/>
            <w:tcBorders>
              <w:right w:val="double" w:sz="4" w:space="0" w:color="auto"/>
            </w:tcBorders>
            <w:vAlign w:val="center"/>
          </w:tcPr>
          <w:p w14:paraId="0DF2A24F" w14:textId="77777777" w:rsidR="009701F8" w:rsidRPr="00FD6C96" w:rsidRDefault="009701F8" w:rsidP="004D4EE0">
            <w:pPr>
              <w:spacing w:before="40" w:after="40"/>
              <w:jc w:val="center"/>
              <w:rPr>
                <w:b/>
                <w:sz w:val="16"/>
                <w:szCs w:val="16"/>
              </w:rPr>
            </w:pPr>
            <w:r>
              <w:rPr>
                <w:b/>
                <w:sz w:val="16"/>
                <w:szCs w:val="16"/>
              </w:rPr>
              <w:t>B</w:t>
            </w:r>
          </w:p>
        </w:tc>
      </w:tr>
      <w:tr w:rsidR="009701F8" w:rsidRPr="00FD6C96" w14:paraId="38F231BC" w14:textId="77777777" w:rsidTr="004D4EE0">
        <w:tc>
          <w:tcPr>
            <w:tcW w:w="531" w:type="dxa"/>
            <w:tcBorders>
              <w:left w:val="double" w:sz="4" w:space="0" w:color="auto"/>
            </w:tcBorders>
            <w:vAlign w:val="center"/>
          </w:tcPr>
          <w:p w14:paraId="0C948D01" w14:textId="77777777" w:rsidR="009701F8" w:rsidRPr="00FD6C96" w:rsidRDefault="009701F8" w:rsidP="004D4EE0">
            <w:pPr>
              <w:spacing w:before="40" w:after="40"/>
              <w:ind w:left="-57" w:right="-57"/>
              <w:jc w:val="center"/>
              <w:rPr>
                <w:sz w:val="16"/>
                <w:szCs w:val="16"/>
              </w:rPr>
            </w:pPr>
            <w:r w:rsidRPr="00FD6C96">
              <w:rPr>
                <w:sz w:val="16"/>
                <w:szCs w:val="16"/>
              </w:rPr>
              <w:t>PI-20</w:t>
            </w:r>
          </w:p>
        </w:tc>
        <w:tc>
          <w:tcPr>
            <w:tcW w:w="5096" w:type="dxa"/>
          </w:tcPr>
          <w:p w14:paraId="39F20DBF" w14:textId="77777777" w:rsidR="009701F8" w:rsidRPr="00FD6C96" w:rsidRDefault="009701F8" w:rsidP="004D4EE0">
            <w:pPr>
              <w:spacing w:before="40" w:after="40"/>
              <w:rPr>
                <w:sz w:val="16"/>
                <w:szCs w:val="16"/>
              </w:rPr>
            </w:pPr>
            <w:r w:rsidRPr="00FD6C96">
              <w:rPr>
                <w:sz w:val="16"/>
                <w:szCs w:val="16"/>
              </w:rPr>
              <w:t>Accounting for revenue</w:t>
            </w:r>
          </w:p>
        </w:tc>
        <w:tc>
          <w:tcPr>
            <w:tcW w:w="573" w:type="dxa"/>
            <w:gridSpan w:val="2"/>
            <w:vAlign w:val="center"/>
          </w:tcPr>
          <w:p w14:paraId="16061C93"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0382F21F" w14:textId="0F32C326" w:rsidR="009701F8" w:rsidRPr="00FD6C96" w:rsidRDefault="00BE6D0F" w:rsidP="004D4EE0">
            <w:pPr>
              <w:spacing w:before="40" w:after="40"/>
              <w:jc w:val="center"/>
              <w:rPr>
                <w:sz w:val="16"/>
                <w:szCs w:val="16"/>
              </w:rPr>
            </w:pPr>
            <w:r>
              <w:rPr>
                <w:sz w:val="16"/>
                <w:szCs w:val="16"/>
              </w:rPr>
              <w:t>A</w:t>
            </w:r>
          </w:p>
        </w:tc>
        <w:tc>
          <w:tcPr>
            <w:tcW w:w="603" w:type="dxa"/>
            <w:vAlign w:val="center"/>
          </w:tcPr>
          <w:p w14:paraId="518F4403"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0030FC23" w14:textId="77777777" w:rsidR="009701F8" w:rsidRPr="00FD6C96" w:rsidRDefault="009701F8" w:rsidP="004D4EE0">
            <w:pPr>
              <w:spacing w:before="40" w:after="40"/>
              <w:jc w:val="center"/>
              <w:rPr>
                <w:sz w:val="16"/>
                <w:szCs w:val="16"/>
              </w:rPr>
            </w:pPr>
            <w:r w:rsidRPr="00FD6C96">
              <w:rPr>
                <w:sz w:val="16"/>
                <w:szCs w:val="16"/>
              </w:rPr>
              <w:t>A</w:t>
            </w:r>
          </w:p>
        </w:tc>
        <w:tc>
          <w:tcPr>
            <w:tcW w:w="604" w:type="dxa"/>
            <w:shd w:val="clear" w:color="auto" w:fill="F2F2F2"/>
            <w:vAlign w:val="center"/>
          </w:tcPr>
          <w:p w14:paraId="72458468"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6FF584BD" w14:textId="297541C0" w:rsidR="009701F8" w:rsidRPr="00FD6C96" w:rsidRDefault="00BE6D0F" w:rsidP="004D4EE0">
            <w:pPr>
              <w:spacing w:before="40" w:after="40"/>
              <w:jc w:val="center"/>
              <w:rPr>
                <w:b/>
                <w:sz w:val="16"/>
                <w:szCs w:val="16"/>
              </w:rPr>
            </w:pPr>
            <w:r>
              <w:rPr>
                <w:b/>
                <w:sz w:val="16"/>
                <w:szCs w:val="16"/>
              </w:rPr>
              <w:t>A</w:t>
            </w:r>
          </w:p>
        </w:tc>
      </w:tr>
      <w:tr w:rsidR="009701F8" w:rsidRPr="00FD6C96" w14:paraId="54FACE51" w14:textId="77777777" w:rsidTr="004D4EE0">
        <w:tc>
          <w:tcPr>
            <w:tcW w:w="531" w:type="dxa"/>
            <w:tcBorders>
              <w:left w:val="double" w:sz="4" w:space="0" w:color="auto"/>
            </w:tcBorders>
            <w:vAlign w:val="center"/>
          </w:tcPr>
          <w:p w14:paraId="3E6AC281" w14:textId="77777777" w:rsidR="009701F8" w:rsidRPr="00FD6C96" w:rsidRDefault="009701F8" w:rsidP="004D4EE0">
            <w:pPr>
              <w:spacing w:before="40" w:after="40"/>
              <w:ind w:left="-57" w:right="-57"/>
              <w:jc w:val="center"/>
              <w:rPr>
                <w:sz w:val="16"/>
                <w:szCs w:val="16"/>
              </w:rPr>
            </w:pPr>
            <w:r w:rsidRPr="00FD6C96">
              <w:rPr>
                <w:sz w:val="16"/>
                <w:szCs w:val="16"/>
              </w:rPr>
              <w:t>PI-21</w:t>
            </w:r>
          </w:p>
        </w:tc>
        <w:tc>
          <w:tcPr>
            <w:tcW w:w="5096" w:type="dxa"/>
          </w:tcPr>
          <w:p w14:paraId="20B49419" w14:textId="77777777" w:rsidR="009701F8" w:rsidRPr="00FD6C96" w:rsidRDefault="009701F8" w:rsidP="004D4EE0">
            <w:pPr>
              <w:spacing w:before="40" w:after="40"/>
              <w:rPr>
                <w:sz w:val="16"/>
                <w:szCs w:val="16"/>
              </w:rPr>
            </w:pPr>
            <w:r w:rsidRPr="00FD6C96">
              <w:rPr>
                <w:sz w:val="16"/>
                <w:szCs w:val="16"/>
              </w:rPr>
              <w:t>Predictability of in-year resource allocation</w:t>
            </w:r>
          </w:p>
        </w:tc>
        <w:tc>
          <w:tcPr>
            <w:tcW w:w="573" w:type="dxa"/>
            <w:gridSpan w:val="2"/>
            <w:vAlign w:val="center"/>
          </w:tcPr>
          <w:p w14:paraId="4AA256A0"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50E22645" w14:textId="77777777" w:rsidR="009701F8" w:rsidRPr="00FD6C96" w:rsidRDefault="009701F8" w:rsidP="004D4EE0">
            <w:pPr>
              <w:spacing w:before="40" w:after="40"/>
              <w:jc w:val="center"/>
              <w:rPr>
                <w:sz w:val="16"/>
                <w:szCs w:val="16"/>
              </w:rPr>
            </w:pPr>
            <w:r w:rsidRPr="00FD6C96">
              <w:rPr>
                <w:sz w:val="16"/>
                <w:szCs w:val="16"/>
              </w:rPr>
              <w:t>C</w:t>
            </w:r>
          </w:p>
        </w:tc>
        <w:tc>
          <w:tcPr>
            <w:tcW w:w="603" w:type="dxa"/>
            <w:vAlign w:val="center"/>
          </w:tcPr>
          <w:p w14:paraId="0EE2FF5C"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356B1B2E" w14:textId="77777777" w:rsidR="009701F8" w:rsidRPr="00FD6C96" w:rsidRDefault="009701F8" w:rsidP="004D4EE0">
            <w:pPr>
              <w:spacing w:before="40" w:after="40"/>
              <w:jc w:val="center"/>
              <w:rPr>
                <w:sz w:val="16"/>
                <w:szCs w:val="16"/>
              </w:rPr>
            </w:pPr>
            <w:r w:rsidRPr="00FD6C96">
              <w:rPr>
                <w:sz w:val="16"/>
                <w:szCs w:val="16"/>
              </w:rPr>
              <w:t>A</w:t>
            </w:r>
          </w:p>
        </w:tc>
        <w:tc>
          <w:tcPr>
            <w:tcW w:w="604" w:type="dxa"/>
            <w:vAlign w:val="center"/>
          </w:tcPr>
          <w:p w14:paraId="68FE745F" w14:textId="77777777" w:rsidR="009701F8" w:rsidRPr="00FD6C96" w:rsidRDefault="009701F8" w:rsidP="004D4EE0">
            <w:pPr>
              <w:spacing w:before="40" w:after="40"/>
              <w:jc w:val="center"/>
              <w:rPr>
                <w:sz w:val="16"/>
                <w:szCs w:val="16"/>
              </w:rPr>
            </w:pPr>
            <w:r w:rsidRPr="00FD6C96">
              <w:rPr>
                <w:sz w:val="16"/>
                <w:szCs w:val="16"/>
              </w:rPr>
              <w:t>A</w:t>
            </w:r>
          </w:p>
        </w:tc>
        <w:tc>
          <w:tcPr>
            <w:tcW w:w="851" w:type="dxa"/>
            <w:tcBorders>
              <w:right w:val="double" w:sz="4" w:space="0" w:color="auto"/>
            </w:tcBorders>
            <w:vAlign w:val="center"/>
          </w:tcPr>
          <w:p w14:paraId="04C3575A" w14:textId="77777777" w:rsidR="009701F8" w:rsidRPr="00FD6C96" w:rsidRDefault="009701F8" w:rsidP="004D4EE0">
            <w:pPr>
              <w:spacing w:before="40" w:after="40"/>
              <w:jc w:val="center"/>
              <w:rPr>
                <w:b/>
                <w:sz w:val="16"/>
                <w:szCs w:val="16"/>
              </w:rPr>
            </w:pPr>
            <w:r w:rsidRPr="00FD6C96">
              <w:rPr>
                <w:b/>
                <w:sz w:val="16"/>
                <w:szCs w:val="16"/>
              </w:rPr>
              <w:t>B+</w:t>
            </w:r>
          </w:p>
        </w:tc>
      </w:tr>
      <w:tr w:rsidR="009701F8" w:rsidRPr="00FD6C96" w14:paraId="65CA0C7F" w14:textId="77777777" w:rsidTr="004D4EE0">
        <w:tc>
          <w:tcPr>
            <w:tcW w:w="531" w:type="dxa"/>
            <w:tcBorders>
              <w:left w:val="double" w:sz="4" w:space="0" w:color="auto"/>
            </w:tcBorders>
            <w:vAlign w:val="center"/>
          </w:tcPr>
          <w:p w14:paraId="34C9E33A" w14:textId="77777777" w:rsidR="009701F8" w:rsidRPr="00FD6C96" w:rsidRDefault="009701F8" w:rsidP="004D4EE0">
            <w:pPr>
              <w:spacing w:before="40" w:after="40"/>
              <w:ind w:left="-57" w:right="-57"/>
              <w:jc w:val="center"/>
              <w:rPr>
                <w:sz w:val="16"/>
                <w:szCs w:val="16"/>
              </w:rPr>
            </w:pPr>
            <w:r w:rsidRPr="00FD6C96">
              <w:rPr>
                <w:sz w:val="16"/>
                <w:szCs w:val="16"/>
              </w:rPr>
              <w:t>PI-22</w:t>
            </w:r>
          </w:p>
        </w:tc>
        <w:tc>
          <w:tcPr>
            <w:tcW w:w="5096" w:type="dxa"/>
          </w:tcPr>
          <w:p w14:paraId="401EEDD4" w14:textId="77777777" w:rsidR="009701F8" w:rsidRPr="00FD6C96" w:rsidRDefault="009701F8" w:rsidP="004D4EE0">
            <w:pPr>
              <w:spacing w:before="40" w:after="40"/>
              <w:rPr>
                <w:sz w:val="16"/>
                <w:szCs w:val="16"/>
              </w:rPr>
            </w:pPr>
            <w:r w:rsidRPr="00FD6C96">
              <w:rPr>
                <w:sz w:val="16"/>
                <w:szCs w:val="16"/>
              </w:rPr>
              <w:t>Expenditure arrears</w:t>
            </w:r>
          </w:p>
        </w:tc>
        <w:tc>
          <w:tcPr>
            <w:tcW w:w="573" w:type="dxa"/>
            <w:gridSpan w:val="2"/>
            <w:vAlign w:val="center"/>
          </w:tcPr>
          <w:p w14:paraId="7D96BBF9"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1AB6371F" w14:textId="77777777" w:rsidR="009701F8" w:rsidRPr="00FD6C96" w:rsidRDefault="009701F8" w:rsidP="004D4EE0">
            <w:pPr>
              <w:spacing w:before="40" w:after="40"/>
              <w:jc w:val="center"/>
              <w:rPr>
                <w:sz w:val="16"/>
                <w:szCs w:val="16"/>
              </w:rPr>
            </w:pPr>
            <w:r w:rsidRPr="00FD6C96">
              <w:rPr>
                <w:sz w:val="16"/>
                <w:szCs w:val="16"/>
              </w:rPr>
              <w:t>B</w:t>
            </w:r>
          </w:p>
        </w:tc>
        <w:tc>
          <w:tcPr>
            <w:tcW w:w="603" w:type="dxa"/>
            <w:vAlign w:val="center"/>
          </w:tcPr>
          <w:p w14:paraId="5B6D56E2" w14:textId="12683E64" w:rsidR="009701F8" w:rsidRPr="00FD6C96" w:rsidRDefault="00BE6D0F" w:rsidP="004D4EE0">
            <w:pPr>
              <w:spacing w:before="40" w:after="40"/>
              <w:jc w:val="center"/>
              <w:rPr>
                <w:sz w:val="16"/>
                <w:szCs w:val="16"/>
              </w:rPr>
            </w:pPr>
            <w:r>
              <w:rPr>
                <w:sz w:val="16"/>
                <w:szCs w:val="16"/>
              </w:rPr>
              <w:t>C</w:t>
            </w:r>
          </w:p>
        </w:tc>
        <w:tc>
          <w:tcPr>
            <w:tcW w:w="603" w:type="dxa"/>
            <w:shd w:val="clear" w:color="auto" w:fill="F2F2F2" w:themeFill="background1" w:themeFillShade="F2"/>
            <w:vAlign w:val="center"/>
          </w:tcPr>
          <w:p w14:paraId="0CAB05E7" w14:textId="77777777" w:rsidR="009701F8" w:rsidRPr="00FD6C96" w:rsidRDefault="009701F8" w:rsidP="004D4EE0">
            <w:pPr>
              <w:spacing w:before="40" w:after="40"/>
              <w:jc w:val="center"/>
              <w:rPr>
                <w:sz w:val="16"/>
                <w:szCs w:val="16"/>
              </w:rPr>
            </w:pPr>
          </w:p>
        </w:tc>
        <w:tc>
          <w:tcPr>
            <w:tcW w:w="604" w:type="dxa"/>
            <w:shd w:val="clear" w:color="auto" w:fill="F2F2F2" w:themeFill="background1" w:themeFillShade="F2"/>
            <w:vAlign w:val="center"/>
          </w:tcPr>
          <w:p w14:paraId="180E34AE"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7407AECE" w14:textId="442E3B6C" w:rsidR="009701F8" w:rsidRPr="00FD6C96" w:rsidRDefault="00BE6D0F" w:rsidP="004D4EE0">
            <w:pPr>
              <w:spacing w:before="40" w:after="40"/>
              <w:jc w:val="center"/>
              <w:rPr>
                <w:b/>
                <w:sz w:val="16"/>
                <w:szCs w:val="16"/>
              </w:rPr>
            </w:pPr>
            <w:r>
              <w:rPr>
                <w:b/>
                <w:sz w:val="16"/>
                <w:szCs w:val="16"/>
              </w:rPr>
              <w:t>C</w:t>
            </w:r>
            <w:r w:rsidR="009701F8" w:rsidRPr="00FD6C96">
              <w:rPr>
                <w:b/>
                <w:sz w:val="16"/>
                <w:szCs w:val="16"/>
              </w:rPr>
              <w:t>+</w:t>
            </w:r>
          </w:p>
        </w:tc>
      </w:tr>
      <w:tr w:rsidR="009701F8" w:rsidRPr="00FD6C96" w14:paraId="74F410E5" w14:textId="77777777" w:rsidTr="004D4EE0">
        <w:tc>
          <w:tcPr>
            <w:tcW w:w="531" w:type="dxa"/>
            <w:tcBorders>
              <w:left w:val="double" w:sz="4" w:space="0" w:color="auto"/>
            </w:tcBorders>
            <w:vAlign w:val="center"/>
          </w:tcPr>
          <w:p w14:paraId="134E4120" w14:textId="77777777" w:rsidR="009701F8" w:rsidRPr="00FD6C96" w:rsidRDefault="009701F8" w:rsidP="004D4EE0">
            <w:pPr>
              <w:spacing w:before="40" w:after="40"/>
              <w:ind w:left="-57" w:right="-57"/>
              <w:jc w:val="center"/>
              <w:rPr>
                <w:sz w:val="16"/>
                <w:szCs w:val="16"/>
              </w:rPr>
            </w:pPr>
            <w:r w:rsidRPr="00FD6C96">
              <w:rPr>
                <w:sz w:val="16"/>
                <w:szCs w:val="16"/>
              </w:rPr>
              <w:t>PI-23</w:t>
            </w:r>
          </w:p>
        </w:tc>
        <w:tc>
          <w:tcPr>
            <w:tcW w:w="5096" w:type="dxa"/>
          </w:tcPr>
          <w:p w14:paraId="3C252C10" w14:textId="77777777" w:rsidR="009701F8" w:rsidRPr="00FD6C96" w:rsidRDefault="009701F8" w:rsidP="004D4EE0">
            <w:pPr>
              <w:spacing w:before="40" w:after="40"/>
              <w:rPr>
                <w:sz w:val="16"/>
                <w:szCs w:val="16"/>
              </w:rPr>
            </w:pPr>
            <w:r w:rsidRPr="00FD6C96">
              <w:rPr>
                <w:sz w:val="16"/>
                <w:szCs w:val="16"/>
              </w:rPr>
              <w:t>Payroll controls</w:t>
            </w:r>
          </w:p>
        </w:tc>
        <w:tc>
          <w:tcPr>
            <w:tcW w:w="573" w:type="dxa"/>
            <w:gridSpan w:val="2"/>
            <w:vAlign w:val="center"/>
          </w:tcPr>
          <w:p w14:paraId="79182791"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2EB2EA00" w14:textId="3CAA87CF" w:rsidR="009701F8" w:rsidRPr="00FD6C96" w:rsidRDefault="00BE6D0F" w:rsidP="004D4EE0">
            <w:pPr>
              <w:spacing w:before="40" w:after="40"/>
              <w:jc w:val="center"/>
              <w:rPr>
                <w:sz w:val="16"/>
                <w:szCs w:val="16"/>
              </w:rPr>
            </w:pPr>
            <w:r>
              <w:rPr>
                <w:sz w:val="16"/>
                <w:szCs w:val="16"/>
              </w:rPr>
              <w:t>B</w:t>
            </w:r>
          </w:p>
        </w:tc>
        <w:tc>
          <w:tcPr>
            <w:tcW w:w="603" w:type="dxa"/>
            <w:vAlign w:val="center"/>
          </w:tcPr>
          <w:p w14:paraId="20C7D373" w14:textId="7528E76A" w:rsidR="009701F8" w:rsidRPr="00FD6C96" w:rsidRDefault="00BE6D0F" w:rsidP="004D4EE0">
            <w:pPr>
              <w:spacing w:before="40" w:after="40"/>
              <w:jc w:val="center"/>
              <w:rPr>
                <w:sz w:val="16"/>
                <w:szCs w:val="16"/>
              </w:rPr>
            </w:pPr>
            <w:r>
              <w:rPr>
                <w:sz w:val="16"/>
                <w:szCs w:val="16"/>
              </w:rPr>
              <w:t>B</w:t>
            </w:r>
          </w:p>
        </w:tc>
        <w:tc>
          <w:tcPr>
            <w:tcW w:w="603" w:type="dxa"/>
            <w:vAlign w:val="center"/>
          </w:tcPr>
          <w:p w14:paraId="2D07A743" w14:textId="3D42B7D5" w:rsidR="009701F8" w:rsidRPr="00FD6C96" w:rsidRDefault="00BE6D0F" w:rsidP="004D4EE0">
            <w:pPr>
              <w:spacing w:before="40" w:after="40"/>
              <w:jc w:val="center"/>
              <w:rPr>
                <w:sz w:val="16"/>
                <w:szCs w:val="16"/>
              </w:rPr>
            </w:pPr>
            <w:r>
              <w:rPr>
                <w:sz w:val="16"/>
                <w:szCs w:val="16"/>
              </w:rPr>
              <w:t>B</w:t>
            </w:r>
          </w:p>
        </w:tc>
        <w:tc>
          <w:tcPr>
            <w:tcW w:w="604" w:type="dxa"/>
            <w:vAlign w:val="center"/>
          </w:tcPr>
          <w:p w14:paraId="19A88FEE" w14:textId="439336A1" w:rsidR="009701F8" w:rsidRPr="00FD6C96" w:rsidRDefault="00BE6D0F" w:rsidP="004D4EE0">
            <w:pPr>
              <w:spacing w:before="40" w:after="40"/>
              <w:jc w:val="center"/>
              <w:rPr>
                <w:sz w:val="16"/>
                <w:szCs w:val="16"/>
              </w:rPr>
            </w:pPr>
            <w:r>
              <w:rPr>
                <w:sz w:val="16"/>
                <w:szCs w:val="16"/>
              </w:rPr>
              <w:t>A</w:t>
            </w:r>
          </w:p>
        </w:tc>
        <w:tc>
          <w:tcPr>
            <w:tcW w:w="851" w:type="dxa"/>
            <w:tcBorders>
              <w:right w:val="double" w:sz="4" w:space="0" w:color="auto"/>
            </w:tcBorders>
            <w:vAlign w:val="center"/>
          </w:tcPr>
          <w:p w14:paraId="72A66816" w14:textId="01A38693" w:rsidR="009701F8" w:rsidRPr="00FD6C96" w:rsidRDefault="00BE6D0F" w:rsidP="004D4EE0">
            <w:pPr>
              <w:spacing w:before="40" w:after="40"/>
              <w:jc w:val="center"/>
              <w:rPr>
                <w:b/>
                <w:sz w:val="16"/>
                <w:szCs w:val="16"/>
              </w:rPr>
            </w:pPr>
            <w:r>
              <w:rPr>
                <w:b/>
                <w:sz w:val="16"/>
                <w:szCs w:val="16"/>
              </w:rPr>
              <w:t>B+</w:t>
            </w:r>
          </w:p>
        </w:tc>
      </w:tr>
      <w:tr w:rsidR="009701F8" w:rsidRPr="00FD6C96" w14:paraId="2BFA751D" w14:textId="77777777" w:rsidTr="004D4EE0">
        <w:tc>
          <w:tcPr>
            <w:tcW w:w="531" w:type="dxa"/>
            <w:tcBorders>
              <w:left w:val="double" w:sz="4" w:space="0" w:color="auto"/>
            </w:tcBorders>
            <w:vAlign w:val="center"/>
          </w:tcPr>
          <w:p w14:paraId="5239199A" w14:textId="77777777" w:rsidR="009701F8" w:rsidRPr="00FD6C96" w:rsidRDefault="009701F8" w:rsidP="004D4EE0">
            <w:pPr>
              <w:spacing w:before="40" w:after="40"/>
              <w:ind w:left="-57" w:right="-57"/>
              <w:jc w:val="center"/>
              <w:rPr>
                <w:sz w:val="16"/>
                <w:szCs w:val="16"/>
              </w:rPr>
            </w:pPr>
            <w:r w:rsidRPr="00FD6C96">
              <w:rPr>
                <w:sz w:val="16"/>
                <w:szCs w:val="16"/>
              </w:rPr>
              <w:t>PI-24</w:t>
            </w:r>
          </w:p>
        </w:tc>
        <w:tc>
          <w:tcPr>
            <w:tcW w:w="5096" w:type="dxa"/>
          </w:tcPr>
          <w:p w14:paraId="7397FEE3" w14:textId="77777777" w:rsidR="009701F8" w:rsidRPr="00FD6C96" w:rsidRDefault="009701F8" w:rsidP="004D4EE0">
            <w:pPr>
              <w:spacing w:before="40" w:after="40"/>
              <w:rPr>
                <w:sz w:val="16"/>
                <w:szCs w:val="16"/>
              </w:rPr>
            </w:pPr>
            <w:r w:rsidRPr="00FD6C96">
              <w:rPr>
                <w:sz w:val="16"/>
                <w:szCs w:val="16"/>
              </w:rPr>
              <w:t>Procurement management</w:t>
            </w:r>
          </w:p>
        </w:tc>
        <w:tc>
          <w:tcPr>
            <w:tcW w:w="573" w:type="dxa"/>
            <w:gridSpan w:val="2"/>
            <w:vAlign w:val="center"/>
          </w:tcPr>
          <w:p w14:paraId="291A316B"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6CE69F86" w14:textId="77777777" w:rsidR="009701F8" w:rsidRPr="00FD6C96" w:rsidRDefault="009701F8" w:rsidP="004D4EE0">
            <w:pPr>
              <w:spacing w:before="40" w:after="40"/>
              <w:jc w:val="center"/>
              <w:rPr>
                <w:sz w:val="16"/>
                <w:szCs w:val="16"/>
              </w:rPr>
            </w:pPr>
            <w:r>
              <w:rPr>
                <w:sz w:val="16"/>
                <w:szCs w:val="16"/>
              </w:rPr>
              <w:t>B</w:t>
            </w:r>
          </w:p>
        </w:tc>
        <w:tc>
          <w:tcPr>
            <w:tcW w:w="603" w:type="dxa"/>
            <w:vAlign w:val="center"/>
          </w:tcPr>
          <w:p w14:paraId="6682C6B9" w14:textId="77777777" w:rsidR="009701F8" w:rsidRPr="00FD6C96" w:rsidRDefault="009701F8" w:rsidP="004D4EE0">
            <w:pPr>
              <w:spacing w:before="40" w:after="40"/>
              <w:jc w:val="center"/>
              <w:rPr>
                <w:sz w:val="16"/>
                <w:szCs w:val="16"/>
              </w:rPr>
            </w:pPr>
            <w:r>
              <w:rPr>
                <w:sz w:val="16"/>
                <w:szCs w:val="16"/>
              </w:rPr>
              <w:t>B</w:t>
            </w:r>
          </w:p>
        </w:tc>
        <w:tc>
          <w:tcPr>
            <w:tcW w:w="603" w:type="dxa"/>
            <w:vAlign w:val="center"/>
          </w:tcPr>
          <w:p w14:paraId="420E888A" w14:textId="77777777" w:rsidR="009701F8" w:rsidRPr="00FD6C96" w:rsidRDefault="009701F8" w:rsidP="004D4EE0">
            <w:pPr>
              <w:spacing w:before="40" w:after="40"/>
              <w:jc w:val="center"/>
              <w:rPr>
                <w:sz w:val="16"/>
                <w:szCs w:val="16"/>
              </w:rPr>
            </w:pPr>
            <w:r>
              <w:rPr>
                <w:sz w:val="16"/>
                <w:szCs w:val="16"/>
              </w:rPr>
              <w:t>B</w:t>
            </w:r>
          </w:p>
        </w:tc>
        <w:tc>
          <w:tcPr>
            <w:tcW w:w="604" w:type="dxa"/>
            <w:vAlign w:val="center"/>
          </w:tcPr>
          <w:p w14:paraId="4298EE19" w14:textId="77777777" w:rsidR="009701F8" w:rsidRPr="00FD6C96" w:rsidRDefault="009701F8" w:rsidP="004D4EE0">
            <w:pPr>
              <w:spacing w:before="40" w:after="40"/>
              <w:jc w:val="center"/>
              <w:rPr>
                <w:sz w:val="16"/>
                <w:szCs w:val="16"/>
              </w:rPr>
            </w:pPr>
            <w:r w:rsidRPr="00FD6C96">
              <w:rPr>
                <w:sz w:val="16"/>
                <w:szCs w:val="16"/>
              </w:rPr>
              <w:t>D</w:t>
            </w:r>
          </w:p>
        </w:tc>
        <w:tc>
          <w:tcPr>
            <w:tcW w:w="851" w:type="dxa"/>
            <w:tcBorders>
              <w:right w:val="double" w:sz="4" w:space="0" w:color="auto"/>
            </w:tcBorders>
            <w:vAlign w:val="center"/>
          </w:tcPr>
          <w:p w14:paraId="7FF3185C" w14:textId="77777777" w:rsidR="009701F8" w:rsidRPr="00FD6C96" w:rsidRDefault="009701F8" w:rsidP="004D4EE0">
            <w:pPr>
              <w:spacing w:before="40" w:after="40"/>
              <w:jc w:val="center"/>
              <w:rPr>
                <w:b/>
                <w:sz w:val="16"/>
                <w:szCs w:val="16"/>
              </w:rPr>
            </w:pPr>
            <w:r>
              <w:rPr>
                <w:b/>
                <w:sz w:val="16"/>
                <w:szCs w:val="16"/>
              </w:rPr>
              <w:t>C</w:t>
            </w:r>
            <w:r w:rsidRPr="00FD6C96">
              <w:rPr>
                <w:b/>
                <w:sz w:val="16"/>
                <w:szCs w:val="16"/>
              </w:rPr>
              <w:t>+</w:t>
            </w:r>
          </w:p>
        </w:tc>
      </w:tr>
      <w:tr w:rsidR="009701F8" w:rsidRPr="00FD6C96" w14:paraId="1A8CC78E" w14:textId="77777777" w:rsidTr="004D4EE0">
        <w:tc>
          <w:tcPr>
            <w:tcW w:w="531" w:type="dxa"/>
            <w:tcBorders>
              <w:left w:val="double" w:sz="4" w:space="0" w:color="auto"/>
            </w:tcBorders>
            <w:vAlign w:val="center"/>
          </w:tcPr>
          <w:p w14:paraId="426B9E65" w14:textId="77777777" w:rsidR="009701F8" w:rsidRPr="00FD6C96" w:rsidRDefault="009701F8" w:rsidP="004D4EE0">
            <w:pPr>
              <w:spacing w:before="40" w:after="40"/>
              <w:ind w:left="-57" w:right="-57"/>
              <w:jc w:val="center"/>
              <w:rPr>
                <w:sz w:val="16"/>
                <w:szCs w:val="16"/>
              </w:rPr>
            </w:pPr>
            <w:r w:rsidRPr="00FD6C96">
              <w:rPr>
                <w:sz w:val="16"/>
                <w:szCs w:val="16"/>
              </w:rPr>
              <w:t>PI-25</w:t>
            </w:r>
          </w:p>
        </w:tc>
        <w:tc>
          <w:tcPr>
            <w:tcW w:w="5096" w:type="dxa"/>
          </w:tcPr>
          <w:p w14:paraId="35A85FC2" w14:textId="77777777" w:rsidR="009701F8" w:rsidRPr="00FD6C96" w:rsidRDefault="009701F8" w:rsidP="004D4EE0">
            <w:pPr>
              <w:spacing w:before="40" w:after="40"/>
              <w:rPr>
                <w:sz w:val="16"/>
                <w:szCs w:val="16"/>
              </w:rPr>
            </w:pPr>
            <w:r w:rsidRPr="00FD6C96">
              <w:rPr>
                <w:sz w:val="16"/>
                <w:szCs w:val="16"/>
              </w:rPr>
              <w:t>Internal controls on non-salary expenditure</w:t>
            </w:r>
          </w:p>
        </w:tc>
        <w:tc>
          <w:tcPr>
            <w:tcW w:w="573" w:type="dxa"/>
            <w:gridSpan w:val="2"/>
            <w:vAlign w:val="center"/>
          </w:tcPr>
          <w:p w14:paraId="176E71DE"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031303B4" w14:textId="796E5ED6" w:rsidR="009701F8" w:rsidRPr="00FD6C96" w:rsidRDefault="00BE6D0F" w:rsidP="004D4EE0">
            <w:pPr>
              <w:spacing w:before="40" w:after="40"/>
              <w:jc w:val="center"/>
              <w:rPr>
                <w:sz w:val="16"/>
                <w:szCs w:val="16"/>
              </w:rPr>
            </w:pPr>
            <w:r>
              <w:rPr>
                <w:sz w:val="16"/>
                <w:szCs w:val="16"/>
              </w:rPr>
              <w:t>A</w:t>
            </w:r>
          </w:p>
        </w:tc>
        <w:tc>
          <w:tcPr>
            <w:tcW w:w="603" w:type="dxa"/>
            <w:vAlign w:val="center"/>
          </w:tcPr>
          <w:p w14:paraId="0B81D0C2" w14:textId="1A3922BE" w:rsidR="009701F8" w:rsidRPr="00FD6C96" w:rsidRDefault="00BE6D0F" w:rsidP="004D4EE0">
            <w:pPr>
              <w:spacing w:before="40" w:after="40"/>
              <w:jc w:val="center"/>
              <w:rPr>
                <w:sz w:val="16"/>
                <w:szCs w:val="16"/>
              </w:rPr>
            </w:pPr>
            <w:r>
              <w:rPr>
                <w:sz w:val="16"/>
                <w:szCs w:val="16"/>
              </w:rPr>
              <w:t>B</w:t>
            </w:r>
          </w:p>
        </w:tc>
        <w:tc>
          <w:tcPr>
            <w:tcW w:w="603" w:type="dxa"/>
            <w:vAlign w:val="center"/>
          </w:tcPr>
          <w:p w14:paraId="0E325715" w14:textId="1CF6A0BA" w:rsidR="009701F8" w:rsidRPr="00FD6C96" w:rsidRDefault="00BE6D0F" w:rsidP="004D4EE0">
            <w:pPr>
              <w:spacing w:before="40" w:after="40"/>
              <w:jc w:val="center"/>
              <w:rPr>
                <w:sz w:val="16"/>
                <w:szCs w:val="16"/>
              </w:rPr>
            </w:pPr>
            <w:r>
              <w:rPr>
                <w:sz w:val="16"/>
                <w:szCs w:val="16"/>
              </w:rPr>
              <w:t>B</w:t>
            </w:r>
          </w:p>
        </w:tc>
        <w:tc>
          <w:tcPr>
            <w:tcW w:w="604" w:type="dxa"/>
            <w:shd w:val="clear" w:color="auto" w:fill="F2F2F2"/>
            <w:vAlign w:val="center"/>
          </w:tcPr>
          <w:p w14:paraId="3C43785E"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036D7E23" w14:textId="3C80C0E9" w:rsidR="009701F8" w:rsidRPr="00FD6C96" w:rsidRDefault="00BE6D0F" w:rsidP="004D4EE0">
            <w:pPr>
              <w:spacing w:before="40" w:after="40"/>
              <w:jc w:val="center"/>
              <w:rPr>
                <w:b/>
                <w:sz w:val="16"/>
                <w:szCs w:val="16"/>
              </w:rPr>
            </w:pPr>
            <w:r>
              <w:rPr>
                <w:b/>
                <w:sz w:val="16"/>
                <w:szCs w:val="16"/>
              </w:rPr>
              <w:t>B</w:t>
            </w:r>
            <w:r w:rsidR="009701F8">
              <w:rPr>
                <w:b/>
                <w:sz w:val="16"/>
                <w:szCs w:val="16"/>
              </w:rPr>
              <w:t>+</w:t>
            </w:r>
          </w:p>
        </w:tc>
      </w:tr>
      <w:tr w:rsidR="009701F8" w:rsidRPr="00FD6C96" w14:paraId="645B6A43" w14:textId="77777777" w:rsidTr="004D4EE0">
        <w:tc>
          <w:tcPr>
            <w:tcW w:w="531" w:type="dxa"/>
            <w:tcBorders>
              <w:left w:val="double" w:sz="4" w:space="0" w:color="auto"/>
            </w:tcBorders>
            <w:vAlign w:val="center"/>
          </w:tcPr>
          <w:p w14:paraId="25D046F6" w14:textId="77777777" w:rsidR="009701F8" w:rsidRPr="00FD6C96" w:rsidRDefault="009701F8" w:rsidP="004D4EE0">
            <w:pPr>
              <w:spacing w:before="40" w:after="40"/>
              <w:ind w:left="-57" w:right="-57"/>
              <w:jc w:val="center"/>
              <w:rPr>
                <w:sz w:val="16"/>
                <w:szCs w:val="16"/>
              </w:rPr>
            </w:pPr>
            <w:r w:rsidRPr="00FD6C96">
              <w:rPr>
                <w:sz w:val="16"/>
                <w:szCs w:val="16"/>
              </w:rPr>
              <w:t>PI-26</w:t>
            </w:r>
          </w:p>
        </w:tc>
        <w:tc>
          <w:tcPr>
            <w:tcW w:w="5096" w:type="dxa"/>
          </w:tcPr>
          <w:p w14:paraId="423F23EF" w14:textId="77777777" w:rsidR="009701F8" w:rsidRPr="00FD6C96" w:rsidRDefault="009701F8" w:rsidP="004D4EE0">
            <w:pPr>
              <w:spacing w:before="40" w:after="40"/>
              <w:rPr>
                <w:sz w:val="16"/>
                <w:szCs w:val="16"/>
              </w:rPr>
            </w:pPr>
            <w:r w:rsidRPr="00FD6C96">
              <w:rPr>
                <w:sz w:val="16"/>
                <w:szCs w:val="16"/>
              </w:rPr>
              <w:t>Internal audit</w:t>
            </w:r>
          </w:p>
        </w:tc>
        <w:tc>
          <w:tcPr>
            <w:tcW w:w="573" w:type="dxa"/>
            <w:gridSpan w:val="2"/>
            <w:vAlign w:val="center"/>
          </w:tcPr>
          <w:p w14:paraId="0B525621"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70BEDC58" w14:textId="77777777" w:rsidR="009701F8" w:rsidRPr="00FD6C96" w:rsidRDefault="009701F8" w:rsidP="004D4EE0">
            <w:pPr>
              <w:spacing w:before="40" w:after="40"/>
              <w:jc w:val="center"/>
              <w:rPr>
                <w:sz w:val="16"/>
                <w:szCs w:val="16"/>
              </w:rPr>
            </w:pPr>
            <w:r>
              <w:rPr>
                <w:sz w:val="16"/>
                <w:szCs w:val="16"/>
              </w:rPr>
              <w:t>A</w:t>
            </w:r>
          </w:p>
        </w:tc>
        <w:tc>
          <w:tcPr>
            <w:tcW w:w="603" w:type="dxa"/>
            <w:vAlign w:val="center"/>
          </w:tcPr>
          <w:p w14:paraId="65180A30" w14:textId="77777777" w:rsidR="009701F8" w:rsidRPr="00FD6C96" w:rsidRDefault="009701F8" w:rsidP="004D4EE0">
            <w:pPr>
              <w:spacing w:before="40" w:after="40"/>
              <w:jc w:val="center"/>
              <w:rPr>
                <w:sz w:val="16"/>
                <w:szCs w:val="16"/>
              </w:rPr>
            </w:pPr>
            <w:r w:rsidRPr="00FD6C96">
              <w:rPr>
                <w:sz w:val="16"/>
                <w:szCs w:val="16"/>
              </w:rPr>
              <w:t>B</w:t>
            </w:r>
          </w:p>
        </w:tc>
        <w:tc>
          <w:tcPr>
            <w:tcW w:w="603" w:type="dxa"/>
            <w:vAlign w:val="center"/>
          </w:tcPr>
          <w:p w14:paraId="664BB4C4" w14:textId="77777777" w:rsidR="009701F8" w:rsidRPr="00FD6C96" w:rsidRDefault="009701F8" w:rsidP="004D4EE0">
            <w:pPr>
              <w:spacing w:before="40" w:after="40"/>
              <w:jc w:val="center"/>
              <w:rPr>
                <w:sz w:val="16"/>
                <w:szCs w:val="16"/>
              </w:rPr>
            </w:pPr>
            <w:r w:rsidRPr="00FD6C96">
              <w:rPr>
                <w:sz w:val="16"/>
                <w:szCs w:val="16"/>
              </w:rPr>
              <w:t>C</w:t>
            </w:r>
          </w:p>
        </w:tc>
        <w:tc>
          <w:tcPr>
            <w:tcW w:w="604" w:type="dxa"/>
            <w:vAlign w:val="center"/>
          </w:tcPr>
          <w:p w14:paraId="0162C189" w14:textId="77777777" w:rsidR="009701F8" w:rsidRPr="00FD6C96" w:rsidRDefault="009701F8" w:rsidP="004D4EE0">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44A761B0" w14:textId="77777777" w:rsidR="009701F8" w:rsidRPr="00FD6C96" w:rsidRDefault="009701F8" w:rsidP="004D4EE0">
            <w:pPr>
              <w:spacing w:before="40" w:after="40"/>
              <w:jc w:val="center"/>
              <w:rPr>
                <w:b/>
                <w:sz w:val="16"/>
                <w:szCs w:val="16"/>
              </w:rPr>
            </w:pPr>
            <w:r w:rsidRPr="00FD6C96">
              <w:rPr>
                <w:b/>
                <w:sz w:val="16"/>
                <w:szCs w:val="16"/>
              </w:rPr>
              <w:t>C+</w:t>
            </w:r>
          </w:p>
        </w:tc>
      </w:tr>
      <w:tr w:rsidR="009701F8" w:rsidRPr="00FD6C96" w14:paraId="3B977298" w14:textId="77777777" w:rsidTr="004D4EE0">
        <w:tc>
          <w:tcPr>
            <w:tcW w:w="9464" w:type="dxa"/>
            <w:gridSpan w:val="9"/>
            <w:tcBorders>
              <w:left w:val="double" w:sz="4" w:space="0" w:color="auto"/>
              <w:right w:val="double" w:sz="4" w:space="0" w:color="auto"/>
            </w:tcBorders>
            <w:shd w:val="clear" w:color="auto" w:fill="F2F2F2"/>
            <w:vAlign w:val="center"/>
          </w:tcPr>
          <w:p w14:paraId="22088307" w14:textId="77777777" w:rsidR="009701F8" w:rsidRPr="00FD6C96" w:rsidRDefault="009701F8" w:rsidP="004D4EE0">
            <w:pPr>
              <w:spacing w:before="40" w:after="40"/>
              <w:rPr>
                <w:sz w:val="16"/>
                <w:szCs w:val="16"/>
              </w:rPr>
            </w:pPr>
            <w:r w:rsidRPr="00FD6C96">
              <w:rPr>
                <w:b/>
                <w:sz w:val="16"/>
                <w:szCs w:val="16"/>
              </w:rPr>
              <w:t>VI. Accounting and Reporting</w:t>
            </w:r>
          </w:p>
        </w:tc>
      </w:tr>
      <w:tr w:rsidR="009701F8" w:rsidRPr="00FD6C96" w14:paraId="533C9070" w14:textId="77777777" w:rsidTr="004D4EE0">
        <w:tc>
          <w:tcPr>
            <w:tcW w:w="531" w:type="dxa"/>
            <w:tcBorders>
              <w:left w:val="double" w:sz="4" w:space="0" w:color="auto"/>
            </w:tcBorders>
            <w:vAlign w:val="center"/>
          </w:tcPr>
          <w:p w14:paraId="3C13FCE6" w14:textId="77777777" w:rsidR="009701F8" w:rsidRPr="00FD6C96" w:rsidRDefault="009701F8" w:rsidP="004D4EE0">
            <w:pPr>
              <w:spacing w:before="40" w:after="40"/>
              <w:ind w:left="-57" w:right="-57"/>
              <w:jc w:val="center"/>
              <w:rPr>
                <w:sz w:val="16"/>
                <w:szCs w:val="16"/>
              </w:rPr>
            </w:pPr>
            <w:r w:rsidRPr="00FD6C96">
              <w:rPr>
                <w:sz w:val="16"/>
                <w:szCs w:val="16"/>
              </w:rPr>
              <w:t>PI-27</w:t>
            </w:r>
          </w:p>
        </w:tc>
        <w:tc>
          <w:tcPr>
            <w:tcW w:w="5096" w:type="dxa"/>
          </w:tcPr>
          <w:p w14:paraId="65D9C890" w14:textId="77777777" w:rsidR="009701F8" w:rsidRPr="00FD6C96" w:rsidRDefault="009701F8" w:rsidP="004D4EE0">
            <w:pPr>
              <w:spacing w:before="40" w:after="40"/>
              <w:rPr>
                <w:sz w:val="16"/>
                <w:szCs w:val="16"/>
              </w:rPr>
            </w:pPr>
            <w:r w:rsidRPr="00FD6C96">
              <w:rPr>
                <w:sz w:val="16"/>
                <w:szCs w:val="16"/>
              </w:rPr>
              <w:t>Financial data integrity</w:t>
            </w:r>
          </w:p>
        </w:tc>
        <w:tc>
          <w:tcPr>
            <w:tcW w:w="573" w:type="dxa"/>
            <w:gridSpan w:val="2"/>
            <w:vAlign w:val="center"/>
          </w:tcPr>
          <w:p w14:paraId="6EF02150" w14:textId="77777777" w:rsidR="009701F8" w:rsidRPr="00FD6C96" w:rsidRDefault="009701F8" w:rsidP="004D4EE0">
            <w:pPr>
              <w:spacing w:before="40" w:after="40"/>
              <w:jc w:val="center"/>
              <w:rPr>
                <w:sz w:val="16"/>
                <w:szCs w:val="16"/>
              </w:rPr>
            </w:pPr>
            <w:r w:rsidRPr="00FD6C96">
              <w:rPr>
                <w:sz w:val="16"/>
                <w:szCs w:val="16"/>
              </w:rPr>
              <w:t>M2</w:t>
            </w:r>
          </w:p>
        </w:tc>
        <w:tc>
          <w:tcPr>
            <w:tcW w:w="603" w:type="dxa"/>
            <w:vAlign w:val="center"/>
          </w:tcPr>
          <w:p w14:paraId="0D3AF493" w14:textId="77777777" w:rsidR="009701F8" w:rsidRPr="00FD6C96" w:rsidRDefault="009701F8" w:rsidP="004D4EE0">
            <w:pPr>
              <w:spacing w:before="40" w:after="40"/>
              <w:jc w:val="center"/>
              <w:rPr>
                <w:sz w:val="16"/>
                <w:szCs w:val="16"/>
              </w:rPr>
            </w:pPr>
            <w:r w:rsidRPr="00FD6C96">
              <w:rPr>
                <w:sz w:val="16"/>
                <w:szCs w:val="16"/>
              </w:rPr>
              <w:t>D</w:t>
            </w:r>
          </w:p>
        </w:tc>
        <w:tc>
          <w:tcPr>
            <w:tcW w:w="603" w:type="dxa"/>
            <w:vAlign w:val="center"/>
          </w:tcPr>
          <w:p w14:paraId="29C55E48" w14:textId="32756D1B" w:rsidR="009701F8" w:rsidRPr="00FD6C96" w:rsidRDefault="00BE6D0F" w:rsidP="004D4EE0">
            <w:pPr>
              <w:spacing w:before="40" w:after="40"/>
              <w:jc w:val="center"/>
              <w:rPr>
                <w:sz w:val="16"/>
                <w:szCs w:val="16"/>
              </w:rPr>
            </w:pPr>
            <w:r>
              <w:rPr>
                <w:sz w:val="16"/>
                <w:szCs w:val="16"/>
              </w:rPr>
              <w:t>A</w:t>
            </w:r>
          </w:p>
        </w:tc>
        <w:tc>
          <w:tcPr>
            <w:tcW w:w="603" w:type="dxa"/>
            <w:vAlign w:val="center"/>
          </w:tcPr>
          <w:p w14:paraId="13BEB073" w14:textId="77777777" w:rsidR="009701F8" w:rsidRPr="00FD6C96" w:rsidRDefault="009701F8" w:rsidP="004D4EE0">
            <w:pPr>
              <w:spacing w:before="40" w:after="40"/>
              <w:jc w:val="center"/>
              <w:rPr>
                <w:sz w:val="16"/>
                <w:szCs w:val="16"/>
              </w:rPr>
            </w:pPr>
            <w:r w:rsidRPr="00FD6C96">
              <w:rPr>
                <w:sz w:val="16"/>
                <w:szCs w:val="16"/>
              </w:rPr>
              <w:t>C</w:t>
            </w:r>
          </w:p>
        </w:tc>
        <w:tc>
          <w:tcPr>
            <w:tcW w:w="604" w:type="dxa"/>
            <w:vAlign w:val="center"/>
          </w:tcPr>
          <w:p w14:paraId="1583D969" w14:textId="77777777" w:rsidR="009701F8" w:rsidRPr="00FD6C96" w:rsidRDefault="009701F8" w:rsidP="004D4EE0">
            <w:pPr>
              <w:spacing w:before="40" w:after="40"/>
              <w:jc w:val="center"/>
              <w:rPr>
                <w:sz w:val="16"/>
                <w:szCs w:val="16"/>
              </w:rPr>
            </w:pPr>
            <w:r w:rsidRPr="00FD6C96">
              <w:rPr>
                <w:sz w:val="16"/>
                <w:szCs w:val="16"/>
              </w:rPr>
              <w:t>C</w:t>
            </w:r>
          </w:p>
        </w:tc>
        <w:tc>
          <w:tcPr>
            <w:tcW w:w="851" w:type="dxa"/>
            <w:tcBorders>
              <w:right w:val="double" w:sz="4" w:space="0" w:color="auto"/>
            </w:tcBorders>
            <w:vAlign w:val="center"/>
          </w:tcPr>
          <w:p w14:paraId="7E385C5E" w14:textId="5DE78311" w:rsidR="009701F8" w:rsidRPr="00FD6C96" w:rsidRDefault="00BE6D0F" w:rsidP="004D4EE0">
            <w:pPr>
              <w:spacing w:before="40" w:after="40"/>
              <w:jc w:val="center"/>
              <w:rPr>
                <w:b/>
                <w:sz w:val="16"/>
                <w:szCs w:val="16"/>
              </w:rPr>
            </w:pPr>
            <w:r>
              <w:rPr>
                <w:b/>
                <w:sz w:val="16"/>
                <w:szCs w:val="16"/>
              </w:rPr>
              <w:t>C</w:t>
            </w:r>
            <w:r w:rsidR="009701F8" w:rsidRPr="00FD6C96">
              <w:rPr>
                <w:b/>
                <w:sz w:val="16"/>
                <w:szCs w:val="16"/>
              </w:rPr>
              <w:t>+</w:t>
            </w:r>
          </w:p>
        </w:tc>
      </w:tr>
      <w:tr w:rsidR="009701F8" w:rsidRPr="00FD6C96" w14:paraId="16EDB5F3" w14:textId="77777777" w:rsidTr="004D4EE0">
        <w:tc>
          <w:tcPr>
            <w:tcW w:w="531" w:type="dxa"/>
            <w:tcBorders>
              <w:left w:val="double" w:sz="4" w:space="0" w:color="auto"/>
            </w:tcBorders>
            <w:vAlign w:val="center"/>
          </w:tcPr>
          <w:p w14:paraId="557DF021" w14:textId="77777777" w:rsidR="009701F8" w:rsidRPr="00FD6C96" w:rsidRDefault="009701F8" w:rsidP="004D4EE0">
            <w:pPr>
              <w:spacing w:before="40" w:after="40"/>
              <w:ind w:left="-57" w:right="-57"/>
              <w:jc w:val="center"/>
              <w:rPr>
                <w:sz w:val="16"/>
                <w:szCs w:val="16"/>
              </w:rPr>
            </w:pPr>
            <w:r w:rsidRPr="00FD6C96">
              <w:rPr>
                <w:sz w:val="16"/>
                <w:szCs w:val="16"/>
              </w:rPr>
              <w:t>PI-28</w:t>
            </w:r>
          </w:p>
        </w:tc>
        <w:tc>
          <w:tcPr>
            <w:tcW w:w="5096" w:type="dxa"/>
          </w:tcPr>
          <w:p w14:paraId="5B71FADA" w14:textId="77777777" w:rsidR="009701F8" w:rsidRPr="00FD6C96" w:rsidRDefault="009701F8" w:rsidP="004D4EE0">
            <w:pPr>
              <w:spacing w:before="40" w:after="40"/>
              <w:rPr>
                <w:sz w:val="16"/>
                <w:szCs w:val="16"/>
              </w:rPr>
            </w:pPr>
            <w:r w:rsidRPr="00FD6C96">
              <w:rPr>
                <w:sz w:val="16"/>
                <w:szCs w:val="16"/>
              </w:rPr>
              <w:t>In-year budget reports</w:t>
            </w:r>
          </w:p>
        </w:tc>
        <w:tc>
          <w:tcPr>
            <w:tcW w:w="573" w:type="dxa"/>
            <w:gridSpan w:val="2"/>
            <w:vAlign w:val="center"/>
          </w:tcPr>
          <w:p w14:paraId="3EB1675E"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36D769C0" w14:textId="77777777" w:rsidR="009701F8" w:rsidRPr="00FD6C96" w:rsidRDefault="009701F8" w:rsidP="004D4EE0">
            <w:pPr>
              <w:spacing w:before="40" w:after="40"/>
              <w:jc w:val="center"/>
              <w:rPr>
                <w:sz w:val="16"/>
                <w:szCs w:val="16"/>
              </w:rPr>
            </w:pPr>
            <w:r w:rsidRPr="00FD6C96">
              <w:rPr>
                <w:sz w:val="16"/>
                <w:szCs w:val="16"/>
              </w:rPr>
              <w:t>A</w:t>
            </w:r>
          </w:p>
        </w:tc>
        <w:tc>
          <w:tcPr>
            <w:tcW w:w="603" w:type="dxa"/>
            <w:vAlign w:val="center"/>
          </w:tcPr>
          <w:p w14:paraId="0100B41C" w14:textId="77777777" w:rsidR="009701F8" w:rsidRPr="00FD6C96" w:rsidRDefault="009701F8" w:rsidP="004D4EE0">
            <w:pPr>
              <w:spacing w:before="40" w:after="40"/>
              <w:jc w:val="center"/>
              <w:rPr>
                <w:sz w:val="16"/>
                <w:szCs w:val="16"/>
              </w:rPr>
            </w:pPr>
            <w:r w:rsidRPr="00FD6C96">
              <w:rPr>
                <w:sz w:val="16"/>
                <w:szCs w:val="16"/>
              </w:rPr>
              <w:t>D</w:t>
            </w:r>
          </w:p>
        </w:tc>
        <w:tc>
          <w:tcPr>
            <w:tcW w:w="603" w:type="dxa"/>
            <w:vAlign w:val="center"/>
          </w:tcPr>
          <w:p w14:paraId="130A42FB" w14:textId="77777777" w:rsidR="009701F8" w:rsidRPr="00FD6C96" w:rsidRDefault="009701F8" w:rsidP="004D4EE0">
            <w:pPr>
              <w:spacing w:before="40" w:after="40"/>
              <w:jc w:val="center"/>
              <w:rPr>
                <w:sz w:val="16"/>
                <w:szCs w:val="16"/>
              </w:rPr>
            </w:pPr>
            <w:r w:rsidRPr="00FD6C96">
              <w:rPr>
                <w:sz w:val="16"/>
                <w:szCs w:val="16"/>
              </w:rPr>
              <w:t>C</w:t>
            </w:r>
          </w:p>
        </w:tc>
        <w:tc>
          <w:tcPr>
            <w:tcW w:w="604" w:type="dxa"/>
            <w:shd w:val="clear" w:color="auto" w:fill="F2F2F2"/>
            <w:vAlign w:val="center"/>
          </w:tcPr>
          <w:p w14:paraId="0BB8627E"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3BA72971" w14:textId="77777777" w:rsidR="009701F8" w:rsidRPr="00FD6C96" w:rsidRDefault="009701F8" w:rsidP="004D4EE0">
            <w:pPr>
              <w:spacing w:before="40" w:after="40"/>
              <w:jc w:val="center"/>
              <w:rPr>
                <w:b/>
                <w:sz w:val="16"/>
                <w:szCs w:val="16"/>
              </w:rPr>
            </w:pPr>
            <w:r w:rsidRPr="00FD6C96">
              <w:rPr>
                <w:b/>
                <w:sz w:val="16"/>
                <w:szCs w:val="16"/>
              </w:rPr>
              <w:t>D+</w:t>
            </w:r>
          </w:p>
        </w:tc>
      </w:tr>
      <w:tr w:rsidR="009701F8" w:rsidRPr="00FD6C96" w14:paraId="02326D03" w14:textId="77777777" w:rsidTr="004D4EE0">
        <w:tc>
          <w:tcPr>
            <w:tcW w:w="531" w:type="dxa"/>
            <w:tcBorders>
              <w:left w:val="double" w:sz="4" w:space="0" w:color="auto"/>
            </w:tcBorders>
            <w:vAlign w:val="center"/>
          </w:tcPr>
          <w:p w14:paraId="3869D7A3" w14:textId="77777777" w:rsidR="009701F8" w:rsidRPr="00FD6C96" w:rsidRDefault="009701F8" w:rsidP="004D4EE0">
            <w:pPr>
              <w:spacing w:before="40" w:after="40"/>
              <w:ind w:left="-57" w:right="-57"/>
              <w:jc w:val="center"/>
              <w:rPr>
                <w:sz w:val="16"/>
                <w:szCs w:val="16"/>
              </w:rPr>
            </w:pPr>
            <w:r w:rsidRPr="00FD6C96">
              <w:rPr>
                <w:sz w:val="16"/>
                <w:szCs w:val="16"/>
              </w:rPr>
              <w:t>PI-29</w:t>
            </w:r>
          </w:p>
        </w:tc>
        <w:tc>
          <w:tcPr>
            <w:tcW w:w="5096" w:type="dxa"/>
          </w:tcPr>
          <w:p w14:paraId="4F825012" w14:textId="77777777" w:rsidR="009701F8" w:rsidRPr="00FD6C96" w:rsidRDefault="009701F8" w:rsidP="004D4EE0">
            <w:pPr>
              <w:spacing w:before="40" w:after="40"/>
              <w:rPr>
                <w:sz w:val="16"/>
                <w:szCs w:val="16"/>
              </w:rPr>
            </w:pPr>
            <w:r w:rsidRPr="00FD6C96">
              <w:rPr>
                <w:sz w:val="16"/>
                <w:szCs w:val="16"/>
              </w:rPr>
              <w:t>Annual financial reports</w:t>
            </w:r>
          </w:p>
        </w:tc>
        <w:tc>
          <w:tcPr>
            <w:tcW w:w="573" w:type="dxa"/>
            <w:gridSpan w:val="2"/>
            <w:vAlign w:val="center"/>
          </w:tcPr>
          <w:p w14:paraId="5546A3CC"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12069A1C" w14:textId="77777777" w:rsidR="009701F8" w:rsidRPr="00FD6C96" w:rsidRDefault="009701F8" w:rsidP="004D4EE0">
            <w:pPr>
              <w:spacing w:before="40" w:after="40"/>
              <w:jc w:val="center"/>
              <w:rPr>
                <w:sz w:val="16"/>
                <w:szCs w:val="16"/>
              </w:rPr>
            </w:pPr>
            <w:r w:rsidRPr="00FD6C96">
              <w:rPr>
                <w:sz w:val="16"/>
                <w:szCs w:val="16"/>
              </w:rPr>
              <w:t>B</w:t>
            </w:r>
          </w:p>
        </w:tc>
        <w:tc>
          <w:tcPr>
            <w:tcW w:w="603" w:type="dxa"/>
            <w:vAlign w:val="center"/>
          </w:tcPr>
          <w:p w14:paraId="2252E536" w14:textId="159C1059" w:rsidR="009701F8" w:rsidRPr="00FD6C96" w:rsidRDefault="00BE6D0F" w:rsidP="004D4EE0">
            <w:pPr>
              <w:spacing w:before="40" w:after="40"/>
              <w:jc w:val="center"/>
              <w:rPr>
                <w:sz w:val="16"/>
                <w:szCs w:val="16"/>
              </w:rPr>
            </w:pPr>
            <w:r>
              <w:rPr>
                <w:sz w:val="16"/>
                <w:szCs w:val="16"/>
              </w:rPr>
              <w:t>C</w:t>
            </w:r>
          </w:p>
        </w:tc>
        <w:tc>
          <w:tcPr>
            <w:tcW w:w="603" w:type="dxa"/>
            <w:vAlign w:val="center"/>
          </w:tcPr>
          <w:p w14:paraId="61301591" w14:textId="77777777" w:rsidR="009701F8" w:rsidRPr="00FD6C96" w:rsidRDefault="009701F8" w:rsidP="004D4EE0">
            <w:pPr>
              <w:spacing w:before="40" w:after="40"/>
              <w:jc w:val="center"/>
              <w:rPr>
                <w:sz w:val="16"/>
                <w:szCs w:val="16"/>
              </w:rPr>
            </w:pPr>
            <w:r>
              <w:rPr>
                <w:sz w:val="16"/>
                <w:szCs w:val="16"/>
              </w:rPr>
              <w:t>A</w:t>
            </w:r>
          </w:p>
        </w:tc>
        <w:tc>
          <w:tcPr>
            <w:tcW w:w="604" w:type="dxa"/>
            <w:shd w:val="clear" w:color="auto" w:fill="F2F2F2"/>
            <w:vAlign w:val="center"/>
          </w:tcPr>
          <w:p w14:paraId="0CB84A6C" w14:textId="77777777" w:rsidR="009701F8" w:rsidRPr="00FD6C96" w:rsidRDefault="009701F8" w:rsidP="004D4EE0">
            <w:pPr>
              <w:spacing w:before="40" w:after="40"/>
              <w:jc w:val="center"/>
              <w:rPr>
                <w:sz w:val="16"/>
                <w:szCs w:val="16"/>
              </w:rPr>
            </w:pPr>
          </w:p>
        </w:tc>
        <w:tc>
          <w:tcPr>
            <w:tcW w:w="851" w:type="dxa"/>
            <w:tcBorders>
              <w:right w:val="double" w:sz="4" w:space="0" w:color="auto"/>
            </w:tcBorders>
            <w:vAlign w:val="center"/>
          </w:tcPr>
          <w:p w14:paraId="150BD68C" w14:textId="1F2BF2C3" w:rsidR="009701F8" w:rsidRPr="00FD6C96" w:rsidRDefault="00BE6D0F" w:rsidP="004D4EE0">
            <w:pPr>
              <w:spacing w:before="40" w:after="40"/>
              <w:jc w:val="center"/>
              <w:rPr>
                <w:b/>
                <w:sz w:val="16"/>
                <w:szCs w:val="16"/>
              </w:rPr>
            </w:pPr>
            <w:r>
              <w:rPr>
                <w:b/>
                <w:sz w:val="16"/>
                <w:szCs w:val="16"/>
              </w:rPr>
              <w:t>C</w:t>
            </w:r>
            <w:r w:rsidR="009701F8">
              <w:rPr>
                <w:b/>
                <w:sz w:val="16"/>
                <w:szCs w:val="16"/>
              </w:rPr>
              <w:t>+</w:t>
            </w:r>
          </w:p>
        </w:tc>
      </w:tr>
      <w:tr w:rsidR="009701F8" w:rsidRPr="00FD6C96" w14:paraId="2C0AD36B" w14:textId="77777777" w:rsidTr="004D4EE0">
        <w:tc>
          <w:tcPr>
            <w:tcW w:w="9464" w:type="dxa"/>
            <w:gridSpan w:val="9"/>
            <w:tcBorders>
              <w:left w:val="double" w:sz="4" w:space="0" w:color="auto"/>
              <w:right w:val="double" w:sz="4" w:space="0" w:color="auto"/>
            </w:tcBorders>
            <w:shd w:val="clear" w:color="auto" w:fill="F2F2F2"/>
            <w:vAlign w:val="center"/>
          </w:tcPr>
          <w:p w14:paraId="638CCFC0" w14:textId="77777777" w:rsidR="009701F8" w:rsidRPr="00FD6C96" w:rsidRDefault="009701F8" w:rsidP="004D4EE0">
            <w:pPr>
              <w:spacing w:before="40" w:after="40"/>
              <w:rPr>
                <w:sz w:val="16"/>
                <w:szCs w:val="16"/>
              </w:rPr>
            </w:pPr>
            <w:r w:rsidRPr="00FD6C96">
              <w:rPr>
                <w:b/>
                <w:sz w:val="16"/>
                <w:szCs w:val="16"/>
              </w:rPr>
              <w:t>VII. External Scrutiny and Audit</w:t>
            </w:r>
          </w:p>
        </w:tc>
      </w:tr>
      <w:tr w:rsidR="009701F8" w:rsidRPr="00FD6C96" w14:paraId="7B072D91" w14:textId="77777777" w:rsidTr="004D4EE0">
        <w:tc>
          <w:tcPr>
            <w:tcW w:w="531" w:type="dxa"/>
            <w:tcBorders>
              <w:left w:val="double" w:sz="4" w:space="0" w:color="auto"/>
            </w:tcBorders>
            <w:vAlign w:val="center"/>
          </w:tcPr>
          <w:p w14:paraId="365D721C" w14:textId="77777777" w:rsidR="009701F8" w:rsidRPr="00FD6C96" w:rsidRDefault="009701F8" w:rsidP="004D4EE0">
            <w:pPr>
              <w:spacing w:before="40" w:after="40"/>
              <w:ind w:left="-57" w:right="-57"/>
              <w:jc w:val="center"/>
              <w:rPr>
                <w:sz w:val="16"/>
                <w:szCs w:val="16"/>
              </w:rPr>
            </w:pPr>
            <w:r w:rsidRPr="00FD6C96">
              <w:rPr>
                <w:sz w:val="16"/>
                <w:szCs w:val="16"/>
              </w:rPr>
              <w:t>PI-30</w:t>
            </w:r>
          </w:p>
        </w:tc>
        <w:tc>
          <w:tcPr>
            <w:tcW w:w="5105" w:type="dxa"/>
            <w:gridSpan w:val="2"/>
          </w:tcPr>
          <w:p w14:paraId="39EF6587" w14:textId="77777777" w:rsidR="009701F8" w:rsidRPr="00FD6C96" w:rsidRDefault="009701F8" w:rsidP="004D4EE0">
            <w:pPr>
              <w:spacing w:before="40" w:after="40"/>
              <w:rPr>
                <w:sz w:val="16"/>
                <w:szCs w:val="16"/>
              </w:rPr>
            </w:pPr>
            <w:r w:rsidRPr="00FD6C96">
              <w:rPr>
                <w:sz w:val="16"/>
                <w:szCs w:val="16"/>
              </w:rPr>
              <w:t>External audit</w:t>
            </w:r>
          </w:p>
        </w:tc>
        <w:tc>
          <w:tcPr>
            <w:tcW w:w="564" w:type="dxa"/>
            <w:vAlign w:val="center"/>
          </w:tcPr>
          <w:p w14:paraId="3016BF37" w14:textId="77777777" w:rsidR="009701F8" w:rsidRPr="00FD6C96" w:rsidRDefault="009701F8" w:rsidP="004D4EE0">
            <w:pPr>
              <w:spacing w:before="40" w:after="40"/>
              <w:jc w:val="center"/>
              <w:rPr>
                <w:sz w:val="16"/>
                <w:szCs w:val="16"/>
              </w:rPr>
            </w:pPr>
            <w:r w:rsidRPr="00FD6C96">
              <w:rPr>
                <w:sz w:val="16"/>
                <w:szCs w:val="16"/>
              </w:rPr>
              <w:t>M1</w:t>
            </w:r>
          </w:p>
        </w:tc>
        <w:tc>
          <w:tcPr>
            <w:tcW w:w="603" w:type="dxa"/>
            <w:vAlign w:val="center"/>
          </w:tcPr>
          <w:p w14:paraId="73B26C48" w14:textId="77777777" w:rsidR="009701F8" w:rsidRPr="00FD6C96" w:rsidRDefault="009701F8" w:rsidP="004D4EE0">
            <w:pPr>
              <w:spacing w:before="40" w:after="40"/>
              <w:jc w:val="center"/>
              <w:rPr>
                <w:sz w:val="16"/>
                <w:szCs w:val="16"/>
              </w:rPr>
            </w:pPr>
            <w:r>
              <w:rPr>
                <w:sz w:val="16"/>
                <w:szCs w:val="16"/>
              </w:rPr>
              <w:t>C</w:t>
            </w:r>
          </w:p>
        </w:tc>
        <w:tc>
          <w:tcPr>
            <w:tcW w:w="603" w:type="dxa"/>
            <w:vAlign w:val="center"/>
          </w:tcPr>
          <w:p w14:paraId="1EF0F50D" w14:textId="77777777" w:rsidR="009701F8" w:rsidRPr="00FD6C96" w:rsidRDefault="009701F8" w:rsidP="004D4EE0">
            <w:pPr>
              <w:spacing w:before="40" w:after="40"/>
              <w:jc w:val="center"/>
              <w:rPr>
                <w:sz w:val="16"/>
                <w:szCs w:val="16"/>
              </w:rPr>
            </w:pPr>
            <w:r>
              <w:rPr>
                <w:sz w:val="16"/>
                <w:szCs w:val="16"/>
              </w:rPr>
              <w:t>C</w:t>
            </w:r>
          </w:p>
        </w:tc>
        <w:tc>
          <w:tcPr>
            <w:tcW w:w="603" w:type="dxa"/>
            <w:vAlign w:val="center"/>
          </w:tcPr>
          <w:p w14:paraId="1CF5C6F8" w14:textId="77777777" w:rsidR="009701F8" w:rsidRPr="00FD6C96" w:rsidRDefault="009701F8" w:rsidP="004D4EE0">
            <w:pPr>
              <w:spacing w:before="40" w:after="40"/>
              <w:jc w:val="center"/>
              <w:rPr>
                <w:sz w:val="16"/>
                <w:szCs w:val="16"/>
              </w:rPr>
            </w:pPr>
            <w:r w:rsidRPr="00FD6C96">
              <w:rPr>
                <w:sz w:val="16"/>
                <w:szCs w:val="16"/>
              </w:rPr>
              <w:t>B</w:t>
            </w:r>
          </w:p>
        </w:tc>
        <w:tc>
          <w:tcPr>
            <w:tcW w:w="604" w:type="dxa"/>
            <w:vAlign w:val="center"/>
          </w:tcPr>
          <w:p w14:paraId="1BDEEA5E" w14:textId="77777777" w:rsidR="009701F8" w:rsidRPr="00FD6C96" w:rsidRDefault="009701F8" w:rsidP="004D4EE0">
            <w:pPr>
              <w:spacing w:before="40" w:after="40"/>
              <w:jc w:val="center"/>
              <w:rPr>
                <w:sz w:val="16"/>
                <w:szCs w:val="16"/>
              </w:rPr>
            </w:pPr>
            <w:r>
              <w:rPr>
                <w:sz w:val="16"/>
                <w:szCs w:val="16"/>
              </w:rPr>
              <w:t>B</w:t>
            </w:r>
          </w:p>
        </w:tc>
        <w:tc>
          <w:tcPr>
            <w:tcW w:w="851" w:type="dxa"/>
            <w:tcBorders>
              <w:right w:val="double" w:sz="4" w:space="0" w:color="auto"/>
            </w:tcBorders>
            <w:vAlign w:val="center"/>
          </w:tcPr>
          <w:p w14:paraId="51D1DC8F" w14:textId="77777777" w:rsidR="009701F8" w:rsidRPr="00FD6C96" w:rsidRDefault="009701F8" w:rsidP="004D4EE0">
            <w:pPr>
              <w:spacing w:before="40" w:after="40"/>
              <w:jc w:val="center"/>
              <w:rPr>
                <w:b/>
                <w:sz w:val="16"/>
                <w:szCs w:val="16"/>
              </w:rPr>
            </w:pPr>
            <w:r>
              <w:rPr>
                <w:b/>
                <w:sz w:val="16"/>
                <w:szCs w:val="16"/>
              </w:rPr>
              <w:t>C</w:t>
            </w:r>
            <w:r w:rsidRPr="00FD6C96">
              <w:rPr>
                <w:b/>
                <w:sz w:val="16"/>
                <w:szCs w:val="16"/>
              </w:rPr>
              <w:t>+</w:t>
            </w:r>
          </w:p>
        </w:tc>
      </w:tr>
      <w:tr w:rsidR="009701F8" w:rsidRPr="00FD6C96" w14:paraId="43FDC724" w14:textId="77777777" w:rsidTr="004D4EE0">
        <w:tc>
          <w:tcPr>
            <w:tcW w:w="531" w:type="dxa"/>
            <w:tcBorders>
              <w:left w:val="double" w:sz="4" w:space="0" w:color="auto"/>
              <w:bottom w:val="double" w:sz="4" w:space="0" w:color="auto"/>
            </w:tcBorders>
            <w:vAlign w:val="center"/>
          </w:tcPr>
          <w:p w14:paraId="5D6C08CA" w14:textId="77777777" w:rsidR="009701F8" w:rsidRPr="00FD6C96" w:rsidRDefault="009701F8" w:rsidP="004D4EE0">
            <w:pPr>
              <w:spacing w:before="40" w:after="40"/>
              <w:ind w:left="-57" w:right="-57"/>
              <w:jc w:val="center"/>
              <w:rPr>
                <w:sz w:val="16"/>
                <w:szCs w:val="16"/>
              </w:rPr>
            </w:pPr>
            <w:r w:rsidRPr="00FD6C96">
              <w:rPr>
                <w:sz w:val="16"/>
                <w:szCs w:val="16"/>
              </w:rPr>
              <w:t>PI-31</w:t>
            </w:r>
          </w:p>
        </w:tc>
        <w:tc>
          <w:tcPr>
            <w:tcW w:w="5105" w:type="dxa"/>
            <w:gridSpan w:val="2"/>
            <w:tcBorders>
              <w:bottom w:val="double" w:sz="4" w:space="0" w:color="auto"/>
            </w:tcBorders>
          </w:tcPr>
          <w:p w14:paraId="149A03A1" w14:textId="77777777" w:rsidR="009701F8" w:rsidRPr="00FD6C96" w:rsidRDefault="009701F8" w:rsidP="004D4EE0">
            <w:pPr>
              <w:spacing w:before="40" w:after="40"/>
              <w:rPr>
                <w:sz w:val="16"/>
                <w:szCs w:val="16"/>
              </w:rPr>
            </w:pPr>
            <w:r w:rsidRPr="00FD6C96">
              <w:rPr>
                <w:sz w:val="16"/>
                <w:szCs w:val="16"/>
              </w:rPr>
              <w:t>Legislative scrutiny of audit reports</w:t>
            </w:r>
          </w:p>
        </w:tc>
        <w:tc>
          <w:tcPr>
            <w:tcW w:w="564" w:type="dxa"/>
            <w:tcBorders>
              <w:bottom w:val="double" w:sz="4" w:space="0" w:color="auto"/>
            </w:tcBorders>
            <w:vAlign w:val="center"/>
          </w:tcPr>
          <w:p w14:paraId="7389ED95" w14:textId="77777777" w:rsidR="009701F8" w:rsidRPr="00FD6C96" w:rsidRDefault="009701F8" w:rsidP="004D4EE0">
            <w:pPr>
              <w:spacing w:before="40" w:after="40"/>
              <w:jc w:val="center"/>
              <w:rPr>
                <w:sz w:val="16"/>
                <w:szCs w:val="16"/>
              </w:rPr>
            </w:pPr>
            <w:r w:rsidRPr="00FD6C96">
              <w:rPr>
                <w:sz w:val="16"/>
                <w:szCs w:val="16"/>
              </w:rPr>
              <w:t>M2</w:t>
            </w:r>
          </w:p>
        </w:tc>
        <w:tc>
          <w:tcPr>
            <w:tcW w:w="603" w:type="dxa"/>
            <w:tcBorders>
              <w:bottom w:val="double" w:sz="4" w:space="0" w:color="auto"/>
            </w:tcBorders>
            <w:vAlign w:val="center"/>
          </w:tcPr>
          <w:p w14:paraId="0D6C72E1" w14:textId="77777777" w:rsidR="009701F8" w:rsidRPr="00FD6C96" w:rsidRDefault="009701F8" w:rsidP="004D4EE0">
            <w:pPr>
              <w:spacing w:before="40" w:after="40"/>
              <w:jc w:val="center"/>
              <w:rPr>
                <w:sz w:val="16"/>
                <w:szCs w:val="16"/>
              </w:rPr>
            </w:pPr>
            <w:r w:rsidRPr="00FD6C96">
              <w:rPr>
                <w:sz w:val="16"/>
                <w:szCs w:val="16"/>
              </w:rPr>
              <w:t>D</w:t>
            </w:r>
          </w:p>
        </w:tc>
        <w:tc>
          <w:tcPr>
            <w:tcW w:w="603" w:type="dxa"/>
            <w:tcBorders>
              <w:bottom w:val="double" w:sz="4" w:space="0" w:color="auto"/>
            </w:tcBorders>
            <w:vAlign w:val="center"/>
          </w:tcPr>
          <w:p w14:paraId="147FDE0F" w14:textId="740CE0CD" w:rsidR="009701F8" w:rsidRPr="00FD6C96" w:rsidRDefault="00BE6D0F" w:rsidP="004D4EE0">
            <w:pPr>
              <w:spacing w:before="40" w:after="40"/>
              <w:jc w:val="center"/>
              <w:rPr>
                <w:sz w:val="16"/>
                <w:szCs w:val="16"/>
              </w:rPr>
            </w:pPr>
            <w:r>
              <w:rPr>
                <w:sz w:val="16"/>
                <w:szCs w:val="16"/>
              </w:rPr>
              <w:t>D</w:t>
            </w:r>
          </w:p>
        </w:tc>
        <w:tc>
          <w:tcPr>
            <w:tcW w:w="603" w:type="dxa"/>
            <w:tcBorders>
              <w:bottom w:val="double" w:sz="4" w:space="0" w:color="auto"/>
            </w:tcBorders>
            <w:vAlign w:val="center"/>
          </w:tcPr>
          <w:p w14:paraId="0876A165" w14:textId="2D1920FE" w:rsidR="009701F8" w:rsidRPr="00FD6C96" w:rsidRDefault="00BE6D0F" w:rsidP="004D4EE0">
            <w:pPr>
              <w:spacing w:before="40" w:after="40"/>
              <w:jc w:val="center"/>
              <w:rPr>
                <w:sz w:val="16"/>
                <w:szCs w:val="16"/>
              </w:rPr>
            </w:pPr>
            <w:r>
              <w:rPr>
                <w:sz w:val="16"/>
                <w:szCs w:val="16"/>
              </w:rPr>
              <w:t>D</w:t>
            </w:r>
          </w:p>
        </w:tc>
        <w:tc>
          <w:tcPr>
            <w:tcW w:w="604" w:type="dxa"/>
            <w:tcBorders>
              <w:bottom w:val="double" w:sz="4" w:space="0" w:color="auto"/>
            </w:tcBorders>
            <w:vAlign w:val="center"/>
          </w:tcPr>
          <w:p w14:paraId="4A1A5F28" w14:textId="38138851" w:rsidR="009701F8" w:rsidRPr="00FD6C96" w:rsidRDefault="00BE6D0F" w:rsidP="004D4EE0">
            <w:pPr>
              <w:spacing w:before="40" w:after="40"/>
              <w:jc w:val="center"/>
              <w:rPr>
                <w:sz w:val="16"/>
                <w:szCs w:val="16"/>
              </w:rPr>
            </w:pPr>
            <w:r>
              <w:rPr>
                <w:sz w:val="16"/>
                <w:szCs w:val="16"/>
              </w:rPr>
              <w:t>D</w:t>
            </w:r>
          </w:p>
        </w:tc>
        <w:tc>
          <w:tcPr>
            <w:tcW w:w="851" w:type="dxa"/>
            <w:tcBorders>
              <w:bottom w:val="double" w:sz="4" w:space="0" w:color="auto"/>
              <w:right w:val="double" w:sz="4" w:space="0" w:color="auto"/>
            </w:tcBorders>
            <w:vAlign w:val="center"/>
          </w:tcPr>
          <w:p w14:paraId="70C15599" w14:textId="77777777" w:rsidR="009701F8" w:rsidRPr="00FD6C96" w:rsidRDefault="009701F8" w:rsidP="004D4EE0">
            <w:pPr>
              <w:spacing w:before="40" w:after="40"/>
              <w:jc w:val="center"/>
              <w:rPr>
                <w:b/>
                <w:sz w:val="16"/>
                <w:szCs w:val="16"/>
              </w:rPr>
            </w:pPr>
            <w:r w:rsidRPr="00FD6C96">
              <w:rPr>
                <w:b/>
                <w:sz w:val="16"/>
                <w:szCs w:val="16"/>
              </w:rPr>
              <w:t>D</w:t>
            </w:r>
          </w:p>
        </w:tc>
      </w:tr>
    </w:tbl>
    <w:p w14:paraId="574742A1" w14:textId="77777777" w:rsidR="00DD5444" w:rsidRPr="005A497D" w:rsidRDefault="00DD5444" w:rsidP="009D1680">
      <w:pPr>
        <w:jc w:val="both"/>
      </w:pPr>
    </w:p>
    <w:p w14:paraId="63D3FA2B" w14:textId="77777777" w:rsidR="009A012D" w:rsidRPr="005A497D" w:rsidRDefault="009A012D" w:rsidP="009A012D">
      <w:pPr>
        <w:ind w:firstLine="720"/>
        <w:jc w:val="both"/>
      </w:pPr>
    </w:p>
    <w:p w14:paraId="56314219" w14:textId="77777777" w:rsidR="000920C9" w:rsidRPr="005A497D" w:rsidRDefault="000920C9" w:rsidP="009A012D">
      <w:pPr>
        <w:pStyle w:val="Heading2"/>
        <w:rPr>
          <w:rFonts w:ascii="Times New Roman" w:hAnsi="Times New Roman"/>
          <w:sz w:val="28"/>
        </w:rPr>
        <w:sectPr w:rsidR="000920C9" w:rsidRPr="005A497D" w:rsidSect="000920C9">
          <w:footnotePr>
            <w:numRestart w:val="eachSect"/>
          </w:footnotePr>
          <w:endnotePr>
            <w:numFmt w:val="decimal"/>
          </w:endnotePr>
          <w:pgSz w:w="12240" w:h="15840" w:code="1"/>
          <w:pgMar w:top="1152" w:right="1440" w:bottom="1080" w:left="1440" w:header="720" w:footer="720" w:gutter="0"/>
          <w:pgNumType w:fmt="lowerRoman"/>
          <w:cols w:space="720"/>
          <w:noEndnote/>
        </w:sectPr>
      </w:pPr>
    </w:p>
    <w:p w14:paraId="3AC1AA4D" w14:textId="7A07978F" w:rsidR="00014ADE" w:rsidRPr="005A497D" w:rsidRDefault="002A24B2" w:rsidP="009A012D">
      <w:pPr>
        <w:pStyle w:val="Heading2"/>
        <w:rPr>
          <w:rFonts w:ascii="Times New Roman" w:hAnsi="Times New Roman"/>
          <w:sz w:val="32"/>
          <w:szCs w:val="32"/>
        </w:rPr>
      </w:pPr>
      <w:bookmarkStart w:id="16" w:name="_Toc454811633"/>
      <w:bookmarkStart w:id="17" w:name="_Toc454888778"/>
      <w:r w:rsidRPr="005A497D">
        <w:rPr>
          <w:rFonts w:ascii="Times New Roman" w:hAnsi="Times New Roman"/>
          <w:sz w:val="32"/>
          <w:szCs w:val="32"/>
        </w:rPr>
        <w:t>Chapter 1</w:t>
      </w:r>
      <w:r w:rsidR="00D973AD">
        <w:rPr>
          <w:rFonts w:ascii="Times New Roman" w:hAnsi="Times New Roman"/>
          <w:sz w:val="32"/>
          <w:szCs w:val="32"/>
        </w:rPr>
        <w:t>.</w:t>
      </w:r>
      <w:r w:rsidR="00D973AD" w:rsidRPr="005A497D">
        <w:rPr>
          <w:rFonts w:ascii="Times New Roman" w:hAnsi="Times New Roman"/>
          <w:sz w:val="32"/>
          <w:szCs w:val="32"/>
        </w:rPr>
        <w:t xml:space="preserve"> </w:t>
      </w:r>
      <w:r w:rsidRPr="005A497D">
        <w:rPr>
          <w:rFonts w:ascii="Times New Roman" w:hAnsi="Times New Roman"/>
          <w:sz w:val="32"/>
          <w:szCs w:val="32"/>
        </w:rPr>
        <w:t>Introduction</w:t>
      </w:r>
      <w:bookmarkEnd w:id="16"/>
      <w:bookmarkEnd w:id="17"/>
    </w:p>
    <w:bookmarkEnd w:id="7"/>
    <w:p w14:paraId="32AF110F" w14:textId="77777777" w:rsidR="002A7DD6" w:rsidRPr="005A497D" w:rsidRDefault="002A7DD6" w:rsidP="002A7DD6">
      <w:pPr>
        <w:pStyle w:val="NormalWeb"/>
        <w:autoSpaceDE w:val="0"/>
        <w:autoSpaceDN w:val="0"/>
        <w:adjustRightInd w:val="0"/>
        <w:spacing w:before="0" w:beforeAutospacing="0" w:after="0" w:afterAutospacing="0"/>
        <w:contextualSpacing/>
        <w:jc w:val="both"/>
      </w:pPr>
    </w:p>
    <w:p w14:paraId="012E3210" w14:textId="104E47CE" w:rsidR="00FD05D3" w:rsidRPr="005A497D" w:rsidRDefault="00D55AB9" w:rsidP="005A03CD">
      <w:pPr>
        <w:pStyle w:val="ListParagraph"/>
        <w:numPr>
          <w:ilvl w:val="0"/>
          <w:numId w:val="5"/>
        </w:numPr>
        <w:tabs>
          <w:tab w:val="left" w:pos="720"/>
        </w:tabs>
        <w:autoSpaceDE w:val="0"/>
        <w:autoSpaceDN w:val="0"/>
        <w:adjustRightInd w:val="0"/>
        <w:spacing w:after="0" w:line="240" w:lineRule="auto"/>
        <w:ind w:left="0" w:firstLine="0"/>
        <w:jc w:val="both"/>
      </w:pPr>
      <w:r>
        <w:t>Chapter 1</w:t>
      </w:r>
      <w:r w:rsidR="00FD05D3" w:rsidRPr="005A497D">
        <w:t xml:space="preserve"> outlines the context and purpose of the </w:t>
      </w:r>
      <w:r w:rsidR="00045511">
        <w:t>public financial management (</w:t>
      </w:r>
      <w:r w:rsidR="00FD05D3" w:rsidRPr="005A497D">
        <w:t>PFM</w:t>
      </w:r>
      <w:r w:rsidR="00045511">
        <w:t>)</w:t>
      </w:r>
      <w:r w:rsidR="00FD05D3" w:rsidRPr="005A497D">
        <w:t xml:space="preserve"> assessment, the process by which the assessment report was prepared, and the methodology used in undertaking the assessment.</w:t>
      </w:r>
    </w:p>
    <w:p w14:paraId="64433979" w14:textId="77777777" w:rsidR="00FD05D3" w:rsidRDefault="00FD05D3" w:rsidP="00FD05D3">
      <w:pPr>
        <w:pStyle w:val="NormalWeb"/>
        <w:autoSpaceDE w:val="0"/>
        <w:autoSpaceDN w:val="0"/>
        <w:adjustRightInd w:val="0"/>
        <w:spacing w:before="0" w:beforeAutospacing="0" w:after="0" w:afterAutospacing="0"/>
        <w:contextualSpacing/>
        <w:jc w:val="both"/>
      </w:pPr>
    </w:p>
    <w:p w14:paraId="43905006" w14:textId="77777777" w:rsidR="00830FB1" w:rsidRPr="005A497D" w:rsidRDefault="00830FB1" w:rsidP="00FD05D3">
      <w:pPr>
        <w:pStyle w:val="NormalWeb"/>
        <w:autoSpaceDE w:val="0"/>
        <w:autoSpaceDN w:val="0"/>
        <w:adjustRightInd w:val="0"/>
        <w:spacing w:before="0" w:beforeAutospacing="0" w:after="0" w:afterAutospacing="0"/>
        <w:contextualSpacing/>
        <w:jc w:val="both"/>
      </w:pPr>
    </w:p>
    <w:p w14:paraId="0200B080" w14:textId="7017F84A" w:rsidR="00FD05D3" w:rsidRDefault="00FD05D3" w:rsidP="00411651">
      <w:pPr>
        <w:pStyle w:val="Heading3"/>
      </w:pPr>
      <w:bookmarkStart w:id="18" w:name="_Toc454811634"/>
      <w:bookmarkStart w:id="19" w:name="_Toc454888779"/>
      <w:r w:rsidRPr="005A497D">
        <w:t>1.1 Rationale for and Purpose of the Assessment</w:t>
      </w:r>
      <w:bookmarkEnd w:id="18"/>
      <w:bookmarkEnd w:id="19"/>
    </w:p>
    <w:p w14:paraId="7720ADA3" w14:textId="77777777" w:rsidR="00C52B40" w:rsidRDefault="00C52B40" w:rsidP="00C52B40"/>
    <w:p w14:paraId="6C247401" w14:textId="77777777" w:rsidR="00830FB1" w:rsidRPr="00C52B40" w:rsidRDefault="00830FB1" w:rsidP="00C52B40"/>
    <w:p w14:paraId="6F7FDFC3" w14:textId="321768FE" w:rsidR="001762EE" w:rsidRPr="005A497D" w:rsidRDefault="00FD05D3" w:rsidP="005A03CD">
      <w:pPr>
        <w:pStyle w:val="ListParagraph"/>
        <w:numPr>
          <w:ilvl w:val="0"/>
          <w:numId w:val="5"/>
        </w:numPr>
        <w:tabs>
          <w:tab w:val="left" w:pos="720"/>
        </w:tabs>
        <w:autoSpaceDE w:val="0"/>
        <w:autoSpaceDN w:val="0"/>
        <w:adjustRightInd w:val="0"/>
        <w:spacing w:after="0" w:line="240" w:lineRule="auto"/>
        <w:ind w:left="0" w:firstLine="0"/>
        <w:jc w:val="both"/>
      </w:pPr>
      <w:r w:rsidRPr="005A497D">
        <w:t xml:space="preserve">The previous </w:t>
      </w:r>
      <w:r w:rsidR="00045511">
        <w:t>Public Expenditure and Financial Accountability (</w:t>
      </w:r>
      <w:r w:rsidRPr="005A497D">
        <w:t>PEFA</w:t>
      </w:r>
      <w:r w:rsidR="00045511">
        <w:t>)</w:t>
      </w:r>
      <w:r w:rsidRPr="005A497D">
        <w:t xml:space="preserve"> assessment </w:t>
      </w:r>
      <w:r w:rsidR="00045511">
        <w:t>for</w:t>
      </w:r>
      <w:r w:rsidR="00045511" w:rsidRPr="005A497D">
        <w:t xml:space="preserve"> </w:t>
      </w:r>
      <w:r w:rsidRPr="005A497D">
        <w:t xml:space="preserve">the </w:t>
      </w:r>
      <w:r w:rsidR="00045511">
        <w:t xml:space="preserve">Government of the </w:t>
      </w:r>
      <w:r w:rsidRPr="005A497D">
        <w:t>Philippines</w:t>
      </w:r>
      <w:r w:rsidR="00045511">
        <w:t xml:space="preserve"> (</w:t>
      </w:r>
      <w:r w:rsidR="00B97E18">
        <w:t>Government</w:t>
      </w:r>
      <w:r w:rsidR="00045511">
        <w:t>)</w:t>
      </w:r>
      <w:r w:rsidRPr="005A497D">
        <w:t xml:space="preserve"> was undertaken during 2007 (based on data covering the period 2004-2006 and the PFM status as of mid-2007), and published with some delay in May 2010.</w:t>
      </w:r>
      <w:r w:rsidR="001762EE" w:rsidRPr="005A497D">
        <w:rPr>
          <w:rStyle w:val="EndnoteReference"/>
        </w:rPr>
        <w:endnoteReference w:id="1"/>
      </w:r>
      <w:r w:rsidR="001762EE" w:rsidRPr="005A497D">
        <w:t xml:space="preserve"> The assessment showed that while some specific elements of the </w:t>
      </w:r>
      <w:r w:rsidR="001762EE">
        <w:t>Government’s</w:t>
      </w:r>
      <w:r w:rsidR="001762EE" w:rsidRPr="005A497D">
        <w:t xml:space="preserve"> PFM were relatively well</w:t>
      </w:r>
      <w:r w:rsidR="001762EE">
        <w:t xml:space="preserve"> </w:t>
      </w:r>
      <w:r w:rsidR="001762EE" w:rsidRPr="005A497D">
        <w:t xml:space="preserve">functioning, </w:t>
      </w:r>
      <w:r w:rsidR="001762EE">
        <w:t xml:space="preserve">overall </w:t>
      </w:r>
      <w:r w:rsidR="001762EE" w:rsidRPr="005A497D">
        <w:t xml:space="preserve">it was weak </w:t>
      </w:r>
      <w:r w:rsidR="001762EE">
        <w:t>with</w:t>
      </w:r>
      <w:r w:rsidR="001762EE" w:rsidRPr="005A497D">
        <w:t xml:space="preserve"> shortcomings in all six PFM (PEFA</w:t>
      </w:r>
      <w:r w:rsidR="001762EE">
        <w:t>-rated</w:t>
      </w:r>
      <w:r w:rsidR="001762EE" w:rsidRPr="005A497D">
        <w:t xml:space="preserve">) areas. However, improving the functioning of the PFM system has been an integral part of reform measures under the administration of President </w:t>
      </w:r>
      <w:r w:rsidR="001762EE">
        <w:t xml:space="preserve">Benigno S. </w:t>
      </w:r>
      <w:r w:rsidR="001762EE" w:rsidRPr="005A497D">
        <w:t xml:space="preserve">Aquino, and </w:t>
      </w:r>
      <w:r w:rsidR="001762EE">
        <w:t>several</w:t>
      </w:r>
      <w:r w:rsidR="001762EE" w:rsidRPr="005A497D">
        <w:t xml:space="preserve"> concrete initiatives have been undertaken since mid-2010.</w:t>
      </w:r>
    </w:p>
    <w:p w14:paraId="17B81DB4" w14:textId="77777777" w:rsidR="001762EE" w:rsidRPr="005A497D" w:rsidRDefault="001762EE" w:rsidP="00FD05D3">
      <w:pPr>
        <w:pStyle w:val="ListParagraph"/>
        <w:tabs>
          <w:tab w:val="left" w:pos="720"/>
        </w:tabs>
        <w:autoSpaceDE w:val="0"/>
        <w:autoSpaceDN w:val="0"/>
        <w:adjustRightInd w:val="0"/>
        <w:spacing w:after="0" w:line="240" w:lineRule="auto"/>
        <w:ind w:left="0" w:firstLine="0"/>
        <w:jc w:val="both"/>
      </w:pPr>
    </w:p>
    <w:p w14:paraId="0D582F20" w14:textId="2865C929" w:rsidR="001762EE" w:rsidRPr="005A497D" w:rsidRDefault="001762EE" w:rsidP="005A03CD">
      <w:pPr>
        <w:pStyle w:val="ListParagraph"/>
        <w:numPr>
          <w:ilvl w:val="0"/>
          <w:numId w:val="5"/>
        </w:numPr>
        <w:tabs>
          <w:tab w:val="left" w:pos="720"/>
        </w:tabs>
        <w:autoSpaceDE w:val="0"/>
        <w:autoSpaceDN w:val="0"/>
        <w:adjustRightInd w:val="0"/>
        <w:spacing w:after="0" w:line="240" w:lineRule="auto"/>
        <w:ind w:left="0" w:firstLine="0"/>
        <w:jc w:val="both"/>
      </w:pPr>
      <w:r w:rsidRPr="009430F5">
        <w:rPr>
          <w:b/>
        </w:rPr>
        <w:t xml:space="preserve">The PEFA is carried out as an objective, indicator-led assessment of the national PFM system in a concise and standardized manner. </w:t>
      </w:r>
      <w:r>
        <w:t>Its</w:t>
      </w:r>
      <w:r w:rsidRPr="005A497D">
        <w:t xml:space="preserve"> intention </w:t>
      </w:r>
      <w:r>
        <w:t xml:space="preserve">is </w:t>
      </w:r>
      <w:r w:rsidRPr="005A497D">
        <w:t xml:space="preserve">to establish the current status of PFM performance </w:t>
      </w:r>
      <w:r>
        <w:t>that correlates with</w:t>
      </w:r>
      <w:r w:rsidRPr="005A497D">
        <w:t xml:space="preserve"> an updated understanding of the overall fiduciary environment, identif</w:t>
      </w:r>
      <w:r>
        <w:t>ies</w:t>
      </w:r>
      <w:r w:rsidRPr="005A497D">
        <w:t xml:space="preserve"> the developments that have taken place since 2010, and provid</w:t>
      </w:r>
      <w:r>
        <w:t>es</w:t>
      </w:r>
      <w:r w:rsidRPr="005A497D">
        <w:t xml:space="preserve"> a credible basis for the preparation of a medium-term </w:t>
      </w:r>
      <w:r>
        <w:t xml:space="preserve">PFM </w:t>
      </w:r>
      <w:r w:rsidRPr="005A497D">
        <w:t>reform strategy (spanning a three</w:t>
      </w:r>
      <w:r>
        <w:t>-</w:t>
      </w:r>
      <w:r w:rsidRPr="005A497D">
        <w:t xml:space="preserve"> to five</w:t>
      </w:r>
      <w:r>
        <w:t>-</w:t>
      </w:r>
      <w:r w:rsidRPr="005A497D">
        <w:t xml:space="preserve">year horizon). These will inform the plans of development partners </w:t>
      </w:r>
      <w:r>
        <w:t>that are</w:t>
      </w:r>
      <w:r w:rsidRPr="005A497D">
        <w:t xml:space="preserve"> supporting PFM reform initiatives, including </w:t>
      </w:r>
      <w:r>
        <w:t>Australia’s Department of Foreign Affairs and Trade (</w:t>
      </w:r>
      <w:r w:rsidRPr="005A497D">
        <w:t>DFAT</w:t>
      </w:r>
      <w:r>
        <w:t>)</w:t>
      </w:r>
      <w:r w:rsidRPr="005A497D">
        <w:t xml:space="preserve"> and the World Bank.</w:t>
      </w:r>
    </w:p>
    <w:p w14:paraId="0B14A2F7" w14:textId="77777777" w:rsidR="001762EE" w:rsidRPr="005A497D" w:rsidRDefault="001762EE" w:rsidP="00FD05D3">
      <w:pPr>
        <w:pStyle w:val="ListParagraph"/>
        <w:tabs>
          <w:tab w:val="left" w:pos="720"/>
        </w:tabs>
        <w:autoSpaceDE w:val="0"/>
        <w:autoSpaceDN w:val="0"/>
        <w:adjustRightInd w:val="0"/>
        <w:spacing w:after="0" w:line="240" w:lineRule="auto"/>
        <w:ind w:left="0" w:firstLine="0"/>
        <w:jc w:val="both"/>
      </w:pPr>
    </w:p>
    <w:p w14:paraId="31BC8405" w14:textId="63E30288" w:rsidR="001762EE" w:rsidRPr="005A497D" w:rsidRDefault="001762EE" w:rsidP="005A03CD">
      <w:pPr>
        <w:pStyle w:val="ListParagraph"/>
        <w:numPr>
          <w:ilvl w:val="0"/>
          <w:numId w:val="5"/>
        </w:numPr>
        <w:tabs>
          <w:tab w:val="left" w:pos="720"/>
        </w:tabs>
        <w:autoSpaceDE w:val="0"/>
        <w:autoSpaceDN w:val="0"/>
        <w:adjustRightInd w:val="0"/>
        <w:spacing w:after="0" w:line="240" w:lineRule="auto"/>
        <w:ind w:left="0" w:firstLine="0"/>
        <w:jc w:val="both"/>
      </w:pPr>
      <w:r w:rsidRPr="009430F5">
        <w:rPr>
          <w:b/>
        </w:rPr>
        <w:t>By applying the 2016 PEFA Performance Management Framework, the work will help to provide a baseline for future assessments of PFM performance.</w:t>
      </w:r>
      <w:r w:rsidRPr="005A497D">
        <w:t xml:space="preserve"> This can take into account remaining weaknesses as well as new gaps identified so as to establish new control mechanisms.</w:t>
      </w:r>
    </w:p>
    <w:p w14:paraId="282186B0" w14:textId="77777777" w:rsidR="001762EE" w:rsidRDefault="001762EE" w:rsidP="00FD05D3">
      <w:pPr>
        <w:pStyle w:val="ListParagraph"/>
        <w:tabs>
          <w:tab w:val="left" w:pos="720"/>
        </w:tabs>
        <w:autoSpaceDE w:val="0"/>
        <w:autoSpaceDN w:val="0"/>
        <w:adjustRightInd w:val="0"/>
        <w:spacing w:after="0" w:line="240" w:lineRule="auto"/>
        <w:ind w:left="0" w:firstLine="0"/>
        <w:jc w:val="both"/>
      </w:pPr>
    </w:p>
    <w:p w14:paraId="125AD56B" w14:textId="77777777" w:rsidR="00830FB1" w:rsidRPr="005A497D" w:rsidRDefault="00830FB1" w:rsidP="00FD05D3">
      <w:pPr>
        <w:pStyle w:val="ListParagraph"/>
        <w:tabs>
          <w:tab w:val="left" w:pos="720"/>
        </w:tabs>
        <w:autoSpaceDE w:val="0"/>
        <w:autoSpaceDN w:val="0"/>
        <w:adjustRightInd w:val="0"/>
        <w:spacing w:after="0" w:line="240" w:lineRule="auto"/>
        <w:ind w:left="0" w:firstLine="0"/>
        <w:jc w:val="both"/>
      </w:pPr>
    </w:p>
    <w:p w14:paraId="2938E3BB" w14:textId="4B8FFA8F" w:rsidR="001762EE" w:rsidRDefault="001762EE" w:rsidP="00411651">
      <w:pPr>
        <w:pStyle w:val="Heading3"/>
      </w:pPr>
      <w:bookmarkStart w:id="20" w:name="_Toc454811635"/>
      <w:bookmarkStart w:id="21" w:name="_Toc454888780"/>
      <w:r w:rsidRPr="005A497D">
        <w:t>1.2 Assessment Management and Quality Assurance</w:t>
      </w:r>
      <w:bookmarkEnd w:id="20"/>
      <w:bookmarkEnd w:id="21"/>
    </w:p>
    <w:p w14:paraId="519F0595" w14:textId="77777777" w:rsidR="001762EE" w:rsidRDefault="001762EE" w:rsidP="00C52B40"/>
    <w:p w14:paraId="3D5FC17E" w14:textId="77777777" w:rsidR="00830FB1" w:rsidRPr="00C52B40" w:rsidRDefault="00830FB1" w:rsidP="00C52B40"/>
    <w:p w14:paraId="068555F4" w14:textId="22974125" w:rsidR="001762EE" w:rsidRPr="005A497D" w:rsidRDefault="001762EE" w:rsidP="005A03CD">
      <w:pPr>
        <w:pStyle w:val="ListParagraph"/>
        <w:numPr>
          <w:ilvl w:val="0"/>
          <w:numId w:val="5"/>
        </w:numPr>
        <w:tabs>
          <w:tab w:val="left" w:pos="720"/>
        </w:tabs>
        <w:autoSpaceDE w:val="0"/>
        <w:autoSpaceDN w:val="0"/>
        <w:adjustRightInd w:val="0"/>
        <w:spacing w:after="0" w:line="240" w:lineRule="auto"/>
        <w:ind w:left="0" w:firstLine="0"/>
        <w:jc w:val="both"/>
        <w:rPr>
          <w:bCs/>
        </w:rPr>
      </w:pPr>
      <w:r>
        <w:rPr>
          <w:bCs/>
        </w:rPr>
        <w:t xml:space="preserve">The World Bank and </w:t>
      </w:r>
      <w:r w:rsidR="00F76CF9">
        <w:rPr>
          <w:bCs/>
        </w:rPr>
        <w:t xml:space="preserve">Australia’s </w:t>
      </w:r>
      <w:r>
        <w:rPr>
          <w:bCs/>
        </w:rPr>
        <w:t xml:space="preserve">DFAT initiated the PEFA </w:t>
      </w:r>
      <w:r w:rsidRPr="005A497D">
        <w:rPr>
          <w:bCs/>
        </w:rPr>
        <w:t xml:space="preserve">process in collaboration with the </w:t>
      </w:r>
      <w:r>
        <w:rPr>
          <w:bCs/>
        </w:rPr>
        <w:t>Government</w:t>
      </w:r>
      <w:r w:rsidR="00F448CD">
        <w:rPr>
          <w:bCs/>
        </w:rPr>
        <w:t xml:space="preserve"> of the Philippines</w:t>
      </w:r>
      <w:r w:rsidRPr="005A497D">
        <w:rPr>
          <w:bCs/>
        </w:rPr>
        <w:t xml:space="preserve">. The assessment was financially supported by DFAT, </w:t>
      </w:r>
      <w:r>
        <w:rPr>
          <w:bCs/>
        </w:rPr>
        <w:t>and</w:t>
      </w:r>
      <w:r w:rsidRPr="005A497D">
        <w:rPr>
          <w:bCs/>
        </w:rPr>
        <w:t xml:space="preserve"> the </w:t>
      </w:r>
      <w:r>
        <w:rPr>
          <w:bCs/>
        </w:rPr>
        <w:t xml:space="preserve">World Bank organized the </w:t>
      </w:r>
      <w:r w:rsidRPr="005A497D">
        <w:rPr>
          <w:bCs/>
        </w:rPr>
        <w:t xml:space="preserve">technical team. The </w:t>
      </w:r>
      <w:r>
        <w:rPr>
          <w:bCs/>
        </w:rPr>
        <w:t>Government</w:t>
      </w:r>
      <w:r w:rsidRPr="005A497D">
        <w:rPr>
          <w:bCs/>
        </w:rPr>
        <w:t xml:space="preserve"> through the </w:t>
      </w:r>
      <w:r>
        <w:rPr>
          <w:bCs/>
        </w:rPr>
        <w:t xml:space="preserve">PFM </w:t>
      </w:r>
      <w:r w:rsidRPr="005A497D">
        <w:rPr>
          <w:bCs/>
        </w:rPr>
        <w:t xml:space="preserve">Committee </w:t>
      </w:r>
      <w:r>
        <w:rPr>
          <w:bCs/>
        </w:rPr>
        <w:t>under the DBM leadership</w:t>
      </w:r>
      <w:r w:rsidRPr="005A497D">
        <w:rPr>
          <w:bCs/>
        </w:rPr>
        <w:t xml:space="preserve"> provided high-level coordination of assessment inputs, reviewed and approved the Concept Note, apprais</w:t>
      </w:r>
      <w:r>
        <w:rPr>
          <w:bCs/>
        </w:rPr>
        <w:t>ed</w:t>
      </w:r>
      <w:r w:rsidRPr="005A497D">
        <w:rPr>
          <w:bCs/>
        </w:rPr>
        <w:t xml:space="preserve"> the draft report as well as the action plan and medium-term strategy, and cleared the report for publication.</w:t>
      </w:r>
    </w:p>
    <w:p w14:paraId="443F1D06" w14:textId="77777777" w:rsidR="001762EE" w:rsidRPr="005A497D" w:rsidRDefault="001762EE" w:rsidP="00FD05D3">
      <w:pPr>
        <w:pStyle w:val="ListParagraph"/>
        <w:tabs>
          <w:tab w:val="left" w:pos="720"/>
        </w:tabs>
        <w:autoSpaceDE w:val="0"/>
        <w:autoSpaceDN w:val="0"/>
        <w:adjustRightInd w:val="0"/>
        <w:spacing w:after="0" w:line="240" w:lineRule="auto"/>
        <w:ind w:left="0" w:firstLine="0"/>
        <w:jc w:val="both"/>
      </w:pPr>
    </w:p>
    <w:p w14:paraId="5407726E" w14:textId="6B395AFA" w:rsidR="001762EE" w:rsidRPr="009430F5" w:rsidRDefault="001762EE" w:rsidP="009430F5">
      <w:pPr>
        <w:pStyle w:val="ListParagraph"/>
        <w:numPr>
          <w:ilvl w:val="0"/>
          <w:numId w:val="5"/>
        </w:numPr>
        <w:tabs>
          <w:tab w:val="left" w:pos="720"/>
        </w:tabs>
        <w:autoSpaceDE w:val="0"/>
        <w:autoSpaceDN w:val="0"/>
        <w:adjustRightInd w:val="0"/>
        <w:spacing w:after="0" w:line="240" w:lineRule="auto"/>
        <w:ind w:left="0" w:firstLine="0"/>
        <w:jc w:val="both"/>
      </w:pPr>
      <w:r w:rsidRPr="009430F5">
        <w:rPr>
          <w:b/>
          <w:bCs/>
        </w:rPr>
        <w:t>The management and quality assurance arrangements and participating individuals are presented in Annex 3A.</w:t>
      </w:r>
      <w:r>
        <w:rPr>
          <w:bCs/>
        </w:rPr>
        <w:t xml:space="preserve"> As exemplified in this PEFA organizational arrangement, a cross-sectoral team from the World Bank carried out the assessment. The reviewers of the Concept Note and the Assessment Report, both draft and final, comprised a diverse group of experts and PFM professional from development agencies.</w:t>
      </w:r>
    </w:p>
    <w:p w14:paraId="7AD4AB7B" w14:textId="77777777" w:rsidR="001762EE" w:rsidRDefault="001762EE" w:rsidP="009430F5">
      <w:pPr>
        <w:pStyle w:val="ListParagraph"/>
        <w:tabs>
          <w:tab w:val="left" w:pos="720"/>
        </w:tabs>
        <w:autoSpaceDE w:val="0"/>
        <w:autoSpaceDN w:val="0"/>
        <w:adjustRightInd w:val="0"/>
        <w:spacing w:after="0" w:line="240" w:lineRule="auto"/>
        <w:ind w:left="0" w:firstLine="0"/>
        <w:jc w:val="both"/>
      </w:pPr>
    </w:p>
    <w:p w14:paraId="420CC24C" w14:textId="77777777" w:rsidR="00830FB1" w:rsidRDefault="00830FB1" w:rsidP="009430F5">
      <w:pPr>
        <w:pStyle w:val="ListParagraph"/>
        <w:tabs>
          <w:tab w:val="left" w:pos="720"/>
        </w:tabs>
        <w:autoSpaceDE w:val="0"/>
        <w:autoSpaceDN w:val="0"/>
        <w:adjustRightInd w:val="0"/>
        <w:spacing w:after="0" w:line="240" w:lineRule="auto"/>
        <w:ind w:left="0" w:firstLine="0"/>
        <w:jc w:val="both"/>
      </w:pPr>
    </w:p>
    <w:p w14:paraId="08171338" w14:textId="2124A838" w:rsidR="001762EE" w:rsidRDefault="001762EE" w:rsidP="00411651">
      <w:pPr>
        <w:pStyle w:val="Heading3"/>
      </w:pPr>
      <w:bookmarkStart w:id="22" w:name="_Toc454811636"/>
      <w:bookmarkStart w:id="23" w:name="_Toc454888781"/>
      <w:r w:rsidRPr="005A497D">
        <w:t>1.3 Assessment Methodology</w:t>
      </w:r>
      <w:r>
        <w:t>, Coverage, and Scheduling</w:t>
      </w:r>
      <w:bookmarkEnd w:id="22"/>
      <w:bookmarkEnd w:id="23"/>
    </w:p>
    <w:p w14:paraId="4071B2C8" w14:textId="77777777" w:rsidR="001762EE" w:rsidRDefault="001762EE" w:rsidP="00747348"/>
    <w:p w14:paraId="1D8EE6DA" w14:textId="77777777" w:rsidR="00830FB1" w:rsidRPr="00747348" w:rsidRDefault="00830FB1" w:rsidP="00747348"/>
    <w:p w14:paraId="4A1DDCF6" w14:textId="4361EF34" w:rsidR="001762EE" w:rsidRDefault="001762EE" w:rsidP="0043657F">
      <w:pPr>
        <w:pStyle w:val="ListParagraph"/>
        <w:numPr>
          <w:ilvl w:val="0"/>
          <w:numId w:val="5"/>
        </w:numPr>
        <w:tabs>
          <w:tab w:val="left" w:pos="720"/>
        </w:tabs>
        <w:autoSpaceDE w:val="0"/>
        <w:autoSpaceDN w:val="0"/>
        <w:adjustRightInd w:val="0"/>
        <w:spacing w:after="0" w:line="240" w:lineRule="auto"/>
        <w:ind w:left="0" w:firstLine="0"/>
        <w:jc w:val="both"/>
      </w:pPr>
      <w:r>
        <w:t>The</w:t>
      </w:r>
      <w:r w:rsidRPr="005A497D">
        <w:t xml:space="preserve"> institutional coverage of the assessment </w:t>
      </w:r>
      <w:r>
        <w:t>encompasses</w:t>
      </w:r>
      <w:r w:rsidRPr="005A497D">
        <w:t xml:space="preserve"> the budgetary central government</w:t>
      </w:r>
      <w:r>
        <w:t>.</w:t>
      </w:r>
      <w:r w:rsidRPr="005A497D">
        <w:t xml:space="preserve"> </w:t>
      </w:r>
      <w:r>
        <w:t>This</w:t>
      </w:r>
      <w:r w:rsidRPr="005A497D">
        <w:t xml:space="preserve"> includes all </w:t>
      </w:r>
      <w:r>
        <w:t>Government</w:t>
      </w:r>
      <w:r w:rsidRPr="005A497D">
        <w:t xml:space="preserve"> departments</w:t>
      </w:r>
      <w:r>
        <w:t>, national government agencies</w:t>
      </w:r>
      <w:r w:rsidRPr="005A497D">
        <w:t xml:space="preserve"> (NGAs), autonomous agencies, and de</w:t>
      </w:r>
      <w:r>
        <w:t>-</w:t>
      </w:r>
      <w:r w:rsidRPr="005A497D">
        <w:t xml:space="preserve">concentrated entities. However, at the level of institutional entities, the focus is on PFM practices as evidence of </w:t>
      </w:r>
      <w:r>
        <w:t>Government</w:t>
      </w:r>
      <w:r w:rsidRPr="005A497D">
        <w:t xml:space="preserve"> performance rather than a review of specific entities.</w:t>
      </w:r>
      <w:r>
        <w:t xml:space="preserve">  The coverage also </w:t>
      </w:r>
      <w:r w:rsidR="000E4F0C">
        <w:t>includes</w:t>
      </w:r>
      <w:r>
        <w:t xml:space="preserve"> the</w:t>
      </w:r>
      <w:r w:rsidRPr="0018356A">
        <w:t xml:space="preserve"> </w:t>
      </w:r>
      <w:r w:rsidRPr="005A497D">
        <w:t xml:space="preserve">budgetary support to </w:t>
      </w:r>
      <w:r>
        <w:t>g</w:t>
      </w:r>
      <w:r w:rsidRPr="005A497D">
        <w:t>overnment-</w:t>
      </w:r>
      <w:r>
        <w:t>o</w:t>
      </w:r>
      <w:r w:rsidRPr="005A497D">
        <w:t>wned or -</w:t>
      </w:r>
      <w:r>
        <w:t>c</w:t>
      </w:r>
      <w:r w:rsidRPr="005A497D">
        <w:t xml:space="preserve">ontrolled </w:t>
      </w:r>
      <w:r>
        <w:t>c</w:t>
      </w:r>
      <w:r w:rsidRPr="005A497D">
        <w:t xml:space="preserve">orporations (GOCCs), which </w:t>
      </w:r>
      <w:r>
        <w:t>are</w:t>
      </w:r>
      <w:r w:rsidRPr="005A497D">
        <w:t xml:space="preserve"> included in the </w:t>
      </w:r>
      <w:r>
        <w:t>Government’s</w:t>
      </w:r>
      <w:r w:rsidRPr="005A497D">
        <w:t xml:space="preserve"> annual expenditure program. </w:t>
      </w:r>
      <w:r w:rsidR="000E4F0C">
        <w:t xml:space="preserve">Similar approach was taken for Social Security funds. Contingent liabilities related to Public-private partnership (PPP) projects were included in fiscal risk management and the PPP projects are extra-budgetary activities. </w:t>
      </w:r>
      <w:r w:rsidRPr="005A497D">
        <w:t xml:space="preserve">The </w:t>
      </w:r>
      <w:r>
        <w:t>Government’s</w:t>
      </w:r>
      <w:r w:rsidRPr="005A497D">
        <w:t xml:space="preserve"> fiscal risk oversight of GOCCs is also covered, but not the GOCCs’ PFM performance.</w:t>
      </w:r>
      <w:r>
        <w:t xml:space="preserve"> </w:t>
      </w:r>
      <w:r w:rsidRPr="005A497D">
        <w:t xml:space="preserve">Local </w:t>
      </w:r>
      <w:r>
        <w:t>g</w:t>
      </w:r>
      <w:r w:rsidRPr="005A497D">
        <w:t xml:space="preserve">overnment </w:t>
      </w:r>
      <w:r>
        <w:t>u</w:t>
      </w:r>
      <w:r w:rsidRPr="005A497D">
        <w:t>nits</w:t>
      </w:r>
      <w:r>
        <w:t>,</w:t>
      </w:r>
      <w:r w:rsidRPr="005A497D">
        <w:t xml:space="preserve"> which comprise provinces, cities, municipalities and barangays</w:t>
      </w:r>
      <w:r>
        <w:t>,</w:t>
      </w:r>
      <w:r w:rsidRPr="005A497D">
        <w:t xml:space="preserve"> are not </w:t>
      </w:r>
      <w:r>
        <w:t>covered in</w:t>
      </w:r>
      <w:r w:rsidRPr="005A497D">
        <w:t xml:space="preserve"> this assessment. The assessment include</w:t>
      </w:r>
      <w:r w:rsidR="00F448CD">
        <w:t>s</w:t>
      </w:r>
      <w:r w:rsidRPr="005A497D">
        <w:t xml:space="preserve"> an overall review of inter-governmental relationships, including LGU reporting and </w:t>
      </w:r>
      <w:r>
        <w:t>Government</w:t>
      </w:r>
      <w:r w:rsidRPr="005A497D">
        <w:t xml:space="preserve"> monitoring.</w:t>
      </w:r>
      <w:r w:rsidR="000E4F0C">
        <w:t xml:space="preserve"> </w:t>
      </w:r>
    </w:p>
    <w:p w14:paraId="32FF66E1" w14:textId="77777777" w:rsidR="001762EE" w:rsidRPr="004264CC" w:rsidRDefault="001762EE" w:rsidP="006F5BF0">
      <w:pPr>
        <w:tabs>
          <w:tab w:val="left" w:pos="720"/>
        </w:tabs>
        <w:autoSpaceDE w:val="0"/>
        <w:autoSpaceDN w:val="0"/>
        <w:adjustRightInd w:val="0"/>
        <w:jc w:val="both"/>
      </w:pPr>
    </w:p>
    <w:p w14:paraId="5D8F3509" w14:textId="1F227D47" w:rsidR="001762EE" w:rsidRPr="006F5BF0" w:rsidRDefault="001762EE" w:rsidP="004264CC">
      <w:pPr>
        <w:pStyle w:val="ListParagraph"/>
        <w:numPr>
          <w:ilvl w:val="0"/>
          <w:numId w:val="5"/>
        </w:numPr>
        <w:tabs>
          <w:tab w:val="left" w:pos="720"/>
        </w:tabs>
        <w:autoSpaceDE w:val="0"/>
        <w:autoSpaceDN w:val="0"/>
        <w:adjustRightInd w:val="0"/>
        <w:spacing w:after="0" w:line="240" w:lineRule="auto"/>
        <w:ind w:left="0" w:firstLine="0"/>
        <w:jc w:val="both"/>
        <w:rPr>
          <w:rFonts w:ascii="Calibri" w:hAnsi="Calibri"/>
          <w:sz w:val="22"/>
          <w:szCs w:val="22"/>
        </w:rPr>
      </w:pPr>
      <w:r w:rsidRPr="009430F5">
        <w:rPr>
          <w:b/>
        </w:rPr>
        <w:t>The assessment team carried out extensive data collection and consulted with a range of stakeholders, including Government officials and development partner representatives.</w:t>
      </w:r>
      <w:r w:rsidRPr="005A497D">
        <w:t xml:space="preserve"> The list of persons consulted </w:t>
      </w:r>
      <w:r>
        <w:t xml:space="preserve">is presented in </w:t>
      </w:r>
      <w:r w:rsidRPr="005A497D">
        <w:t xml:space="preserve">Annex </w:t>
      </w:r>
      <w:r>
        <w:t xml:space="preserve">3B, and </w:t>
      </w:r>
      <w:r w:rsidRPr="005A497D">
        <w:t xml:space="preserve">main information sources are provided </w:t>
      </w:r>
      <w:r>
        <w:t>in Annex 3C</w:t>
      </w:r>
      <w:r w:rsidRPr="005A497D">
        <w:t>. Sources are provided for all data tables, figures</w:t>
      </w:r>
      <w:r>
        <w:t>,</w:t>
      </w:r>
      <w:r w:rsidRPr="005A497D">
        <w:t xml:space="preserve"> and boxes</w:t>
      </w:r>
      <w:r>
        <w:t>;</w:t>
      </w:r>
      <w:r w:rsidRPr="005A497D">
        <w:t xml:space="preserve"> and specific references are provided in the main text, especially </w:t>
      </w:r>
      <w:r>
        <w:t xml:space="preserve">in </w:t>
      </w:r>
      <w:r w:rsidR="00F448CD">
        <w:t>C</w:t>
      </w:r>
      <w:r w:rsidRPr="005A497D">
        <w:t>hapter 3.</w:t>
      </w:r>
    </w:p>
    <w:p w14:paraId="052B2343" w14:textId="77777777" w:rsidR="001762EE" w:rsidRDefault="001762EE" w:rsidP="006F5BF0">
      <w:pPr>
        <w:tabs>
          <w:tab w:val="left" w:pos="720"/>
        </w:tabs>
        <w:autoSpaceDE w:val="0"/>
        <w:autoSpaceDN w:val="0"/>
        <w:adjustRightInd w:val="0"/>
        <w:jc w:val="both"/>
      </w:pPr>
    </w:p>
    <w:p w14:paraId="3C50DC95" w14:textId="092CC90A" w:rsidR="001762EE" w:rsidRPr="0012738A" w:rsidRDefault="001762EE" w:rsidP="004264CC">
      <w:pPr>
        <w:pStyle w:val="ListParagraph"/>
        <w:numPr>
          <w:ilvl w:val="0"/>
          <w:numId w:val="5"/>
        </w:numPr>
        <w:tabs>
          <w:tab w:val="left" w:pos="720"/>
        </w:tabs>
        <w:autoSpaceDE w:val="0"/>
        <w:autoSpaceDN w:val="0"/>
        <w:adjustRightInd w:val="0"/>
        <w:spacing w:after="0" w:line="240" w:lineRule="auto"/>
        <w:ind w:left="0" w:firstLine="0"/>
        <w:jc w:val="both"/>
      </w:pPr>
      <w:r w:rsidRPr="009430F5">
        <w:rPr>
          <w:b/>
        </w:rPr>
        <w:t xml:space="preserve">The data cut-off (snapshot) date of the assessment was </w:t>
      </w:r>
      <w:r w:rsidR="000E4F0C">
        <w:rPr>
          <w:b/>
        </w:rPr>
        <w:t>April 30</w:t>
      </w:r>
      <w:r w:rsidRPr="009430F5">
        <w:rPr>
          <w:b/>
        </w:rPr>
        <w:t>, 2016.</w:t>
      </w:r>
      <w:r w:rsidRPr="005A497D">
        <w:t xml:space="preserve"> </w:t>
      </w:r>
      <w:r w:rsidR="000E4F0C" w:rsidRPr="0032730F">
        <w:t>Data gathering for the assessment</w:t>
      </w:r>
      <w:r w:rsidR="000E4F0C">
        <w:t xml:space="preserve">, primarily </w:t>
      </w:r>
      <w:r w:rsidR="000E4F0C" w:rsidRPr="0032730F">
        <w:t xml:space="preserve">took place </w:t>
      </w:r>
      <w:r w:rsidR="000E4F0C">
        <w:t>from</w:t>
      </w:r>
      <w:r w:rsidR="000E4F0C" w:rsidRPr="0032730F">
        <w:t xml:space="preserve"> July to November 2015</w:t>
      </w:r>
      <w:r w:rsidR="000E4F0C">
        <w:t>, but data through April 30, 2016 was considered</w:t>
      </w:r>
      <w:r w:rsidR="000E4F0C" w:rsidRPr="0032730F">
        <w:t xml:space="preserve">. </w:t>
      </w:r>
      <w:r w:rsidR="000E4F0C">
        <w:t xml:space="preserve">Completed fiscal years are 2012, 2013, and 2014, the latest three years for which audited reports are available. The last completed fiscal year is 2015, and the latest budget submitted to legislature and enacted is for the calendar year 2016. </w:t>
      </w:r>
      <w:r w:rsidR="000E4F0C" w:rsidRPr="005A497D">
        <w:t xml:space="preserve">The analyses of the </w:t>
      </w:r>
      <w:r w:rsidR="000E4F0C">
        <w:t>performance indicators</w:t>
      </w:r>
      <w:r w:rsidR="000E4F0C" w:rsidRPr="005A497D">
        <w:t xml:space="preserve"> in </w:t>
      </w:r>
      <w:r w:rsidR="00F448CD">
        <w:t>C</w:t>
      </w:r>
      <w:r w:rsidR="000E4F0C" w:rsidRPr="005A497D">
        <w:t>hapter 3 are based on the latest data available in each case. The coverage has been clearly indicated under each PI description.</w:t>
      </w:r>
    </w:p>
    <w:p w14:paraId="268559A3" w14:textId="77777777" w:rsidR="001762EE" w:rsidRPr="005A497D" w:rsidRDefault="001762EE" w:rsidP="00FD05D3">
      <w:pPr>
        <w:tabs>
          <w:tab w:val="left" w:pos="720"/>
        </w:tabs>
        <w:autoSpaceDE w:val="0"/>
        <w:autoSpaceDN w:val="0"/>
        <w:adjustRightInd w:val="0"/>
        <w:jc w:val="both"/>
      </w:pPr>
    </w:p>
    <w:p w14:paraId="154CDC23" w14:textId="0F1086BE" w:rsidR="001762EE" w:rsidRPr="009430F5" w:rsidRDefault="001762EE" w:rsidP="0018356A">
      <w:pPr>
        <w:pStyle w:val="ListParagraph"/>
        <w:numPr>
          <w:ilvl w:val="0"/>
          <w:numId w:val="5"/>
        </w:numPr>
        <w:tabs>
          <w:tab w:val="left" w:pos="720"/>
        </w:tabs>
        <w:autoSpaceDE w:val="0"/>
        <w:autoSpaceDN w:val="0"/>
        <w:adjustRightInd w:val="0"/>
        <w:spacing w:after="0" w:line="240" w:lineRule="auto"/>
        <w:ind w:left="0" w:firstLine="0"/>
        <w:jc w:val="both"/>
      </w:pPr>
      <w:r w:rsidRPr="009430F5">
        <w:rPr>
          <w:b/>
        </w:rPr>
        <w:t>The assessment was conducted in order of the following stages and schedule:</w:t>
      </w:r>
    </w:p>
    <w:p w14:paraId="40A5DF77" w14:textId="77777777" w:rsidR="001762EE" w:rsidRPr="005A497D" w:rsidRDefault="001762EE" w:rsidP="00FD05D3">
      <w:pPr>
        <w:pStyle w:val="ListParagraph"/>
        <w:tabs>
          <w:tab w:val="left" w:pos="720"/>
        </w:tabs>
        <w:autoSpaceDE w:val="0"/>
        <w:autoSpaceDN w:val="0"/>
        <w:adjustRightInd w:val="0"/>
        <w:spacing w:after="0" w:line="240" w:lineRule="auto"/>
        <w:ind w:left="0" w:firstLine="0"/>
        <w:jc w:val="both"/>
      </w:pPr>
    </w:p>
    <w:p w14:paraId="367AAD46" w14:textId="77777777"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Briefing to the DBM Executive Committee</w:t>
      </w:r>
      <w:r w:rsidRPr="005A497D">
        <w:tab/>
      </w:r>
      <w:r w:rsidRPr="005A497D">
        <w:tab/>
      </w:r>
      <w:r w:rsidRPr="005A497D">
        <w:tab/>
        <w:t>March 9, 2015</w:t>
      </w:r>
    </w:p>
    <w:p w14:paraId="1B56367E" w14:textId="77777777"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Issuance of letters requesting nomination of focal persons</w:t>
      </w:r>
      <w:r w:rsidRPr="005A497D">
        <w:tab/>
        <w:t>March 24, 2015</w:t>
      </w:r>
    </w:p>
    <w:p w14:paraId="55752E01" w14:textId="77777777"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Concept note review by circulation</w:t>
      </w:r>
      <w:r w:rsidRPr="005A497D">
        <w:tab/>
      </w:r>
      <w:r w:rsidRPr="005A497D">
        <w:tab/>
      </w:r>
      <w:r w:rsidRPr="005A497D">
        <w:tab/>
      </w:r>
      <w:r w:rsidRPr="005A497D">
        <w:tab/>
        <w:t>March 31, 2015</w:t>
      </w:r>
    </w:p>
    <w:p w14:paraId="0B72B8FA" w14:textId="77777777"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Formal launch workshop</w:t>
      </w:r>
      <w:r w:rsidRPr="005A497D">
        <w:tab/>
      </w:r>
      <w:r w:rsidRPr="005A497D">
        <w:tab/>
      </w:r>
      <w:r w:rsidRPr="005A497D">
        <w:tab/>
      </w:r>
      <w:r w:rsidRPr="005A497D">
        <w:tab/>
      </w:r>
      <w:r w:rsidRPr="005A497D">
        <w:tab/>
        <w:t>May 13, 2015</w:t>
      </w:r>
    </w:p>
    <w:p w14:paraId="4B2F15C7" w14:textId="7113753C"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Data gathering</w:t>
      </w:r>
      <w:r w:rsidRPr="005A497D">
        <w:tab/>
      </w:r>
      <w:r w:rsidRPr="005A497D">
        <w:tab/>
      </w:r>
      <w:r w:rsidRPr="005A497D">
        <w:tab/>
      </w:r>
      <w:r w:rsidRPr="005A497D">
        <w:tab/>
      </w:r>
      <w:r w:rsidRPr="005A497D">
        <w:tab/>
      </w:r>
      <w:r w:rsidRPr="005A497D">
        <w:tab/>
      </w:r>
      <w:r w:rsidRPr="005A497D">
        <w:tab/>
      </w:r>
      <w:r>
        <w:t>July to November, 2015</w:t>
      </w:r>
    </w:p>
    <w:p w14:paraId="12856BD2" w14:textId="18B1D916" w:rsidR="001762EE" w:rsidRDefault="001762EE" w:rsidP="0018356A">
      <w:pPr>
        <w:tabs>
          <w:tab w:val="left" w:pos="720"/>
        </w:tabs>
        <w:autoSpaceDE w:val="0"/>
        <w:autoSpaceDN w:val="0"/>
        <w:adjustRightInd w:val="0"/>
        <w:jc w:val="both"/>
      </w:pPr>
      <w:r>
        <w:t>Pending the release of the revised Performance Measurement Framework by the PEFA Secretariat on February 1, 2016, the assessment came to a temporary pause. Once the new framework was released, the draft report was revised to align it with the new guidance and the assessment resumed:</w:t>
      </w:r>
    </w:p>
    <w:p w14:paraId="588A7A64" w14:textId="77777777" w:rsidR="001762EE" w:rsidRPr="007B732C" w:rsidRDefault="001762EE" w:rsidP="007B732C">
      <w:pPr>
        <w:tabs>
          <w:tab w:val="left" w:pos="720"/>
        </w:tabs>
        <w:autoSpaceDE w:val="0"/>
        <w:autoSpaceDN w:val="0"/>
        <w:adjustRightInd w:val="0"/>
        <w:ind w:left="357"/>
        <w:jc w:val="both"/>
      </w:pPr>
    </w:p>
    <w:p w14:paraId="68634DA8" w14:textId="238615DB"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Draft report submitted to Steering Committee</w:t>
      </w:r>
      <w:r w:rsidRPr="005A497D">
        <w:tab/>
      </w:r>
      <w:r w:rsidRPr="005A497D">
        <w:tab/>
      </w:r>
      <w:r>
        <w:t>March 1, 2016</w:t>
      </w:r>
    </w:p>
    <w:p w14:paraId="44A7021E" w14:textId="48896686"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 xml:space="preserve">Stakeholders’ </w:t>
      </w:r>
      <w:r>
        <w:t>validation w</w:t>
      </w:r>
      <w:r w:rsidRPr="005A497D">
        <w:t>orkshop</w:t>
      </w:r>
      <w:r>
        <w:t>s</w:t>
      </w:r>
      <w:r>
        <w:tab/>
      </w:r>
      <w:r>
        <w:tab/>
      </w:r>
      <w:r>
        <w:tab/>
      </w:r>
      <w:r>
        <w:tab/>
        <w:t xml:space="preserve">April </w:t>
      </w:r>
      <w:r w:rsidR="00B82271">
        <w:t xml:space="preserve">6-18, </w:t>
      </w:r>
      <w:r>
        <w:t>2016</w:t>
      </w:r>
    </w:p>
    <w:p w14:paraId="56091BCE" w14:textId="52C1E0AB"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 xml:space="preserve">Receipt of written comments from </w:t>
      </w:r>
      <w:r>
        <w:t>G</w:t>
      </w:r>
      <w:r w:rsidRPr="005A497D">
        <w:t>overnment</w:t>
      </w:r>
      <w:r w:rsidRPr="005A497D">
        <w:tab/>
      </w:r>
      <w:r w:rsidRPr="005A497D">
        <w:tab/>
      </w:r>
      <w:r>
        <w:t xml:space="preserve">April </w:t>
      </w:r>
      <w:r w:rsidR="000E4F0C">
        <w:t xml:space="preserve">28, </w:t>
      </w:r>
      <w:r>
        <w:t>2016</w:t>
      </w:r>
    </w:p>
    <w:p w14:paraId="2A5CEBE6" w14:textId="77777777" w:rsidR="00B82271" w:rsidRDefault="00B82271" w:rsidP="00B82271">
      <w:pPr>
        <w:pStyle w:val="ListParagraph"/>
        <w:numPr>
          <w:ilvl w:val="0"/>
          <w:numId w:val="12"/>
        </w:numPr>
        <w:tabs>
          <w:tab w:val="left" w:pos="720"/>
        </w:tabs>
        <w:autoSpaceDE w:val="0"/>
        <w:autoSpaceDN w:val="0"/>
        <w:adjustRightInd w:val="0"/>
        <w:ind w:left="714" w:hanging="357"/>
        <w:jc w:val="both"/>
      </w:pPr>
      <w:r>
        <w:t>Presentation to Steering Committee</w:t>
      </w:r>
      <w:r>
        <w:tab/>
      </w:r>
      <w:r>
        <w:tab/>
      </w:r>
      <w:r>
        <w:tab/>
      </w:r>
      <w:r>
        <w:tab/>
        <w:t>May 12, 2016</w:t>
      </w:r>
    </w:p>
    <w:p w14:paraId="7326DAE6" w14:textId="12E75DBD" w:rsidR="00B82271" w:rsidRDefault="00B82271" w:rsidP="00B82271">
      <w:pPr>
        <w:pStyle w:val="ListParagraph"/>
        <w:numPr>
          <w:ilvl w:val="0"/>
          <w:numId w:val="12"/>
        </w:numPr>
        <w:tabs>
          <w:tab w:val="left" w:pos="720"/>
        </w:tabs>
        <w:autoSpaceDE w:val="0"/>
        <w:autoSpaceDN w:val="0"/>
        <w:adjustRightInd w:val="0"/>
        <w:ind w:left="714" w:hanging="357"/>
        <w:jc w:val="both"/>
      </w:pPr>
      <w:r>
        <w:t>Presentation to Development Partners</w:t>
      </w:r>
      <w:r>
        <w:tab/>
      </w:r>
      <w:r>
        <w:tab/>
      </w:r>
      <w:r>
        <w:tab/>
        <w:t>May 13, 2016</w:t>
      </w:r>
    </w:p>
    <w:p w14:paraId="3056206E" w14:textId="77777777" w:rsidR="00B82271" w:rsidRPr="005A497D" w:rsidRDefault="00B82271" w:rsidP="00B82271">
      <w:pPr>
        <w:pStyle w:val="ListParagraph"/>
        <w:numPr>
          <w:ilvl w:val="0"/>
          <w:numId w:val="12"/>
        </w:numPr>
        <w:tabs>
          <w:tab w:val="left" w:pos="720"/>
        </w:tabs>
        <w:autoSpaceDE w:val="0"/>
        <w:autoSpaceDN w:val="0"/>
        <w:adjustRightInd w:val="0"/>
        <w:ind w:left="714" w:hanging="357"/>
        <w:jc w:val="both"/>
      </w:pPr>
      <w:r w:rsidRPr="005A497D">
        <w:t xml:space="preserve">Final </w:t>
      </w:r>
      <w:r>
        <w:t>r</w:t>
      </w:r>
      <w:r w:rsidRPr="005A497D">
        <w:t>eport for clearance</w:t>
      </w:r>
      <w:r>
        <w:t xml:space="preserve"> to publish</w:t>
      </w:r>
      <w:r w:rsidRPr="005A497D">
        <w:tab/>
      </w:r>
      <w:r w:rsidRPr="005A497D">
        <w:tab/>
      </w:r>
      <w:r w:rsidRPr="005A497D">
        <w:tab/>
      </w:r>
      <w:r w:rsidRPr="005A497D">
        <w:tab/>
      </w:r>
      <w:r>
        <w:t>May 26, 2016</w:t>
      </w:r>
    </w:p>
    <w:p w14:paraId="367C7EAF" w14:textId="6D0AA965" w:rsidR="001762EE" w:rsidRPr="005A497D" w:rsidRDefault="001762EE" w:rsidP="005A03CD">
      <w:pPr>
        <w:pStyle w:val="ListParagraph"/>
        <w:numPr>
          <w:ilvl w:val="0"/>
          <w:numId w:val="12"/>
        </w:numPr>
        <w:tabs>
          <w:tab w:val="left" w:pos="720"/>
        </w:tabs>
        <w:autoSpaceDE w:val="0"/>
        <w:autoSpaceDN w:val="0"/>
        <w:adjustRightInd w:val="0"/>
        <w:ind w:left="714" w:hanging="357"/>
        <w:jc w:val="both"/>
      </w:pPr>
      <w:r w:rsidRPr="005A497D">
        <w:t xml:space="preserve">Revised </w:t>
      </w:r>
      <w:r>
        <w:t>final draft report to PEFA Secretariat</w:t>
      </w:r>
      <w:r>
        <w:tab/>
      </w:r>
      <w:r>
        <w:tab/>
        <w:t>May 3</w:t>
      </w:r>
      <w:r w:rsidR="000E4F0C">
        <w:t>0</w:t>
      </w:r>
      <w:r>
        <w:t>, 2016</w:t>
      </w:r>
      <w:r w:rsidRPr="005A497D">
        <w:tab/>
      </w:r>
      <w:r w:rsidRPr="005A497D">
        <w:tab/>
      </w:r>
      <w:r w:rsidRPr="005A497D">
        <w:tab/>
      </w:r>
    </w:p>
    <w:p w14:paraId="5D37998F" w14:textId="49D46CFC" w:rsidR="0064009B" w:rsidRDefault="0064009B" w:rsidP="00B42507">
      <w:pPr>
        <w:pStyle w:val="ListParagraph"/>
        <w:numPr>
          <w:ilvl w:val="0"/>
          <w:numId w:val="12"/>
        </w:numPr>
        <w:tabs>
          <w:tab w:val="left" w:pos="720"/>
        </w:tabs>
        <w:autoSpaceDE w:val="0"/>
        <w:autoSpaceDN w:val="0"/>
        <w:adjustRightInd w:val="0"/>
        <w:ind w:left="714" w:hanging="357"/>
        <w:jc w:val="both"/>
      </w:pPr>
      <w:r>
        <w:t>Issuance of PEFA CHECK by PEFA Secretariat</w:t>
      </w:r>
      <w:r>
        <w:tab/>
      </w:r>
      <w:r>
        <w:tab/>
        <w:t>June 2, 2016</w:t>
      </w:r>
    </w:p>
    <w:p w14:paraId="7565D51D" w14:textId="4679BEE9" w:rsidR="0064009B" w:rsidRDefault="0064009B" w:rsidP="00B42507">
      <w:pPr>
        <w:pStyle w:val="ListParagraph"/>
        <w:numPr>
          <w:ilvl w:val="0"/>
          <w:numId w:val="12"/>
        </w:numPr>
        <w:tabs>
          <w:tab w:val="left" w:pos="720"/>
        </w:tabs>
        <w:autoSpaceDE w:val="0"/>
        <w:autoSpaceDN w:val="0"/>
        <w:adjustRightInd w:val="0"/>
        <w:ind w:left="714" w:hanging="357"/>
        <w:jc w:val="both"/>
      </w:pPr>
      <w:r>
        <w:t>Clearance to publish issued by PFM Committee</w:t>
      </w:r>
      <w:r>
        <w:tab/>
      </w:r>
      <w:r>
        <w:tab/>
        <w:t>June 15, 2016</w:t>
      </w:r>
    </w:p>
    <w:p w14:paraId="5EADA402" w14:textId="08EE7DE1" w:rsidR="0064009B" w:rsidRDefault="0064009B" w:rsidP="00B42507">
      <w:pPr>
        <w:pStyle w:val="ListParagraph"/>
        <w:numPr>
          <w:ilvl w:val="0"/>
          <w:numId w:val="12"/>
        </w:numPr>
        <w:tabs>
          <w:tab w:val="left" w:pos="720"/>
        </w:tabs>
        <w:autoSpaceDE w:val="0"/>
        <w:autoSpaceDN w:val="0"/>
        <w:adjustRightInd w:val="0"/>
        <w:ind w:left="714" w:hanging="357"/>
        <w:jc w:val="both"/>
      </w:pPr>
      <w:r>
        <w:t>Receipt of final comments from Government</w:t>
      </w:r>
      <w:r>
        <w:tab/>
      </w:r>
      <w:r>
        <w:tab/>
      </w:r>
      <w:r>
        <w:tab/>
        <w:t>June 21, 2016</w:t>
      </w:r>
    </w:p>
    <w:p w14:paraId="146C71A6" w14:textId="75792513" w:rsidR="001762EE" w:rsidRDefault="001762EE" w:rsidP="00B42507">
      <w:pPr>
        <w:pStyle w:val="ListParagraph"/>
        <w:numPr>
          <w:ilvl w:val="0"/>
          <w:numId w:val="12"/>
        </w:numPr>
        <w:tabs>
          <w:tab w:val="left" w:pos="720"/>
        </w:tabs>
        <w:autoSpaceDE w:val="0"/>
        <w:autoSpaceDN w:val="0"/>
        <w:adjustRightInd w:val="0"/>
        <w:ind w:left="714" w:hanging="357"/>
        <w:jc w:val="both"/>
      </w:pPr>
      <w:r w:rsidRPr="00B42507">
        <w:t xml:space="preserve">Publishing and </w:t>
      </w:r>
      <w:r>
        <w:t>d</w:t>
      </w:r>
      <w:r w:rsidRPr="00B42507">
        <w:t xml:space="preserve">issemination of </w:t>
      </w:r>
      <w:r>
        <w:t>r</w:t>
      </w:r>
      <w:r w:rsidRPr="00B42507">
        <w:t>eports</w:t>
      </w:r>
      <w:r w:rsidRPr="00B42507">
        <w:tab/>
      </w:r>
      <w:r w:rsidR="00830FB1">
        <w:tab/>
      </w:r>
      <w:r w:rsidR="00830FB1">
        <w:tab/>
      </w:r>
      <w:r>
        <w:t>Ju</w:t>
      </w:r>
      <w:r w:rsidR="000E4F0C">
        <w:t>ne</w:t>
      </w:r>
      <w:r>
        <w:t xml:space="preserve"> </w:t>
      </w:r>
      <w:r w:rsidR="0064009B">
        <w:t xml:space="preserve">30, </w:t>
      </w:r>
      <w:r>
        <w:t>2016</w:t>
      </w:r>
    </w:p>
    <w:p w14:paraId="18230F9A" w14:textId="151E2F50" w:rsidR="001762EE" w:rsidRPr="005A497D" w:rsidRDefault="001762EE" w:rsidP="005D2FF3">
      <w:pPr>
        <w:tabs>
          <w:tab w:val="left" w:pos="720"/>
        </w:tabs>
        <w:autoSpaceDE w:val="0"/>
        <w:autoSpaceDN w:val="0"/>
        <w:adjustRightInd w:val="0"/>
        <w:jc w:val="both"/>
      </w:pPr>
    </w:p>
    <w:p w14:paraId="4D6F2E0D" w14:textId="77777777" w:rsidR="001762EE" w:rsidRDefault="001762EE" w:rsidP="009A012D">
      <w:pPr>
        <w:pStyle w:val="Heading2"/>
        <w:rPr>
          <w:rFonts w:ascii="Times New Roman" w:hAnsi="Times New Roman"/>
          <w:sz w:val="32"/>
          <w:szCs w:val="32"/>
        </w:rPr>
        <w:sectPr w:rsidR="001762EE" w:rsidSect="000F1DB1">
          <w:footnotePr>
            <w:numRestart w:val="eachSect"/>
          </w:footnotePr>
          <w:endnotePr>
            <w:numFmt w:val="decimal"/>
          </w:endnotePr>
          <w:pgSz w:w="12240" w:h="15840" w:code="1"/>
          <w:pgMar w:top="1440" w:right="1440" w:bottom="1440" w:left="1440" w:header="720" w:footer="720" w:gutter="0"/>
          <w:pgNumType w:start="1"/>
          <w:cols w:space="720"/>
          <w:noEndnote/>
          <w:titlePg/>
          <w:docGrid w:linePitch="326"/>
        </w:sectPr>
      </w:pPr>
      <w:bookmarkStart w:id="24" w:name="_Toc328054893"/>
    </w:p>
    <w:p w14:paraId="141A33C1" w14:textId="4FE6343F" w:rsidR="001762EE" w:rsidRPr="005A497D" w:rsidRDefault="001762EE" w:rsidP="009A012D">
      <w:pPr>
        <w:pStyle w:val="Heading2"/>
        <w:rPr>
          <w:rFonts w:ascii="Times New Roman" w:hAnsi="Times New Roman"/>
          <w:sz w:val="32"/>
          <w:szCs w:val="32"/>
        </w:rPr>
      </w:pPr>
      <w:bookmarkStart w:id="25" w:name="_Toc454811637"/>
      <w:bookmarkStart w:id="26" w:name="_Toc454888782"/>
      <w:r w:rsidRPr="005A497D">
        <w:rPr>
          <w:rFonts w:ascii="Times New Roman" w:hAnsi="Times New Roman"/>
          <w:sz w:val="32"/>
          <w:szCs w:val="32"/>
        </w:rPr>
        <w:t>Chapter 2</w:t>
      </w:r>
      <w:r>
        <w:rPr>
          <w:rFonts w:ascii="Times New Roman" w:hAnsi="Times New Roman"/>
          <w:sz w:val="32"/>
          <w:szCs w:val="32"/>
        </w:rPr>
        <w:t>.</w:t>
      </w:r>
      <w:r w:rsidRPr="005A497D">
        <w:rPr>
          <w:rFonts w:ascii="Times New Roman" w:hAnsi="Times New Roman"/>
          <w:sz w:val="32"/>
          <w:szCs w:val="32"/>
        </w:rPr>
        <w:t xml:space="preserve"> Country Background Information</w:t>
      </w:r>
      <w:bookmarkEnd w:id="25"/>
      <w:bookmarkEnd w:id="26"/>
    </w:p>
    <w:p w14:paraId="5AECC3FD" w14:textId="77777777" w:rsidR="001762EE" w:rsidRPr="00236AAF" w:rsidRDefault="001762EE" w:rsidP="00236AAF">
      <w:pPr>
        <w:pStyle w:val="ListParagraph"/>
        <w:tabs>
          <w:tab w:val="left" w:pos="720"/>
        </w:tabs>
        <w:autoSpaceDE w:val="0"/>
        <w:autoSpaceDN w:val="0"/>
        <w:adjustRightInd w:val="0"/>
        <w:spacing w:after="0" w:line="240" w:lineRule="auto"/>
        <w:ind w:left="0" w:firstLine="0"/>
        <w:jc w:val="both"/>
        <w:rPr>
          <w:bCs/>
        </w:rPr>
      </w:pPr>
    </w:p>
    <w:p w14:paraId="6E4703A1" w14:textId="49404260" w:rsidR="001762EE" w:rsidRPr="005A497D" w:rsidRDefault="00581BD2" w:rsidP="00EB3782">
      <w:pPr>
        <w:pStyle w:val="ListParagraph"/>
        <w:numPr>
          <w:ilvl w:val="0"/>
          <w:numId w:val="10"/>
        </w:numPr>
        <w:tabs>
          <w:tab w:val="left" w:pos="720"/>
        </w:tabs>
        <w:autoSpaceDE w:val="0"/>
        <w:autoSpaceDN w:val="0"/>
        <w:adjustRightInd w:val="0"/>
        <w:spacing w:after="0" w:line="240" w:lineRule="auto"/>
        <w:ind w:left="0" w:firstLine="0"/>
        <w:jc w:val="both"/>
        <w:rPr>
          <w:bCs/>
        </w:rPr>
      </w:pPr>
      <w:r w:rsidRPr="005A497D">
        <w:t xml:space="preserve">In order to place the PFM performance measurement in a wider context, </w:t>
      </w:r>
      <w:r>
        <w:t>Chapter 2</w:t>
      </w:r>
      <w:r w:rsidRPr="005A497D">
        <w:t xml:space="preserve"> provides information about core characteristics of the Government’s PFM system. This covers country </w:t>
      </w:r>
      <w:r w:rsidRPr="005A497D">
        <w:rPr>
          <w:iCs/>
        </w:rPr>
        <w:t xml:space="preserve">economic, budgetary and fiscal </w:t>
      </w:r>
      <w:r>
        <w:rPr>
          <w:iCs/>
        </w:rPr>
        <w:t>trends</w:t>
      </w:r>
      <w:r w:rsidRPr="005A497D">
        <w:rPr>
          <w:iCs/>
        </w:rPr>
        <w:t xml:space="preserve">, structure of the public sector, legal and institutional framework for PFM, and the </w:t>
      </w:r>
      <w:r w:rsidRPr="005A497D">
        <w:t xml:space="preserve">Government’s </w:t>
      </w:r>
      <w:r w:rsidRPr="005A497D">
        <w:rPr>
          <w:iCs/>
        </w:rPr>
        <w:t>internal control framework</w:t>
      </w:r>
      <w:r>
        <w:rPr>
          <w:iCs/>
        </w:rPr>
        <w:t>.</w:t>
      </w:r>
    </w:p>
    <w:p w14:paraId="49D0DDAA" w14:textId="77777777" w:rsidR="001762EE" w:rsidRPr="005A497D" w:rsidRDefault="001762EE" w:rsidP="00486F67">
      <w:pPr>
        <w:pStyle w:val="NormalWeb"/>
        <w:autoSpaceDE w:val="0"/>
        <w:autoSpaceDN w:val="0"/>
        <w:adjustRightInd w:val="0"/>
        <w:spacing w:before="0" w:beforeAutospacing="0" w:after="0" w:afterAutospacing="0"/>
        <w:contextualSpacing/>
        <w:jc w:val="both"/>
        <w:rPr>
          <w:bCs/>
        </w:rPr>
      </w:pPr>
    </w:p>
    <w:p w14:paraId="6CD49507" w14:textId="4141A7E9" w:rsidR="001762EE" w:rsidRPr="00772CD4" w:rsidRDefault="001762EE" w:rsidP="00411651">
      <w:pPr>
        <w:pStyle w:val="Heading3"/>
      </w:pPr>
      <w:bookmarkStart w:id="27" w:name="_Toc429682038"/>
      <w:bookmarkStart w:id="28" w:name="_Toc454811638"/>
      <w:bookmarkStart w:id="29" w:name="_Toc454888783"/>
      <w:r w:rsidRPr="00772CD4">
        <w:t>2.1 Country Economic Situation</w:t>
      </w:r>
      <w:bookmarkEnd w:id="27"/>
      <w:bookmarkEnd w:id="28"/>
      <w:bookmarkEnd w:id="29"/>
    </w:p>
    <w:p w14:paraId="32661851" w14:textId="77777777" w:rsidR="001762EE" w:rsidRPr="00772CD4" w:rsidRDefault="001762EE" w:rsidP="00772CD4"/>
    <w:p w14:paraId="5C9AEB5F" w14:textId="77777777" w:rsidR="00581BD2" w:rsidRPr="005A497D" w:rsidRDefault="00581BD2" w:rsidP="00581BD2">
      <w:pPr>
        <w:pStyle w:val="ListParagraph"/>
        <w:numPr>
          <w:ilvl w:val="0"/>
          <w:numId w:val="10"/>
        </w:numPr>
        <w:tabs>
          <w:tab w:val="left" w:pos="720"/>
        </w:tabs>
        <w:autoSpaceDE w:val="0"/>
        <w:autoSpaceDN w:val="0"/>
        <w:adjustRightInd w:val="0"/>
        <w:spacing w:after="0" w:line="240" w:lineRule="auto"/>
        <w:ind w:left="0" w:firstLine="0"/>
        <w:jc w:val="both"/>
        <w:rPr>
          <w:bCs/>
        </w:rPr>
      </w:pPr>
      <w:r w:rsidRPr="005A497D">
        <w:rPr>
          <w:rFonts w:eastAsia="Times New Roman"/>
          <w:color w:val="000000" w:themeColor="text1"/>
        </w:rPr>
        <w:t xml:space="preserve">The Philippines is one of the most dynamic economies in the East Asia region, with </w:t>
      </w:r>
      <w:r>
        <w:rPr>
          <w:rFonts w:eastAsia="Times New Roman"/>
          <w:color w:val="000000" w:themeColor="text1"/>
        </w:rPr>
        <w:t xml:space="preserve">increasingly </w:t>
      </w:r>
      <w:r w:rsidRPr="005A497D">
        <w:rPr>
          <w:rFonts w:eastAsia="Times New Roman"/>
          <w:color w:val="000000" w:themeColor="text1"/>
        </w:rPr>
        <w:t>sound macroeconomic fundamentals and a competitive</w:t>
      </w:r>
      <w:r>
        <w:rPr>
          <w:rFonts w:eastAsia="Times New Roman"/>
          <w:color w:val="000000" w:themeColor="text1"/>
        </w:rPr>
        <w:t>, globally recognized</w:t>
      </w:r>
      <w:r w:rsidRPr="005A497D">
        <w:rPr>
          <w:rFonts w:eastAsia="Times New Roman"/>
          <w:color w:val="000000" w:themeColor="text1"/>
        </w:rPr>
        <w:t xml:space="preserve"> workforce. </w:t>
      </w:r>
      <w:r>
        <w:rPr>
          <w:bCs/>
        </w:rPr>
        <w:t>In 2015, economic growth was recorded at 5.9 percent, which represents a slight deceleration from 6.2 percent the previous year.</w:t>
      </w:r>
      <w:r w:rsidRPr="00985850">
        <w:rPr>
          <w:color w:val="222222"/>
          <w:shd w:val="clear" w:color="auto" w:fill="FFFFFF"/>
        </w:rPr>
        <w:t xml:space="preserve"> </w:t>
      </w:r>
      <w:r>
        <w:rPr>
          <w:bCs/>
        </w:rPr>
        <w:t>Nonetheless</w:t>
      </w:r>
      <w:r w:rsidRPr="000118AC">
        <w:rPr>
          <w:bCs/>
        </w:rPr>
        <w:t>, the coun</w:t>
      </w:r>
      <w:r w:rsidRPr="005C7BEF">
        <w:rPr>
          <w:bCs/>
        </w:rPr>
        <w:t xml:space="preserve">try is still one of the </w:t>
      </w:r>
      <w:r>
        <w:rPr>
          <w:bCs/>
        </w:rPr>
        <w:t>leading</w:t>
      </w:r>
      <w:r w:rsidRPr="000118AC">
        <w:rPr>
          <w:bCs/>
        </w:rPr>
        <w:t xml:space="preserve"> performers among major economies in the region.</w:t>
      </w:r>
    </w:p>
    <w:p w14:paraId="3E447CD8" w14:textId="77777777" w:rsidR="00581BD2" w:rsidRPr="005A497D" w:rsidRDefault="00581BD2" w:rsidP="00581BD2">
      <w:pPr>
        <w:pStyle w:val="ListParagraph"/>
        <w:tabs>
          <w:tab w:val="left" w:pos="720"/>
        </w:tabs>
        <w:autoSpaceDE w:val="0"/>
        <w:autoSpaceDN w:val="0"/>
        <w:adjustRightInd w:val="0"/>
        <w:spacing w:after="0" w:line="240" w:lineRule="auto"/>
        <w:ind w:left="0" w:firstLine="0"/>
        <w:jc w:val="both"/>
        <w:rPr>
          <w:bCs/>
        </w:rPr>
      </w:pPr>
    </w:p>
    <w:p w14:paraId="6476426F" w14:textId="77777777" w:rsidR="00581BD2" w:rsidRPr="005A497D" w:rsidRDefault="00581BD2" w:rsidP="00581BD2">
      <w:pPr>
        <w:pStyle w:val="ListParagraph"/>
        <w:numPr>
          <w:ilvl w:val="0"/>
          <w:numId w:val="10"/>
        </w:numPr>
        <w:tabs>
          <w:tab w:val="left" w:pos="720"/>
        </w:tabs>
        <w:autoSpaceDE w:val="0"/>
        <w:autoSpaceDN w:val="0"/>
        <w:adjustRightInd w:val="0"/>
        <w:spacing w:after="0" w:line="240" w:lineRule="auto"/>
        <w:ind w:left="0" w:firstLine="0"/>
        <w:jc w:val="both"/>
        <w:rPr>
          <w:bCs/>
        </w:rPr>
      </w:pPr>
      <w:r w:rsidRPr="006F5BF0">
        <w:rPr>
          <w:b/>
          <w:bCs/>
        </w:rPr>
        <w:t>On the demand side, the strong performance of private domestic demand supported by decade-low inflation and robust, although slowing, remittances drove GDP growth.</w:t>
      </w:r>
      <w:r w:rsidRPr="005A497D">
        <w:rPr>
          <w:bCs/>
        </w:rPr>
        <w:t xml:space="preserve"> </w:t>
      </w:r>
      <w:r>
        <w:rPr>
          <w:bCs/>
        </w:rPr>
        <w:t xml:space="preserve">Government consumption and capital formation were also stronger than the previous year at 9.4 percent and 13.6 percent respectively, as public spending picked up in the last three quarters. </w:t>
      </w:r>
      <w:r w:rsidRPr="005A497D">
        <w:rPr>
          <w:bCs/>
        </w:rPr>
        <w:t xml:space="preserve">However, a contraction in net exports adversely affected growth. On the supply side, </w:t>
      </w:r>
      <w:r w:rsidRPr="000118AC">
        <w:rPr>
          <w:bCs/>
        </w:rPr>
        <w:t>agriculture growth continued to disappoint as El Niño intensified. Manufacturing also decelerated, driven by slower growth in food and beverage subsectors</w:t>
      </w:r>
      <w:r>
        <w:rPr>
          <w:bCs/>
        </w:rPr>
        <w:t xml:space="preserve"> weaker exports</w:t>
      </w:r>
      <w:r w:rsidRPr="000118AC">
        <w:rPr>
          <w:bCs/>
        </w:rPr>
        <w:t>. As in previous years, the services sector drove growth, accelerating to 6.7 percent in 2015.</w:t>
      </w:r>
    </w:p>
    <w:p w14:paraId="27DF7F9B" w14:textId="77777777" w:rsidR="00581BD2" w:rsidRPr="005A497D" w:rsidRDefault="00581BD2" w:rsidP="00581BD2">
      <w:pPr>
        <w:pStyle w:val="ListParagraph"/>
        <w:tabs>
          <w:tab w:val="left" w:pos="720"/>
        </w:tabs>
        <w:autoSpaceDE w:val="0"/>
        <w:autoSpaceDN w:val="0"/>
        <w:adjustRightInd w:val="0"/>
        <w:spacing w:after="0" w:line="240" w:lineRule="auto"/>
        <w:ind w:left="0" w:firstLine="0"/>
        <w:jc w:val="both"/>
        <w:rPr>
          <w:bCs/>
        </w:rPr>
      </w:pPr>
    </w:p>
    <w:p w14:paraId="442F2AA2" w14:textId="77777777" w:rsidR="00581BD2" w:rsidRPr="005A497D" w:rsidRDefault="00581BD2" w:rsidP="00581BD2">
      <w:pPr>
        <w:pStyle w:val="ListParagraph"/>
        <w:numPr>
          <w:ilvl w:val="0"/>
          <w:numId w:val="10"/>
        </w:numPr>
        <w:tabs>
          <w:tab w:val="left" w:pos="720"/>
        </w:tabs>
        <w:autoSpaceDE w:val="0"/>
        <w:autoSpaceDN w:val="0"/>
        <w:adjustRightInd w:val="0"/>
        <w:spacing w:after="0" w:line="240" w:lineRule="auto"/>
        <w:ind w:left="0" w:firstLine="0"/>
        <w:jc w:val="both"/>
        <w:rPr>
          <w:bCs/>
        </w:rPr>
      </w:pPr>
      <w:r w:rsidRPr="006F5BF0">
        <w:rPr>
          <w:b/>
          <w:bCs/>
        </w:rPr>
        <w:t>Sustained growth in 2015 led to significant improvements in unemployment and, to some extent, job creation; but the quality of growth remains a problem.</w:t>
      </w:r>
      <w:r w:rsidRPr="000118AC">
        <w:rPr>
          <w:bCs/>
        </w:rPr>
        <w:t xml:space="preserve"> In January 2016, the unemployment rate fell to 5.8 percent, the second lowest in a decade. However, the underemployment rate rose by 2 percentage points to 19.7 percent. In addition, weak agricultural output led to a reduction of 935,000 jobs in agriculture, bringing net job creation to 752,000 between January 2015 and January</w:t>
      </w:r>
      <w:r>
        <w:rPr>
          <w:bCs/>
        </w:rPr>
        <w:t xml:space="preserve"> 2016</w:t>
      </w:r>
      <w:r w:rsidRPr="005A497D">
        <w:rPr>
          <w:bCs/>
        </w:rPr>
        <w:t xml:space="preserve">. </w:t>
      </w:r>
    </w:p>
    <w:p w14:paraId="60837413" w14:textId="77777777" w:rsidR="00581BD2" w:rsidRPr="005A497D" w:rsidRDefault="00581BD2" w:rsidP="00581BD2">
      <w:pPr>
        <w:pStyle w:val="ListParagraph"/>
        <w:tabs>
          <w:tab w:val="left" w:pos="720"/>
        </w:tabs>
        <w:autoSpaceDE w:val="0"/>
        <w:autoSpaceDN w:val="0"/>
        <w:adjustRightInd w:val="0"/>
        <w:spacing w:after="0" w:line="240" w:lineRule="auto"/>
        <w:ind w:left="0" w:firstLine="0"/>
        <w:jc w:val="both"/>
        <w:rPr>
          <w:bCs/>
        </w:rPr>
      </w:pPr>
      <w:r w:rsidRPr="005A497D" w:rsidDel="001E3AA0">
        <w:rPr>
          <w:bCs/>
        </w:rPr>
        <w:t xml:space="preserve"> </w:t>
      </w:r>
    </w:p>
    <w:p w14:paraId="2E08D3F8" w14:textId="77777777" w:rsidR="00581BD2" w:rsidRPr="005A497D" w:rsidRDefault="00581BD2" w:rsidP="00581BD2">
      <w:pPr>
        <w:pStyle w:val="ListParagraph"/>
        <w:numPr>
          <w:ilvl w:val="0"/>
          <w:numId w:val="10"/>
        </w:numPr>
        <w:tabs>
          <w:tab w:val="left" w:pos="720"/>
        </w:tabs>
        <w:autoSpaceDE w:val="0"/>
        <w:autoSpaceDN w:val="0"/>
        <w:adjustRightInd w:val="0"/>
        <w:spacing w:after="0" w:line="240" w:lineRule="auto"/>
        <w:ind w:left="0" w:firstLine="0"/>
        <w:jc w:val="both"/>
        <w:rPr>
          <w:bCs/>
        </w:rPr>
      </w:pPr>
      <w:r w:rsidRPr="006F5BF0">
        <w:rPr>
          <w:b/>
          <w:bCs/>
        </w:rPr>
        <w:t>The domestic financial market experienced sharp volatilities, yet fundamentals remain sound.</w:t>
      </w:r>
      <w:r w:rsidRPr="000118AC">
        <w:rPr>
          <w:bCs/>
        </w:rPr>
        <w:t xml:space="preserve"> The stock index, responding largely to uncertainties in China’s financial market, declined significantly by 12.5 percent from its end-2015 levels and 25 percent from its peak in April 2015, bringing the stock index to its lowest level in almost two years.  However, </w:t>
      </w:r>
      <w:r>
        <w:rPr>
          <w:bCs/>
        </w:rPr>
        <w:t>in early 2016,</w:t>
      </w:r>
      <w:r w:rsidRPr="000118AC">
        <w:rPr>
          <w:bCs/>
        </w:rPr>
        <w:t xml:space="preserve"> the stock market recovered strongly. Despite </w:t>
      </w:r>
      <w:r>
        <w:rPr>
          <w:bCs/>
        </w:rPr>
        <w:t xml:space="preserve">the </w:t>
      </w:r>
      <w:r w:rsidRPr="000118AC">
        <w:rPr>
          <w:bCs/>
        </w:rPr>
        <w:t xml:space="preserve">volatility, the domestic financial market remains resilient and underlying fundamentals continue to be sound. The combination of low levels of non-performing loans and higher capital adequacy ratio provides the necessary cushion for the domestic financial sector. In addition, </w:t>
      </w:r>
      <w:r>
        <w:rPr>
          <w:bCs/>
        </w:rPr>
        <w:t>several</w:t>
      </w:r>
      <w:r w:rsidRPr="000118AC">
        <w:rPr>
          <w:bCs/>
        </w:rPr>
        <w:t xml:space="preserve"> prudential measures are in place to mitigate risks. Likewise, monetary policy remains supportive with room to respond to higher global interest rates. Finally, the peso remains flexible and is in line with market fundamentals, offering a cushion to large capital outflows</w:t>
      </w:r>
      <w:r w:rsidRPr="005A497D">
        <w:rPr>
          <w:bCs/>
        </w:rPr>
        <w:t>.</w:t>
      </w:r>
    </w:p>
    <w:p w14:paraId="23B8AD7B" w14:textId="77777777" w:rsidR="00581BD2" w:rsidRPr="005A497D" w:rsidRDefault="00581BD2" w:rsidP="00581BD2">
      <w:pPr>
        <w:pStyle w:val="ListParagraph"/>
        <w:jc w:val="both"/>
        <w:rPr>
          <w:bCs/>
        </w:rPr>
      </w:pPr>
    </w:p>
    <w:p w14:paraId="409A29FC" w14:textId="77777777" w:rsidR="00830FB1" w:rsidRDefault="00581BD2" w:rsidP="00EB3782">
      <w:pPr>
        <w:pStyle w:val="ListParagraph"/>
        <w:numPr>
          <w:ilvl w:val="0"/>
          <w:numId w:val="10"/>
        </w:numPr>
        <w:tabs>
          <w:tab w:val="left" w:pos="720"/>
        </w:tabs>
        <w:autoSpaceDE w:val="0"/>
        <w:autoSpaceDN w:val="0"/>
        <w:adjustRightInd w:val="0"/>
        <w:spacing w:after="0" w:line="240" w:lineRule="auto"/>
        <w:ind w:left="0" w:firstLine="0"/>
        <w:jc w:val="both"/>
        <w:rPr>
          <w:bCs/>
        </w:rPr>
      </w:pPr>
      <w:r w:rsidRPr="006F5BF0">
        <w:rPr>
          <w:b/>
          <w:bCs/>
        </w:rPr>
        <w:t xml:space="preserve">Consumer </w:t>
      </w:r>
      <w:r>
        <w:rPr>
          <w:b/>
          <w:bCs/>
        </w:rPr>
        <w:t>p</w:t>
      </w:r>
      <w:r w:rsidRPr="006F5BF0">
        <w:rPr>
          <w:b/>
          <w:bCs/>
        </w:rPr>
        <w:t xml:space="preserve">rice </w:t>
      </w:r>
      <w:r>
        <w:rPr>
          <w:b/>
          <w:bCs/>
        </w:rPr>
        <w:t>i</w:t>
      </w:r>
      <w:r w:rsidRPr="006F5BF0">
        <w:rPr>
          <w:b/>
          <w:bCs/>
        </w:rPr>
        <w:t>ndex (CPI) inflation continued to decelerate, averaging 1.4 percent in 2015, the lowest inflation rate in a decade.</w:t>
      </w:r>
      <w:r>
        <w:rPr>
          <w:bCs/>
        </w:rPr>
        <w:t xml:space="preserve"> This was</w:t>
      </w:r>
      <w:r w:rsidRPr="005A497D">
        <w:rPr>
          <w:bCs/>
        </w:rPr>
        <w:t xml:space="preserve"> below the 2</w:t>
      </w:r>
      <w:r>
        <w:rPr>
          <w:bCs/>
        </w:rPr>
        <w:t xml:space="preserve"> to </w:t>
      </w:r>
      <w:r w:rsidRPr="005A497D">
        <w:rPr>
          <w:bCs/>
        </w:rPr>
        <w:t>4</w:t>
      </w:r>
      <w:r>
        <w:rPr>
          <w:bCs/>
        </w:rPr>
        <w:t xml:space="preserve"> percent</w:t>
      </w:r>
      <w:r w:rsidRPr="005A497D">
        <w:rPr>
          <w:bCs/>
        </w:rPr>
        <w:t xml:space="preserve"> target of the </w:t>
      </w:r>
      <w:r w:rsidRPr="006F5BF0">
        <w:rPr>
          <w:bCs/>
          <w:i/>
        </w:rPr>
        <w:t>Bangko Sentral ng Pilipinas</w:t>
      </w:r>
      <w:r w:rsidRPr="005A497D">
        <w:rPr>
          <w:bCs/>
        </w:rPr>
        <w:t xml:space="preserve"> (BSP). Several supply</w:t>
      </w:r>
      <w:r>
        <w:rPr>
          <w:bCs/>
        </w:rPr>
        <w:t>-</w:t>
      </w:r>
      <w:r w:rsidRPr="005A497D">
        <w:rPr>
          <w:bCs/>
        </w:rPr>
        <w:t>side factors explain the slower rate of inflation</w:t>
      </w:r>
      <w:r>
        <w:rPr>
          <w:bCs/>
        </w:rPr>
        <w:t>.</w:t>
      </w:r>
    </w:p>
    <w:p w14:paraId="40B9DF79" w14:textId="75497293" w:rsidR="001762EE" w:rsidRDefault="00581BD2" w:rsidP="00EB3782">
      <w:pPr>
        <w:pStyle w:val="ListParagraph"/>
        <w:numPr>
          <w:ilvl w:val="0"/>
          <w:numId w:val="10"/>
        </w:numPr>
        <w:tabs>
          <w:tab w:val="left" w:pos="720"/>
        </w:tabs>
        <w:autoSpaceDE w:val="0"/>
        <w:autoSpaceDN w:val="0"/>
        <w:adjustRightInd w:val="0"/>
        <w:spacing w:after="0" w:line="240" w:lineRule="auto"/>
        <w:ind w:left="0" w:firstLine="0"/>
        <w:jc w:val="both"/>
        <w:rPr>
          <w:bCs/>
        </w:rPr>
      </w:pPr>
      <w:r w:rsidRPr="00D661D7">
        <w:rPr>
          <w:bCs/>
        </w:rPr>
        <w:t xml:space="preserve">Lower inflation was driven by the deceleration of food inflation, </w:t>
      </w:r>
      <w:r w:rsidRPr="005323C0">
        <w:rPr>
          <w:bCs/>
        </w:rPr>
        <w:t>as timely importation of rice</w:t>
      </w:r>
      <w:r w:rsidRPr="009D76C2">
        <w:rPr>
          <w:bCs/>
        </w:rPr>
        <w:t xml:space="preserve"> kept food supply sufficient despite lower agriculture output, partly as a result of El Ni</w:t>
      </w:r>
      <w:r>
        <w:rPr>
          <w:bCs/>
        </w:rPr>
        <w:t>ñ</w:t>
      </w:r>
      <w:r w:rsidRPr="009D76C2">
        <w:rPr>
          <w:bCs/>
        </w:rPr>
        <w:t>o</w:t>
      </w:r>
      <w:r w:rsidRPr="005A497D">
        <w:rPr>
          <w:bCs/>
        </w:rPr>
        <w:t xml:space="preserve">. In addition, </w:t>
      </w:r>
      <w:r>
        <w:rPr>
          <w:bCs/>
        </w:rPr>
        <w:t xml:space="preserve">low </w:t>
      </w:r>
      <w:r w:rsidRPr="005A497D">
        <w:rPr>
          <w:bCs/>
        </w:rPr>
        <w:t xml:space="preserve">oil prices also contributed to lower inflation given its </w:t>
      </w:r>
      <w:r>
        <w:rPr>
          <w:bCs/>
        </w:rPr>
        <w:t xml:space="preserve">direct </w:t>
      </w:r>
      <w:r w:rsidRPr="005A497D">
        <w:rPr>
          <w:bCs/>
        </w:rPr>
        <w:t>pass through on electricity, transportation, and manufactured goods prices. On the other hand, core inflation, which excludes certain food and energy items to better capture underlying price volatilities</w:t>
      </w:r>
      <w:r>
        <w:rPr>
          <w:bCs/>
        </w:rPr>
        <w:t>,</w:t>
      </w:r>
      <w:r w:rsidRPr="005A497D">
        <w:rPr>
          <w:bCs/>
        </w:rPr>
        <w:t xml:space="preserve"> was</w:t>
      </w:r>
      <w:r>
        <w:rPr>
          <w:bCs/>
        </w:rPr>
        <w:t xml:space="preserve"> higher</w:t>
      </w:r>
      <w:r w:rsidRPr="005A497D">
        <w:rPr>
          <w:bCs/>
        </w:rPr>
        <w:t xml:space="preserve"> at 2.</w:t>
      </w:r>
      <w:r>
        <w:rPr>
          <w:bCs/>
        </w:rPr>
        <w:t>0 percent</w:t>
      </w:r>
      <w:r w:rsidRPr="005A497D">
        <w:rPr>
          <w:bCs/>
        </w:rPr>
        <w:t>. This suggests that low inflation is largely driven by volatile goods and is transitory in nature, and hence is not indicative of the economy slowing.</w:t>
      </w:r>
      <w:r>
        <w:rPr>
          <w:bCs/>
        </w:rPr>
        <w:t xml:space="preserve">  Table 2.1 shows selected economic indicators over the past three years.</w:t>
      </w:r>
    </w:p>
    <w:p w14:paraId="29DBBEBE" w14:textId="77777777" w:rsidR="001762EE" w:rsidRPr="00EB3782" w:rsidRDefault="001762EE" w:rsidP="00EB3782">
      <w:pPr>
        <w:rPr>
          <w:bCs/>
        </w:rPr>
      </w:pPr>
    </w:p>
    <w:p w14:paraId="6E315590" w14:textId="77777777" w:rsidR="001762EE" w:rsidRDefault="001762EE" w:rsidP="00EB3782">
      <w:pPr>
        <w:pStyle w:val="PEFATable"/>
        <w:spacing w:after="40"/>
        <w:jc w:val="both"/>
        <w:rPr>
          <w:sz w:val="24"/>
          <w:szCs w:val="24"/>
        </w:rPr>
      </w:pPr>
      <w:bookmarkStart w:id="30" w:name="_Toc454889233"/>
      <w:r w:rsidRPr="005A497D">
        <w:rPr>
          <w:sz w:val="24"/>
          <w:szCs w:val="24"/>
        </w:rPr>
        <w:t>Table 2.</w:t>
      </w:r>
      <w:r>
        <w:rPr>
          <w:sz w:val="24"/>
          <w:szCs w:val="24"/>
        </w:rPr>
        <w:t>1</w:t>
      </w:r>
      <w:r w:rsidRPr="005A497D">
        <w:rPr>
          <w:sz w:val="24"/>
          <w:szCs w:val="24"/>
        </w:rPr>
        <w:t xml:space="preserve">: </w:t>
      </w:r>
      <w:r>
        <w:rPr>
          <w:sz w:val="24"/>
          <w:szCs w:val="24"/>
        </w:rPr>
        <w:t>Selected economic indicators</w:t>
      </w:r>
      <w:bookmarkEnd w:id="30"/>
    </w:p>
    <w:tbl>
      <w:tblPr>
        <w:tblW w:w="482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358"/>
        <w:gridCol w:w="1546"/>
        <w:gridCol w:w="1546"/>
        <w:gridCol w:w="1546"/>
      </w:tblGrid>
      <w:tr w:rsidR="00D81D66" w:rsidRPr="005A497D" w14:paraId="41E9CFD1" w14:textId="77777777" w:rsidTr="00BB4F8B">
        <w:trPr>
          <w:trHeight w:val="340"/>
          <w:tblHeader/>
          <w:jc w:val="center"/>
        </w:trPr>
        <w:tc>
          <w:tcPr>
            <w:tcW w:w="2422" w:type="pct"/>
            <w:tcBorders>
              <w:top w:val="single" w:sz="4" w:space="0" w:color="auto"/>
              <w:bottom w:val="double" w:sz="4" w:space="0" w:color="auto"/>
            </w:tcBorders>
            <w:shd w:val="clear" w:color="auto" w:fill="D9D9D9" w:themeFill="background1" w:themeFillShade="D9"/>
            <w:noWrap/>
            <w:vAlign w:val="center"/>
            <w:hideMark/>
          </w:tcPr>
          <w:p w14:paraId="2CCAB186" w14:textId="77777777" w:rsidR="00D81D66" w:rsidRPr="005A497D" w:rsidRDefault="00D81D66" w:rsidP="00BB4F8B">
            <w:pPr>
              <w:jc w:val="center"/>
              <w:rPr>
                <w:b/>
                <w:color w:val="000000"/>
                <w:sz w:val="22"/>
                <w:szCs w:val="20"/>
              </w:rPr>
            </w:pPr>
          </w:p>
        </w:tc>
        <w:tc>
          <w:tcPr>
            <w:tcW w:w="859" w:type="pct"/>
            <w:tcBorders>
              <w:top w:val="single" w:sz="4" w:space="0" w:color="auto"/>
              <w:bottom w:val="double" w:sz="4" w:space="0" w:color="auto"/>
            </w:tcBorders>
            <w:shd w:val="clear" w:color="auto" w:fill="D9D9D9" w:themeFill="background1" w:themeFillShade="D9"/>
            <w:noWrap/>
            <w:vAlign w:val="center"/>
            <w:hideMark/>
          </w:tcPr>
          <w:p w14:paraId="77091EF8" w14:textId="77777777" w:rsidR="00D81D66" w:rsidRPr="004E24D6" w:rsidRDefault="00D81D66" w:rsidP="00BB4F8B">
            <w:pPr>
              <w:jc w:val="center"/>
              <w:rPr>
                <w:b/>
                <w:color w:val="000000"/>
                <w:sz w:val="22"/>
                <w:szCs w:val="20"/>
              </w:rPr>
            </w:pPr>
            <w:r w:rsidRPr="004E24D6">
              <w:rPr>
                <w:b/>
                <w:bCs/>
                <w:color w:val="000000"/>
                <w:sz w:val="22"/>
                <w:szCs w:val="22"/>
              </w:rPr>
              <w:t>2013</w:t>
            </w:r>
          </w:p>
        </w:tc>
        <w:tc>
          <w:tcPr>
            <w:tcW w:w="859" w:type="pct"/>
            <w:tcBorders>
              <w:top w:val="single" w:sz="4" w:space="0" w:color="auto"/>
              <w:bottom w:val="double" w:sz="4" w:space="0" w:color="auto"/>
            </w:tcBorders>
            <w:shd w:val="clear" w:color="auto" w:fill="D9D9D9" w:themeFill="background1" w:themeFillShade="D9"/>
            <w:noWrap/>
            <w:vAlign w:val="center"/>
            <w:hideMark/>
          </w:tcPr>
          <w:p w14:paraId="33F60043" w14:textId="77777777" w:rsidR="00D81D66" w:rsidRPr="004E24D6" w:rsidRDefault="00D81D66" w:rsidP="00BB4F8B">
            <w:pPr>
              <w:jc w:val="center"/>
              <w:rPr>
                <w:b/>
                <w:color w:val="000000"/>
                <w:sz w:val="22"/>
                <w:szCs w:val="20"/>
              </w:rPr>
            </w:pPr>
            <w:r w:rsidRPr="004E24D6">
              <w:rPr>
                <w:b/>
                <w:bCs/>
                <w:color w:val="000000"/>
                <w:sz w:val="22"/>
                <w:szCs w:val="22"/>
              </w:rPr>
              <w:t>2014</w:t>
            </w:r>
          </w:p>
        </w:tc>
        <w:tc>
          <w:tcPr>
            <w:tcW w:w="859" w:type="pct"/>
            <w:tcBorders>
              <w:top w:val="single" w:sz="4" w:space="0" w:color="auto"/>
              <w:bottom w:val="double" w:sz="4" w:space="0" w:color="auto"/>
            </w:tcBorders>
            <w:shd w:val="clear" w:color="auto" w:fill="D9D9D9" w:themeFill="background1" w:themeFillShade="D9"/>
            <w:noWrap/>
            <w:vAlign w:val="center"/>
            <w:hideMark/>
          </w:tcPr>
          <w:p w14:paraId="7F74E107" w14:textId="77777777" w:rsidR="00D81D66" w:rsidRPr="004E24D6" w:rsidRDefault="00D81D66" w:rsidP="00BB4F8B">
            <w:pPr>
              <w:jc w:val="center"/>
              <w:rPr>
                <w:b/>
                <w:color w:val="000000"/>
                <w:sz w:val="22"/>
                <w:szCs w:val="20"/>
              </w:rPr>
            </w:pPr>
            <w:r w:rsidRPr="004E24D6">
              <w:rPr>
                <w:b/>
                <w:bCs/>
                <w:color w:val="000000"/>
                <w:sz w:val="22"/>
                <w:szCs w:val="22"/>
              </w:rPr>
              <w:t>2015</w:t>
            </w:r>
          </w:p>
        </w:tc>
      </w:tr>
      <w:tr w:rsidR="00D81D66" w:rsidRPr="005A497D" w14:paraId="1A212A41" w14:textId="77777777" w:rsidTr="00BB4F8B">
        <w:trPr>
          <w:trHeight w:val="268"/>
          <w:jc w:val="center"/>
        </w:trPr>
        <w:tc>
          <w:tcPr>
            <w:tcW w:w="2422" w:type="pct"/>
            <w:tcBorders>
              <w:top w:val="double" w:sz="4" w:space="0" w:color="auto"/>
            </w:tcBorders>
            <w:shd w:val="clear" w:color="auto" w:fill="auto"/>
            <w:noWrap/>
            <w:vAlign w:val="center"/>
          </w:tcPr>
          <w:p w14:paraId="41D64B95" w14:textId="77777777" w:rsidR="00D81D66" w:rsidRPr="00E910D8" w:rsidRDefault="00D81D66" w:rsidP="00BB4F8B">
            <w:pPr>
              <w:spacing w:before="20" w:after="20"/>
              <w:rPr>
                <w:color w:val="000000"/>
                <w:sz w:val="20"/>
                <w:szCs w:val="20"/>
              </w:rPr>
            </w:pPr>
            <w:r w:rsidRPr="00E910D8">
              <w:rPr>
                <w:color w:val="000000"/>
                <w:sz w:val="20"/>
                <w:szCs w:val="20"/>
              </w:rPr>
              <w:t>GDP (current values, PHP billions)</w:t>
            </w:r>
          </w:p>
        </w:tc>
        <w:tc>
          <w:tcPr>
            <w:tcW w:w="859" w:type="pct"/>
            <w:tcBorders>
              <w:top w:val="double" w:sz="4" w:space="0" w:color="auto"/>
            </w:tcBorders>
            <w:shd w:val="clear" w:color="auto" w:fill="auto"/>
            <w:noWrap/>
            <w:vAlign w:val="center"/>
          </w:tcPr>
          <w:p w14:paraId="551E77FB"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11,538</w:t>
            </w:r>
          </w:p>
        </w:tc>
        <w:tc>
          <w:tcPr>
            <w:tcW w:w="859" w:type="pct"/>
            <w:tcBorders>
              <w:top w:val="double" w:sz="4" w:space="0" w:color="auto"/>
            </w:tcBorders>
            <w:shd w:val="clear" w:color="auto" w:fill="auto"/>
            <w:noWrap/>
            <w:vAlign w:val="center"/>
          </w:tcPr>
          <w:p w14:paraId="0CEDC4C2"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12,645</w:t>
            </w:r>
          </w:p>
        </w:tc>
        <w:tc>
          <w:tcPr>
            <w:tcW w:w="859" w:type="pct"/>
            <w:tcBorders>
              <w:top w:val="double" w:sz="4" w:space="0" w:color="auto"/>
            </w:tcBorders>
            <w:shd w:val="clear" w:color="auto" w:fill="auto"/>
            <w:noWrap/>
            <w:vAlign w:val="center"/>
          </w:tcPr>
          <w:p w14:paraId="18A20186"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13,307</w:t>
            </w:r>
          </w:p>
        </w:tc>
      </w:tr>
      <w:tr w:rsidR="00D81D66" w:rsidRPr="005A497D" w14:paraId="09AE80AD" w14:textId="77777777" w:rsidTr="00BB4F8B">
        <w:trPr>
          <w:trHeight w:val="256"/>
          <w:jc w:val="center"/>
        </w:trPr>
        <w:tc>
          <w:tcPr>
            <w:tcW w:w="2422" w:type="pct"/>
            <w:shd w:val="clear" w:color="auto" w:fill="auto"/>
            <w:noWrap/>
            <w:vAlign w:val="center"/>
          </w:tcPr>
          <w:p w14:paraId="055EB86A" w14:textId="77777777" w:rsidR="00D81D66" w:rsidRPr="00E910D8" w:rsidRDefault="00D81D66" w:rsidP="00BB4F8B">
            <w:pPr>
              <w:spacing w:before="20" w:after="20"/>
              <w:rPr>
                <w:color w:val="000000"/>
                <w:sz w:val="20"/>
                <w:szCs w:val="20"/>
              </w:rPr>
            </w:pPr>
            <w:r w:rsidRPr="00E910D8">
              <w:rPr>
                <w:color w:val="000000"/>
                <w:sz w:val="20"/>
                <w:szCs w:val="20"/>
              </w:rPr>
              <w:t>GDP per capita (current values, PHP thousands)</w:t>
            </w:r>
          </w:p>
        </w:tc>
        <w:tc>
          <w:tcPr>
            <w:tcW w:w="859" w:type="pct"/>
            <w:shd w:val="clear" w:color="auto" w:fill="auto"/>
            <w:noWrap/>
            <w:vAlign w:val="center"/>
          </w:tcPr>
          <w:p w14:paraId="1DD561D9"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117.5</w:t>
            </w:r>
          </w:p>
        </w:tc>
        <w:tc>
          <w:tcPr>
            <w:tcW w:w="859" w:type="pct"/>
            <w:shd w:val="clear" w:color="auto" w:fill="auto"/>
            <w:noWrap/>
            <w:vAlign w:val="center"/>
          </w:tcPr>
          <w:p w14:paraId="1E17832C"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126.6</w:t>
            </w:r>
          </w:p>
        </w:tc>
        <w:tc>
          <w:tcPr>
            <w:tcW w:w="859" w:type="pct"/>
            <w:shd w:val="clear" w:color="auto" w:fill="auto"/>
            <w:noWrap/>
            <w:vAlign w:val="center"/>
          </w:tcPr>
          <w:p w14:paraId="070FF173"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131.0</w:t>
            </w:r>
          </w:p>
        </w:tc>
      </w:tr>
      <w:tr w:rsidR="00D81D66" w:rsidRPr="005A497D" w14:paraId="1BE424AA" w14:textId="77777777" w:rsidTr="00BB4F8B">
        <w:trPr>
          <w:trHeight w:val="256"/>
          <w:jc w:val="center"/>
        </w:trPr>
        <w:tc>
          <w:tcPr>
            <w:tcW w:w="2422" w:type="pct"/>
            <w:shd w:val="clear" w:color="auto" w:fill="auto"/>
            <w:noWrap/>
            <w:vAlign w:val="center"/>
          </w:tcPr>
          <w:p w14:paraId="068B33A9" w14:textId="77777777" w:rsidR="00D81D66" w:rsidRPr="00E910D8" w:rsidRDefault="00D81D66" w:rsidP="00BB4F8B">
            <w:pPr>
              <w:spacing w:before="20" w:after="20"/>
              <w:rPr>
                <w:color w:val="000000"/>
                <w:sz w:val="20"/>
                <w:szCs w:val="20"/>
              </w:rPr>
            </w:pPr>
            <w:r w:rsidRPr="00E910D8">
              <w:rPr>
                <w:color w:val="000000"/>
                <w:sz w:val="20"/>
                <w:szCs w:val="20"/>
              </w:rPr>
              <w:t>Real GDP growth (%)</w:t>
            </w:r>
          </w:p>
        </w:tc>
        <w:tc>
          <w:tcPr>
            <w:tcW w:w="859" w:type="pct"/>
            <w:shd w:val="clear" w:color="auto" w:fill="auto"/>
            <w:noWrap/>
            <w:vAlign w:val="bottom"/>
          </w:tcPr>
          <w:p w14:paraId="25498076"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7.1</w:t>
            </w:r>
          </w:p>
        </w:tc>
        <w:tc>
          <w:tcPr>
            <w:tcW w:w="859" w:type="pct"/>
            <w:shd w:val="clear" w:color="auto" w:fill="auto"/>
            <w:noWrap/>
            <w:vAlign w:val="bottom"/>
          </w:tcPr>
          <w:p w14:paraId="0FD1ECD6"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6.2</w:t>
            </w:r>
          </w:p>
        </w:tc>
        <w:tc>
          <w:tcPr>
            <w:tcW w:w="859" w:type="pct"/>
            <w:shd w:val="clear" w:color="auto" w:fill="auto"/>
            <w:noWrap/>
            <w:vAlign w:val="bottom"/>
          </w:tcPr>
          <w:p w14:paraId="0377898A"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5.9</w:t>
            </w:r>
          </w:p>
        </w:tc>
      </w:tr>
      <w:tr w:rsidR="00D81D66" w:rsidRPr="005A497D" w14:paraId="3B9377EF" w14:textId="77777777" w:rsidTr="00BB4F8B">
        <w:trPr>
          <w:trHeight w:val="256"/>
          <w:jc w:val="center"/>
        </w:trPr>
        <w:tc>
          <w:tcPr>
            <w:tcW w:w="2422" w:type="pct"/>
            <w:shd w:val="clear" w:color="auto" w:fill="auto"/>
            <w:noWrap/>
            <w:vAlign w:val="center"/>
          </w:tcPr>
          <w:p w14:paraId="1A5F43B5" w14:textId="77777777" w:rsidR="00D81D66" w:rsidRPr="00E910D8" w:rsidRDefault="00D81D66" w:rsidP="00BB4F8B">
            <w:pPr>
              <w:spacing w:before="20" w:after="20"/>
              <w:rPr>
                <w:color w:val="000000"/>
                <w:sz w:val="20"/>
                <w:szCs w:val="20"/>
              </w:rPr>
            </w:pPr>
            <w:r w:rsidRPr="00E910D8">
              <w:rPr>
                <w:color w:val="000000"/>
                <w:sz w:val="20"/>
                <w:szCs w:val="20"/>
              </w:rPr>
              <w:t>CPI (annual average change, (%)</w:t>
            </w:r>
          </w:p>
        </w:tc>
        <w:tc>
          <w:tcPr>
            <w:tcW w:w="859" w:type="pct"/>
            <w:shd w:val="clear" w:color="auto" w:fill="auto"/>
            <w:noWrap/>
            <w:vAlign w:val="bottom"/>
          </w:tcPr>
          <w:p w14:paraId="53B54833"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3.0</w:t>
            </w:r>
          </w:p>
        </w:tc>
        <w:tc>
          <w:tcPr>
            <w:tcW w:w="859" w:type="pct"/>
            <w:shd w:val="clear" w:color="auto" w:fill="auto"/>
            <w:noWrap/>
            <w:vAlign w:val="bottom"/>
          </w:tcPr>
          <w:p w14:paraId="6C9FB75F"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4.1</w:t>
            </w:r>
          </w:p>
        </w:tc>
        <w:tc>
          <w:tcPr>
            <w:tcW w:w="859" w:type="pct"/>
            <w:shd w:val="clear" w:color="auto" w:fill="auto"/>
            <w:noWrap/>
            <w:vAlign w:val="bottom"/>
          </w:tcPr>
          <w:p w14:paraId="464AB877"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1.4</w:t>
            </w:r>
          </w:p>
        </w:tc>
      </w:tr>
      <w:tr w:rsidR="00D81D66" w:rsidRPr="005A497D" w14:paraId="1BAC6D92" w14:textId="77777777" w:rsidTr="00BB4F8B">
        <w:trPr>
          <w:trHeight w:val="256"/>
          <w:jc w:val="center"/>
        </w:trPr>
        <w:tc>
          <w:tcPr>
            <w:tcW w:w="2422" w:type="pct"/>
            <w:shd w:val="clear" w:color="auto" w:fill="auto"/>
            <w:noWrap/>
            <w:vAlign w:val="center"/>
          </w:tcPr>
          <w:p w14:paraId="236CE956" w14:textId="77777777" w:rsidR="00D81D66" w:rsidRPr="00E910D8" w:rsidRDefault="00D81D66" w:rsidP="00BB4F8B">
            <w:pPr>
              <w:spacing w:before="20" w:after="20"/>
              <w:rPr>
                <w:color w:val="000000"/>
                <w:sz w:val="20"/>
                <w:szCs w:val="20"/>
              </w:rPr>
            </w:pPr>
            <w:r w:rsidRPr="00E910D8">
              <w:rPr>
                <w:color w:val="000000"/>
                <w:sz w:val="20"/>
                <w:szCs w:val="20"/>
              </w:rPr>
              <w:t>National government debt (% of GDP)</w:t>
            </w:r>
          </w:p>
        </w:tc>
        <w:tc>
          <w:tcPr>
            <w:tcW w:w="859" w:type="pct"/>
            <w:shd w:val="clear" w:color="auto" w:fill="auto"/>
            <w:noWrap/>
            <w:vAlign w:val="bottom"/>
          </w:tcPr>
          <w:p w14:paraId="24405618"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49.2</w:t>
            </w:r>
          </w:p>
        </w:tc>
        <w:tc>
          <w:tcPr>
            <w:tcW w:w="859" w:type="pct"/>
            <w:shd w:val="clear" w:color="auto" w:fill="auto"/>
            <w:noWrap/>
            <w:vAlign w:val="bottom"/>
          </w:tcPr>
          <w:p w14:paraId="5333A5FE"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45.4</w:t>
            </w:r>
          </w:p>
        </w:tc>
        <w:tc>
          <w:tcPr>
            <w:tcW w:w="859" w:type="pct"/>
            <w:shd w:val="clear" w:color="auto" w:fill="auto"/>
            <w:noWrap/>
            <w:vAlign w:val="bottom"/>
          </w:tcPr>
          <w:p w14:paraId="7F73E1DA"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44.8</w:t>
            </w:r>
          </w:p>
        </w:tc>
      </w:tr>
      <w:tr w:rsidR="00D81D66" w:rsidRPr="005A497D" w14:paraId="778A6BD9" w14:textId="77777777" w:rsidTr="00BB4F8B">
        <w:trPr>
          <w:trHeight w:val="256"/>
          <w:jc w:val="center"/>
        </w:trPr>
        <w:tc>
          <w:tcPr>
            <w:tcW w:w="2422" w:type="pct"/>
            <w:shd w:val="clear" w:color="auto" w:fill="auto"/>
            <w:noWrap/>
            <w:vAlign w:val="center"/>
          </w:tcPr>
          <w:p w14:paraId="40F439CE" w14:textId="77777777" w:rsidR="00D81D66" w:rsidRPr="00E910D8" w:rsidRDefault="00D81D66" w:rsidP="00BB4F8B">
            <w:pPr>
              <w:spacing w:before="20" w:after="20"/>
              <w:rPr>
                <w:color w:val="000000"/>
                <w:sz w:val="20"/>
                <w:szCs w:val="20"/>
              </w:rPr>
            </w:pPr>
            <w:r w:rsidRPr="00E910D8">
              <w:rPr>
                <w:color w:val="000000"/>
                <w:sz w:val="20"/>
                <w:szCs w:val="20"/>
              </w:rPr>
              <w:t>External terms of trade (annual % change)</w:t>
            </w:r>
          </w:p>
        </w:tc>
        <w:tc>
          <w:tcPr>
            <w:tcW w:w="859" w:type="pct"/>
            <w:shd w:val="clear" w:color="auto" w:fill="auto"/>
            <w:noWrap/>
            <w:vAlign w:val="center"/>
          </w:tcPr>
          <w:p w14:paraId="745A5D6A"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p>
        </w:tc>
        <w:tc>
          <w:tcPr>
            <w:tcW w:w="859" w:type="pct"/>
            <w:shd w:val="clear" w:color="auto" w:fill="auto"/>
            <w:noWrap/>
            <w:vAlign w:val="center"/>
          </w:tcPr>
          <w:p w14:paraId="49BE9395"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p>
        </w:tc>
        <w:tc>
          <w:tcPr>
            <w:tcW w:w="859" w:type="pct"/>
            <w:shd w:val="clear" w:color="auto" w:fill="auto"/>
            <w:noWrap/>
            <w:vAlign w:val="center"/>
          </w:tcPr>
          <w:p w14:paraId="2F30A082"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p>
        </w:tc>
      </w:tr>
      <w:tr w:rsidR="00D81D66" w:rsidRPr="005A497D" w14:paraId="533AFC74" w14:textId="77777777" w:rsidTr="00BB4F8B">
        <w:trPr>
          <w:trHeight w:val="256"/>
          <w:jc w:val="center"/>
        </w:trPr>
        <w:tc>
          <w:tcPr>
            <w:tcW w:w="2422" w:type="pct"/>
            <w:shd w:val="clear" w:color="auto" w:fill="auto"/>
            <w:noWrap/>
            <w:vAlign w:val="center"/>
          </w:tcPr>
          <w:p w14:paraId="14584EC2" w14:textId="77777777" w:rsidR="00D81D66" w:rsidRPr="00E910D8" w:rsidRDefault="00D81D66" w:rsidP="00BB4F8B">
            <w:pPr>
              <w:spacing w:before="20" w:after="20"/>
              <w:ind w:firstLine="396"/>
              <w:rPr>
                <w:color w:val="000000"/>
                <w:sz w:val="20"/>
                <w:szCs w:val="20"/>
              </w:rPr>
            </w:pPr>
            <w:r w:rsidRPr="00E910D8">
              <w:rPr>
                <w:color w:val="000000"/>
                <w:sz w:val="20"/>
                <w:szCs w:val="20"/>
              </w:rPr>
              <w:t>Exports of goods and services</w:t>
            </w:r>
          </w:p>
        </w:tc>
        <w:tc>
          <w:tcPr>
            <w:tcW w:w="859" w:type="pct"/>
            <w:shd w:val="clear" w:color="auto" w:fill="auto"/>
            <w:noWrap/>
            <w:vAlign w:val="bottom"/>
          </w:tcPr>
          <w:p w14:paraId="1AD223BF"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1.5</w:t>
            </w:r>
          </w:p>
        </w:tc>
        <w:tc>
          <w:tcPr>
            <w:tcW w:w="859" w:type="pct"/>
            <w:shd w:val="clear" w:color="auto" w:fill="auto"/>
            <w:noWrap/>
            <w:vAlign w:val="bottom"/>
          </w:tcPr>
          <w:p w14:paraId="0AB223DE"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10.4</w:t>
            </w:r>
          </w:p>
        </w:tc>
        <w:tc>
          <w:tcPr>
            <w:tcW w:w="859" w:type="pct"/>
            <w:shd w:val="clear" w:color="auto" w:fill="auto"/>
            <w:noWrap/>
            <w:vAlign w:val="bottom"/>
          </w:tcPr>
          <w:p w14:paraId="6F16A814"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-3.8</w:t>
            </w:r>
          </w:p>
        </w:tc>
      </w:tr>
      <w:tr w:rsidR="00D81D66" w:rsidRPr="005A497D" w14:paraId="3D5593DA" w14:textId="77777777" w:rsidTr="00BB4F8B">
        <w:trPr>
          <w:trHeight w:val="256"/>
          <w:jc w:val="center"/>
        </w:trPr>
        <w:tc>
          <w:tcPr>
            <w:tcW w:w="2422" w:type="pct"/>
            <w:shd w:val="clear" w:color="auto" w:fill="auto"/>
            <w:noWrap/>
            <w:vAlign w:val="center"/>
          </w:tcPr>
          <w:p w14:paraId="18F3CB47" w14:textId="77777777" w:rsidR="00D81D66" w:rsidRPr="00E910D8" w:rsidRDefault="00D81D66" w:rsidP="00BB4F8B">
            <w:pPr>
              <w:spacing w:before="20" w:after="20"/>
              <w:ind w:firstLine="396"/>
              <w:rPr>
                <w:color w:val="000000"/>
                <w:sz w:val="20"/>
                <w:szCs w:val="20"/>
              </w:rPr>
            </w:pPr>
            <w:r w:rsidRPr="00E910D8">
              <w:rPr>
                <w:color w:val="000000"/>
                <w:sz w:val="20"/>
                <w:szCs w:val="20"/>
              </w:rPr>
              <w:t>Imports of goods and services</w:t>
            </w:r>
          </w:p>
        </w:tc>
        <w:tc>
          <w:tcPr>
            <w:tcW w:w="859" w:type="pct"/>
            <w:shd w:val="clear" w:color="auto" w:fill="auto"/>
            <w:noWrap/>
            <w:vAlign w:val="bottom"/>
          </w:tcPr>
          <w:p w14:paraId="5BCA342A"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-2.0</w:t>
            </w:r>
          </w:p>
        </w:tc>
        <w:tc>
          <w:tcPr>
            <w:tcW w:w="859" w:type="pct"/>
            <w:shd w:val="clear" w:color="auto" w:fill="auto"/>
            <w:noWrap/>
            <w:vAlign w:val="bottom"/>
          </w:tcPr>
          <w:p w14:paraId="77401322"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11.9</w:t>
            </w:r>
          </w:p>
        </w:tc>
        <w:tc>
          <w:tcPr>
            <w:tcW w:w="859" w:type="pct"/>
            <w:shd w:val="clear" w:color="auto" w:fill="auto"/>
            <w:noWrap/>
            <w:vAlign w:val="bottom"/>
          </w:tcPr>
          <w:p w14:paraId="702B046C"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-0.1</w:t>
            </w:r>
          </w:p>
        </w:tc>
      </w:tr>
      <w:tr w:rsidR="00D81D66" w:rsidRPr="005A497D" w14:paraId="4354FE86" w14:textId="77777777" w:rsidTr="00BB4F8B">
        <w:trPr>
          <w:trHeight w:val="256"/>
          <w:jc w:val="center"/>
        </w:trPr>
        <w:tc>
          <w:tcPr>
            <w:tcW w:w="2422" w:type="pct"/>
            <w:shd w:val="clear" w:color="auto" w:fill="auto"/>
            <w:noWrap/>
            <w:vAlign w:val="center"/>
          </w:tcPr>
          <w:p w14:paraId="1715EC56" w14:textId="77777777" w:rsidR="00D81D66" w:rsidRPr="00E910D8" w:rsidRDefault="00D81D66" w:rsidP="00BB4F8B">
            <w:pPr>
              <w:spacing w:before="20" w:after="20"/>
              <w:rPr>
                <w:color w:val="000000"/>
                <w:sz w:val="20"/>
                <w:szCs w:val="20"/>
              </w:rPr>
            </w:pPr>
            <w:r w:rsidRPr="00E910D8">
              <w:rPr>
                <w:color w:val="000000"/>
                <w:sz w:val="20"/>
                <w:szCs w:val="20"/>
              </w:rPr>
              <w:t>Current account balance (% of GDP)</w:t>
            </w:r>
          </w:p>
        </w:tc>
        <w:tc>
          <w:tcPr>
            <w:tcW w:w="859" w:type="pct"/>
            <w:shd w:val="clear" w:color="auto" w:fill="auto"/>
            <w:noWrap/>
            <w:vAlign w:val="bottom"/>
          </w:tcPr>
          <w:p w14:paraId="3F18666D"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4.2</w:t>
            </w:r>
          </w:p>
        </w:tc>
        <w:tc>
          <w:tcPr>
            <w:tcW w:w="859" w:type="pct"/>
            <w:shd w:val="clear" w:color="auto" w:fill="auto"/>
            <w:noWrap/>
            <w:vAlign w:val="bottom"/>
          </w:tcPr>
          <w:p w14:paraId="261E2C81"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3.8</w:t>
            </w:r>
          </w:p>
        </w:tc>
        <w:tc>
          <w:tcPr>
            <w:tcW w:w="859" w:type="pct"/>
            <w:shd w:val="clear" w:color="auto" w:fill="auto"/>
            <w:noWrap/>
            <w:vAlign w:val="bottom"/>
          </w:tcPr>
          <w:p w14:paraId="6E9E2096"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2.9</w:t>
            </w:r>
          </w:p>
        </w:tc>
      </w:tr>
      <w:tr w:rsidR="00D81D66" w:rsidRPr="005A497D" w14:paraId="3A2DD636" w14:textId="77777777" w:rsidTr="00BB4F8B">
        <w:trPr>
          <w:trHeight w:val="256"/>
          <w:jc w:val="center"/>
        </w:trPr>
        <w:tc>
          <w:tcPr>
            <w:tcW w:w="2422" w:type="pct"/>
            <w:shd w:val="clear" w:color="auto" w:fill="auto"/>
            <w:noWrap/>
            <w:vAlign w:val="center"/>
          </w:tcPr>
          <w:p w14:paraId="2EB5210A" w14:textId="77777777" w:rsidR="00D81D66" w:rsidRPr="00E910D8" w:rsidRDefault="00D81D66" w:rsidP="00BB4F8B">
            <w:pPr>
              <w:spacing w:before="20" w:after="20"/>
              <w:rPr>
                <w:color w:val="000000"/>
                <w:sz w:val="20"/>
                <w:szCs w:val="20"/>
              </w:rPr>
            </w:pPr>
            <w:r w:rsidRPr="00E910D8">
              <w:rPr>
                <w:color w:val="000000"/>
                <w:sz w:val="20"/>
                <w:szCs w:val="20"/>
              </w:rPr>
              <w:t>External debt (% of GDP)</w:t>
            </w:r>
          </w:p>
        </w:tc>
        <w:tc>
          <w:tcPr>
            <w:tcW w:w="859" w:type="pct"/>
            <w:shd w:val="clear" w:color="auto" w:fill="auto"/>
            <w:noWrap/>
            <w:vAlign w:val="bottom"/>
          </w:tcPr>
          <w:p w14:paraId="75C1459C"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28.9</w:t>
            </w:r>
          </w:p>
        </w:tc>
        <w:tc>
          <w:tcPr>
            <w:tcW w:w="859" w:type="pct"/>
            <w:shd w:val="clear" w:color="auto" w:fill="auto"/>
            <w:noWrap/>
            <w:vAlign w:val="bottom"/>
          </w:tcPr>
          <w:p w14:paraId="12986EBB"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27.3</w:t>
            </w:r>
          </w:p>
        </w:tc>
        <w:tc>
          <w:tcPr>
            <w:tcW w:w="859" w:type="pct"/>
            <w:shd w:val="clear" w:color="auto" w:fill="auto"/>
            <w:noWrap/>
            <w:vAlign w:val="bottom"/>
          </w:tcPr>
          <w:p w14:paraId="7CDCB58D"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26.5</w:t>
            </w:r>
          </w:p>
        </w:tc>
      </w:tr>
      <w:tr w:rsidR="00D81D66" w:rsidRPr="005A497D" w14:paraId="6618062A" w14:textId="77777777" w:rsidTr="00BB4F8B">
        <w:trPr>
          <w:trHeight w:val="256"/>
          <w:jc w:val="center"/>
        </w:trPr>
        <w:tc>
          <w:tcPr>
            <w:tcW w:w="2422" w:type="pct"/>
            <w:shd w:val="clear" w:color="auto" w:fill="auto"/>
            <w:noWrap/>
            <w:vAlign w:val="center"/>
          </w:tcPr>
          <w:p w14:paraId="0B7FB65A" w14:textId="77777777" w:rsidR="00D81D66" w:rsidRPr="00E910D8" w:rsidRDefault="00D81D66" w:rsidP="00BB4F8B">
            <w:pPr>
              <w:spacing w:before="20" w:after="20"/>
              <w:rPr>
                <w:color w:val="000000"/>
                <w:sz w:val="20"/>
                <w:szCs w:val="20"/>
              </w:rPr>
            </w:pPr>
            <w:r w:rsidRPr="00E910D8">
              <w:rPr>
                <w:color w:val="000000"/>
                <w:sz w:val="20"/>
                <w:szCs w:val="20"/>
              </w:rPr>
              <w:t>Gross official reserves (months of imports)</w:t>
            </w:r>
          </w:p>
        </w:tc>
        <w:tc>
          <w:tcPr>
            <w:tcW w:w="859" w:type="pct"/>
            <w:shd w:val="clear" w:color="auto" w:fill="auto"/>
            <w:noWrap/>
            <w:vAlign w:val="bottom"/>
          </w:tcPr>
          <w:p w14:paraId="3D836147"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11.5</w:t>
            </w:r>
          </w:p>
        </w:tc>
        <w:tc>
          <w:tcPr>
            <w:tcW w:w="859" w:type="pct"/>
            <w:shd w:val="clear" w:color="auto" w:fill="auto"/>
            <w:noWrap/>
            <w:vAlign w:val="bottom"/>
          </w:tcPr>
          <w:p w14:paraId="7437BEAD"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9.9</w:t>
            </w:r>
          </w:p>
        </w:tc>
        <w:tc>
          <w:tcPr>
            <w:tcW w:w="859" w:type="pct"/>
            <w:shd w:val="clear" w:color="auto" w:fill="auto"/>
            <w:noWrap/>
            <w:vAlign w:val="bottom"/>
          </w:tcPr>
          <w:p w14:paraId="199AE38B" w14:textId="77777777" w:rsidR="00D81D66" w:rsidRPr="00E910D8" w:rsidRDefault="00D81D66" w:rsidP="00BB4F8B">
            <w:pPr>
              <w:pStyle w:val="NormalWeb"/>
              <w:autoSpaceDE w:val="0"/>
              <w:autoSpaceDN w:val="0"/>
              <w:adjustRightInd w:val="0"/>
              <w:spacing w:before="40" w:beforeAutospacing="0" w:after="0" w:afterAutospacing="0"/>
              <w:ind w:right="482"/>
              <w:jc w:val="right"/>
              <w:rPr>
                <w:color w:val="000000"/>
                <w:sz w:val="20"/>
                <w:szCs w:val="20"/>
              </w:rPr>
            </w:pPr>
            <w:r w:rsidRPr="00E910D8">
              <w:rPr>
                <w:color w:val="000000"/>
                <w:sz w:val="20"/>
                <w:szCs w:val="20"/>
              </w:rPr>
              <w:t>10.1</w:t>
            </w:r>
          </w:p>
        </w:tc>
      </w:tr>
    </w:tbl>
    <w:p w14:paraId="674D8A32" w14:textId="77777777" w:rsidR="001762EE" w:rsidRPr="007A5BC2" w:rsidRDefault="001762EE" w:rsidP="00E910D8">
      <w:pPr>
        <w:pStyle w:val="NormalWeb"/>
        <w:autoSpaceDE w:val="0"/>
        <w:autoSpaceDN w:val="0"/>
        <w:adjustRightInd w:val="0"/>
        <w:spacing w:before="40" w:beforeAutospacing="0" w:after="0" w:afterAutospacing="0"/>
        <w:jc w:val="both"/>
        <w:rPr>
          <w:sz w:val="18"/>
          <w:szCs w:val="18"/>
        </w:rPr>
      </w:pPr>
      <w:r w:rsidRPr="006F5BF0">
        <w:rPr>
          <w:i/>
          <w:sz w:val="18"/>
          <w:szCs w:val="18"/>
        </w:rPr>
        <w:t>Source</w:t>
      </w:r>
      <w:r w:rsidRPr="005321FD">
        <w:rPr>
          <w:sz w:val="18"/>
          <w:szCs w:val="18"/>
        </w:rPr>
        <w:t xml:space="preserve">: </w:t>
      </w:r>
      <w:r w:rsidRPr="006F5BF0">
        <w:rPr>
          <w:sz w:val="18"/>
          <w:szCs w:val="18"/>
        </w:rPr>
        <w:t>PSA</w:t>
      </w:r>
      <w:r>
        <w:rPr>
          <w:sz w:val="18"/>
          <w:szCs w:val="18"/>
        </w:rPr>
        <w:t>, BSP, and BTr</w:t>
      </w:r>
    </w:p>
    <w:p w14:paraId="0DF8032D" w14:textId="77777777" w:rsidR="001762EE" w:rsidRPr="005A497D" w:rsidRDefault="001762EE" w:rsidP="00FA09A4">
      <w:pPr>
        <w:pStyle w:val="ListParagraph"/>
        <w:tabs>
          <w:tab w:val="left" w:pos="720"/>
        </w:tabs>
        <w:autoSpaceDE w:val="0"/>
        <w:autoSpaceDN w:val="0"/>
        <w:adjustRightInd w:val="0"/>
        <w:spacing w:after="0" w:line="240" w:lineRule="auto"/>
        <w:ind w:left="0" w:firstLine="0"/>
        <w:jc w:val="both"/>
        <w:rPr>
          <w:bCs/>
        </w:rPr>
      </w:pPr>
    </w:p>
    <w:p w14:paraId="176D8EDD" w14:textId="1686C3EC" w:rsidR="001762EE" w:rsidRDefault="001762EE" w:rsidP="00411651">
      <w:pPr>
        <w:pStyle w:val="Heading3"/>
      </w:pPr>
      <w:bookmarkStart w:id="31" w:name="_Toc454811639"/>
      <w:bookmarkStart w:id="32" w:name="_Toc454888784"/>
      <w:r w:rsidRPr="005A497D">
        <w:t xml:space="preserve">2.2 </w:t>
      </w:r>
      <w:r>
        <w:t>F</w:t>
      </w:r>
      <w:r w:rsidRPr="005A497D">
        <w:t>iscal and Budgetary</w:t>
      </w:r>
      <w:r>
        <w:t xml:space="preserve"> Trends</w:t>
      </w:r>
      <w:bookmarkEnd w:id="31"/>
      <w:bookmarkEnd w:id="32"/>
    </w:p>
    <w:p w14:paraId="453F0F5D" w14:textId="77777777" w:rsidR="001762EE" w:rsidRPr="00772CD4" w:rsidRDefault="001762EE" w:rsidP="00772CD4"/>
    <w:p w14:paraId="03780509" w14:textId="4B57F48E" w:rsidR="001762EE" w:rsidRPr="005A497D" w:rsidRDefault="00581BD2" w:rsidP="00EB3782">
      <w:pPr>
        <w:pStyle w:val="ListParagraph"/>
        <w:numPr>
          <w:ilvl w:val="0"/>
          <w:numId w:val="10"/>
        </w:numPr>
        <w:tabs>
          <w:tab w:val="left" w:pos="720"/>
        </w:tabs>
        <w:autoSpaceDE w:val="0"/>
        <w:autoSpaceDN w:val="0"/>
        <w:adjustRightInd w:val="0"/>
        <w:spacing w:after="0" w:line="240" w:lineRule="auto"/>
        <w:ind w:left="0" w:firstLine="0"/>
        <w:jc w:val="both"/>
        <w:rPr>
          <w:bCs/>
        </w:rPr>
      </w:pPr>
      <w:r>
        <w:t>H</w:t>
      </w:r>
      <w:r w:rsidRPr="005A497D">
        <w:rPr>
          <w:bCs/>
        </w:rPr>
        <w:t>igher revenues and weak spending have led to a growing fiscal space</w:t>
      </w:r>
      <w:r>
        <w:rPr>
          <w:bCs/>
        </w:rPr>
        <w:t xml:space="preserve"> </w:t>
      </w:r>
      <w:r w:rsidRPr="005A497D">
        <w:rPr>
          <w:bCs/>
        </w:rPr>
        <w:t>despite unprecedented increases in the budget in recent years. In 201</w:t>
      </w:r>
      <w:r>
        <w:rPr>
          <w:bCs/>
        </w:rPr>
        <w:t>5</w:t>
      </w:r>
      <w:r w:rsidRPr="005A497D">
        <w:rPr>
          <w:bCs/>
        </w:rPr>
        <w:t xml:space="preserve">, </w:t>
      </w:r>
      <w:r>
        <w:rPr>
          <w:bCs/>
        </w:rPr>
        <w:t>despite some revenue reducing measures,</w:t>
      </w:r>
      <w:r>
        <w:rPr>
          <w:rStyle w:val="FootnoteReference"/>
          <w:bCs/>
        </w:rPr>
        <w:footnoteReference w:id="1"/>
      </w:r>
      <w:r>
        <w:rPr>
          <w:bCs/>
        </w:rPr>
        <w:t xml:space="preserve"> tax effort was sustained at 13.6 percent in part</w:t>
      </w:r>
      <w:r w:rsidRPr="005A497D">
        <w:rPr>
          <w:bCs/>
        </w:rPr>
        <w:t xml:space="preserve"> due to strong private sector growth, </w:t>
      </w:r>
      <w:r w:rsidRPr="005323C0">
        <w:rPr>
          <w:bCs/>
        </w:rPr>
        <w:t>ramp-</w:t>
      </w:r>
      <w:r w:rsidRPr="009D76C2">
        <w:rPr>
          <w:bCs/>
        </w:rPr>
        <w:t>up</w:t>
      </w:r>
      <w:r w:rsidRPr="005A497D">
        <w:rPr>
          <w:bCs/>
        </w:rPr>
        <w:t xml:space="preserve"> of</w:t>
      </w:r>
      <w:r>
        <w:rPr>
          <w:bCs/>
        </w:rPr>
        <w:t xml:space="preserve"> excise tax rates and less leakages from</w:t>
      </w:r>
      <w:r w:rsidRPr="005A497D">
        <w:rPr>
          <w:bCs/>
        </w:rPr>
        <w:t xml:space="preserve"> sin tax, and improved tax administration.</w:t>
      </w:r>
      <w:r>
        <w:rPr>
          <w:bCs/>
        </w:rPr>
        <w:t xml:space="preserve"> However, government spending</w:t>
      </w:r>
      <w:r w:rsidRPr="005A497D">
        <w:rPr>
          <w:bCs/>
        </w:rPr>
        <w:t xml:space="preserve"> </w:t>
      </w:r>
      <w:r>
        <w:rPr>
          <w:bCs/>
        </w:rPr>
        <w:t>decreased from 17.3 percent</w:t>
      </w:r>
      <w:r w:rsidRPr="005A497D">
        <w:rPr>
          <w:bCs/>
        </w:rPr>
        <w:t xml:space="preserve"> of GDP</w:t>
      </w:r>
      <w:r>
        <w:rPr>
          <w:bCs/>
        </w:rPr>
        <w:t xml:space="preserve"> in 2013 to 16.8 percent</w:t>
      </w:r>
      <w:r w:rsidRPr="005A497D">
        <w:rPr>
          <w:bCs/>
        </w:rPr>
        <w:t xml:space="preserve"> of GDP in 201</w:t>
      </w:r>
      <w:r>
        <w:rPr>
          <w:bCs/>
        </w:rPr>
        <w:t>5</w:t>
      </w:r>
      <w:r w:rsidRPr="005A497D">
        <w:rPr>
          <w:bCs/>
        </w:rPr>
        <w:t xml:space="preserve">. </w:t>
      </w:r>
      <w:r>
        <w:rPr>
          <w:bCs/>
        </w:rPr>
        <w:t>For instance, during the same period</w:t>
      </w:r>
      <w:r w:rsidRPr="005A497D">
        <w:rPr>
          <w:bCs/>
        </w:rPr>
        <w:t xml:space="preserve">, while the budget increased by </w:t>
      </w:r>
      <w:r>
        <w:rPr>
          <w:bCs/>
        </w:rPr>
        <w:t>more than 30 percent</w:t>
      </w:r>
      <w:r w:rsidRPr="005A497D">
        <w:rPr>
          <w:bCs/>
        </w:rPr>
        <w:t xml:space="preserve">, government expenditures only increased by </w:t>
      </w:r>
      <w:r>
        <w:rPr>
          <w:bCs/>
        </w:rPr>
        <w:t>11.6 percent</w:t>
      </w:r>
      <w:r w:rsidRPr="005A497D">
        <w:rPr>
          <w:bCs/>
        </w:rPr>
        <w:t xml:space="preserve"> in nominal terms. Key </w:t>
      </w:r>
      <w:r>
        <w:rPr>
          <w:bCs/>
        </w:rPr>
        <w:t xml:space="preserve">numbers from the Government’s aggregate fiscal data </w:t>
      </w:r>
      <w:r w:rsidRPr="005A497D">
        <w:rPr>
          <w:bCs/>
        </w:rPr>
        <w:t xml:space="preserve">are shown in </w:t>
      </w:r>
      <w:r>
        <w:rPr>
          <w:bCs/>
        </w:rPr>
        <w:t>Table 2.2</w:t>
      </w:r>
      <w:r w:rsidRPr="005A497D">
        <w:rPr>
          <w:bCs/>
        </w:rPr>
        <w:t>.</w:t>
      </w:r>
    </w:p>
    <w:p w14:paraId="2E65EEE8" w14:textId="77777777" w:rsidR="001762EE" w:rsidRPr="005A497D" w:rsidRDefault="001762EE" w:rsidP="00EB3782">
      <w:pPr>
        <w:pStyle w:val="NormalWeb"/>
        <w:autoSpaceDE w:val="0"/>
        <w:autoSpaceDN w:val="0"/>
        <w:adjustRightInd w:val="0"/>
        <w:spacing w:before="0" w:beforeAutospacing="0" w:after="0" w:afterAutospacing="0"/>
        <w:contextualSpacing/>
        <w:jc w:val="both"/>
        <w:rPr>
          <w:bCs/>
        </w:rPr>
      </w:pPr>
    </w:p>
    <w:p w14:paraId="059FD403" w14:textId="77777777" w:rsidR="00830FB1" w:rsidRPr="005A497D" w:rsidRDefault="00830FB1" w:rsidP="00830FB1">
      <w:pPr>
        <w:pStyle w:val="ListParagraph"/>
        <w:numPr>
          <w:ilvl w:val="0"/>
          <w:numId w:val="10"/>
        </w:numPr>
        <w:tabs>
          <w:tab w:val="left" w:pos="720"/>
        </w:tabs>
        <w:autoSpaceDE w:val="0"/>
        <w:autoSpaceDN w:val="0"/>
        <w:adjustRightInd w:val="0"/>
        <w:spacing w:after="0" w:line="240" w:lineRule="auto"/>
        <w:ind w:left="0" w:firstLine="0"/>
        <w:jc w:val="both"/>
        <w:rPr>
          <w:bCs/>
        </w:rPr>
      </w:pPr>
      <w:bookmarkStart w:id="33" w:name="_Toc429682012"/>
      <w:bookmarkStart w:id="34" w:name="_Toc436161452"/>
      <w:r w:rsidRPr="00EE024A">
        <w:rPr>
          <w:b/>
          <w:bCs/>
        </w:rPr>
        <w:t xml:space="preserve">Increases in </w:t>
      </w:r>
      <w:r>
        <w:rPr>
          <w:b/>
          <w:bCs/>
        </w:rPr>
        <w:t>the budget</w:t>
      </w:r>
      <w:r w:rsidRPr="00EE024A">
        <w:rPr>
          <w:b/>
          <w:bCs/>
        </w:rPr>
        <w:t xml:space="preserve"> were rightly targeted toward priority areas.</w:t>
      </w:r>
      <w:r>
        <w:rPr>
          <w:bCs/>
        </w:rPr>
        <w:t xml:space="preserve"> </w:t>
      </w:r>
      <w:r w:rsidRPr="005A497D">
        <w:rPr>
          <w:bCs/>
        </w:rPr>
        <w:t>The budget for education, health, and social protection grew by almost three times between 2010 and 2016. As a result, the Philippines today has a world</w:t>
      </w:r>
      <w:r>
        <w:rPr>
          <w:bCs/>
        </w:rPr>
        <w:t>-</w:t>
      </w:r>
      <w:r w:rsidRPr="005A497D">
        <w:rPr>
          <w:bCs/>
        </w:rPr>
        <w:t xml:space="preserve">class conditional cash transfer program. </w:t>
      </w:r>
      <w:r>
        <w:rPr>
          <w:bCs/>
        </w:rPr>
        <w:t>The</w:t>
      </w:r>
      <w:r w:rsidRPr="005A497D">
        <w:rPr>
          <w:bCs/>
        </w:rPr>
        <w:t xml:space="preserve"> public education system provides 13 years of free schooling</w:t>
      </w:r>
      <w:r>
        <w:rPr>
          <w:bCs/>
        </w:rPr>
        <w:t>,</w:t>
      </w:r>
      <w:r w:rsidRPr="005A497D">
        <w:rPr>
          <w:bCs/>
        </w:rPr>
        <w:t xml:space="preserve"> and universal healthcare coverage is close to being achieved. The spending reforms were made possible by the above-mentioned improved </w:t>
      </w:r>
      <w:r>
        <w:rPr>
          <w:bCs/>
        </w:rPr>
        <w:t xml:space="preserve">revenue </w:t>
      </w:r>
      <w:r w:rsidRPr="005A497D">
        <w:rPr>
          <w:bCs/>
        </w:rPr>
        <w:t>effort</w:t>
      </w:r>
      <w:r>
        <w:rPr>
          <w:bCs/>
        </w:rPr>
        <w:t>,</w:t>
      </w:r>
      <w:r w:rsidRPr="005A497D">
        <w:rPr>
          <w:bCs/>
        </w:rPr>
        <w:t xml:space="preserve"> which created significant fiscal space of </w:t>
      </w:r>
      <w:r>
        <w:rPr>
          <w:bCs/>
        </w:rPr>
        <w:t xml:space="preserve">more than 1 percent </w:t>
      </w:r>
      <w:r w:rsidRPr="005A497D">
        <w:rPr>
          <w:bCs/>
        </w:rPr>
        <w:t xml:space="preserve">of GDP, </w:t>
      </w:r>
      <w:r>
        <w:rPr>
          <w:bCs/>
        </w:rPr>
        <w:t xml:space="preserve">lower interest payments as a percentage of GDP, </w:t>
      </w:r>
      <w:r w:rsidRPr="005A497D">
        <w:rPr>
          <w:bCs/>
        </w:rPr>
        <w:t xml:space="preserve">and improved transparency and accountability of public spending. </w:t>
      </w:r>
      <w:r>
        <w:rPr>
          <w:bCs/>
        </w:rPr>
        <w:t xml:space="preserve"> Table 2.3 shows the Government’s actual budget allocation by functions.</w:t>
      </w:r>
    </w:p>
    <w:p w14:paraId="178AFC72" w14:textId="63EB7AC0" w:rsidR="001762EE" w:rsidRDefault="001762EE" w:rsidP="00EB3782">
      <w:pPr>
        <w:pStyle w:val="PEFATable"/>
        <w:spacing w:after="40"/>
        <w:jc w:val="both"/>
        <w:rPr>
          <w:sz w:val="24"/>
          <w:szCs w:val="24"/>
        </w:rPr>
      </w:pPr>
      <w:bookmarkStart w:id="35" w:name="_Toc454889234"/>
      <w:r w:rsidRPr="005A497D">
        <w:rPr>
          <w:sz w:val="24"/>
          <w:szCs w:val="24"/>
        </w:rPr>
        <w:t>Table 2.</w:t>
      </w:r>
      <w:r>
        <w:rPr>
          <w:sz w:val="24"/>
          <w:szCs w:val="24"/>
        </w:rPr>
        <w:t>2</w:t>
      </w:r>
      <w:r w:rsidRPr="005A497D">
        <w:rPr>
          <w:sz w:val="24"/>
          <w:szCs w:val="24"/>
        </w:rPr>
        <w:t>: National Government Aggregate Fiscal Data</w:t>
      </w:r>
      <w:bookmarkEnd w:id="33"/>
      <w:bookmarkEnd w:id="34"/>
      <w:bookmarkEnd w:id="3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974"/>
        <w:gridCol w:w="1588"/>
        <w:gridCol w:w="1590"/>
        <w:gridCol w:w="1590"/>
        <w:gridCol w:w="1588"/>
      </w:tblGrid>
      <w:tr w:rsidR="00581BD2" w:rsidRPr="005A497D" w14:paraId="5EC6B17D" w14:textId="77777777" w:rsidTr="00BB4F8B">
        <w:trPr>
          <w:trHeight w:val="340"/>
          <w:tblHeader/>
          <w:jc w:val="center"/>
        </w:trPr>
        <w:tc>
          <w:tcPr>
            <w:tcW w:w="1594" w:type="pct"/>
            <w:vMerge w:val="restart"/>
            <w:tcBorders>
              <w:top w:val="double" w:sz="4" w:space="0" w:color="auto"/>
              <w:bottom w:val="single" w:sz="4" w:space="0" w:color="auto"/>
            </w:tcBorders>
            <w:shd w:val="clear" w:color="auto" w:fill="D9D9D9" w:themeFill="background1" w:themeFillShade="D9"/>
            <w:noWrap/>
            <w:vAlign w:val="center"/>
          </w:tcPr>
          <w:p w14:paraId="1CB2C0D5" w14:textId="77777777" w:rsidR="00581BD2" w:rsidRPr="00E910D8" w:rsidRDefault="00581BD2" w:rsidP="00BB4F8B">
            <w:pPr>
              <w:jc w:val="center"/>
              <w:rPr>
                <w:b/>
                <w:color w:val="000000"/>
                <w:sz w:val="20"/>
                <w:szCs w:val="20"/>
              </w:rPr>
            </w:pPr>
          </w:p>
        </w:tc>
        <w:tc>
          <w:tcPr>
            <w:tcW w:w="3406" w:type="pct"/>
            <w:gridSpan w:val="4"/>
            <w:tcBorders>
              <w:top w:val="double" w:sz="4" w:space="0" w:color="auto"/>
              <w:bottom w:val="single" w:sz="4" w:space="0" w:color="auto"/>
            </w:tcBorders>
            <w:shd w:val="clear" w:color="auto" w:fill="D9D9D9" w:themeFill="background1" w:themeFillShade="D9"/>
            <w:noWrap/>
            <w:vAlign w:val="center"/>
          </w:tcPr>
          <w:p w14:paraId="109C7F27" w14:textId="77777777" w:rsidR="00581BD2" w:rsidRPr="00E910D8" w:rsidRDefault="00581BD2" w:rsidP="00BB4F8B">
            <w:pPr>
              <w:jc w:val="center"/>
              <w:rPr>
                <w:b/>
                <w:color w:val="000000"/>
                <w:sz w:val="20"/>
                <w:szCs w:val="20"/>
              </w:rPr>
            </w:pPr>
            <w:r w:rsidRPr="00E910D8">
              <w:rPr>
                <w:b/>
                <w:color w:val="000000"/>
                <w:sz w:val="20"/>
                <w:szCs w:val="20"/>
              </w:rPr>
              <w:t>% of GDP</w:t>
            </w:r>
          </w:p>
        </w:tc>
      </w:tr>
      <w:tr w:rsidR="00581BD2" w:rsidRPr="005A497D" w14:paraId="0BCD3E6E" w14:textId="77777777" w:rsidTr="00BB4F8B">
        <w:trPr>
          <w:trHeight w:val="340"/>
          <w:tblHeader/>
          <w:jc w:val="center"/>
        </w:trPr>
        <w:tc>
          <w:tcPr>
            <w:tcW w:w="1594" w:type="pct"/>
            <w:vMerge/>
            <w:tcBorders>
              <w:top w:val="double" w:sz="4" w:space="0" w:color="auto"/>
              <w:bottom w:val="single" w:sz="4" w:space="0" w:color="auto"/>
            </w:tcBorders>
            <w:shd w:val="clear" w:color="auto" w:fill="D9D9D9" w:themeFill="background1" w:themeFillShade="D9"/>
            <w:noWrap/>
            <w:vAlign w:val="center"/>
          </w:tcPr>
          <w:p w14:paraId="0793FCB4" w14:textId="77777777" w:rsidR="00581BD2" w:rsidRPr="00E910D8" w:rsidRDefault="00581BD2" w:rsidP="00BB4F8B">
            <w:pPr>
              <w:jc w:val="center"/>
              <w:rPr>
                <w:b/>
                <w:color w:val="000000"/>
                <w:sz w:val="20"/>
                <w:szCs w:val="20"/>
              </w:rPr>
            </w:pPr>
          </w:p>
        </w:tc>
        <w:tc>
          <w:tcPr>
            <w:tcW w:w="2555" w:type="pct"/>
            <w:gridSpan w:val="3"/>
            <w:tcBorders>
              <w:top w:val="double" w:sz="4" w:space="0" w:color="auto"/>
              <w:bottom w:val="single" w:sz="4" w:space="0" w:color="auto"/>
            </w:tcBorders>
            <w:shd w:val="clear" w:color="auto" w:fill="D9D9D9" w:themeFill="background1" w:themeFillShade="D9"/>
            <w:noWrap/>
            <w:vAlign w:val="center"/>
          </w:tcPr>
          <w:p w14:paraId="53523545" w14:textId="77777777" w:rsidR="00581BD2" w:rsidRPr="00E910D8" w:rsidRDefault="00581BD2" w:rsidP="00BB4F8B">
            <w:pPr>
              <w:jc w:val="center"/>
              <w:rPr>
                <w:b/>
                <w:color w:val="000000"/>
                <w:sz w:val="20"/>
                <w:szCs w:val="20"/>
              </w:rPr>
            </w:pPr>
            <w:r>
              <w:rPr>
                <w:b/>
                <w:color w:val="000000"/>
                <w:sz w:val="20"/>
                <w:szCs w:val="20"/>
              </w:rPr>
              <w:t>Actual</w:t>
            </w:r>
          </w:p>
        </w:tc>
        <w:tc>
          <w:tcPr>
            <w:tcW w:w="851" w:type="pct"/>
            <w:tcBorders>
              <w:top w:val="double" w:sz="4" w:space="0" w:color="auto"/>
              <w:bottom w:val="single" w:sz="4" w:space="0" w:color="auto"/>
            </w:tcBorders>
            <w:shd w:val="clear" w:color="auto" w:fill="D9D9D9" w:themeFill="background1" w:themeFillShade="D9"/>
            <w:vAlign w:val="center"/>
          </w:tcPr>
          <w:p w14:paraId="13D27488" w14:textId="77777777" w:rsidR="00581BD2" w:rsidRPr="00E910D8" w:rsidRDefault="00581BD2" w:rsidP="00BB4F8B">
            <w:pPr>
              <w:jc w:val="center"/>
              <w:rPr>
                <w:b/>
                <w:color w:val="000000"/>
                <w:sz w:val="20"/>
                <w:szCs w:val="20"/>
              </w:rPr>
            </w:pPr>
            <w:r>
              <w:rPr>
                <w:b/>
                <w:color w:val="000000"/>
                <w:sz w:val="20"/>
                <w:szCs w:val="20"/>
              </w:rPr>
              <w:t>Programmed</w:t>
            </w:r>
          </w:p>
        </w:tc>
      </w:tr>
      <w:tr w:rsidR="00581BD2" w:rsidRPr="005A497D" w14:paraId="4A7EC1BF" w14:textId="77777777" w:rsidTr="00BB4F8B">
        <w:trPr>
          <w:trHeight w:val="340"/>
          <w:tblHeader/>
          <w:jc w:val="center"/>
        </w:trPr>
        <w:tc>
          <w:tcPr>
            <w:tcW w:w="1594" w:type="pct"/>
            <w:vMerge/>
            <w:tcBorders>
              <w:top w:val="single" w:sz="4" w:space="0" w:color="auto"/>
              <w:bottom w:val="double" w:sz="4" w:space="0" w:color="auto"/>
            </w:tcBorders>
            <w:shd w:val="clear" w:color="auto" w:fill="D9D9D9" w:themeFill="background1" w:themeFillShade="D9"/>
            <w:noWrap/>
            <w:vAlign w:val="center"/>
            <w:hideMark/>
          </w:tcPr>
          <w:p w14:paraId="5BE0BE34" w14:textId="77777777" w:rsidR="00581BD2" w:rsidRPr="00EE024A" w:rsidRDefault="00581BD2" w:rsidP="00BB4F8B">
            <w:pPr>
              <w:jc w:val="center"/>
              <w:rPr>
                <w:b/>
                <w:color w:val="000000"/>
                <w:sz w:val="20"/>
                <w:szCs w:val="20"/>
              </w:rPr>
            </w:pPr>
          </w:p>
        </w:tc>
        <w:tc>
          <w:tcPr>
            <w:tcW w:w="851" w:type="pct"/>
            <w:tcBorders>
              <w:top w:val="single" w:sz="4" w:space="0" w:color="auto"/>
              <w:bottom w:val="double" w:sz="4" w:space="0" w:color="auto"/>
            </w:tcBorders>
            <w:shd w:val="clear" w:color="auto" w:fill="D9D9D9" w:themeFill="background1" w:themeFillShade="D9"/>
            <w:noWrap/>
            <w:vAlign w:val="center"/>
            <w:hideMark/>
          </w:tcPr>
          <w:p w14:paraId="57EDAC3A" w14:textId="77777777" w:rsidR="00581BD2" w:rsidRPr="00EE024A" w:rsidRDefault="00581BD2" w:rsidP="00BB4F8B">
            <w:pPr>
              <w:jc w:val="center"/>
              <w:rPr>
                <w:b/>
                <w:color w:val="000000"/>
                <w:sz w:val="20"/>
                <w:szCs w:val="20"/>
              </w:rPr>
            </w:pPr>
            <w:r w:rsidRPr="00EE024A">
              <w:rPr>
                <w:b/>
                <w:bCs/>
                <w:color w:val="000000"/>
                <w:sz w:val="20"/>
                <w:szCs w:val="20"/>
              </w:rPr>
              <w:t>2013</w:t>
            </w:r>
          </w:p>
        </w:tc>
        <w:tc>
          <w:tcPr>
            <w:tcW w:w="852" w:type="pct"/>
            <w:tcBorders>
              <w:top w:val="single" w:sz="4" w:space="0" w:color="auto"/>
              <w:bottom w:val="double" w:sz="4" w:space="0" w:color="auto"/>
            </w:tcBorders>
            <w:shd w:val="clear" w:color="auto" w:fill="D9D9D9" w:themeFill="background1" w:themeFillShade="D9"/>
            <w:noWrap/>
            <w:vAlign w:val="center"/>
            <w:hideMark/>
          </w:tcPr>
          <w:p w14:paraId="53F51705" w14:textId="77777777" w:rsidR="00581BD2" w:rsidRPr="00EE024A" w:rsidRDefault="00581BD2" w:rsidP="00BB4F8B">
            <w:pPr>
              <w:jc w:val="center"/>
              <w:rPr>
                <w:b/>
                <w:color w:val="000000"/>
                <w:sz w:val="20"/>
                <w:szCs w:val="20"/>
              </w:rPr>
            </w:pPr>
            <w:r w:rsidRPr="00EE024A">
              <w:rPr>
                <w:b/>
                <w:bCs/>
                <w:color w:val="000000"/>
                <w:sz w:val="20"/>
                <w:szCs w:val="20"/>
              </w:rPr>
              <w:t>2014</w:t>
            </w:r>
          </w:p>
        </w:tc>
        <w:tc>
          <w:tcPr>
            <w:tcW w:w="852" w:type="pct"/>
            <w:tcBorders>
              <w:top w:val="single" w:sz="4" w:space="0" w:color="auto"/>
              <w:bottom w:val="double" w:sz="4" w:space="0" w:color="auto"/>
            </w:tcBorders>
            <w:shd w:val="clear" w:color="auto" w:fill="D9D9D9" w:themeFill="background1" w:themeFillShade="D9"/>
            <w:noWrap/>
            <w:vAlign w:val="center"/>
            <w:hideMark/>
          </w:tcPr>
          <w:p w14:paraId="7C80EE82" w14:textId="77777777" w:rsidR="00581BD2" w:rsidRPr="00EE024A" w:rsidRDefault="00581BD2" w:rsidP="00BB4F8B">
            <w:pPr>
              <w:jc w:val="center"/>
              <w:rPr>
                <w:b/>
                <w:color w:val="000000"/>
                <w:sz w:val="20"/>
                <w:szCs w:val="20"/>
              </w:rPr>
            </w:pPr>
            <w:r w:rsidRPr="00EE024A">
              <w:rPr>
                <w:b/>
                <w:bCs/>
                <w:color w:val="000000"/>
                <w:sz w:val="20"/>
                <w:szCs w:val="20"/>
              </w:rPr>
              <w:t>2015</w:t>
            </w:r>
          </w:p>
        </w:tc>
        <w:tc>
          <w:tcPr>
            <w:tcW w:w="851" w:type="pct"/>
            <w:tcBorders>
              <w:top w:val="single" w:sz="4" w:space="0" w:color="auto"/>
              <w:bottom w:val="double" w:sz="4" w:space="0" w:color="auto"/>
            </w:tcBorders>
            <w:shd w:val="clear" w:color="auto" w:fill="D9D9D9" w:themeFill="background1" w:themeFillShade="D9"/>
            <w:vAlign w:val="center"/>
          </w:tcPr>
          <w:p w14:paraId="794AED4E" w14:textId="77777777" w:rsidR="00581BD2" w:rsidRPr="00EE024A" w:rsidRDefault="00581BD2" w:rsidP="00BB4F8B">
            <w:pPr>
              <w:jc w:val="center"/>
              <w:rPr>
                <w:b/>
                <w:bCs/>
                <w:color w:val="000000"/>
                <w:sz w:val="20"/>
                <w:szCs w:val="20"/>
              </w:rPr>
            </w:pPr>
            <w:r>
              <w:rPr>
                <w:b/>
                <w:bCs/>
                <w:color w:val="000000"/>
                <w:sz w:val="20"/>
                <w:szCs w:val="20"/>
              </w:rPr>
              <w:t>2015</w:t>
            </w:r>
          </w:p>
        </w:tc>
      </w:tr>
      <w:tr w:rsidR="00581BD2" w:rsidRPr="005A497D" w14:paraId="7137A9F8" w14:textId="77777777" w:rsidTr="00BB4F8B">
        <w:trPr>
          <w:trHeight w:val="268"/>
          <w:jc w:val="center"/>
        </w:trPr>
        <w:tc>
          <w:tcPr>
            <w:tcW w:w="1594" w:type="pct"/>
            <w:tcBorders>
              <w:top w:val="double" w:sz="4" w:space="0" w:color="auto"/>
            </w:tcBorders>
            <w:shd w:val="clear" w:color="auto" w:fill="auto"/>
            <w:noWrap/>
            <w:vAlign w:val="bottom"/>
            <w:hideMark/>
          </w:tcPr>
          <w:p w14:paraId="7BDB9253" w14:textId="77777777" w:rsidR="00581BD2" w:rsidRPr="00E910D8" w:rsidRDefault="00581BD2" w:rsidP="00BB4F8B">
            <w:pPr>
              <w:spacing w:before="20" w:after="20"/>
              <w:rPr>
                <w:b/>
                <w:color w:val="000000"/>
                <w:sz w:val="20"/>
                <w:szCs w:val="20"/>
              </w:rPr>
            </w:pPr>
            <w:r w:rsidRPr="00E910D8">
              <w:rPr>
                <w:b/>
                <w:color w:val="000000"/>
                <w:sz w:val="20"/>
                <w:szCs w:val="20"/>
              </w:rPr>
              <w:t>Total revenues</w:t>
            </w:r>
          </w:p>
        </w:tc>
        <w:tc>
          <w:tcPr>
            <w:tcW w:w="851" w:type="pct"/>
            <w:tcBorders>
              <w:top w:val="double" w:sz="4" w:space="0" w:color="auto"/>
            </w:tcBorders>
            <w:shd w:val="clear" w:color="auto" w:fill="auto"/>
            <w:noWrap/>
            <w:vAlign w:val="center"/>
            <w:hideMark/>
          </w:tcPr>
          <w:p w14:paraId="31898778"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sidRPr="00E910D8">
              <w:rPr>
                <w:b/>
                <w:bCs/>
                <w:color w:val="000000"/>
                <w:sz w:val="20"/>
                <w:szCs w:val="20"/>
              </w:rPr>
              <w:t>14.9</w:t>
            </w:r>
          </w:p>
        </w:tc>
        <w:tc>
          <w:tcPr>
            <w:tcW w:w="852" w:type="pct"/>
            <w:tcBorders>
              <w:top w:val="double" w:sz="4" w:space="0" w:color="auto"/>
            </w:tcBorders>
            <w:shd w:val="clear" w:color="auto" w:fill="auto"/>
            <w:noWrap/>
            <w:vAlign w:val="center"/>
            <w:hideMark/>
          </w:tcPr>
          <w:p w14:paraId="041ED041"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sidRPr="00E910D8">
              <w:rPr>
                <w:b/>
                <w:bCs/>
                <w:color w:val="000000"/>
                <w:sz w:val="20"/>
                <w:szCs w:val="20"/>
              </w:rPr>
              <w:t>15.1</w:t>
            </w:r>
          </w:p>
        </w:tc>
        <w:tc>
          <w:tcPr>
            <w:tcW w:w="852" w:type="pct"/>
            <w:tcBorders>
              <w:top w:val="double" w:sz="4" w:space="0" w:color="auto"/>
            </w:tcBorders>
            <w:shd w:val="clear" w:color="auto" w:fill="auto"/>
            <w:noWrap/>
            <w:vAlign w:val="center"/>
          </w:tcPr>
          <w:p w14:paraId="2D27EFEF"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Pr>
                <w:b/>
                <w:bCs/>
                <w:color w:val="000000"/>
                <w:sz w:val="20"/>
                <w:szCs w:val="20"/>
              </w:rPr>
              <w:t xml:space="preserve">15.8 </w:t>
            </w:r>
          </w:p>
        </w:tc>
        <w:tc>
          <w:tcPr>
            <w:tcW w:w="851" w:type="pct"/>
            <w:tcBorders>
              <w:top w:val="double" w:sz="4" w:space="0" w:color="auto"/>
            </w:tcBorders>
            <w:vAlign w:val="center"/>
          </w:tcPr>
          <w:p w14:paraId="702C5EA4" w14:textId="77777777" w:rsidR="00581BD2" w:rsidRDefault="00581BD2" w:rsidP="00BB4F8B">
            <w:pPr>
              <w:pStyle w:val="NormalWeb"/>
              <w:autoSpaceDE w:val="0"/>
              <w:autoSpaceDN w:val="0"/>
              <w:adjustRightInd w:val="0"/>
              <w:spacing w:before="40" w:beforeAutospacing="0" w:after="0" w:afterAutospacing="0"/>
              <w:ind w:right="482"/>
              <w:jc w:val="right"/>
              <w:rPr>
                <w:b/>
                <w:bCs/>
                <w:color w:val="000000"/>
                <w:sz w:val="20"/>
                <w:szCs w:val="20"/>
              </w:rPr>
            </w:pPr>
            <w:r>
              <w:rPr>
                <w:b/>
                <w:bCs/>
                <w:color w:val="000000"/>
                <w:sz w:val="20"/>
                <w:szCs w:val="20"/>
              </w:rPr>
              <w:t>17.1</w:t>
            </w:r>
          </w:p>
        </w:tc>
      </w:tr>
      <w:tr w:rsidR="00581BD2" w:rsidRPr="005A497D" w14:paraId="6C37DDA5" w14:textId="77777777" w:rsidTr="00BB4F8B">
        <w:trPr>
          <w:trHeight w:val="256"/>
          <w:jc w:val="center"/>
        </w:trPr>
        <w:tc>
          <w:tcPr>
            <w:tcW w:w="1594" w:type="pct"/>
            <w:shd w:val="clear" w:color="auto" w:fill="auto"/>
            <w:noWrap/>
            <w:vAlign w:val="bottom"/>
            <w:hideMark/>
          </w:tcPr>
          <w:p w14:paraId="7F807A9D" w14:textId="77777777" w:rsidR="00581BD2" w:rsidRPr="00E910D8" w:rsidRDefault="00581BD2" w:rsidP="00BB4F8B">
            <w:pPr>
              <w:spacing w:before="20" w:after="20"/>
              <w:ind w:firstLineChars="100" w:firstLine="200"/>
              <w:rPr>
                <w:color w:val="000000"/>
                <w:sz w:val="20"/>
                <w:szCs w:val="20"/>
              </w:rPr>
            </w:pPr>
            <w:r w:rsidRPr="00E910D8">
              <w:rPr>
                <w:color w:val="000000"/>
                <w:sz w:val="20"/>
                <w:szCs w:val="20"/>
              </w:rPr>
              <w:t>Own revenues</w:t>
            </w:r>
          </w:p>
        </w:tc>
        <w:tc>
          <w:tcPr>
            <w:tcW w:w="851" w:type="pct"/>
            <w:shd w:val="clear" w:color="auto" w:fill="auto"/>
            <w:noWrap/>
            <w:vAlign w:val="center"/>
            <w:hideMark/>
          </w:tcPr>
          <w:p w14:paraId="7EECCC0C"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14.9</w:t>
            </w:r>
          </w:p>
        </w:tc>
        <w:tc>
          <w:tcPr>
            <w:tcW w:w="852" w:type="pct"/>
            <w:shd w:val="clear" w:color="auto" w:fill="auto"/>
            <w:noWrap/>
            <w:vAlign w:val="center"/>
            <w:hideMark/>
          </w:tcPr>
          <w:p w14:paraId="5D5CE1AB"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15.1</w:t>
            </w:r>
          </w:p>
        </w:tc>
        <w:tc>
          <w:tcPr>
            <w:tcW w:w="852" w:type="pct"/>
            <w:shd w:val="clear" w:color="auto" w:fill="auto"/>
            <w:noWrap/>
            <w:vAlign w:val="center"/>
          </w:tcPr>
          <w:p w14:paraId="4F4A39F5" w14:textId="77777777" w:rsidR="00581BD2" w:rsidRPr="004E24D6" w:rsidRDefault="00581BD2" w:rsidP="00BB4F8B">
            <w:pPr>
              <w:pStyle w:val="NormalWeb"/>
              <w:autoSpaceDE w:val="0"/>
              <w:autoSpaceDN w:val="0"/>
              <w:adjustRightInd w:val="0"/>
              <w:spacing w:before="40" w:beforeAutospacing="0" w:after="0" w:afterAutospacing="0"/>
              <w:ind w:right="482"/>
              <w:jc w:val="right"/>
              <w:rPr>
                <w:sz w:val="20"/>
                <w:szCs w:val="20"/>
              </w:rPr>
            </w:pPr>
            <w:r w:rsidRPr="004E24D6">
              <w:rPr>
                <w:bCs/>
                <w:color w:val="000000"/>
                <w:sz w:val="20"/>
                <w:szCs w:val="20"/>
              </w:rPr>
              <w:t xml:space="preserve">15.8 </w:t>
            </w:r>
          </w:p>
        </w:tc>
        <w:tc>
          <w:tcPr>
            <w:tcW w:w="851" w:type="pct"/>
            <w:vAlign w:val="center"/>
          </w:tcPr>
          <w:p w14:paraId="6D9E47DD"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17.1</w:t>
            </w:r>
          </w:p>
        </w:tc>
      </w:tr>
      <w:tr w:rsidR="00581BD2" w:rsidRPr="005A497D" w14:paraId="6D27E779" w14:textId="77777777" w:rsidTr="00BB4F8B">
        <w:trPr>
          <w:trHeight w:val="256"/>
          <w:jc w:val="center"/>
        </w:trPr>
        <w:tc>
          <w:tcPr>
            <w:tcW w:w="1594" w:type="pct"/>
            <w:shd w:val="clear" w:color="auto" w:fill="auto"/>
            <w:noWrap/>
            <w:vAlign w:val="bottom"/>
            <w:hideMark/>
          </w:tcPr>
          <w:p w14:paraId="363F0697" w14:textId="77777777" w:rsidR="00581BD2" w:rsidRPr="00E910D8" w:rsidRDefault="00581BD2" w:rsidP="00BB4F8B">
            <w:pPr>
              <w:spacing w:before="20" w:after="20"/>
              <w:ind w:firstLineChars="200" w:firstLine="400"/>
              <w:rPr>
                <w:i/>
                <w:color w:val="000000"/>
                <w:sz w:val="20"/>
                <w:szCs w:val="20"/>
              </w:rPr>
            </w:pPr>
            <w:r w:rsidRPr="00E910D8">
              <w:rPr>
                <w:i/>
                <w:color w:val="000000"/>
                <w:sz w:val="20"/>
                <w:szCs w:val="20"/>
              </w:rPr>
              <w:t>Tax revenues</w:t>
            </w:r>
          </w:p>
        </w:tc>
        <w:tc>
          <w:tcPr>
            <w:tcW w:w="851" w:type="pct"/>
            <w:shd w:val="clear" w:color="auto" w:fill="auto"/>
            <w:noWrap/>
            <w:vAlign w:val="center"/>
            <w:hideMark/>
          </w:tcPr>
          <w:p w14:paraId="2AECAE3E"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Pr>
                <w:color w:val="000000"/>
                <w:sz w:val="20"/>
                <w:szCs w:val="20"/>
              </w:rPr>
              <w:t>13.4</w:t>
            </w:r>
          </w:p>
        </w:tc>
        <w:tc>
          <w:tcPr>
            <w:tcW w:w="852" w:type="pct"/>
            <w:shd w:val="clear" w:color="auto" w:fill="auto"/>
            <w:noWrap/>
            <w:vAlign w:val="center"/>
            <w:hideMark/>
          </w:tcPr>
          <w:p w14:paraId="54E53CC4"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sidRPr="00E910D8">
              <w:rPr>
                <w:color w:val="000000"/>
                <w:sz w:val="20"/>
                <w:szCs w:val="20"/>
              </w:rPr>
              <w:t>13.6</w:t>
            </w:r>
          </w:p>
        </w:tc>
        <w:tc>
          <w:tcPr>
            <w:tcW w:w="852" w:type="pct"/>
            <w:shd w:val="clear" w:color="auto" w:fill="auto"/>
            <w:noWrap/>
            <w:vAlign w:val="center"/>
          </w:tcPr>
          <w:p w14:paraId="7959068A" w14:textId="77777777" w:rsidR="00581BD2" w:rsidRPr="004E24D6" w:rsidRDefault="00581BD2" w:rsidP="00BB4F8B">
            <w:pPr>
              <w:pStyle w:val="NormalWeb"/>
              <w:autoSpaceDE w:val="0"/>
              <w:autoSpaceDN w:val="0"/>
              <w:adjustRightInd w:val="0"/>
              <w:spacing w:before="40" w:beforeAutospacing="0" w:after="0" w:afterAutospacing="0"/>
              <w:ind w:right="482"/>
              <w:jc w:val="right"/>
              <w:rPr>
                <w:i/>
                <w:sz w:val="20"/>
                <w:szCs w:val="20"/>
              </w:rPr>
            </w:pPr>
            <w:r w:rsidRPr="004E24D6">
              <w:rPr>
                <w:bCs/>
                <w:color w:val="000000"/>
                <w:sz w:val="20"/>
                <w:szCs w:val="20"/>
              </w:rPr>
              <w:t xml:space="preserve">13.6 </w:t>
            </w:r>
          </w:p>
        </w:tc>
        <w:tc>
          <w:tcPr>
            <w:tcW w:w="851" w:type="pct"/>
            <w:vAlign w:val="center"/>
          </w:tcPr>
          <w:p w14:paraId="675CC614"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16.0</w:t>
            </w:r>
          </w:p>
        </w:tc>
      </w:tr>
      <w:tr w:rsidR="00581BD2" w:rsidRPr="005A497D" w14:paraId="5BCB3B37" w14:textId="77777777" w:rsidTr="00BB4F8B">
        <w:trPr>
          <w:trHeight w:val="256"/>
          <w:jc w:val="center"/>
        </w:trPr>
        <w:tc>
          <w:tcPr>
            <w:tcW w:w="1594" w:type="pct"/>
            <w:shd w:val="clear" w:color="auto" w:fill="auto"/>
            <w:noWrap/>
            <w:vAlign w:val="bottom"/>
            <w:hideMark/>
          </w:tcPr>
          <w:p w14:paraId="2EE7F09D" w14:textId="77777777" w:rsidR="00581BD2" w:rsidRPr="00E910D8" w:rsidRDefault="00581BD2" w:rsidP="00BB4F8B">
            <w:pPr>
              <w:spacing w:before="20" w:after="20"/>
              <w:ind w:firstLineChars="200" w:firstLine="400"/>
              <w:rPr>
                <w:i/>
                <w:color w:val="000000"/>
                <w:sz w:val="20"/>
                <w:szCs w:val="20"/>
              </w:rPr>
            </w:pPr>
            <w:r w:rsidRPr="00E910D8">
              <w:rPr>
                <w:i/>
                <w:color w:val="000000"/>
                <w:sz w:val="20"/>
                <w:szCs w:val="20"/>
              </w:rPr>
              <w:t>Non-tax revenues</w:t>
            </w:r>
          </w:p>
        </w:tc>
        <w:tc>
          <w:tcPr>
            <w:tcW w:w="851" w:type="pct"/>
            <w:shd w:val="clear" w:color="auto" w:fill="auto"/>
            <w:noWrap/>
            <w:vAlign w:val="center"/>
            <w:hideMark/>
          </w:tcPr>
          <w:p w14:paraId="130680FE"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sidRPr="00E910D8">
              <w:rPr>
                <w:color w:val="000000"/>
                <w:sz w:val="20"/>
                <w:szCs w:val="20"/>
              </w:rPr>
              <w:t>1.</w:t>
            </w:r>
            <w:r>
              <w:rPr>
                <w:color w:val="000000"/>
                <w:sz w:val="20"/>
                <w:szCs w:val="20"/>
              </w:rPr>
              <w:t>5</w:t>
            </w:r>
          </w:p>
        </w:tc>
        <w:tc>
          <w:tcPr>
            <w:tcW w:w="852" w:type="pct"/>
            <w:shd w:val="clear" w:color="auto" w:fill="auto"/>
            <w:noWrap/>
            <w:vAlign w:val="center"/>
            <w:hideMark/>
          </w:tcPr>
          <w:p w14:paraId="7B8F4E76"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sidRPr="00E910D8">
              <w:rPr>
                <w:color w:val="000000"/>
                <w:sz w:val="20"/>
                <w:szCs w:val="20"/>
              </w:rPr>
              <w:t>1.5</w:t>
            </w:r>
          </w:p>
        </w:tc>
        <w:tc>
          <w:tcPr>
            <w:tcW w:w="852" w:type="pct"/>
            <w:shd w:val="clear" w:color="auto" w:fill="auto"/>
            <w:noWrap/>
            <w:vAlign w:val="center"/>
          </w:tcPr>
          <w:p w14:paraId="43C1FBEE" w14:textId="77777777" w:rsidR="00581BD2" w:rsidRPr="004E24D6" w:rsidRDefault="00581BD2" w:rsidP="00BB4F8B">
            <w:pPr>
              <w:pStyle w:val="NormalWeb"/>
              <w:autoSpaceDE w:val="0"/>
              <w:autoSpaceDN w:val="0"/>
              <w:adjustRightInd w:val="0"/>
              <w:spacing w:before="40" w:beforeAutospacing="0" w:after="0" w:afterAutospacing="0"/>
              <w:ind w:right="482"/>
              <w:jc w:val="right"/>
              <w:rPr>
                <w:i/>
                <w:sz w:val="20"/>
                <w:szCs w:val="20"/>
              </w:rPr>
            </w:pPr>
            <w:r w:rsidRPr="004E24D6">
              <w:rPr>
                <w:bCs/>
                <w:color w:val="000000"/>
                <w:sz w:val="20"/>
                <w:szCs w:val="20"/>
              </w:rPr>
              <w:t xml:space="preserve">1.7 </w:t>
            </w:r>
          </w:p>
        </w:tc>
        <w:tc>
          <w:tcPr>
            <w:tcW w:w="851" w:type="pct"/>
            <w:vAlign w:val="center"/>
          </w:tcPr>
          <w:p w14:paraId="03EAA511"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1.1</w:t>
            </w:r>
          </w:p>
        </w:tc>
      </w:tr>
      <w:tr w:rsidR="00581BD2" w:rsidRPr="005A497D" w14:paraId="5F634E55" w14:textId="77777777" w:rsidTr="00BB4F8B">
        <w:trPr>
          <w:trHeight w:val="256"/>
          <w:jc w:val="center"/>
        </w:trPr>
        <w:tc>
          <w:tcPr>
            <w:tcW w:w="1594" w:type="pct"/>
            <w:shd w:val="clear" w:color="auto" w:fill="auto"/>
            <w:noWrap/>
            <w:vAlign w:val="bottom"/>
            <w:hideMark/>
          </w:tcPr>
          <w:p w14:paraId="1EAB961B" w14:textId="77777777" w:rsidR="00581BD2" w:rsidRPr="00E910D8" w:rsidRDefault="00581BD2" w:rsidP="00BB4F8B">
            <w:pPr>
              <w:spacing w:before="20" w:after="20"/>
              <w:ind w:firstLineChars="200" w:firstLine="400"/>
              <w:rPr>
                <w:i/>
                <w:color w:val="000000"/>
                <w:sz w:val="20"/>
                <w:szCs w:val="20"/>
              </w:rPr>
            </w:pPr>
            <w:r w:rsidRPr="00E910D8">
              <w:rPr>
                <w:i/>
                <w:color w:val="000000"/>
                <w:sz w:val="20"/>
                <w:szCs w:val="20"/>
              </w:rPr>
              <w:t>Other revenues</w:t>
            </w:r>
          </w:p>
        </w:tc>
        <w:tc>
          <w:tcPr>
            <w:tcW w:w="851" w:type="pct"/>
            <w:shd w:val="clear" w:color="auto" w:fill="auto"/>
            <w:noWrap/>
            <w:vAlign w:val="center"/>
            <w:hideMark/>
          </w:tcPr>
          <w:p w14:paraId="37AA5D94"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Pr>
                <w:color w:val="000000"/>
                <w:sz w:val="20"/>
                <w:szCs w:val="20"/>
              </w:rPr>
              <w:t>-</w:t>
            </w:r>
          </w:p>
        </w:tc>
        <w:tc>
          <w:tcPr>
            <w:tcW w:w="852" w:type="pct"/>
            <w:shd w:val="clear" w:color="auto" w:fill="auto"/>
            <w:noWrap/>
            <w:vAlign w:val="center"/>
            <w:hideMark/>
          </w:tcPr>
          <w:p w14:paraId="1DD4D374"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Pr>
                <w:color w:val="000000"/>
                <w:sz w:val="20"/>
                <w:szCs w:val="20"/>
              </w:rPr>
              <w:t>-</w:t>
            </w:r>
          </w:p>
        </w:tc>
        <w:tc>
          <w:tcPr>
            <w:tcW w:w="852" w:type="pct"/>
            <w:shd w:val="clear" w:color="auto" w:fill="auto"/>
            <w:noWrap/>
            <w:vAlign w:val="center"/>
          </w:tcPr>
          <w:p w14:paraId="08C0D712" w14:textId="77777777" w:rsidR="00581BD2" w:rsidRPr="004E24D6" w:rsidRDefault="00581BD2" w:rsidP="00BB4F8B">
            <w:pPr>
              <w:pStyle w:val="NormalWeb"/>
              <w:autoSpaceDE w:val="0"/>
              <w:autoSpaceDN w:val="0"/>
              <w:adjustRightInd w:val="0"/>
              <w:spacing w:before="40" w:beforeAutospacing="0" w:after="0" w:afterAutospacing="0"/>
              <w:ind w:right="482"/>
              <w:jc w:val="right"/>
              <w:rPr>
                <w:i/>
                <w:sz w:val="20"/>
                <w:szCs w:val="20"/>
              </w:rPr>
            </w:pPr>
            <w:r w:rsidRPr="004E24D6">
              <w:rPr>
                <w:bCs/>
                <w:color w:val="000000"/>
                <w:sz w:val="20"/>
                <w:szCs w:val="20"/>
              </w:rPr>
              <w:t xml:space="preserve">0.5 </w:t>
            </w:r>
          </w:p>
        </w:tc>
        <w:tc>
          <w:tcPr>
            <w:tcW w:w="851" w:type="pct"/>
            <w:vAlign w:val="center"/>
          </w:tcPr>
          <w:p w14:paraId="69077D6B"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w:t>
            </w:r>
          </w:p>
        </w:tc>
      </w:tr>
      <w:tr w:rsidR="00581BD2" w:rsidRPr="005A497D" w14:paraId="5B6D926C" w14:textId="77777777" w:rsidTr="00BB4F8B">
        <w:trPr>
          <w:trHeight w:val="256"/>
          <w:jc w:val="center"/>
        </w:trPr>
        <w:tc>
          <w:tcPr>
            <w:tcW w:w="1594" w:type="pct"/>
            <w:shd w:val="clear" w:color="auto" w:fill="auto"/>
            <w:noWrap/>
            <w:vAlign w:val="bottom"/>
            <w:hideMark/>
          </w:tcPr>
          <w:p w14:paraId="7FC0F242" w14:textId="77777777" w:rsidR="00581BD2" w:rsidRPr="00E910D8" w:rsidRDefault="00581BD2" w:rsidP="00BB4F8B">
            <w:pPr>
              <w:spacing w:before="20" w:after="20"/>
              <w:ind w:firstLineChars="100" w:firstLine="200"/>
              <w:rPr>
                <w:color w:val="000000"/>
                <w:sz w:val="20"/>
                <w:szCs w:val="20"/>
              </w:rPr>
            </w:pPr>
            <w:r w:rsidRPr="00E910D8">
              <w:rPr>
                <w:color w:val="000000"/>
                <w:sz w:val="20"/>
                <w:szCs w:val="20"/>
              </w:rPr>
              <w:t>Grants</w:t>
            </w:r>
          </w:p>
        </w:tc>
        <w:tc>
          <w:tcPr>
            <w:tcW w:w="851" w:type="pct"/>
            <w:shd w:val="clear" w:color="auto" w:fill="auto"/>
            <w:noWrap/>
            <w:vAlign w:val="center"/>
            <w:hideMark/>
          </w:tcPr>
          <w:p w14:paraId="281AD6F2"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Pr>
                <w:color w:val="000000"/>
                <w:sz w:val="20"/>
                <w:szCs w:val="20"/>
              </w:rPr>
              <w:t>-</w:t>
            </w:r>
          </w:p>
        </w:tc>
        <w:tc>
          <w:tcPr>
            <w:tcW w:w="852" w:type="pct"/>
            <w:shd w:val="clear" w:color="auto" w:fill="auto"/>
            <w:noWrap/>
            <w:vAlign w:val="center"/>
            <w:hideMark/>
          </w:tcPr>
          <w:p w14:paraId="28B4DD41"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Pr>
                <w:color w:val="000000"/>
                <w:sz w:val="20"/>
                <w:szCs w:val="20"/>
              </w:rPr>
              <w:t>-</w:t>
            </w:r>
          </w:p>
        </w:tc>
        <w:tc>
          <w:tcPr>
            <w:tcW w:w="852" w:type="pct"/>
            <w:shd w:val="clear" w:color="auto" w:fill="auto"/>
            <w:noWrap/>
            <w:vAlign w:val="center"/>
          </w:tcPr>
          <w:p w14:paraId="3D98CA33" w14:textId="77777777" w:rsidR="00581BD2" w:rsidRPr="004E24D6" w:rsidRDefault="00581BD2" w:rsidP="00BB4F8B">
            <w:pPr>
              <w:pStyle w:val="NormalWeb"/>
              <w:autoSpaceDE w:val="0"/>
              <w:autoSpaceDN w:val="0"/>
              <w:adjustRightInd w:val="0"/>
              <w:spacing w:before="40" w:beforeAutospacing="0" w:after="0" w:afterAutospacing="0"/>
              <w:ind w:right="482"/>
              <w:jc w:val="right"/>
              <w:rPr>
                <w:sz w:val="20"/>
                <w:szCs w:val="20"/>
              </w:rPr>
            </w:pPr>
            <w:r>
              <w:rPr>
                <w:bCs/>
                <w:color w:val="000000"/>
                <w:sz w:val="20"/>
                <w:szCs w:val="20"/>
              </w:rPr>
              <w:t>-</w:t>
            </w:r>
            <w:r w:rsidRPr="004E24D6">
              <w:rPr>
                <w:bCs/>
                <w:color w:val="000000"/>
                <w:sz w:val="20"/>
                <w:szCs w:val="20"/>
              </w:rPr>
              <w:t xml:space="preserve"> </w:t>
            </w:r>
          </w:p>
        </w:tc>
        <w:tc>
          <w:tcPr>
            <w:tcW w:w="851" w:type="pct"/>
            <w:vAlign w:val="center"/>
          </w:tcPr>
          <w:p w14:paraId="2991DA39" w14:textId="77777777" w:rsidR="00581BD2" w:rsidRPr="00E910D8"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w:t>
            </w:r>
          </w:p>
        </w:tc>
      </w:tr>
      <w:tr w:rsidR="00581BD2" w:rsidRPr="005A497D" w14:paraId="791F336B" w14:textId="77777777" w:rsidTr="00BB4F8B">
        <w:trPr>
          <w:trHeight w:val="256"/>
          <w:jc w:val="center"/>
        </w:trPr>
        <w:tc>
          <w:tcPr>
            <w:tcW w:w="1594" w:type="pct"/>
            <w:shd w:val="clear" w:color="auto" w:fill="auto"/>
            <w:noWrap/>
            <w:vAlign w:val="bottom"/>
            <w:hideMark/>
          </w:tcPr>
          <w:p w14:paraId="159731A6" w14:textId="77777777" w:rsidR="00581BD2" w:rsidRPr="00E910D8" w:rsidRDefault="00581BD2" w:rsidP="00BB4F8B">
            <w:pPr>
              <w:spacing w:before="20" w:after="20"/>
              <w:rPr>
                <w:b/>
                <w:color w:val="000000"/>
                <w:sz w:val="20"/>
                <w:szCs w:val="20"/>
              </w:rPr>
            </w:pPr>
            <w:r w:rsidRPr="00E910D8">
              <w:rPr>
                <w:b/>
                <w:color w:val="000000"/>
                <w:sz w:val="20"/>
                <w:szCs w:val="20"/>
              </w:rPr>
              <w:t>Total expenditure</w:t>
            </w:r>
          </w:p>
        </w:tc>
        <w:tc>
          <w:tcPr>
            <w:tcW w:w="851" w:type="pct"/>
            <w:shd w:val="clear" w:color="auto" w:fill="auto"/>
            <w:noWrap/>
            <w:vAlign w:val="center"/>
            <w:hideMark/>
          </w:tcPr>
          <w:p w14:paraId="64585CCF"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Pr>
                <w:b/>
                <w:bCs/>
                <w:color w:val="000000"/>
                <w:sz w:val="20"/>
                <w:szCs w:val="20"/>
              </w:rPr>
              <w:t>17.3</w:t>
            </w:r>
          </w:p>
        </w:tc>
        <w:tc>
          <w:tcPr>
            <w:tcW w:w="852" w:type="pct"/>
            <w:shd w:val="clear" w:color="auto" w:fill="auto"/>
            <w:noWrap/>
            <w:vAlign w:val="center"/>
            <w:hideMark/>
          </w:tcPr>
          <w:p w14:paraId="2CED512F"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Pr>
                <w:b/>
                <w:bCs/>
                <w:color w:val="000000"/>
                <w:sz w:val="20"/>
                <w:szCs w:val="20"/>
              </w:rPr>
              <w:t>16.0</w:t>
            </w:r>
          </w:p>
        </w:tc>
        <w:tc>
          <w:tcPr>
            <w:tcW w:w="852" w:type="pct"/>
            <w:shd w:val="clear" w:color="auto" w:fill="auto"/>
            <w:noWrap/>
            <w:vAlign w:val="center"/>
          </w:tcPr>
          <w:p w14:paraId="275045B4" w14:textId="77777777" w:rsidR="00581BD2" w:rsidRPr="004E24D6" w:rsidRDefault="00581BD2" w:rsidP="00BB4F8B">
            <w:pPr>
              <w:pStyle w:val="NormalWeb"/>
              <w:autoSpaceDE w:val="0"/>
              <w:autoSpaceDN w:val="0"/>
              <w:adjustRightInd w:val="0"/>
              <w:spacing w:before="40" w:beforeAutospacing="0" w:after="0" w:afterAutospacing="0"/>
              <w:ind w:right="482"/>
              <w:jc w:val="right"/>
              <w:rPr>
                <w:b/>
                <w:sz w:val="20"/>
                <w:szCs w:val="20"/>
              </w:rPr>
            </w:pPr>
            <w:r>
              <w:rPr>
                <w:b/>
                <w:bCs/>
                <w:color w:val="000000"/>
                <w:sz w:val="20"/>
                <w:szCs w:val="20"/>
              </w:rPr>
              <w:t>16.7</w:t>
            </w:r>
            <w:r w:rsidRPr="004E24D6">
              <w:rPr>
                <w:b/>
                <w:bCs/>
                <w:color w:val="000000"/>
                <w:sz w:val="20"/>
                <w:szCs w:val="20"/>
              </w:rPr>
              <w:t xml:space="preserve"> </w:t>
            </w:r>
          </w:p>
        </w:tc>
        <w:tc>
          <w:tcPr>
            <w:tcW w:w="851" w:type="pct"/>
            <w:vAlign w:val="center"/>
          </w:tcPr>
          <w:p w14:paraId="4D8EC4C2" w14:textId="77777777" w:rsidR="00581BD2" w:rsidRDefault="00581BD2" w:rsidP="00BB4F8B">
            <w:pPr>
              <w:pStyle w:val="NormalWeb"/>
              <w:autoSpaceDE w:val="0"/>
              <w:autoSpaceDN w:val="0"/>
              <w:adjustRightInd w:val="0"/>
              <w:spacing w:before="40" w:beforeAutospacing="0" w:after="0" w:afterAutospacing="0"/>
              <w:ind w:right="482"/>
              <w:jc w:val="right"/>
              <w:rPr>
                <w:b/>
                <w:bCs/>
                <w:color w:val="000000"/>
                <w:sz w:val="20"/>
                <w:szCs w:val="20"/>
              </w:rPr>
            </w:pPr>
            <w:r>
              <w:rPr>
                <w:b/>
                <w:bCs/>
                <w:color w:val="000000"/>
                <w:sz w:val="20"/>
                <w:szCs w:val="20"/>
              </w:rPr>
              <w:t>19.6</w:t>
            </w:r>
          </w:p>
        </w:tc>
      </w:tr>
      <w:tr w:rsidR="00581BD2" w:rsidRPr="005A497D" w14:paraId="40803EE9" w14:textId="77777777" w:rsidTr="00BB4F8B">
        <w:trPr>
          <w:trHeight w:val="256"/>
          <w:jc w:val="center"/>
        </w:trPr>
        <w:tc>
          <w:tcPr>
            <w:tcW w:w="1594" w:type="pct"/>
            <w:shd w:val="clear" w:color="auto" w:fill="auto"/>
            <w:noWrap/>
            <w:vAlign w:val="bottom"/>
            <w:hideMark/>
          </w:tcPr>
          <w:p w14:paraId="3D04941F" w14:textId="77777777" w:rsidR="00581BD2" w:rsidRPr="00E910D8" w:rsidRDefault="00581BD2" w:rsidP="00BB4F8B">
            <w:pPr>
              <w:spacing w:before="20" w:after="20"/>
              <w:ind w:firstLineChars="100" w:firstLine="200"/>
              <w:rPr>
                <w:color w:val="000000"/>
                <w:sz w:val="20"/>
                <w:szCs w:val="20"/>
              </w:rPr>
            </w:pPr>
            <w:r w:rsidRPr="00E910D8">
              <w:rPr>
                <w:color w:val="000000"/>
                <w:sz w:val="20"/>
                <w:szCs w:val="20"/>
              </w:rPr>
              <w:t>Non-interest expenditure</w:t>
            </w:r>
          </w:p>
        </w:tc>
        <w:tc>
          <w:tcPr>
            <w:tcW w:w="851" w:type="pct"/>
            <w:shd w:val="clear" w:color="auto" w:fill="auto"/>
            <w:noWrap/>
            <w:vAlign w:val="center"/>
            <w:hideMark/>
          </w:tcPr>
          <w:p w14:paraId="73B333AA"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Pr>
                <w:color w:val="000000"/>
                <w:sz w:val="20"/>
                <w:szCs w:val="20"/>
              </w:rPr>
              <w:t>14.5</w:t>
            </w:r>
          </w:p>
        </w:tc>
        <w:tc>
          <w:tcPr>
            <w:tcW w:w="852" w:type="pct"/>
            <w:shd w:val="clear" w:color="auto" w:fill="auto"/>
            <w:noWrap/>
            <w:vAlign w:val="center"/>
            <w:hideMark/>
          </w:tcPr>
          <w:p w14:paraId="3CD1E8C2"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Pr>
                <w:color w:val="000000"/>
                <w:sz w:val="20"/>
                <w:szCs w:val="20"/>
              </w:rPr>
              <w:t>13.5</w:t>
            </w:r>
          </w:p>
        </w:tc>
        <w:tc>
          <w:tcPr>
            <w:tcW w:w="852" w:type="pct"/>
            <w:shd w:val="clear" w:color="auto" w:fill="auto"/>
            <w:noWrap/>
            <w:vAlign w:val="center"/>
          </w:tcPr>
          <w:p w14:paraId="5BDB38CF" w14:textId="77777777" w:rsidR="00581BD2" w:rsidRPr="004E24D6" w:rsidRDefault="00581BD2" w:rsidP="00BB4F8B">
            <w:pPr>
              <w:pStyle w:val="NormalWeb"/>
              <w:autoSpaceDE w:val="0"/>
              <w:autoSpaceDN w:val="0"/>
              <w:adjustRightInd w:val="0"/>
              <w:spacing w:before="40" w:beforeAutospacing="0" w:after="0" w:afterAutospacing="0"/>
              <w:ind w:right="482"/>
              <w:jc w:val="right"/>
              <w:rPr>
                <w:sz w:val="20"/>
                <w:szCs w:val="20"/>
              </w:rPr>
            </w:pPr>
            <w:r>
              <w:rPr>
                <w:bCs/>
                <w:color w:val="000000"/>
                <w:sz w:val="20"/>
                <w:szCs w:val="20"/>
              </w:rPr>
              <w:t>14.4</w:t>
            </w:r>
            <w:r w:rsidRPr="004E24D6">
              <w:rPr>
                <w:bCs/>
                <w:color w:val="000000"/>
                <w:sz w:val="20"/>
                <w:szCs w:val="20"/>
              </w:rPr>
              <w:t xml:space="preserve"> </w:t>
            </w:r>
          </w:p>
        </w:tc>
        <w:tc>
          <w:tcPr>
            <w:tcW w:w="851" w:type="pct"/>
            <w:vAlign w:val="center"/>
          </w:tcPr>
          <w:p w14:paraId="041F5158"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16.8</w:t>
            </w:r>
          </w:p>
        </w:tc>
      </w:tr>
      <w:tr w:rsidR="00581BD2" w:rsidRPr="005A497D" w14:paraId="5BFCBF1B" w14:textId="77777777" w:rsidTr="00BB4F8B">
        <w:trPr>
          <w:trHeight w:val="256"/>
          <w:jc w:val="center"/>
        </w:trPr>
        <w:tc>
          <w:tcPr>
            <w:tcW w:w="1594" w:type="pct"/>
            <w:shd w:val="clear" w:color="auto" w:fill="auto"/>
            <w:noWrap/>
            <w:vAlign w:val="bottom"/>
            <w:hideMark/>
          </w:tcPr>
          <w:p w14:paraId="12FA555A" w14:textId="77777777" w:rsidR="00581BD2" w:rsidRPr="00E910D8" w:rsidRDefault="00581BD2" w:rsidP="00BB4F8B">
            <w:pPr>
              <w:spacing w:before="20" w:after="20"/>
              <w:ind w:firstLineChars="100" w:firstLine="200"/>
              <w:rPr>
                <w:color w:val="000000"/>
                <w:sz w:val="20"/>
                <w:szCs w:val="20"/>
              </w:rPr>
            </w:pPr>
            <w:r w:rsidRPr="00E910D8">
              <w:rPr>
                <w:color w:val="000000"/>
                <w:sz w:val="20"/>
                <w:szCs w:val="20"/>
              </w:rPr>
              <w:t>Interest expenditure</w:t>
            </w:r>
          </w:p>
        </w:tc>
        <w:tc>
          <w:tcPr>
            <w:tcW w:w="851" w:type="pct"/>
            <w:shd w:val="clear" w:color="auto" w:fill="auto"/>
            <w:noWrap/>
            <w:vAlign w:val="center"/>
            <w:hideMark/>
          </w:tcPr>
          <w:p w14:paraId="28A915F8"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2.8</w:t>
            </w:r>
          </w:p>
        </w:tc>
        <w:tc>
          <w:tcPr>
            <w:tcW w:w="852" w:type="pct"/>
            <w:shd w:val="clear" w:color="auto" w:fill="auto"/>
            <w:noWrap/>
            <w:vAlign w:val="center"/>
            <w:hideMark/>
          </w:tcPr>
          <w:p w14:paraId="79BC8E60"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2.5</w:t>
            </w:r>
          </w:p>
        </w:tc>
        <w:tc>
          <w:tcPr>
            <w:tcW w:w="852" w:type="pct"/>
            <w:shd w:val="clear" w:color="auto" w:fill="auto"/>
            <w:noWrap/>
            <w:vAlign w:val="center"/>
          </w:tcPr>
          <w:p w14:paraId="51AEFD6C" w14:textId="77777777" w:rsidR="00581BD2" w:rsidRPr="004E24D6" w:rsidRDefault="00581BD2" w:rsidP="00BB4F8B">
            <w:pPr>
              <w:pStyle w:val="NormalWeb"/>
              <w:autoSpaceDE w:val="0"/>
              <w:autoSpaceDN w:val="0"/>
              <w:adjustRightInd w:val="0"/>
              <w:spacing w:before="40" w:beforeAutospacing="0" w:after="0" w:afterAutospacing="0"/>
              <w:ind w:right="482"/>
              <w:jc w:val="right"/>
              <w:rPr>
                <w:sz w:val="20"/>
                <w:szCs w:val="20"/>
              </w:rPr>
            </w:pPr>
            <w:r w:rsidRPr="004E24D6">
              <w:rPr>
                <w:bCs/>
                <w:color w:val="000000"/>
                <w:sz w:val="20"/>
                <w:szCs w:val="20"/>
              </w:rPr>
              <w:t xml:space="preserve">2.3 </w:t>
            </w:r>
          </w:p>
        </w:tc>
        <w:tc>
          <w:tcPr>
            <w:tcW w:w="851" w:type="pct"/>
            <w:vAlign w:val="center"/>
          </w:tcPr>
          <w:p w14:paraId="413CFE83"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2.8</w:t>
            </w:r>
          </w:p>
        </w:tc>
      </w:tr>
      <w:tr w:rsidR="00581BD2" w:rsidRPr="005A497D" w14:paraId="434E0733" w14:textId="77777777" w:rsidTr="00BB4F8B">
        <w:trPr>
          <w:trHeight w:val="256"/>
          <w:jc w:val="center"/>
        </w:trPr>
        <w:tc>
          <w:tcPr>
            <w:tcW w:w="1594" w:type="pct"/>
            <w:shd w:val="clear" w:color="auto" w:fill="auto"/>
            <w:noWrap/>
            <w:vAlign w:val="bottom"/>
            <w:hideMark/>
          </w:tcPr>
          <w:p w14:paraId="0A3C4EA5" w14:textId="77777777" w:rsidR="00581BD2" w:rsidRPr="00E910D8" w:rsidRDefault="00581BD2" w:rsidP="00BB4F8B">
            <w:pPr>
              <w:spacing w:before="20" w:after="20"/>
              <w:rPr>
                <w:b/>
                <w:color w:val="000000"/>
                <w:sz w:val="20"/>
                <w:szCs w:val="20"/>
              </w:rPr>
            </w:pPr>
            <w:r>
              <w:rPr>
                <w:b/>
                <w:color w:val="000000"/>
                <w:sz w:val="20"/>
                <w:szCs w:val="20"/>
              </w:rPr>
              <w:t>Government balance</w:t>
            </w:r>
            <w:r w:rsidRPr="00E910D8">
              <w:rPr>
                <w:b/>
                <w:color w:val="000000"/>
                <w:sz w:val="20"/>
                <w:szCs w:val="20"/>
              </w:rPr>
              <w:t xml:space="preserve"> (including grants)</w:t>
            </w:r>
          </w:p>
        </w:tc>
        <w:tc>
          <w:tcPr>
            <w:tcW w:w="851" w:type="pct"/>
            <w:shd w:val="clear" w:color="auto" w:fill="auto"/>
            <w:noWrap/>
            <w:vAlign w:val="center"/>
            <w:hideMark/>
          </w:tcPr>
          <w:p w14:paraId="46A1CFA1"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Pr>
                <w:b/>
                <w:bCs/>
                <w:color w:val="000000"/>
                <w:sz w:val="20"/>
                <w:szCs w:val="20"/>
              </w:rPr>
              <w:t>-2.4</w:t>
            </w:r>
          </w:p>
        </w:tc>
        <w:tc>
          <w:tcPr>
            <w:tcW w:w="852" w:type="pct"/>
            <w:shd w:val="clear" w:color="auto" w:fill="auto"/>
            <w:noWrap/>
            <w:vAlign w:val="center"/>
            <w:hideMark/>
          </w:tcPr>
          <w:p w14:paraId="48A73C76"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Pr>
                <w:b/>
                <w:bCs/>
                <w:color w:val="000000"/>
                <w:sz w:val="20"/>
                <w:szCs w:val="20"/>
              </w:rPr>
              <w:t>-0.9</w:t>
            </w:r>
          </w:p>
        </w:tc>
        <w:tc>
          <w:tcPr>
            <w:tcW w:w="852" w:type="pct"/>
            <w:shd w:val="clear" w:color="auto" w:fill="auto"/>
            <w:noWrap/>
            <w:vAlign w:val="center"/>
          </w:tcPr>
          <w:p w14:paraId="52C76710" w14:textId="77777777" w:rsidR="00581BD2" w:rsidRPr="004E24D6" w:rsidRDefault="00581BD2" w:rsidP="00BB4F8B">
            <w:pPr>
              <w:pStyle w:val="NormalWeb"/>
              <w:autoSpaceDE w:val="0"/>
              <w:autoSpaceDN w:val="0"/>
              <w:adjustRightInd w:val="0"/>
              <w:spacing w:before="40" w:beforeAutospacing="0" w:after="0" w:afterAutospacing="0"/>
              <w:ind w:right="482"/>
              <w:jc w:val="right"/>
              <w:rPr>
                <w:b/>
                <w:sz w:val="20"/>
                <w:szCs w:val="20"/>
              </w:rPr>
            </w:pPr>
            <w:r w:rsidRPr="004E24D6">
              <w:rPr>
                <w:b/>
                <w:bCs/>
                <w:color w:val="000000"/>
                <w:sz w:val="20"/>
                <w:szCs w:val="20"/>
              </w:rPr>
              <w:t>-0.9</w:t>
            </w:r>
          </w:p>
        </w:tc>
        <w:tc>
          <w:tcPr>
            <w:tcW w:w="851" w:type="pct"/>
            <w:vAlign w:val="center"/>
          </w:tcPr>
          <w:p w14:paraId="46C9B5BE" w14:textId="77777777" w:rsidR="00581BD2" w:rsidRDefault="00581BD2" w:rsidP="00BB4F8B">
            <w:pPr>
              <w:pStyle w:val="NormalWeb"/>
              <w:autoSpaceDE w:val="0"/>
              <w:autoSpaceDN w:val="0"/>
              <w:adjustRightInd w:val="0"/>
              <w:spacing w:before="40" w:beforeAutospacing="0" w:after="0" w:afterAutospacing="0"/>
              <w:ind w:right="482"/>
              <w:jc w:val="right"/>
              <w:rPr>
                <w:b/>
                <w:bCs/>
                <w:color w:val="000000"/>
                <w:sz w:val="20"/>
                <w:szCs w:val="20"/>
              </w:rPr>
            </w:pPr>
            <w:r>
              <w:rPr>
                <w:b/>
                <w:bCs/>
                <w:color w:val="000000"/>
                <w:sz w:val="20"/>
                <w:szCs w:val="20"/>
              </w:rPr>
              <w:t>-2.5</w:t>
            </w:r>
          </w:p>
        </w:tc>
      </w:tr>
      <w:tr w:rsidR="00581BD2" w:rsidRPr="005A497D" w14:paraId="5BB4AEB9" w14:textId="77777777" w:rsidTr="00BB4F8B">
        <w:trPr>
          <w:trHeight w:val="256"/>
          <w:jc w:val="center"/>
        </w:trPr>
        <w:tc>
          <w:tcPr>
            <w:tcW w:w="1594" w:type="pct"/>
            <w:shd w:val="clear" w:color="auto" w:fill="auto"/>
            <w:noWrap/>
            <w:vAlign w:val="bottom"/>
            <w:hideMark/>
          </w:tcPr>
          <w:p w14:paraId="23770CD1" w14:textId="77777777" w:rsidR="00581BD2" w:rsidRPr="00E910D8" w:rsidRDefault="00581BD2" w:rsidP="00BB4F8B">
            <w:pPr>
              <w:spacing w:before="20" w:after="20"/>
              <w:rPr>
                <w:i/>
                <w:color w:val="000000"/>
                <w:sz w:val="20"/>
                <w:szCs w:val="20"/>
              </w:rPr>
            </w:pPr>
            <w:r w:rsidRPr="00E910D8">
              <w:rPr>
                <w:i/>
                <w:color w:val="000000"/>
                <w:sz w:val="20"/>
                <w:szCs w:val="20"/>
              </w:rPr>
              <w:t xml:space="preserve">Primary </w:t>
            </w:r>
            <w:r>
              <w:rPr>
                <w:i/>
                <w:color w:val="000000"/>
                <w:sz w:val="20"/>
                <w:szCs w:val="20"/>
              </w:rPr>
              <w:t>balance</w:t>
            </w:r>
          </w:p>
        </w:tc>
        <w:tc>
          <w:tcPr>
            <w:tcW w:w="851" w:type="pct"/>
            <w:shd w:val="clear" w:color="auto" w:fill="auto"/>
            <w:noWrap/>
            <w:vAlign w:val="center"/>
            <w:hideMark/>
          </w:tcPr>
          <w:p w14:paraId="293366DF"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Pr>
                <w:color w:val="000000"/>
                <w:sz w:val="20"/>
                <w:szCs w:val="20"/>
              </w:rPr>
              <w:t>0.5</w:t>
            </w:r>
          </w:p>
        </w:tc>
        <w:tc>
          <w:tcPr>
            <w:tcW w:w="852" w:type="pct"/>
            <w:shd w:val="clear" w:color="auto" w:fill="auto"/>
            <w:noWrap/>
            <w:vAlign w:val="center"/>
            <w:hideMark/>
          </w:tcPr>
          <w:p w14:paraId="33FE54A6" w14:textId="77777777" w:rsidR="00581BD2" w:rsidRPr="00E910D8" w:rsidRDefault="00581BD2" w:rsidP="00BB4F8B">
            <w:pPr>
              <w:pStyle w:val="NormalWeb"/>
              <w:autoSpaceDE w:val="0"/>
              <w:autoSpaceDN w:val="0"/>
              <w:adjustRightInd w:val="0"/>
              <w:spacing w:before="40" w:beforeAutospacing="0" w:after="0" w:afterAutospacing="0"/>
              <w:ind w:right="482"/>
              <w:jc w:val="right"/>
              <w:rPr>
                <w:i/>
                <w:sz w:val="20"/>
                <w:szCs w:val="20"/>
              </w:rPr>
            </w:pPr>
            <w:r>
              <w:rPr>
                <w:color w:val="000000"/>
                <w:sz w:val="20"/>
                <w:szCs w:val="20"/>
              </w:rPr>
              <w:t>1.9</w:t>
            </w:r>
          </w:p>
        </w:tc>
        <w:tc>
          <w:tcPr>
            <w:tcW w:w="852" w:type="pct"/>
            <w:shd w:val="clear" w:color="auto" w:fill="auto"/>
            <w:noWrap/>
            <w:vAlign w:val="center"/>
          </w:tcPr>
          <w:p w14:paraId="3F0243C4" w14:textId="77777777" w:rsidR="00581BD2" w:rsidRPr="004E24D6" w:rsidRDefault="00581BD2" w:rsidP="00BB4F8B">
            <w:pPr>
              <w:pStyle w:val="NormalWeb"/>
              <w:autoSpaceDE w:val="0"/>
              <w:autoSpaceDN w:val="0"/>
              <w:adjustRightInd w:val="0"/>
              <w:spacing w:before="40" w:beforeAutospacing="0" w:after="0" w:afterAutospacing="0"/>
              <w:ind w:right="482"/>
              <w:jc w:val="right"/>
              <w:rPr>
                <w:i/>
                <w:sz w:val="20"/>
                <w:szCs w:val="20"/>
              </w:rPr>
            </w:pPr>
            <w:r w:rsidRPr="004E24D6">
              <w:rPr>
                <w:bCs/>
                <w:color w:val="000000"/>
                <w:sz w:val="20"/>
                <w:szCs w:val="20"/>
              </w:rPr>
              <w:t xml:space="preserve">1.4 </w:t>
            </w:r>
          </w:p>
        </w:tc>
        <w:tc>
          <w:tcPr>
            <w:tcW w:w="851" w:type="pct"/>
            <w:vAlign w:val="center"/>
          </w:tcPr>
          <w:p w14:paraId="54EE796A"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0.5</w:t>
            </w:r>
          </w:p>
        </w:tc>
      </w:tr>
      <w:tr w:rsidR="00581BD2" w:rsidRPr="005A497D" w14:paraId="2BF7649C" w14:textId="77777777" w:rsidTr="00BB4F8B">
        <w:trPr>
          <w:trHeight w:val="256"/>
          <w:jc w:val="center"/>
        </w:trPr>
        <w:tc>
          <w:tcPr>
            <w:tcW w:w="1594" w:type="pct"/>
            <w:shd w:val="clear" w:color="auto" w:fill="auto"/>
            <w:noWrap/>
            <w:vAlign w:val="bottom"/>
            <w:hideMark/>
          </w:tcPr>
          <w:p w14:paraId="3D9FD988" w14:textId="77777777" w:rsidR="00581BD2" w:rsidRPr="00E910D8" w:rsidRDefault="00581BD2" w:rsidP="00BB4F8B">
            <w:pPr>
              <w:spacing w:before="20" w:after="20"/>
              <w:rPr>
                <w:b/>
                <w:color w:val="000000"/>
                <w:sz w:val="20"/>
                <w:szCs w:val="20"/>
              </w:rPr>
            </w:pPr>
            <w:r w:rsidRPr="00E910D8">
              <w:rPr>
                <w:b/>
                <w:color w:val="000000"/>
                <w:sz w:val="20"/>
                <w:szCs w:val="20"/>
              </w:rPr>
              <w:t>Net financing</w:t>
            </w:r>
          </w:p>
        </w:tc>
        <w:tc>
          <w:tcPr>
            <w:tcW w:w="851" w:type="pct"/>
            <w:shd w:val="clear" w:color="auto" w:fill="auto"/>
            <w:noWrap/>
            <w:vAlign w:val="center"/>
            <w:hideMark/>
          </w:tcPr>
          <w:p w14:paraId="38690695"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sidRPr="00E910D8">
              <w:rPr>
                <w:b/>
                <w:bCs/>
                <w:color w:val="000000"/>
                <w:sz w:val="20"/>
                <w:szCs w:val="20"/>
              </w:rPr>
              <w:t>2.8</w:t>
            </w:r>
          </w:p>
        </w:tc>
        <w:tc>
          <w:tcPr>
            <w:tcW w:w="852" w:type="pct"/>
            <w:shd w:val="clear" w:color="auto" w:fill="auto"/>
            <w:noWrap/>
            <w:vAlign w:val="center"/>
            <w:hideMark/>
          </w:tcPr>
          <w:p w14:paraId="302E433E" w14:textId="77777777" w:rsidR="00581BD2" w:rsidRPr="00E910D8" w:rsidRDefault="00581BD2" w:rsidP="00BB4F8B">
            <w:pPr>
              <w:pStyle w:val="NormalWeb"/>
              <w:autoSpaceDE w:val="0"/>
              <w:autoSpaceDN w:val="0"/>
              <w:adjustRightInd w:val="0"/>
              <w:spacing w:before="40" w:beforeAutospacing="0" w:after="0" w:afterAutospacing="0"/>
              <w:ind w:right="482"/>
              <w:jc w:val="right"/>
              <w:rPr>
                <w:b/>
                <w:sz w:val="20"/>
                <w:szCs w:val="20"/>
              </w:rPr>
            </w:pPr>
            <w:r w:rsidRPr="00E910D8">
              <w:rPr>
                <w:b/>
                <w:bCs/>
                <w:color w:val="000000"/>
                <w:sz w:val="20"/>
                <w:szCs w:val="20"/>
              </w:rPr>
              <w:t>1.4</w:t>
            </w:r>
          </w:p>
        </w:tc>
        <w:tc>
          <w:tcPr>
            <w:tcW w:w="852" w:type="pct"/>
            <w:shd w:val="clear" w:color="auto" w:fill="auto"/>
            <w:noWrap/>
            <w:vAlign w:val="center"/>
          </w:tcPr>
          <w:p w14:paraId="79D67571" w14:textId="77777777" w:rsidR="00581BD2" w:rsidRPr="004E24D6" w:rsidRDefault="00581BD2" w:rsidP="00BB4F8B">
            <w:pPr>
              <w:pStyle w:val="NormalWeb"/>
              <w:autoSpaceDE w:val="0"/>
              <w:autoSpaceDN w:val="0"/>
              <w:adjustRightInd w:val="0"/>
              <w:spacing w:before="40" w:beforeAutospacing="0" w:after="0" w:afterAutospacing="0"/>
              <w:ind w:right="482"/>
              <w:jc w:val="right"/>
              <w:rPr>
                <w:b/>
                <w:sz w:val="20"/>
                <w:szCs w:val="20"/>
              </w:rPr>
            </w:pPr>
            <w:r w:rsidRPr="004E24D6">
              <w:rPr>
                <w:b/>
                <w:bCs/>
                <w:color w:val="000000"/>
                <w:sz w:val="20"/>
                <w:szCs w:val="20"/>
              </w:rPr>
              <w:t xml:space="preserve">0.7 </w:t>
            </w:r>
          </w:p>
        </w:tc>
        <w:tc>
          <w:tcPr>
            <w:tcW w:w="851" w:type="pct"/>
            <w:vAlign w:val="center"/>
          </w:tcPr>
          <w:p w14:paraId="33645AAD" w14:textId="77777777" w:rsidR="00581BD2" w:rsidRDefault="00581BD2" w:rsidP="00BB4F8B">
            <w:pPr>
              <w:pStyle w:val="NormalWeb"/>
              <w:autoSpaceDE w:val="0"/>
              <w:autoSpaceDN w:val="0"/>
              <w:adjustRightInd w:val="0"/>
              <w:spacing w:before="40" w:beforeAutospacing="0" w:after="0" w:afterAutospacing="0"/>
              <w:ind w:right="482"/>
              <w:jc w:val="right"/>
              <w:rPr>
                <w:b/>
                <w:bCs/>
                <w:color w:val="000000"/>
                <w:sz w:val="20"/>
                <w:szCs w:val="20"/>
              </w:rPr>
            </w:pPr>
            <w:r>
              <w:rPr>
                <w:b/>
                <w:bCs/>
                <w:color w:val="000000"/>
                <w:sz w:val="20"/>
                <w:szCs w:val="20"/>
              </w:rPr>
              <w:t>0.7</w:t>
            </w:r>
          </w:p>
        </w:tc>
      </w:tr>
      <w:tr w:rsidR="00581BD2" w:rsidRPr="005A497D" w14:paraId="22C3A80A" w14:textId="77777777" w:rsidTr="00BB4F8B">
        <w:trPr>
          <w:trHeight w:val="256"/>
          <w:jc w:val="center"/>
        </w:trPr>
        <w:tc>
          <w:tcPr>
            <w:tcW w:w="1594" w:type="pct"/>
            <w:shd w:val="clear" w:color="auto" w:fill="auto"/>
            <w:noWrap/>
            <w:vAlign w:val="bottom"/>
            <w:hideMark/>
          </w:tcPr>
          <w:p w14:paraId="4CDB6C45" w14:textId="77777777" w:rsidR="00581BD2" w:rsidRPr="00E910D8" w:rsidRDefault="00581BD2" w:rsidP="00BB4F8B">
            <w:pPr>
              <w:spacing w:before="20" w:after="20"/>
              <w:ind w:firstLineChars="100" w:firstLine="200"/>
              <w:rPr>
                <w:color w:val="000000"/>
                <w:sz w:val="20"/>
                <w:szCs w:val="20"/>
              </w:rPr>
            </w:pPr>
            <w:r w:rsidRPr="00E910D8">
              <w:rPr>
                <w:color w:val="000000"/>
                <w:sz w:val="20"/>
                <w:szCs w:val="20"/>
              </w:rPr>
              <w:t>External</w:t>
            </w:r>
          </w:p>
        </w:tc>
        <w:tc>
          <w:tcPr>
            <w:tcW w:w="851" w:type="pct"/>
            <w:shd w:val="clear" w:color="auto" w:fill="auto"/>
            <w:noWrap/>
            <w:vAlign w:val="center"/>
            <w:hideMark/>
          </w:tcPr>
          <w:p w14:paraId="18D5645E"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-0.7</w:t>
            </w:r>
          </w:p>
        </w:tc>
        <w:tc>
          <w:tcPr>
            <w:tcW w:w="852" w:type="pct"/>
            <w:shd w:val="clear" w:color="auto" w:fill="auto"/>
            <w:noWrap/>
            <w:vAlign w:val="center"/>
            <w:hideMark/>
          </w:tcPr>
          <w:p w14:paraId="4D7820B2"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0.1</w:t>
            </w:r>
          </w:p>
        </w:tc>
        <w:tc>
          <w:tcPr>
            <w:tcW w:w="852" w:type="pct"/>
            <w:shd w:val="clear" w:color="auto" w:fill="auto"/>
            <w:noWrap/>
            <w:vAlign w:val="center"/>
          </w:tcPr>
          <w:p w14:paraId="148B2F7F" w14:textId="77777777" w:rsidR="00581BD2" w:rsidRPr="004E24D6" w:rsidRDefault="00581BD2" w:rsidP="00BB4F8B">
            <w:pPr>
              <w:pStyle w:val="NormalWeb"/>
              <w:autoSpaceDE w:val="0"/>
              <w:autoSpaceDN w:val="0"/>
              <w:adjustRightInd w:val="0"/>
              <w:spacing w:before="40" w:beforeAutospacing="0" w:after="0" w:afterAutospacing="0"/>
              <w:ind w:right="482"/>
              <w:jc w:val="right"/>
              <w:rPr>
                <w:sz w:val="20"/>
                <w:szCs w:val="20"/>
              </w:rPr>
            </w:pPr>
            <w:r w:rsidRPr="004E24D6">
              <w:rPr>
                <w:bCs/>
                <w:color w:val="000000"/>
                <w:sz w:val="20"/>
                <w:szCs w:val="20"/>
              </w:rPr>
              <w:t xml:space="preserve">0.5 </w:t>
            </w:r>
          </w:p>
        </w:tc>
        <w:tc>
          <w:tcPr>
            <w:tcW w:w="851" w:type="pct"/>
            <w:vAlign w:val="center"/>
          </w:tcPr>
          <w:p w14:paraId="3AA9E504"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0.5</w:t>
            </w:r>
          </w:p>
        </w:tc>
      </w:tr>
      <w:tr w:rsidR="00581BD2" w:rsidRPr="005A497D" w14:paraId="2F726B2A" w14:textId="77777777" w:rsidTr="00BB4F8B">
        <w:trPr>
          <w:trHeight w:val="256"/>
          <w:jc w:val="center"/>
        </w:trPr>
        <w:tc>
          <w:tcPr>
            <w:tcW w:w="1594" w:type="pct"/>
            <w:shd w:val="clear" w:color="auto" w:fill="auto"/>
            <w:noWrap/>
            <w:vAlign w:val="bottom"/>
            <w:hideMark/>
          </w:tcPr>
          <w:p w14:paraId="47125C74" w14:textId="77777777" w:rsidR="00581BD2" w:rsidRPr="00E910D8" w:rsidRDefault="00581BD2" w:rsidP="00BB4F8B">
            <w:pPr>
              <w:spacing w:before="20" w:after="20"/>
              <w:ind w:firstLineChars="100" w:firstLine="200"/>
              <w:rPr>
                <w:color w:val="000000"/>
                <w:sz w:val="20"/>
                <w:szCs w:val="20"/>
              </w:rPr>
            </w:pPr>
            <w:r w:rsidRPr="00E910D8">
              <w:rPr>
                <w:color w:val="000000"/>
                <w:sz w:val="20"/>
                <w:szCs w:val="20"/>
              </w:rPr>
              <w:t>Domestic</w:t>
            </w:r>
          </w:p>
        </w:tc>
        <w:tc>
          <w:tcPr>
            <w:tcW w:w="851" w:type="pct"/>
            <w:shd w:val="clear" w:color="auto" w:fill="auto"/>
            <w:noWrap/>
            <w:vAlign w:val="center"/>
            <w:hideMark/>
          </w:tcPr>
          <w:p w14:paraId="2671994C"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3.5</w:t>
            </w:r>
          </w:p>
        </w:tc>
        <w:tc>
          <w:tcPr>
            <w:tcW w:w="852" w:type="pct"/>
            <w:shd w:val="clear" w:color="auto" w:fill="auto"/>
            <w:noWrap/>
            <w:vAlign w:val="center"/>
            <w:hideMark/>
          </w:tcPr>
          <w:p w14:paraId="6F12B333" w14:textId="77777777" w:rsidR="00581BD2" w:rsidRPr="00E910D8" w:rsidRDefault="00581BD2" w:rsidP="00BB4F8B">
            <w:pPr>
              <w:pStyle w:val="NormalWeb"/>
              <w:autoSpaceDE w:val="0"/>
              <w:autoSpaceDN w:val="0"/>
              <w:adjustRightInd w:val="0"/>
              <w:spacing w:before="40" w:beforeAutospacing="0" w:after="0" w:afterAutospacing="0"/>
              <w:ind w:right="482"/>
              <w:jc w:val="right"/>
              <w:rPr>
                <w:sz w:val="20"/>
                <w:szCs w:val="20"/>
              </w:rPr>
            </w:pPr>
            <w:r w:rsidRPr="00E910D8">
              <w:rPr>
                <w:color w:val="000000"/>
                <w:sz w:val="20"/>
                <w:szCs w:val="20"/>
              </w:rPr>
              <w:t>1.3</w:t>
            </w:r>
          </w:p>
        </w:tc>
        <w:tc>
          <w:tcPr>
            <w:tcW w:w="852" w:type="pct"/>
            <w:shd w:val="clear" w:color="auto" w:fill="auto"/>
            <w:noWrap/>
            <w:vAlign w:val="center"/>
          </w:tcPr>
          <w:p w14:paraId="3B71AD61" w14:textId="77777777" w:rsidR="00581BD2" w:rsidRPr="004E24D6" w:rsidRDefault="00581BD2" w:rsidP="00BB4F8B">
            <w:pPr>
              <w:pStyle w:val="NormalWeb"/>
              <w:autoSpaceDE w:val="0"/>
              <w:autoSpaceDN w:val="0"/>
              <w:adjustRightInd w:val="0"/>
              <w:spacing w:before="40" w:beforeAutospacing="0" w:after="0" w:afterAutospacing="0"/>
              <w:ind w:right="482"/>
              <w:jc w:val="right"/>
              <w:rPr>
                <w:sz w:val="20"/>
                <w:szCs w:val="20"/>
              </w:rPr>
            </w:pPr>
            <w:r w:rsidRPr="004E24D6">
              <w:rPr>
                <w:bCs/>
                <w:color w:val="000000"/>
                <w:sz w:val="20"/>
                <w:szCs w:val="20"/>
              </w:rPr>
              <w:t xml:space="preserve">0.2 </w:t>
            </w:r>
          </w:p>
        </w:tc>
        <w:tc>
          <w:tcPr>
            <w:tcW w:w="851" w:type="pct"/>
            <w:vAlign w:val="center"/>
          </w:tcPr>
          <w:p w14:paraId="131533D7" w14:textId="77777777" w:rsidR="00581BD2" w:rsidRDefault="00581BD2" w:rsidP="00BB4F8B">
            <w:pPr>
              <w:pStyle w:val="NormalWeb"/>
              <w:autoSpaceDE w:val="0"/>
              <w:autoSpaceDN w:val="0"/>
              <w:adjustRightInd w:val="0"/>
              <w:spacing w:before="40" w:beforeAutospacing="0" w:after="0" w:afterAutospacing="0"/>
              <w:ind w:right="482"/>
              <w:jc w:val="right"/>
              <w:rPr>
                <w:color w:val="000000"/>
                <w:sz w:val="20"/>
                <w:szCs w:val="20"/>
              </w:rPr>
            </w:pPr>
            <w:r>
              <w:rPr>
                <w:color w:val="000000"/>
                <w:sz w:val="20"/>
                <w:szCs w:val="20"/>
              </w:rPr>
              <w:t>0.2</w:t>
            </w:r>
          </w:p>
        </w:tc>
      </w:tr>
    </w:tbl>
    <w:p w14:paraId="42AE8BEB" w14:textId="12E2A5BE" w:rsidR="001762EE" w:rsidRPr="005A497D" w:rsidRDefault="001762EE" w:rsidP="00FA09A4">
      <w:pPr>
        <w:pStyle w:val="NormalWeb"/>
        <w:autoSpaceDE w:val="0"/>
        <w:autoSpaceDN w:val="0"/>
        <w:adjustRightInd w:val="0"/>
        <w:spacing w:before="40" w:beforeAutospacing="0" w:after="0" w:afterAutospacing="0"/>
        <w:jc w:val="both"/>
        <w:rPr>
          <w:sz w:val="18"/>
          <w:szCs w:val="18"/>
        </w:rPr>
      </w:pPr>
      <w:r w:rsidRPr="00EE024A">
        <w:rPr>
          <w:i/>
          <w:sz w:val="18"/>
          <w:szCs w:val="18"/>
        </w:rPr>
        <w:t>Source:</w:t>
      </w:r>
      <w:r w:rsidRPr="007A5BC2">
        <w:rPr>
          <w:sz w:val="18"/>
          <w:szCs w:val="18"/>
        </w:rPr>
        <w:t xml:space="preserve"> BTr and DBM</w:t>
      </w:r>
      <w:r w:rsidRPr="005A497D">
        <w:rPr>
          <w:sz w:val="18"/>
          <w:szCs w:val="18"/>
        </w:rPr>
        <w:t>.</w:t>
      </w:r>
    </w:p>
    <w:p w14:paraId="3D3A84D2" w14:textId="77777777" w:rsidR="001762EE" w:rsidRPr="005A497D" w:rsidRDefault="001762EE" w:rsidP="00FA09A4">
      <w:pPr>
        <w:pStyle w:val="NormalWeb"/>
        <w:autoSpaceDE w:val="0"/>
        <w:autoSpaceDN w:val="0"/>
        <w:adjustRightInd w:val="0"/>
        <w:spacing w:before="0" w:beforeAutospacing="0" w:after="0" w:afterAutospacing="0"/>
        <w:contextualSpacing/>
        <w:jc w:val="both"/>
      </w:pPr>
    </w:p>
    <w:p w14:paraId="17626687" w14:textId="7F3A8130" w:rsidR="001762EE" w:rsidRPr="005A497D" w:rsidRDefault="001762EE" w:rsidP="00EB3782">
      <w:pPr>
        <w:pStyle w:val="PEFATable"/>
        <w:spacing w:after="40"/>
        <w:jc w:val="both"/>
        <w:rPr>
          <w:sz w:val="24"/>
          <w:szCs w:val="24"/>
        </w:rPr>
      </w:pPr>
      <w:bookmarkStart w:id="36" w:name="_Toc429682013"/>
      <w:bookmarkStart w:id="37" w:name="_Toc436161453"/>
      <w:bookmarkStart w:id="38" w:name="_Toc454889235"/>
      <w:r w:rsidRPr="005A497D">
        <w:rPr>
          <w:sz w:val="24"/>
          <w:szCs w:val="24"/>
        </w:rPr>
        <w:t>Table 2.</w:t>
      </w:r>
      <w:r>
        <w:rPr>
          <w:sz w:val="24"/>
          <w:szCs w:val="24"/>
        </w:rPr>
        <w:t>3</w:t>
      </w:r>
      <w:r w:rsidRPr="005A497D">
        <w:rPr>
          <w:sz w:val="24"/>
          <w:szCs w:val="24"/>
        </w:rPr>
        <w:t xml:space="preserve">: National Government </w:t>
      </w:r>
      <w:r w:rsidR="00D81D66">
        <w:rPr>
          <w:sz w:val="24"/>
          <w:szCs w:val="24"/>
        </w:rPr>
        <w:t>expenditures, obligation basis, by sector</w:t>
      </w:r>
      <w:bookmarkEnd w:id="36"/>
      <w:bookmarkEnd w:id="37"/>
      <w:bookmarkEnd w:id="38"/>
    </w:p>
    <w:tbl>
      <w:tblPr>
        <w:tblW w:w="9700" w:type="dxa"/>
        <w:tblLook w:val="04A0" w:firstRow="1" w:lastRow="0" w:firstColumn="1" w:lastColumn="0" w:noHBand="0" w:noVBand="1"/>
      </w:tblPr>
      <w:tblGrid>
        <w:gridCol w:w="4756"/>
        <w:gridCol w:w="1648"/>
        <w:gridCol w:w="1648"/>
        <w:gridCol w:w="1648"/>
      </w:tblGrid>
      <w:tr w:rsidR="00581BD2" w:rsidRPr="00336C2A" w14:paraId="30765858" w14:textId="77777777" w:rsidTr="00BB4F8B">
        <w:trPr>
          <w:trHeight w:val="285"/>
        </w:trPr>
        <w:tc>
          <w:tcPr>
            <w:tcW w:w="4756" w:type="dxa"/>
            <w:vMerge w:val="restart"/>
            <w:tcBorders>
              <w:top w:val="double" w:sz="6" w:space="0" w:color="auto"/>
              <w:left w:val="double" w:sz="6" w:space="0" w:color="auto"/>
              <w:bottom w:val="double" w:sz="6" w:space="0" w:color="000000"/>
              <w:right w:val="single" w:sz="8" w:space="0" w:color="000000"/>
            </w:tcBorders>
            <w:shd w:val="clear" w:color="000000" w:fill="D9D9D9"/>
            <w:vAlign w:val="bottom"/>
            <w:hideMark/>
          </w:tcPr>
          <w:p w14:paraId="0E032B14" w14:textId="77777777" w:rsidR="00581BD2" w:rsidRPr="00336C2A" w:rsidRDefault="00581BD2" w:rsidP="00BB4F8B">
            <w:pPr>
              <w:jc w:val="center"/>
              <w:rPr>
                <w:i/>
                <w:iCs/>
                <w:color w:val="000000"/>
                <w:sz w:val="20"/>
                <w:szCs w:val="20"/>
              </w:rPr>
            </w:pPr>
            <w:r w:rsidRPr="00336C2A">
              <w:rPr>
                <w:i/>
                <w:iCs/>
                <w:color w:val="000000"/>
                <w:sz w:val="20"/>
                <w:szCs w:val="20"/>
              </w:rPr>
              <w:t> </w:t>
            </w:r>
          </w:p>
        </w:tc>
        <w:tc>
          <w:tcPr>
            <w:tcW w:w="4944" w:type="dxa"/>
            <w:gridSpan w:val="3"/>
            <w:tcBorders>
              <w:top w:val="double" w:sz="6" w:space="0" w:color="auto"/>
              <w:left w:val="nil"/>
              <w:bottom w:val="single" w:sz="8" w:space="0" w:color="000000"/>
              <w:right w:val="double" w:sz="6" w:space="0" w:color="000000"/>
            </w:tcBorders>
            <w:shd w:val="clear" w:color="000000" w:fill="D9D9D9"/>
            <w:vAlign w:val="bottom"/>
            <w:hideMark/>
          </w:tcPr>
          <w:p w14:paraId="2A98515E" w14:textId="204E3BB2" w:rsidR="00581BD2" w:rsidRPr="00336C2A" w:rsidRDefault="00581BD2" w:rsidP="00BB4F8B">
            <w:pPr>
              <w:jc w:val="center"/>
              <w:rPr>
                <w:b/>
                <w:bCs/>
                <w:color w:val="000000"/>
                <w:sz w:val="20"/>
                <w:szCs w:val="20"/>
              </w:rPr>
            </w:pPr>
            <w:r w:rsidRPr="00336C2A">
              <w:rPr>
                <w:b/>
                <w:bCs/>
                <w:color w:val="000000"/>
                <w:sz w:val="20"/>
                <w:szCs w:val="20"/>
              </w:rPr>
              <w:t>Nominal</w:t>
            </w:r>
            <w:r w:rsidR="00D018CF">
              <w:rPr>
                <w:b/>
                <w:bCs/>
                <w:color w:val="000000"/>
                <w:sz w:val="20"/>
                <w:szCs w:val="20"/>
              </w:rPr>
              <w:t xml:space="preserve"> </w:t>
            </w:r>
            <w:r w:rsidR="00D018CF" w:rsidRPr="00D018CF">
              <w:rPr>
                <w:b/>
                <w:bCs/>
                <w:i/>
                <w:color w:val="000000"/>
                <w:sz w:val="20"/>
                <w:szCs w:val="20"/>
              </w:rPr>
              <w:t>(in Php millions)</w:t>
            </w:r>
          </w:p>
        </w:tc>
      </w:tr>
      <w:tr w:rsidR="00581BD2" w:rsidRPr="00336C2A" w14:paraId="0F6BA31B" w14:textId="77777777" w:rsidTr="00BB4F8B">
        <w:trPr>
          <w:trHeight w:val="315"/>
        </w:trPr>
        <w:tc>
          <w:tcPr>
            <w:tcW w:w="4756" w:type="dxa"/>
            <w:vMerge/>
            <w:tcBorders>
              <w:top w:val="double" w:sz="6" w:space="0" w:color="auto"/>
              <w:left w:val="double" w:sz="6" w:space="0" w:color="auto"/>
              <w:bottom w:val="double" w:sz="6" w:space="0" w:color="000000"/>
              <w:right w:val="single" w:sz="8" w:space="0" w:color="000000"/>
            </w:tcBorders>
            <w:vAlign w:val="center"/>
            <w:hideMark/>
          </w:tcPr>
          <w:p w14:paraId="4727EF9A" w14:textId="77777777" w:rsidR="00581BD2" w:rsidRPr="00336C2A" w:rsidRDefault="00581BD2" w:rsidP="00BB4F8B">
            <w:pPr>
              <w:rPr>
                <w:i/>
                <w:iCs/>
                <w:color w:val="000000"/>
                <w:sz w:val="20"/>
                <w:szCs w:val="20"/>
              </w:rPr>
            </w:pPr>
          </w:p>
        </w:tc>
        <w:tc>
          <w:tcPr>
            <w:tcW w:w="1648" w:type="dxa"/>
            <w:tcBorders>
              <w:top w:val="nil"/>
              <w:left w:val="nil"/>
              <w:bottom w:val="double" w:sz="6" w:space="0" w:color="auto"/>
              <w:right w:val="single" w:sz="8" w:space="0" w:color="000000"/>
            </w:tcBorders>
            <w:shd w:val="clear" w:color="000000" w:fill="D9D9D9"/>
            <w:vAlign w:val="bottom"/>
            <w:hideMark/>
          </w:tcPr>
          <w:p w14:paraId="621FB34C" w14:textId="77777777" w:rsidR="00581BD2" w:rsidRPr="00336C2A" w:rsidRDefault="00581BD2" w:rsidP="00BB4F8B">
            <w:pPr>
              <w:jc w:val="center"/>
              <w:rPr>
                <w:b/>
                <w:bCs/>
                <w:color w:val="000000"/>
                <w:sz w:val="20"/>
                <w:szCs w:val="20"/>
              </w:rPr>
            </w:pPr>
            <w:r w:rsidRPr="00336C2A">
              <w:rPr>
                <w:b/>
                <w:bCs/>
                <w:color w:val="000000"/>
                <w:sz w:val="20"/>
                <w:szCs w:val="20"/>
              </w:rPr>
              <w:t>2013</w:t>
            </w:r>
          </w:p>
        </w:tc>
        <w:tc>
          <w:tcPr>
            <w:tcW w:w="1648" w:type="dxa"/>
            <w:tcBorders>
              <w:top w:val="nil"/>
              <w:left w:val="nil"/>
              <w:bottom w:val="double" w:sz="6" w:space="0" w:color="auto"/>
              <w:right w:val="single" w:sz="8" w:space="0" w:color="000000"/>
            </w:tcBorders>
            <w:shd w:val="clear" w:color="000000" w:fill="D9D9D9"/>
            <w:vAlign w:val="bottom"/>
            <w:hideMark/>
          </w:tcPr>
          <w:p w14:paraId="752E47F8" w14:textId="77777777" w:rsidR="00581BD2" w:rsidRPr="00336C2A" w:rsidRDefault="00581BD2" w:rsidP="00BB4F8B">
            <w:pPr>
              <w:jc w:val="center"/>
              <w:rPr>
                <w:b/>
                <w:bCs/>
                <w:color w:val="000000"/>
                <w:sz w:val="20"/>
                <w:szCs w:val="20"/>
              </w:rPr>
            </w:pPr>
            <w:r w:rsidRPr="00336C2A">
              <w:rPr>
                <w:b/>
                <w:bCs/>
                <w:color w:val="000000"/>
                <w:sz w:val="20"/>
                <w:szCs w:val="20"/>
              </w:rPr>
              <w:t>2014</w:t>
            </w:r>
          </w:p>
        </w:tc>
        <w:tc>
          <w:tcPr>
            <w:tcW w:w="1648" w:type="dxa"/>
            <w:tcBorders>
              <w:top w:val="nil"/>
              <w:left w:val="nil"/>
              <w:bottom w:val="double" w:sz="6" w:space="0" w:color="auto"/>
              <w:right w:val="double" w:sz="6" w:space="0" w:color="auto"/>
            </w:tcBorders>
            <w:shd w:val="clear" w:color="000000" w:fill="D9D9D9"/>
            <w:vAlign w:val="bottom"/>
            <w:hideMark/>
          </w:tcPr>
          <w:p w14:paraId="0B8BDB60" w14:textId="77777777" w:rsidR="00581BD2" w:rsidRPr="00336C2A" w:rsidRDefault="00581BD2" w:rsidP="00BB4F8B">
            <w:pPr>
              <w:jc w:val="center"/>
              <w:rPr>
                <w:b/>
                <w:bCs/>
                <w:color w:val="000000"/>
                <w:sz w:val="20"/>
                <w:szCs w:val="20"/>
              </w:rPr>
            </w:pPr>
            <w:r w:rsidRPr="00336C2A">
              <w:rPr>
                <w:b/>
                <w:bCs/>
                <w:color w:val="000000"/>
                <w:sz w:val="20"/>
                <w:szCs w:val="20"/>
              </w:rPr>
              <w:t>2015</w:t>
            </w:r>
            <w:r>
              <w:rPr>
                <w:b/>
                <w:bCs/>
                <w:color w:val="000000"/>
                <w:sz w:val="20"/>
                <w:szCs w:val="20"/>
              </w:rPr>
              <w:t>*</w:t>
            </w:r>
          </w:p>
        </w:tc>
      </w:tr>
      <w:tr w:rsidR="00581BD2" w:rsidRPr="00336C2A" w14:paraId="72A24A21" w14:textId="77777777" w:rsidTr="00BB4F8B">
        <w:trPr>
          <w:trHeight w:val="28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F5D0340" w14:textId="77777777" w:rsidR="00581BD2" w:rsidRPr="00336C2A" w:rsidRDefault="00581BD2" w:rsidP="00BB4F8B">
            <w:pPr>
              <w:rPr>
                <w:b/>
                <w:bCs/>
                <w:color w:val="000000"/>
                <w:sz w:val="20"/>
                <w:szCs w:val="20"/>
              </w:rPr>
            </w:pPr>
            <w:r w:rsidRPr="00336C2A">
              <w:rPr>
                <w:b/>
                <w:bCs/>
                <w:color w:val="000000"/>
                <w:sz w:val="20"/>
                <w:szCs w:val="20"/>
              </w:rPr>
              <w:t>Economic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1E5269D2" w14:textId="77777777" w:rsidR="00581BD2" w:rsidRPr="00336C2A" w:rsidRDefault="00581BD2" w:rsidP="00BB4F8B">
            <w:pPr>
              <w:jc w:val="right"/>
              <w:rPr>
                <w:b/>
                <w:bCs/>
                <w:color w:val="000000"/>
                <w:sz w:val="20"/>
                <w:szCs w:val="20"/>
              </w:rPr>
            </w:pPr>
            <w:r w:rsidRPr="00336C2A">
              <w:rPr>
                <w:b/>
                <w:bCs/>
                <w:color w:val="000000"/>
                <w:sz w:val="20"/>
                <w:szCs w:val="20"/>
              </w:rPr>
              <w:t>516,710</w:t>
            </w:r>
          </w:p>
        </w:tc>
        <w:tc>
          <w:tcPr>
            <w:tcW w:w="1648" w:type="dxa"/>
            <w:tcBorders>
              <w:top w:val="nil"/>
              <w:left w:val="nil"/>
              <w:bottom w:val="single" w:sz="8" w:space="0" w:color="000000"/>
              <w:right w:val="single" w:sz="8" w:space="0" w:color="000000"/>
            </w:tcBorders>
            <w:shd w:val="clear" w:color="auto" w:fill="auto"/>
            <w:noWrap/>
            <w:vAlign w:val="bottom"/>
            <w:hideMark/>
          </w:tcPr>
          <w:p w14:paraId="5AB26046" w14:textId="77777777" w:rsidR="00581BD2" w:rsidRPr="00336C2A" w:rsidRDefault="00581BD2" w:rsidP="00BB4F8B">
            <w:pPr>
              <w:jc w:val="right"/>
              <w:rPr>
                <w:b/>
                <w:bCs/>
                <w:color w:val="000000"/>
                <w:sz w:val="20"/>
                <w:szCs w:val="20"/>
              </w:rPr>
            </w:pPr>
            <w:r w:rsidRPr="00336C2A">
              <w:rPr>
                <w:b/>
                <w:bCs/>
                <w:color w:val="000000"/>
                <w:sz w:val="20"/>
                <w:szCs w:val="20"/>
              </w:rPr>
              <w:t>492,502</w:t>
            </w:r>
          </w:p>
        </w:tc>
        <w:tc>
          <w:tcPr>
            <w:tcW w:w="1648" w:type="dxa"/>
            <w:tcBorders>
              <w:top w:val="nil"/>
              <w:left w:val="nil"/>
              <w:bottom w:val="single" w:sz="8" w:space="0" w:color="000000"/>
              <w:right w:val="double" w:sz="6" w:space="0" w:color="auto"/>
            </w:tcBorders>
            <w:shd w:val="clear" w:color="auto" w:fill="auto"/>
            <w:noWrap/>
            <w:vAlign w:val="bottom"/>
            <w:hideMark/>
          </w:tcPr>
          <w:p w14:paraId="0824461C" w14:textId="77777777" w:rsidR="00581BD2" w:rsidRPr="00336C2A" w:rsidRDefault="00581BD2" w:rsidP="00BB4F8B">
            <w:pPr>
              <w:jc w:val="right"/>
              <w:rPr>
                <w:b/>
                <w:bCs/>
                <w:color w:val="000000"/>
                <w:sz w:val="20"/>
                <w:szCs w:val="20"/>
              </w:rPr>
            </w:pPr>
            <w:r w:rsidRPr="00336C2A">
              <w:rPr>
                <w:b/>
                <w:bCs/>
                <w:color w:val="000000"/>
                <w:sz w:val="20"/>
                <w:szCs w:val="20"/>
              </w:rPr>
              <w:t>706,991</w:t>
            </w:r>
          </w:p>
        </w:tc>
      </w:tr>
      <w:tr w:rsidR="00581BD2" w:rsidRPr="00336C2A" w14:paraId="4C766CD8"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5702C966" w14:textId="77777777" w:rsidR="00581BD2" w:rsidRPr="00336C2A" w:rsidRDefault="00581BD2" w:rsidP="00BB4F8B">
            <w:pPr>
              <w:ind w:firstLineChars="100" w:firstLine="200"/>
              <w:rPr>
                <w:color w:val="000000"/>
                <w:sz w:val="20"/>
                <w:szCs w:val="20"/>
              </w:rPr>
            </w:pPr>
            <w:r>
              <w:rPr>
                <w:color w:val="000000"/>
                <w:sz w:val="20"/>
                <w:szCs w:val="20"/>
              </w:rPr>
              <w:t>Agricul</w:t>
            </w:r>
            <w:r w:rsidRPr="00336C2A">
              <w:rPr>
                <w:color w:val="000000"/>
                <w:sz w:val="20"/>
                <w:szCs w:val="20"/>
              </w:rPr>
              <w:t>tur</w:t>
            </w:r>
            <w:r>
              <w:rPr>
                <w:color w:val="000000"/>
                <w:sz w:val="20"/>
                <w:szCs w:val="20"/>
              </w:rPr>
              <w:t>e, Agrarian Reform, and Natural Resources</w:t>
            </w:r>
          </w:p>
        </w:tc>
        <w:tc>
          <w:tcPr>
            <w:tcW w:w="1648" w:type="dxa"/>
            <w:tcBorders>
              <w:top w:val="nil"/>
              <w:left w:val="nil"/>
              <w:bottom w:val="single" w:sz="8" w:space="0" w:color="000000"/>
              <w:right w:val="single" w:sz="8" w:space="0" w:color="000000"/>
            </w:tcBorders>
            <w:shd w:val="clear" w:color="auto" w:fill="auto"/>
            <w:noWrap/>
            <w:vAlign w:val="bottom"/>
            <w:hideMark/>
          </w:tcPr>
          <w:p w14:paraId="20F5402C" w14:textId="77777777" w:rsidR="00581BD2" w:rsidRPr="00336C2A" w:rsidRDefault="00581BD2" w:rsidP="00BB4F8B">
            <w:pPr>
              <w:jc w:val="right"/>
              <w:rPr>
                <w:color w:val="000000"/>
                <w:sz w:val="20"/>
                <w:szCs w:val="20"/>
              </w:rPr>
            </w:pPr>
            <w:r w:rsidRPr="00336C2A">
              <w:rPr>
                <w:color w:val="000000"/>
                <w:sz w:val="20"/>
                <w:szCs w:val="20"/>
              </w:rPr>
              <w:t>119,687</w:t>
            </w:r>
          </w:p>
        </w:tc>
        <w:tc>
          <w:tcPr>
            <w:tcW w:w="1648" w:type="dxa"/>
            <w:tcBorders>
              <w:top w:val="nil"/>
              <w:left w:val="nil"/>
              <w:bottom w:val="single" w:sz="8" w:space="0" w:color="000000"/>
              <w:right w:val="single" w:sz="8" w:space="0" w:color="000000"/>
            </w:tcBorders>
            <w:shd w:val="clear" w:color="auto" w:fill="auto"/>
            <w:noWrap/>
            <w:vAlign w:val="bottom"/>
            <w:hideMark/>
          </w:tcPr>
          <w:p w14:paraId="7BABA3F5" w14:textId="77777777" w:rsidR="00581BD2" w:rsidRPr="00336C2A" w:rsidRDefault="00581BD2" w:rsidP="00BB4F8B">
            <w:pPr>
              <w:jc w:val="right"/>
              <w:rPr>
                <w:color w:val="000000"/>
                <w:sz w:val="20"/>
                <w:szCs w:val="20"/>
              </w:rPr>
            </w:pPr>
            <w:r w:rsidRPr="00336C2A">
              <w:rPr>
                <w:color w:val="000000"/>
                <w:sz w:val="20"/>
                <w:szCs w:val="20"/>
              </w:rPr>
              <w:t>108,089</w:t>
            </w:r>
          </w:p>
        </w:tc>
        <w:tc>
          <w:tcPr>
            <w:tcW w:w="1648" w:type="dxa"/>
            <w:tcBorders>
              <w:top w:val="nil"/>
              <w:left w:val="nil"/>
              <w:bottom w:val="single" w:sz="8" w:space="0" w:color="000000"/>
              <w:right w:val="double" w:sz="6" w:space="0" w:color="auto"/>
            </w:tcBorders>
            <w:shd w:val="clear" w:color="auto" w:fill="auto"/>
            <w:noWrap/>
            <w:vAlign w:val="bottom"/>
            <w:hideMark/>
          </w:tcPr>
          <w:p w14:paraId="02BDF541" w14:textId="77777777" w:rsidR="00581BD2" w:rsidRPr="00336C2A" w:rsidRDefault="00581BD2" w:rsidP="00BB4F8B">
            <w:pPr>
              <w:jc w:val="right"/>
              <w:rPr>
                <w:color w:val="000000"/>
                <w:sz w:val="20"/>
                <w:szCs w:val="20"/>
              </w:rPr>
            </w:pPr>
            <w:r w:rsidRPr="00336C2A">
              <w:rPr>
                <w:color w:val="000000"/>
                <w:sz w:val="20"/>
                <w:szCs w:val="20"/>
              </w:rPr>
              <w:t>138,257</w:t>
            </w:r>
          </w:p>
        </w:tc>
      </w:tr>
      <w:tr w:rsidR="00581BD2" w:rsidRPr="00336C2A" w14:paraId="0A892EE2"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63A7714" w14:textId="77777777" w:rsidR="00581BD2" w:rsidRPr="00336C2A" w:rsidRDefault="00581BD2" w:rsidP="00BB4F8B">
            <w:pPr>
              <w:ind w:firstLineChars="100" w:firstLine="200"/>
              <w:rPr>
                <w:color w:val="000000"/>
                <w:sz w:val="20"/>
                <w:szCs w:val="20"/>
              </w:rPr>
            </w:pPr>
            <w:r w:rsidRPr="00336C2A">
              <w:rPr>
                <w:color w:val="000000"/>
                <w:sz w:val="20"/>
                <w:szCs w:val="20"/>
              </w:rPr>
              <w:t>Trade and Industry</w:t>
            </w:r>
          </w:p>
        </w:tc>
        <w:tc>
          <w:tcPr>
            <w:tcW w:w="1648" w:type="dxa"/>
            <w:tcBorders>
              <w:top w:val="nil"/>
              <w:left w:val="nil"/>
              <w:bottom w:val="single" w:sz="8" w:space="0" w:color="000000"/>
              <w:right w:val="single" w:sz="8" w:space="0" w:color="000000"/>
            </w:tcBorders>
            <w:shd w:val="clear" w:color="auto" w:fill="auto"/>
            <w:noWrap/>
            <w:vAlign w:val="bottom"/>
            <w:hideMark/>
          </w:tcPr>
          <w:p w14:paraId="3BF73E97" w14:textId="77777777" w:rsidR="00581BD2" w:rsidRPr="00336C2A" w:rsidRDefault="00581BD2" w:rsidP="00BB4F8B">
            <w:pPr>
              <w:jc w:val="right"/>
              <w:rPr>
                <w:color w:val="000000"/>
                <w:sz w:val="20"/>
                <w:szCs w:val="20"/>
              </w:rPr>
            </w:pPr>
            <w:r w:rsidRPr="00336C2A">
              <w:rPr>
                <w:color w:val="000000"/>
                <w:sz w:val="20"/>
                <w:szCs w:val="20"/>
              </w:rPr>
              <w:t>6,546</w:t>
            </w:r>
          </w:p>
        </w:tc>
        <w:tc>
          <w:tcPr>
            <w:tcW w:w="1648" w:type="dxa"/>
            <w:tcBorders>
              <w:top w:val="nil"/>
              <w:left w:val="nil"/>
              <w:bottom w:val="single" w:sz="8" w:space="0" w:color="000000"/>
              <w:right w:val="single" w:sz="8" w:space="0" w:color="000000"/>
            </w:tcBorders>
            <w:shd w:val="clear" w:color="auto" w:fill="auto"/>
            <w:noWrap/>
            <w:vAlign w:val="bottom"/>
            <w:hideMark/>
          </w:tcPr>
          <w:p w14:paraId="1728F84E" w14:textId="77777777" w:rsidR="00581BD2" w:rsidRPr="00336C2A" w:rsidRDefault="00581BD2" w:rsidP="00BB4F8B">
            <w:pPr>
              <w:jc w:val="right"/>
              <w:rPr>
                <w:color w:val="000000"/>
                <w:sz w:val="20"/>
                <w:szCs w:val="20"/>
              </w:rPr>
            </w:pPr>
            <w:r w:rsidRPr="00336C2A">
              <w:rPr>
                <w:color w:val="000000"/>
                <w:sz w:val="20"/>
                <w:szCs w:val="20"/>
              </w:rPr>
              <w:t>5,741</w:t>
            </w:r>
          </w:p>
        </w:tc>
        <w:tc>
          <w:tcPr>
            <w:tcW w:w="1648" w:type="dxa"/>
            <w:tcBorders>
              <w:top w:val="nil"/>
              <w:left w:val="nil"/>
              <w:bottom w:val="single" w:sz="8" w:space="0" w:color="000000"/>
              <w:right w:val="double" w:sz="6" w:space="0" w:color="auto"/>
            </w:tcBorders>
            <w:shd w:val="clear" w:color="auto" w:fill="auto"/>
            <w:noWrap/>
            <w:vAlign w:val="bottom"/>
            <w:hideMark/>
          </w:tcPr>
          <w:p w14:paraId="19CA8CD3" w14:textId="77777777" w:rsidR="00581BD2" w:rsidRPr="00336C2A" w:rsidRDefault="00581BD2" w:rsidP="00BB4F8B">
            <w:pPr>
              <w:jc w:val="right"/>
              <w:rPr>
                <w:color w:val="000000"/>
                <w:sz w:val="20"/>
                <w:szCs w:val="20"/>
              </w:rPr>
            </w:pPr>
            <w:r w:rsidRPr="00336C2A">
              <w:rPr>
                <w:color w:val="000000"/>
                <w:sz w:val="20"/>
                <w:szCs w:val="20"/>
              </w:rPr>
              <w:t>5,971</w:t>
            </w:r>
          </w:p>
        </w:tc>
      </w:tr>
      <w:tr w:rsidR="00581BD2" w:rsidRPr="00336C2A" w14:paraId="6BA8829E"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4BD8385E" w14:textId="77777777" w:rsidR="00581BD2" w:rsidRPr="00336C2A" w:rsidRDefault="00581BD2" w:rsidP="00BB4F8B">
            <w:pPr>
              <w:ind w:firstLineChars="100" w:firstLine="200"/>
              <w:rPr>
                <w:color w:val="000000"/>
                <w:sz w:val="20"/>
                <w:szCs w:val="20"/>
              </w:rPr>
            </w:pPr>
            <w:r w:rsidRPr="00336C2A">
              <w:rPr>
                <w:color w:val="000000"/>
                <w:sz w:val="20"/>
                <w:szCs w:val="20"/>
              </w:rPr>
              <w:t>Tourism</w:t>
            </w:r>
          </w:p>
        </w:tc>
        <w:tc>
          <w:tcPr>
            <w:tcW w:w="1648" w:type="dxa"/>
            <w:tcBorders>
              <w:top w:val="nil"/>
              <w:left w:val="nil"/>
              <w:bottom w:val="single" w:sz="8" w:space="0" w:color="000000"/>
              <w:right w:val="single" w:sz="8" w:space="0" w:color="000000"/>
            </w:tcBorders>
            <w:shd w:val="clear" w:color="auto" w:fill="auto"/>
            <w:noWrap/>
            <w:vAlign w:val="bottom"/>
            <w:hideMark/>
          </w:tcPr>
          <w:p w14:paraId="40F744B1" w14:textId="77777777" w:rsidR="00581BD2" w:rsidRPr="00336C2A" w:rsidRDefault="00581BD2" w:rsidP="00BB4F8B">
            <w:pPr>
              <w:jc w:val="right"/>
              <w:rPr>
                <w:color w:val="000000"/>
                <w:sz w:val="20"/>
                <w:szCs w:val="20"/>
              </w:rPr>
            </w:pPr>
            <w:r w:rsidRPr="00336C2A">
              <w:rPr>
                <w:color w:val="000000"/>
                <w:sz w:val="20"/>
                <w:szCs w:val="20"/>
              </w:rPr>
              <w:t>5,214</w:t>
            </w:r>
          </w:p>
        </w:tc>
        <w:tc>
          <w:tcPr>
            <w:tcW w:w="1648" w:type="dxa"/>
            <w:tcBorders>
              <w:top w:val="nil"/>
              <w:left w:val="nil"/>
              <w:bottom w:val="single" w:sz="8" w:space="0" w:color="000000"/>
              <w:right w:val="single" w:sz="8" w:space="0" w:color="000000"/>
            </w:tcBorders>
            <w:shd w:val="clear" w:color="auto" w:fill="auto"/>
            <w:noWrap/>
            <w:vAlign w:val="bottom"/>
            <w:hideMark/>
          </w:tcPr>
          <w:p w14:paraId="69130C45" w14:textId="77777777" w:rsidR="00581BD2" w:rsidRPr="00336C2A" w:rsidRDefault="00581BD2" w:rsidP="00BB4F8B">
            <w:pPr>
              <w:jc w:val="right"/>
              <w:rPr>
                <w:color w:val="000000"/>
                <w:sz w:val="20"/>
                <w:szCs w:val="20"/>
              </w:rPr>
            </w:pPr>
            <w:r w:rsidRPr="00336C2A">
              <w:rPr>
                <w:color w:val="000000"/>
                <w:sz w:val="20"/>
                <w:szCs w:val="20"/>
              </w:rPr>
              <w:t>3,656</w:t>
            </w:r>
          </w:p>
        </w:tc>
        <w:tc>
          <w:tcPr>
            <w:tcW w:w="1648" w:type="dxa"/>
            <w:tcBorders>
              <w:top w:val="nil"/>
              <w:left w:val="nil"/>
              <w:bottom w:val="single" w:sz="8" w:space="0" w:color="000000"/>
              <w:right w:val="double" w:sz="6" w:space="0" w:color="auto"/>
            </w:tcBorders>
            <w:shd w:val="clear" w:color="auto" w:fill="auto"/>
            <w:noWrap/>
            <w:vAlign w:val="bottom"/>
            <w:hideMark/>
          </w:tcPr>
          <w:p w14:paraId="1ACAA855" w14:textId="77777777" w:rsidR="00581BD2" w:rsidRPr="00336C2A" w:rsidRDefault="00581BD2" w:rsidP="00BB4F8B">
            <w:pPr>
              <w:jc w:val="right"/>
              <w:rPr>
                <w:color w:val="000000"/>
                <w:sz w:val="20"/>
                <w:szCs w:val="20"/>
              </w:rPr>
            </w:pPr>
            <w:r w:rsidRPr="00336C2A">
              <w:rPr>
                <w:color w:val="000000"/>
                <w:sz w:val="20"/>
                <w:szCs w:val="20"/>
              </w:rPr>
              <w:t>4,631</w:t>
            </w:r>
          </w:p>
        </w:tc>
      </w:tr>
      <w:tr w:rsidR="00581BD2" w:rsidRPr="00336C2A" w14:paraId="6B9653A2"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AA7DB03" w14:textId="77777777" w:rsidR="00581BD2" w:rsidRPr="00336C2A" w:rsidRDefault="00581BD2" w:rsidP="00BB4F8B">
            <w:pPr>
              <w:ind w:firstLineChars="100" w:firstLine="200"/>
              <w:rPr>
                <w:color w:val="000000"/>
                <w:sz w:val="20"/>
                <w:szCs w:val="20"/>
              </w:rPr>
            </w:pPr>
            <w:r w:rsidRPr="00336C2A">
              <w:rPr>
                <w:color w:val="000000"/>
                <w:sz w:val="20"/>
                <w:szCs w:val="20"/>
              </w:rPr>
              <w:t>Power and Energy</w:t>
            </w:r>
          </w:p>
        </w:tc>
        <w:tc>
          <w:tcPr>
            <w:tcW w:w="1648" w:type="dxa"/>
            <w:tcBorders>
              <w:top w:val="nil"/>
              <w:left w:val="nil"/>
              <w:bottom w:val="single" w:sz="8" w:space="0" w:color="000000"/>
              <w:right w:val="single" w:sz="8" w:space="0" w:color="000000"/>
            </w:tcBorders>
            <w:shd w:val="clear" w:color="auto" w:fill="auto"/>
            <w:noWrap/>
            <w:vAlign w:val="bottom"/>
            <w:hideMark/>
          </w:tcPr>
          <w:p w14:paraId="5489E66B" w14:textId="77777777" w:rsidR="00581BD2" w:rsidRPr="00336C2A" w:rsidRDefault="00581BD2" w:rsidP="00BB4F8B">
            <w:pPr>
              <w:jc w:val="right"/>
              <w:rPr>
                <w:color w:val="000000"/>
                <w:sz w:val="20"/>
                <w:szCs w:val="20"/>
              </w:rPr>
            </w:pPr>
            <w:r w:rsidRPr="00336C2A">
              <w:rPr>
                <w:color w:val="000000"/>
                <w:sz w:val="20"/>
                <w:szCs w:val="20"/>
              </w:rPr>
              <w:t>29,829</w:t>
            </w:r>
          </w:p>
        </w:tc>
        <w:tc>
          <w:tcPr>
            <w:tcW w:w="1648" w:type="dxa"/>
            <w:tcBorders>
              <w:top w:val="nil"/>
              <w:left w:val="nil"/>
              <w:bottom w:val="single" w:sz="8" w:space="0" w:color="000000"/>
              <w:right w:val="single" w:sz="8" w:space="0" w:color="000000"/>
            </w:tcBorders>
            <w:shd w:val="clear" w:color="auto" w:fill="auto"/>
            <w:noWrap/>
            <w:vAlign w:val="bottom"/>
            <w:hideMark/>
          </w:tcPr>
          <w:p w14:paraId="49597907" w14:textId="77777777" w:rsidR="00581BD2" w:rsidRPr="00336C2A" w:rsidRDefault="00581BD2" w:rsidP="00BB4F8B">
            <w:pPr>
              <w:jc w:val="right"/>
              <w:rPr>
                <w:color w:val="000000"/>
                <w:sz w:val="20"/>
                <w:szCs w:val="20"/>
              </w:rPr>
            </w:pPr>
            <w:r w:rsidRPr="00336C2A">
              <w:rPr>
                <w:color w:val="000000"/>
                <w:sz w:val="20"/>
                <w:szCs w:val="20"/>
              </w:rPr>
              <w:t>18,394</w:t>
            </w:r>
          </w:p>
        </w:tc>
        <w:tc>
          <w:tcPr>
            <w:tcW w:w="1648" w:type="dxa"/>
            <w:tcBorders>
              <w:top w:val="nil"/>
              <w:left w:val="nil"/>
              <w:bottom w:val="single" w:sz="8" w:space="0" w:color="000000"/>
              <w:right w:val="double" w:sz="6" w:space="0" w:color="auto"/>
            </w:tcBorders>
            <w:shd w:val="clear" w:color="auto" w:fill="auto"/>
            <w:noWrap/>
            <w:vAlign w:val="bottom"/>
            <w:hideMark/>
          </w:tcPr>
          <w:p w14:paraId="0884D970" w14:textId="77777777" w:rsidR="00581BD2" w:rsidRPr="00336C2A" w:rsidRDefault="00581BD2" w:rsidP="00BB4F8B">
            <w:pPr>
              <w:jc w:val="right"/>
              <w:rPr>
                <w:color w:val="000000"/>
                <w:sz w:val="20"/>
                <w:szCs w:val="20"/>
              </w:rPr>
            </w:pPr>
            <w:r w:rsidRPr="00336C2A">
              <w:rPr>
                <w:color w:val="000000"/>
                <w:sz w:val="20"/>
                <w:szCs w:val="20"/>
              </w:rPr>
              <w:t>9,476</w:t>
            </w:r>
          </w:p>
        </w:tc>
      </w:tr>
      <w:tr w:rsidR="00581BD2" w:rsidRPr="00336C2A" w14:paraId="09DEAD38"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011365AB" w14:textId="77777777" w:rsidR="00581BD2" w:rsidRPr="00336C2A" w:rsidRDefault="00581BD2" w:rsidP="00BB4F8B">
            <w:pPr>
              <w:ind w:firstLineChars="100" w:firstLine="200"/>
              <w:rPr>
                <w:color w:val="000000"/>
                <w:sz w:val="20"/>
                <w:szCs w:val="20"/>
              </w:rPr>
            </w:pPr>
            <w:r w:rsidRPr="00336C2A">
              <w:rPr>
                <w:color w:val="000000"/>
                <w:sz w:val="20"/>
                <w:szCs w:val="20"/>
              </w:rPr>
              <w:t>Water Resource Development and Flood Control</w:t>
            </w:r>
          </w:p>
        </w:tc>
        <w:tc>
          <w:tcPr>
            <w:tcW w:w="1648" w:type="dxa"/>
            <w:tcBorders>
              <w:top w:val="nil"/>
              <w:left w:val="nil"/>
              <w:bottom w:val="single" w:sz="8" w:space="0" w:color="000000"/>
              <w:right w:val="single" w:sz="8" w:space="0" w:color="000000"/>
            </w:tcBorders>
            <w:shd w:val="clear" w:color="auto" w:fill="auto"/>
            <w:noWrap/>
            <w:vAlign w:val="bottom"/>
            <w:hideMark/>
          </w:tcPr>
          <w:p w14:paraId="602FEF51" w14:textId="77777777" w:rsidR="00581BD2" w:rsidRPr="00336C2A" w:rsidRDefault="00581BD2" w:rsidP="00BB4F8B">
            <w:pPr>
              <w:jc w:val="right"/>
              <w:rPr>
                <w:color w:val="000000"/>
                <w:sz w:val="20"/>
                <w:szCs w:val="20"/>
              </w:rPr>
            </w:pPr>
            <w:r w:rsidRPr="00336C2A">
              <w:rPr>
                <w:color w:val="000000"/>
                <w:sz w:val="20"/>
                <w:szCs w:val="20"/>
              </w:rPr>
              <w:t>27,074</w:t>
            </w:r>
          </w:p>
        </w:tc>
        <w:tc>
          <w:tcPr>
            <w:tcW w:w="1648" w:type="dxa"/>
            <w:tcBorders>
              <w:top w:val="nil"/>
              <w:left w:val="nil"/>
              <w:bottom w:val="single" w:sz="8" w:space="0" w:color="000000"/>
              <w:right w:val="single" w:sz="8" w:space="0" w:color="000000"/>
            </w:tcBorders>
            <w:shd w:val="clear" w:color="auto" w:fill="auto"/>
            <w:noWrap/>
            <w:vAlign w:val="bottom"/>
            <w:hideMark/>
          </w:tcPr>
          <w:p w14:paraId="29FCD7FC" w14:textId="77777777" w:rsidR="00581BD2" w:rsidRPr="00336C2A" w:rsidRDefault="00581BD2" w:rsidP="00BB4F8B">
            <w:pPr>
              <w:jc w:val="right"/>
              <w:rPr>
                <w:color w:val="000000"/>
                <w:sz w:val="20"/>
                <w:szCs w:val="20"/>
              </w:rPr>
            </w:pPr>
            <w:r w:rsidRPr="00336C2A">
              <w:rPr>
                <w:color w:val="000000"/>
                <w:sz w:val="20"/>
                <w:szCs w:val="20"/>
              </w:rPr>
              <w:t>25,556</w:t>
            </w:r>
          </w:p>
        </w:tc>
        <w:tc>
          <w:tcPr>
            <w:tcW w:w="1648" w:type="dxa"/>
            <w:tcBorders>
              <w:top w:val="nil"/>
              <w:left w:val="nil"/>
              <w:bottom w:val="single" w:sz="8" w:space="0" w:color="000000"/>
              <w:right w:val="double" w:sz="6" w:space="0" w:color="auto"/>
            </w:tcBorders>
            <w:shd w:val="clear" w:color="auto" w:fill="auto"/>
            <w:noWrap/>
            <w:vAlign w:val="bottom"/>
            <w:hideMark/>
          </w:tcPr>
          <w:p w14:paraId="63F6B084" w14:textId="77777777" w:rsidR="00581BD2" w:rsidRPr="00336C2A" w:rsidRDefault="00581BD2" w:rsidP="00BB4F8B">
            <w:pPr>
              <w:jc w:val="right"/>
              <w:rPr>
                <w:color w:val="000000"/>
                <w:sz w:val="20"/>
                <w:szCs w:val="20"/>
              </w:rPr>
            </w:pPr>
            <w:r w:rsidRPr="00336C2A">
              <w:rPr>
                <w:color w:val="000000"/>
                <w:sz w:val="20"/>
                <w:szCs w:val="20"/>
              </w:rPr>
              <w:t>39,756</w:t>
            </w:r>
          </w:p>
        </w:tc>
      </w:tr>
      <w:tr w:rsidR="00581BD2" w:rsidRPr="00336C2A" w14:paraId="18A7A9B3"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EA7FB16" w14:textId="77777777" w:rsidR="00581BD2" w:rsidRPr="00336C2A" w:rsidRDefault="00581BD2" w:rsidP="00BB4F8B">
            <w:pPr>
              <w:ind w:firstLineChars="100" w:firstLine="200"/>
              <w:rPr>
                <w:color w:val="000000"/>
                <w:sz w:val="20"/>
                <w:szCs w:val="20"/>
              </w:rPr>
            </w:pPr>
            <w:r w:rsidRPr="00336C2A">
              <w:rPr>
                <w:color w:val="000000"/>
                <w:sz w:val="20"/>
                <w:szCs w:val="20"/>
              </w:rPr>
              <w:t>Communications, Roads, and Other Transportation</w:t>
            </w:r>
          </w:p>
        </w:tc>
        <w:tc>
          <w:tcPr>
            <w:tcW w:w="1648" w:type="dxa"/>
            <w:tcBorders>
              <w:top w:val="nil"/>
              <w:left w:val="nil"/>
              <w:bottom w:val="single" w:sz="8" w:space="0" w:color="000000"/>
              <w:right w:val="single" w:sz="8" w:space="0" w:color="000000"/>
            </w:tcBorders>
            <w:shd w:val="clear" w:color="auto" w:fill="auto"/>
            <w:noWrap/>
            <w:vAlign w:val="bottom"/>
            <w:hideMark/>
          </w:tcPr>
          <w:p w14:paraId="4D58483E" w14:textId="77777777" w:rsidR="00581BD2" w:rsidRPr="00336C2A" w:rsidRDefault="00581BD2" w:rsidP="00BB4F8B">
            <w:pPr>
              <w:jc w:val="right"/>
              <w:rPr>
                <w:color w:val="000000"/>
                <w:sz w:val="20"/>
                <w:szCs w:val="20"/>
              </w:rPr>
            </w:pPr>
            <w:r w:rsidRPr="00336C2A">
              <w:rPr>
                <w:color w:val="000000"/>
                <w:sz w:val="20"/>
                <w:szCs w:val="20"/>
              </w:rPr>
              <w:t>207,351</w:t>
            </w:r>
          </w:p>
        </w:tc>
        <w:tc>
          <w:tcPr>
            <w:tcW w:w="1648" w:type="dxa"/>
            <w:tcBorders>
              <w:top w:val="nil"/>
              <w:left w:val="nil"/>
              <w:bottom w:val="single" w:sz="8" w:space="0" w:color="000000"/>
              <w:right w:val="single" w:sz="8" w:space="0" w:color="000000"/>
            </w:tcBorders>
            <w:shd w:val="clear" w:color="auto" w:fill="auto"/>
            <w:noWrap/>
            <w:vAlign w:val="bottom"/>
            <w:hideMark/>
          </w:tcPr>
          <w:p w14:paraId="4ED856C7" w14:textId="77777777" w:rsidR="00581BD2" w:rsidRPr="00336C2A" w:rsidRDefault="00581BD2" w:rsidP="00BB4F8B">
            <w:pPr>
              <w:jc w:val="right"/>
              <w:rPr>
                <w:color w:val="000000"/>
                <w:sz w:val="20"/>
                <w:szCs w:val="20"/>
              </w:rPr>
            </w:pPr>
            <w:r w:rsidRPr="00336C2A">
              <w:rPr>
                <w:color w:val="000000"/>
                <w:sz w:val="20"/>
                <w:szCs w:val="20"/>
              </w:rPr>
              <w:t>202,164</w:t>
            </w:r>
          </w:p>
        </w:tc>
        <w:tc>
          <w:tcPr>
            <w:tcW w:w="1648" w:type="dxa"/>
            <w:tcBorders>
              <w:top w:val="nil"/>
              <w:left w:val="nil"/>
              <w:bottom w:val="single" w:sz="8" w:space="0" w:color="000000"/>
              <w:right w:val="double" w:sz="6" w:space="0" w:color="auto"/>
            </w:tcBorders>
            <w:shd w:val="clear" w:color="auto" w:fill="auto"/>
            <w:noWrap/>
            <w:vAlign w:val="bottom"/>
            <w:hideMark/>
          </w:tcPr>
          <w:p w14:paraId="5C85EB7B" w14:textId="77777777" w:rsidR="00581BD2" w:rsidRPr="00336C2A" w:rsidRDefault="00581BD2" w:rsidP="00BB4F8B">
            <w:pPr>
              <w:jc w:val="right"/>
              <w:rPr>
                <w:color w:val="000000"/>
                <w:sz w:val="20"/>
                <w:szCs w:val="20"/>
              </w:rPr>
            </w:pPr>
            <w:r>
              <w:rPr>
                <w:color w:val="000000"/>
                <w:sz w:val="20"/>
                <w:szCs w:val="20"/>
              </w:rPr>
              <w:t>340,158</w:t>
            </w:r>
          </w:p>
        </w:tc>
      </w:tr>
      <w:tr w:rsidR="00581BD2" w:rsidRPr="00336C2A" w14:paraId="42CEDC21"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325ED99" w14:textId="77777777" w:rsidR="00581BD2" w:rsidRPr="00336C2A" w:rsidRDefault="00581BD2" w:rsidP="00BB4F8B">
            <w:pPr>
              <w:ind w:firstLineChars="100" w:firstLine="200"/>
              <w:rPr>
                <w:color w:val="000000"/>
                <w:sz w:val="20"/>
                <w:szCs w:val="20"/>
              </w:rPr>
            </w:pPr>
            <w:r w:rsidRPr="00336C2A">
              <w:rPr>
                <w:color w:val="000000"/>
                <w:sz w:val="20"/>
                <w:szCs w:val="20"/>
              </w:rPr>
              <w:t>Other Economic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111901EB" w14:textId="77777777" w:rsidR="00581BD2" w:rsidRPr="00336C2A" w:rsidRDefault="00581BD2" w:rsidP="00BB4F8B">
            <w:pPr>
              <w:jc w:val="right"/>
              <w:rPr>
                <w:color w:val="000000"/>
                <w:sz w:val="20"/>
                <w:szCs w:val="20"/>
              </w:rPr>
            </w:pPr>
            <w:r w:rsidRPr="00336C2A">
              <w:rPr>
                <w:color w:val="000000"/>
                <w:sz w:val="20"/>
                <w:szCs w:val="20"/>
              </w:rPr>
              <w:t>15,203</w:t>
            </w:r>
          </w:p>
        </w:tc>
        <w:tc>
          <w:tcPr>
            <w:tcW w:w="1648" w:type="dxa"/>
            <w:tcBorders>
              <w:top w:val="nil"/>
              <w:left w:val="nil"/>
              <w:bottom w:val="single" w:sz="8" w:space="0" w:color="000000"/>
              <w:right w:val="single" w:sz="8" w:space="0" w:color="000000"/>
            </w:tcBorders>
            <w:shd w:val="clear" w:color="auto" w:fill="auto"/>
            <w:noWrap/>
            <w:vAlign w:val="bottom"/>
            <w:hideMark/>
          </w:tcPr>
          <w:p w14:paraId="076B4740" w14:textId="77777777" w:rsidR="00581BD2" w:rsidRPr="00336C2A" w:rsidRDefault="00581BD2" w:rsidP="00BB4F8B">
            <w:pPr>
              <w:jc w:val="right"/>
              <w:rPr>
                <w:color w:val="000000"/>
                <w:sz w:val="20"/>
                <w:szCs w:val="20"/>
              </w:rPr>
            </w:pPr>
            <w:r w:rsidRPr="00336C2A">
              <w:rPr>
                <w:color w:val="000000"/>
                <w:sz w:val="20"/>
                <w:szCs w:val="20"/>
              </w:rPr>
              <w:t>9,361</w:t>
            </w:r>
          </w:p>
        </w:tc>
        <w:tc>
          <w:tcPr>
            <w:tcW w:w="1648" w:type="dxa"/>
            <w:tcBorders>
              <w:top w:val="nil"/>
              <w:left w:val="nil"/>
              <w:bottom w:val="single" w:sz="8" w:space="0" w:color="000000"/>
              <w:right w:val="double" w:sz="6" w:space="0" w:color="auto"/>
            </w:tcBorders>
            <w:shd w:val="clear" w:color="auto" w:fill="auto"/>
            <w:noWrap/>
            <w:vAlign w:val="bottom"/>
            <w:hideMark/>
          </w:tcPr>
          <w:p w14:paraId="3999228A" w14:textId="77777777" w:rsidR="00581BD2" w:rsidRPr="00336C2A" w:rsidRDefault="00581BD2" w:rsidP="00BB4F8B">
            <w:pPr>
              <w:jc w:val="right"/>
              <w:rPr>
                <w:color w:val="000000"/>
                <w:sz w:val="20"/>
                <w:szCs w:val="20"/>
              </w:rPr>
            </w:pPr>
            <w:r w:rsidRPr="00336C2A">
              <w:rPr>
                <w:color w:val="000000"/>
                <w:sz w:val="20"/>
                <w:szCs w:val="20"/>
              </w:rPr>
              <w:t>32,291</w:t>
            </w:r>
          </w:p>
        </w:tc>
      </w:tr>
      <w:tr w:rsidR="00581BD2" w:rsidRPr="00336C2A" w14:paraId="65EBA1D2"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4DFA938" w14:textId="77777777" w:rsidR="00581BD2" w:rsidRPr="00336C2A" w:rsidRDefault="00581BD2" w:rsidP="00BB4F8B">
            <w:pPr>
              <w:ind w:firstLineChars="100" w:firstLine="200"/>
              <w:rPr>
                <w:color w:val="000000"/>
                <w:sz w:val="20"/>
                <w:szCs w:val="20"/>
              </w:rPr>
            </w:pPr>
            <w:r w:rsidRPr="00336C2A">
              <w:rPr>
                <w:color w:val="000000"/>
                <w:sz w:val="20"/>
                <w:szCs w:val="20"/>
              </w:rPr>
              <w:t>Subsidy to Local Government Units</w:t>
            </w:r>
          </w:p>
        </w:tc>
        <w:tc>
          <w:tcPr>
            <w:tcW w:w="1648" w:type="dxa"/>
            <w:tcBorders>
              <w:top w:val="nil"/>
              <w:left w:val="nil"/>
              <w:bottom w:val="single" w:sz="8" w:space="0" w:color="000000"/>
              <w:right w:val="single" w:sz="8" w:space="0" w:color="000000"/>
            </w:tcBorders>
            <w:shd w:val="clear" w:color="auto" w:fill="auto"/>
            <w:noWrap/>
            <w:vAlign w:val="bottom"/>
            <w:hideMark/>
          </w:tcPr>
          <w:p w14:paraId="636B8AE7" w14:textId="77777777" w:rsidR="00581BD2" w:rsidRPr="00336C2A" w:rsidRDefault="00581BD2" w:rsidP="00BB4F8B">
            <w:pPr>
              <w:jc w:val="right"/>
              <w:rPr>
                <w:color w:val="000000"/>
                <w:sz w:val="20"/>
                <w:szCs w:val="20"/>
              </w:rPr>
            </w:pPr>
            <w:r w:rsidRPr="00336C2A">
              <w:rPr>
                <w:color w:val="000000"/>
                <w:sz w:val="20"/>
                <w:szCs w:val="20"/>
              </w:rPr>
              <w:t>105,806</w:t>
            </w:r>
          </w:p>
        </w:tc>
        <w:tc>
          <w:tcPr>
            <w:tcW w:w="1648" w:type="dxa"/>
            <w:tcBorders>
              <w:top w:val="nil"/>
              <w:left w:val="nil"/>
              <w:bottom w:val="single" w:sz="8" w:space="0" w:color="000000"/>
              <w:right w:val="single" w:sz="8" w:space="0" w:color="000000"/>
            </w:tcBorders>
            <w:shd w:val="clear" w:color="auto" w:fill="auto"/>
            <w:noWrap/>
            <w:vAlign w:val="bottom"/>
            <w:hideMark/>
          </w:tcPr>
          <w:p w14:paraId="2FBCBDA6" w14:textId="77777777" w:rsidR="00581BD2" w:rsidRPr="00336C2A" w:rsidRDefault="00581BD2" w:rsidP="00BB4F8B">
            <w:pPr>
              <w:jc w:val="right"/>
              <w:rPr>
                <w:color w:val="000000"/>
                <w:sz w:val="20"/>
                <w:szCs w:val="20"/>
              </w:rPr>
            </w:pPr>
            <w:r w:rsidRPr="00336C2A">
              <w:rPr>
                <w:color w:val="000000"/>
                <w:sz w:val="20"/>
                <w:szCs w:val="20"/>
              </w:rPr>
              <w:t>119,541</w:t>
            </w:r>
          </w:p>
        </w:tc>
        <w:tc>
          <w:tcPr>
            <w:tcW w:w="1648" w:type="dxa"/>
            <w:tcBorders>
              <w:top w:val="nil"/>
              <w:left w:val="nil"/>
              <w:bottom w:val="single" w:sz="8" w:space="0" w:color="000000"/>
              <w:right w:val="double" w:sz="6" w:space="0" w:color="auto"/>
            </w:tcBorders>
            <w:shd w:val="clear" w:color="auto" w:fill="auto"/>
            <w:noWrap/>
            <w:vAlign w:val="bottom"/>
            <w:hideMark/>
          </w:tcPr>
          <w:p w14:paraId="76C45B33" w14:textId="77777777" w:rsidR="00581BD2" w:rsidRPr="00336C2A" w:rsidRDefault="00581BD2" w:rsidP="00BB4F8B">
            <w:pPr>
              <w:jc w:val="right"/>
              <w:rPr>
                <w:color w:val="000000"/>
                <w:sz w:val="20"/>
                <w:szCs w:val="20"/>
              </w:rPr>
            </w:pPr>
            <w:r w:rsidRPr="00336C2A">
              <w:rPr>
                <w:color w:val="000000"/>
                <w:sz w:val="20"/>
                <w:szCs w:val="20"/>
              </w:rPr>
              <w:t>136,451</w:t>
            </w:r>
          </w:p>
        </w:tc>
      </w:tr>
      <w:tr w:rsidR="00581BD2" w:rsidRPr="00336C2A" w14:paraId="5D30367C"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BABDD84" w14:textId="77777777" w:rsidR="00581BD2" w:rsidRPr="00336C2A" w:rsidRDefault="00581BD2" w:rsidP="00BB4F8B">
            <w:pPr>
              <w:rPr>
                <w:b/>
                <w:bCs/>
                <w:color w:val="000000"/>
                <w:sz w:val="20"/>
                <w:szCs w:val="20"/>
              </w:rPr>
            </w:pPr>
            <w:r w:rsidRPr="00336C2A">
              <w:rPr>
                <w:b/>
                <w:bCs/>
                <w:color w:val="000000"/>
                <w:sz w:val="20"/>
                <w:szCs w:val="20"/>
              </w:rPr>
              <w:t>Social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2B5DDDD5" w14:textId="77777777" w:rsidR="00581BD2" w:rsidRPr="00336C2A" w:rsidRDefault="00581BD2" w:rsidP="00BB4F8B">
            <w:pPr>
              <w:jc w:val="right"/>
              <w:rPr>
                <w:b/>
                <w:bCs/>
                <w:color w:val="000000"/>
                <w:sz w:val="20"/>
                <w:szCs w:val="20"/>
              </w:rPr>
            </w:pPr>
            <w:r w:rsidRPr="00336C2A">
              <w:rPr>
                <w:b/>
                <w:bCs/>
                <w:color w:val="000000"/>
                <w:sz w:val="20"/>
                <w:szCs w:val="20"/>
              </w:rPr>
              <w:t>712,112</w:t>
            </w:r>
          </w:p>
        </w:tc>
        <w:tc>
          <w:tcPr>
            <w:tcW w:w="1648" w:type="dxa"/>
            <w:tcBorders>
              <w:top w:val="nil"/>
              <w:left w:val="nil"/>
              <w:bottom w:val="single" w:sz="8" w:space="0" w:color="000000"/>
              <w:right w:val="single" w:sz="8" w:space="0" w:color="000000"/>
            </w:tcBorders>
            <w:shd w:val="clear" w:color="auto" w:fill="auto"/>
            <w:noWrap/>
            <w:vAlign w:val="bottom"/>
            <w:hideMark/>
          </w:tcPr>
          <w:p w14:paraId="4B13F5CA" w14:textId="77777777" w:rsidR="00581BD2" w:rsidRPr="00336C2A" w:rsidRDefault="00581BD2" w:rsidP="00BB4F8B">
            <w:pPr>
              <w:jc w:val="right"/>
              <w:rPr>
                <w:b/>
                <w:bCs/>
                <w:color w:val="000000"/>
                <w:sz w:val="20"/>
                <w:szCs w:val="20"/>
              </w:rPr>
            </w:pPr>
            <w:r>
              <w:rPr>
                <w:b/>
                <w:bCs/>
                <w:color w:val="000000"/>
                <w:sz w:val="20"/>
                <w:szCs w:val="20"/>
              </w:rPr>
              <w:t>764,590</w:t>
            </w:r>
          </w:p>
        </w:tc>
        <w:tc>
          <w:tcPr>
            <w:tcW w:w="1648" w:type="dxa"/>
            <w:tcBorders>
              <w:top w:val="nil"/>
              <w:left w:val="nil"/>
              <w:bottom w:val="single" w:sz="8" w:space="0" w:color="000000"/>
              <w:right w:val="double" w:sz="6" w:space="0" w:color="auto"/>
            </w:tcBorders>
            <w:shd w:val="clear" w:color="auto" w:fill="auto"/>
            <w:noWrap/>
            <w:vAlign w:val="bottom"/>
            <w:hideMark/>
          </w:tcPr>
          <w:p w14:paraId="57C9362D" w14:textId="77777777" w:rsidR="00581BD2" w:rsidRPr="00336C2A" w:rsidRDefault="00581BD2" w:rsidP="00BB4F8B">
            <w:pPr>
              <w:jc w:val="right"/>
              <w:rPr>
                <w:b/>
                <w:bCs/>
                <w:color w:val="000000"/>
                <w:sz w:val="20"/>
                <w:szCs w:val="20"/>
              </w:rPr>
            </w:pPr>
            <w:r>
              <w:rPr>
                <w:b/>
                <w:bCs/>
                <w:color w:val="000000"/>
                <w:sz w:val="20"/>
                <w:szCs w:val="20"/>
              </w:rPr>
              <w:t>952,741</w:t>
            </w:r>
          </w:p>
        </w:tc>
      </w:tr>
      <w:tr w:rsidR="00581BD2" w:rsidRPr="00336C2A" w14:paraId="31026B12"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DA72098" w14:textId="77777777" w:rsidR="00581BD2" w:rsidRPr="00336C2A" w:rsidRDefault="00581BD2" w:rsidP="00BB4F8B">
            <w:pPr>
              <w:ind w:firstLineChars="100" w:firstLine="200"/>
              <w:rPr>
                <w:color w:val="000000"/>
                <w:sz w:val="20"/>
                <w:szCs w:val="20"/>
              </w:rPr>
            </w:pPr>
            <w:r w:rsidRPr="00336C2A">
              <w:rPr>
                <w:color w:val="000000"/>
                <w:sz w:val="20"/>
                <w:szCs w:val="20"/>
              </w:rPr>
              <w:t>Education, Culture, and Manpower Development</w:t>
            </w:r>
          </w:p>
        </w:tc>
        <w:tc>
          <w:tcPr>
            <w:tcW w:w="1648" w:type="dxa"/>
            <w:tcBorders>
              <w:top w:val="nil"/>
              <w:left w:val="nil"/>
              <w:bottom w:val="single" w:sz="8" w:space="0" w:color="000000"/>
              <w:right w:val="single" w:sz="8" w:space="0" w:color="000000"/>
            </w:tcBorders>
            <w:shd w:val="clear" w:color="auto" w:fill="auto"/>
            <w:noWrap/>
            <w:vAlign w:val="bottom"/>
            <w:hideMark/>
          </w:tcPr>
          <w:p w14:paraId="2F9A3020" w14:textId="77777777" w:rsidR="00581BD2" w:rsidRPr="00336C2A" w:rsidRDefault="00581BD2" w:rsidP="00BB4F8B">
            <w:pPr>
              <w:jc w:val="right"/>
              <w:rPr>
                <w:color w:val="000000"/>
                <w:sz w:val="20"/>
                <w:szCs w:val="20"/>
              </w:rPr>
            </w:pPr>
            <w:r w:rsidRPr="00336C2A">
              <w:rPr>
                <w:color w:val="000000"/>
                <w:sz w:val="20"/>
                <w:szCs w:val="20"/>
              </w:rPr>
              <w:t>327,036</w:t>
            </w:r>
          </w:p>
        </w:tc>
        <w:tc>
          <w:tcPr>
            <w:tcW w:w="1648" w:type="dxa"/>
            <w:tcBorders>
              <w:top w:val="nil"/>
              <w:left w:val="nil"/>
              <w:bottom w:val="single" w:sz="8" w:space="0" w:color="000000"/>
              <w:right w:val="single" w:sz="8" w:space="0" w:color="000000"/>
            </w:tcBorders>
            <w:shd w:val="clear" w:color="auto" w:fill="auto"/>
            <w:noWrap/>
            <w:vAlign w:val="bottom"/>
            <w:hideMark/>
          </w:tcPr>
          <w:p w14:paraId="49350B59" w14:textId="77777777" w:rsidR="00581BD2" w:rsidRPr="00336C2A" w:rsidRDefault="00581BD2" w:rsidP="00BB4F8B">
            <w:pPr>
              <w:jc w:val="right"/>
              <w:rPr>
                <w:color w:val="000000"/>
                <w:sz w:val="20"/>
                <w:szCs w:val="20"/>
              </w:rPr>
            </w:pPr>
            <w:r w:rsidRPr="00336C2A">
              <w:rPr>
                <w:color w:val="000000"/>
                <w:sz w:val="20"/>
                <w:szCs w:val="20"/>
              </w:rPr>
              <w:t>325,801</w:t>
            </w:r>
          </w:p>
        </w:tc>
        <w:tc>
          <w:tcPr>
            <w:tcW w:w="1648" w:type="dxa"/>
            <w:tcBorders>
              <w:top w:val="nil"/>
              <w:left w:val="nil"/>
              <w:bottom w:val="single" w:sz="8" w:space="0" w:color="000000"/>
              <w:right w:val="double" w:sz="6" w:space="0" w:color="auto"/>
            </w:tcBorders>
            <w:shd w:val="clear" w:color="auto" w:fill="auto"/>
            <w:noWrap/>
            <w:vAlign w:val="bottom"/>
            <w:hideMark/>
          </w:tcPr>
          <w:p w14:paraId="1301395D" w14:textId="77777777" w:rsidR="00581BD2" w:rsidRPr="00336C2A" w:rsidRDefault="00581BD2" w:rsidP="00BB4F8B">
            <w:pPr>
              <w:jc w:val="right"/>
              <w:rPr>
                <w:color w:val="000000"/>
                <w:sz w:val="20"/>
                <w:szCs w:val="20"/>
              </w:rPr>
            </w:pPr>
            <w:r w:rsidRPr="00336C2A">
              <w:rPr>
                <w:color w:val="000000"/>
                <w:sz w:val="20"/>
                <w:szCs w:val="20"/>
              </w:rPr>
              <w:t>453,013</w:t>
            </w:r>
          </w:p>
        </w:tc>
      </w:tr>
      <w:tr w:rsidR="00581BD2" w:rsidRPr="00336C2A" w14:paraId="7226788C"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44D2538D" w14:textId="77777777" w:rsidR="00581BD2" w:rsidRPr="00336C2A" w:rsidRDefault="00581BD2" w:rsidP="00BB4F8B">
            <w:pPr>
              <w:ind w:firstLineChars="100" w:firstLine="200"/>
              <w:rPr>
                <w:color w:val="000000"/>
                <w:sz w:val="20"/>
                <w:szCs w:val="20"/>
              </w:rPr>
            </w:pPr>
            <w:r w:rsidRPr="00336C2A">
              <w:rPr>
                <w:color w:val="000000"/>
                <w:sz w:val="20"/>
                <w:szCs w:val="20"/>
              </w:rPr>
              <w:t>Health</w:t>
            </w:r>
          </w:p>
        </w:tc>
        <w:tc>
          <w:tcPr>
            <w:tcW w:w="1648" w:type="dxa"/>
            <w:tcBorders>
              <w:top w:val="nil"/>
              <w:left w:val="nil"/>
              <w:bottom w:val="single" w:sz="8" w:space="0" w:color="000000"/>
              <w:right w:val="single" w:sz="8" w:space="0" w:color="000000"/>
            </w:tcBorders>
            <w:shd w:val="clear" w:color="auto" w:fill="auto"/>
            <w:noWrap/>
            <w:vAlign w:val="bottom"/>
            <w:hideMark/>
          </w:tcPr>
          <w:p w14:paraId="53DC2309" w14:textId="77777777" w:rsidR="00581BD2" w:rsidRPr="00336C2A" w:rsidRDefault="00581BD2" w:rsidP="00BB4F8B">
            <w:pPr>
              <w:jc w:val="right"/>
              <w:rPr>
                <w:color w:val="000000"/>
                <w:sz w:val="20"/>
                <w:szCs w:val="20"/>
              </w:rPr>
            </w:pPr>
            <w:r w:rsidRPr="00336C2A">
              <w:rPr>
                <w:color w:val="000000"/>
                <w:sz w:val="20"/>
                <w:szCs w:val="20"/>
              </w:rPr>
              <w:t>56,857</w:t>
            </w:r>
          </w:p>
        </w:tc>
        <w:tc>
          <w:tcPr>
            <w:tcW w:w="1648" w:type="dxa"/>
            <w:tcBorders>
              <w:top w:val="nil"/>
              <w:left w:val="nil"/>
              <w:bottom w:val="single" w:sz="8" w:space="0" w:color="000000"/>
              <w:right w:val="single" w:sz="8" w:space="0" w:color="000000"/>
            </w:tcBorders>
            <w:shd w:val="clear" w:color="auto" w:fill="auto"/>
            <w:noWrap/>
            <w:vAlign w:val="bottom"/>
            <w:hideMark/>
          </w:tcPr>
          <w:p w14:paraId="3F38EFCE" w14:textId="77777777" w:rsidR="00581BD2" w:rsidRPr="00336C2A" w:rsidRDefault="00581BD2" w:rsidP="00BB4F8B">
            <w:pPr>
              <w:jc w:val="right"/>
              <w:rPr>
                <w:color w:val="000000"/>
                <w:sz w:val="20"/>
                <w:szCs w:val="20"/>
              </w:rPr>
            </w:pPr>
            <w:r w:rsidRPr="00336C2A">
              <w:rPr>
                <w:color w:val="000000"/>
                <w:sz w:val="20"/>
                <w:szCs w:val="20"/>
              </w:rPr>
              <w:t>84,986</w:t>
            </w:r>
          </w:p>
        </w:tc>
        <w:tc>
          <w:tcPr>
            <w:tcW w:w="1648" w:type="dxa"/>
            <w:tcBorders>
              <w:top w:val="nil"/>
              <w:left w:val="nil"/>
              <w:bottom w:val="single" w:sz="8" w:space="0" w:color="000000"/>
              <w:right w:val="double" w:sz="6" w:space="0" w:color="auto"/>
            </w:tcBorders>
            <w:shd w:val="clear" w:color="auto" w:fill="auto"/>
            <w:noWrap/>
            <w:vAlign w:val="bottom"/>
            <w:hideMark/>
          </w:tcPr>
          <w:p w14:paraId="06547C05" w14:textId="77777777" w:rsidR="00581BD2" w:rsidRPr="00336C2A" w:rsidRDefault="00581BD2" w:rsidP="00BB4F8B">
            <w:pPr>
              <w:jc w:val="right"/>
              <w:rPr>
                <w:color w:val="000000"/>
                <w:sz w:val="20"/>
                <w:szCs w:val="20"/>
              </w:rPr>
            </w:pPr>
            <w:r w:rsidRPr="00336C2A">
              <w:rPr>
                <w:color w:val="000000"/>
                <w:sz w:val="20"/>
                <w:szCs w:val="20"/>
              </w:rPr>
              <w:t>96,258</w:t>
            </w:r>
          </w:p>
        </w:tc>
      </w:tr>
      <w:tr w:rsidR="00581BD2" w:rsidRPr="00336C2A" w14:paraId="6C815BDB"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48EB7D8F" w14:textId="77777777" w:rsidR="00581BD2" w:rsidRPr="00336C2A" w:rsidRDefault="00581BD2" w:rsidP="00BB4F8B">
            <w:pPr>
              <w:ind w:firstLineChars="100" w:firstLine="200"/>
              <w:rPr>
                <w:color w:val="000000"/>
                <w:sz w:val="20"/>
                <w:szCs w:val="20"/>
              </w:rPr>
            </w:pPr>
            <w:r w:rsidRPr="00336C2A">
              <w:rPr>
                <w:color w:val="000000"/>
                <w:sz w:val="20"/>
                <w:szCs w:val="20"/>
              </w:rPr>
              <w:t>Social Security, Welfare, and Employment</w:t>
            </w:r>
          </w:p>
        </w:tc>
        <w:tc>
          <w:tcPr>
            <w:tcW w:w="1648" w:type="dxa"/>
            <w:tcBorders>
              <w:top w:val="nil"/>
              <w:left w:val="nil"/>
              <w:bottom w:val="single" w:sz="8" w:space="0" w:color="000000"/>
              <w:right w:val="single" w:sz="8" w:space="0" w:color="000000"/>
            </w:tcBorders>
            <w:shd w:val="clear" w:color="auto" w:fill="auto"/>
            <w:noWrap/>
            <w:vAlign w:val="bottom"/>
            <w:hideMark/>
          </w:tcPr>
          <w:p w14:paraId="0D3CA39B" w14:textId="77777777" w:rsidR="00581BD2" w:rsidRPr="00336C2A" w:rsidRDefault="00581BD2" w:rsidP="00BB4F8B">
            <w:pPr>
              <w:jc w:val="right"/>
              <w:rPr>
                <w:color w:val="000000"/>
                <w:sz w:val="20"/>
                <w:szCs w:val="20"/>
              </w:rPr>
            </w:pPr>
            <w:r w:rsidRPr="00336C2A">
              <w:rPr>
                <w:color w:val="000000"/>
                <w:sz w:val="20"/>
                <w:szCs w:val="20"/>
              </w:rPr>
              <w:t>177,347</w:t>
            </w:r>
          </w:p>
        </w:tc>
        <w:tc>
          <w:tcPr>
            <w:tcW w:w="1648" w:type="dxa"/>
            <w:tcBorders>
              <w:top w:val="nil"/>
              <w:left w:val="nil"/>
              <w:bottom w:val="single" w:sz="8" w:space="0" w:color="000000"/>
              <w:right w:val="single" w:sz="8" w:space="0" w:color="000000"/>
            </w:tcBorders>
            <w:shd w:val="clear" w:color="auto" w:fill="auto"/>
            <w:noWrap/>
            <w:vAlign w:val="bottom"/>
            <w:hideMark/>
          </w:tcPr>
          <w:p w14:paraId="6A5D1DD0" w14:textId="77777777" w:rsidR="00581BD2" w:rsidRPr="00336C2A" w:rsidRDefault="00581BD2" w:rsidP="00BB4F8B">
            <w:pPr>
              <w:jc w:val="right"/>
              <w:rPr>
                <w:color w:val="000000"/>
                <w:sz w:val="20"/>
                <w:szCs w:val="20"/>
              </w:rPr>
            </w:pPr>
            <w:r w:rsidRPr="00336C2A">
              <w:rPr>
                <w:color w:val="000000"/>
                <w:sz w:val="20"/>
                <w:szCs w:val="20"/>
              </w:rPr>
              <w:t>199,073</w:t>
            </w:r>
          </w:p>
        </w:tc>
        <w:tc>
          <w:tcPr>
            <w:tcW w:w="1648" w:type="dxa"/>
            <w:tcBorders>
              <w:top w:val="nil"/>
              <w:left w:val="nil"/>
              <w:bottom w:val="single" w:sz="8" w:space="0" w:color="000000"/>
              <w:right w:val="double" w:sz="6" w:space="0" w:color="auto"/>
            </w:tcBorders>
            <w:shd w:val="clear" w:color="auto" w:fill="auto"/>
            <w:noWrap/>
            <w:vAlign w:val="bottom"/>
            <w:hideMark/>
          </w:tcPr>
          <w:p w14:paraId="114DB0B9" w14:textId="77777777" w:rsidR="00581BD2" w:rsidRPr="00336C2A" w:rsidRDefault="00581BD2" w:rsidP="00BB4F8B">
            <w:pPr>
              <w:jc w:val="right"/>
              <w:rPr>
                <w:color w:val="000000"/>
                <w:sz w:val="20"/>
                <w:szCs w:val="20"/>
              </w:rPr>
            </w:pPr>
            <w:r w:rsidRPr="00336C2A">
              <w:rPr>
                <w:color w:val="000000"/>
                <w:sz w:val="20"/>
                <w:szCs w:val="20"/>
              </w:rPr>
              <w:t>246,738</w:t>
            </w:r>
          </w:p>
        </w:tc>
      </w:tr>
      <w:tr w:rsidR="00581BD2" w:rsidRPr="00336C2A" w14:paraId="2608B753"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9ADD8AB" w14:textId="77777777" w:rsidR="00581BD2" w:rsidRPr="00336C2A" w:rsidRDefault="00581BD2" w:rsidP="00BB4F8B">
            <w:pPr>
              <w:ind w:firstLineChars="100" w:firstLine="200"/>
              <w:rPr>
                <w:color w:val="000000"/>
                <w:sz w:val="20"/>
                <w:szCs w:val="20"/>
              </w:rPr>
            </w:pPr>
            <w:r w:rsidRPr="00336C2A">
              <w:rPr>
                <w:color w:val="000000"/>
                <w:sz w:val="20"/>
                <w:szCs w:val="20"/>
              </w:rPr>
              <w:t>Land Distribution (CARP)</w:t>
            </w:r>
          </w:p>
        </w:tc>
        <w:tc>
          <w:tcPr>
            <w:tcW w:w="1648" w:type="dxa"/>
            <w:tcBorders>
              <w:top w:val="nil"/>
              <w:left w:val="nil"/>
              <w:bottom w:val="single" w:sz="8" w:space="0" w:color="000000"/>
              <w:right w:val="single" w:sz="8" w:space="0" w:color="000000"/>
            </w:tcBorders>
            <w:shd w:val="clear" w:color="auto" w:fill="auto"/>
            <w:noWrap/>
            <w:vAlign w:val="bottom"/>
            <w:hideMark/>
          </w:tcPr>
          <w:p w14:paraId="5D5DF88D" w14:textId="77777777" w:rsidR="00581BD2" w:rsidRPr="00336C2A" w:rsidRDefault="00581BD2" w:rsidP="00BB4F8B">
            <w:pPr>
              <w:jc w:val="right"/>
              <w:rPr>
                <w:color w:val="000000"/>
                <w:sz w:val="20"/>
                <w:szCs w:val="20"/>
              </w:rPr>
            </w:pPr>
            <w:r w:rsidRPr="00336C2A">
              <w:rPr>
                <w:color w:val="000000"/>
                <w:sz w:val="20"/>
                <w:szCs w:val="20"/>
              </w:rPr>
              <w:t>5,000</w:t>
            </w:r>
          </w:p>
        </w:tc>
        <w:tc>
          <w:tcPr>
            <w:tcW w:w="1648" w:type="dxa"/>
            <w:tcBorders>
              <w:top w:val="nil"/>
              <w:left w:val="nil"/>
              <w:bottom w:val="single" w:sz="8" w:space="0" w:color="000000"/>
              <w:right w:val="single" w:sz="8" w:space="0" w:color="000000"/>
            </w:tcBorders>
            <w:shd w:val="clear" w:color="auto" w:fill="auto"/>
            <w:noWrap/>
            <w:vAlign w:val="bottom"/>
            <w:hideMark/>
          </w:tcPr>
          <w:p w14:paraId="791530A8" w14:textId="77777777" w:rsidR="00581BD2" w:rsidRPr="00336C2A" w:rsidRDefault="00581BD2" w:rsidP="00BB4F8B">
            <w:pPr>
              <w:jc w:val="right"/>
              <w:rPr>
                <w:color w:val="000000"/>
                <w:sz w:val="20"/>
                <w:szCs w:val="20"/>
              </w:rPr>
            </w:pPr>
            <w:r>
              <w:rPr>
                <w:color w:val="000000"/>
                <w:sz w:val="20"/>
                <w:szCs w:val="20"/>
              </w:rPr>
              <w:t>-</w:t>
            </w:r>
          </w:p>
        </w:tc>
        <w:tc>
          <w:tcPr>
            <w:tcW w:w="1648" w:type="dxa"/>
            <w:tcBorders>
              <w:top w:val="nil"/>
              <w:left w:val="nil"/>
              <w:bottom w:val="single" w:sz="8" w:space="0" w:color="000000"/>
              <w:right w:val="double" w:sz="6" w:space="0" w:color="auto"/>
            </w:tcBorders>
            <w:shd w:val="clear" w:color="auto" w:fill="auto"/>
            <w:noWrap/>
            <w:vAlign w:val="bottom"/>
            <w:hideMark/>
          </w:tcPr>
          <w:p w14:paraId="3CF88B67" w14:textId="77777777" w:rsidR="00581BD2" w:rsidRPr="00336C2A" w:rsidRDefault="00581BD2" w:rsidP="00BB4F8B">
            <w:pPr>
              <w:jc w:val="right"/>
              <w:rPr>
                <w:color w:val="000000"/>
                <w:sz w:val="20"/>
                <w:szCs w:val="20"/>
              </w:rPr>
            </w:pPr>
            <w:r w:rsidRPr="00336C2A">
              <w:rPr>
                <w:color w:val="000000"/>
                <w:sz w:val="20"/>
                <w:szCs w:val="20"/>
              </w:rPr>
              <w:t>100</w:t>
            </w:r>
          </w:p>
        </w:tc>
      </w:tr>
      <w:tr w:rsidR="00581BD2" w:rsidRPr="00336C2A" w14:paraId="7B22C13F"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76DBAE0" w14:textId="77777777" w:rsidR="00581BD2" w:rsidRPr="00336C2A" w:rsidRDefault="00581BD2" w:rsidP="00BB4F8B">
            <w:pPr>
              <w:ind w:firstLineChars="100" w:firstLine="200"/>
              <w:rPr>
                <w:color w:val="000000"/>
                <w:sz w:val="20"/>
                <w:szCs w:val="20"/>
              </w:rPr>
            </w:pPr>
            <w:r w:rsidRPr="00336C2A">
              <w:rPr>
                <w:color w:val="000000"/>
                <w:sz w:val="20"/>
                <w:szCs w:val="20"/>
              </w:rPr>
              <w:t>Housing and Community Development</w:t>
            </w:r>
          </w:p>
        </w:tc>
        <w:tc>
          <w:tcPr>
            <w:tcW w:w="1648" w:type="dxa"/>
            <w:tcBorders>
              <w:top w:val="nil"/>
              <w:left w:val="nil"/>
              <w:bottom w:val="single" w:sz="8" w:space="0" w:color="000000"/>
              <w:right w:val="single" w:sz="8" w:space="0" w:color="000000"/>
            </w:tcBorders>
            <w:shd w:val="clear" w:color="auto" w:fill="auto"/>
            <w:noWrap/>
            <w:vAlign w:val="bottom"/>
            <w:hideMark/>
          </w:tcPr>
          <w:p w14:paraId="07A70768" w14:textId="77777777" w:rsidR="00581BD2" w:rsidRPr="00336C2A" w:rsidRDefault="00581BD2" w:rsidP="00BB4F8B">
            <w:pPr>
              <w:jc w:val="right"/>
              <w:rPr>
                <w:color w:val="000000"/>
                <w:sz w:val="20"/>
                <w:szCs w:val="20"/>
              </w:rPr>
            </w:pPr>
            <w:r w:rsidRPr="00336C2A">
              <w:rPr>
                <w:color w:val="000000"/>
                <w:sz w:val="20"/>
                <w:szCs w:val="20"/>
              </w:rPr>
              <w:t>32,196</w:t>
            </w:r>
          </w:p>
        </w:tc>
        <w:tc>
          <w:tcPr>
            <w:tcW w:w="1648" w:type="dxa"/>
            <w:tcBorders>
              <w:top w:val="nil"/>
              <w:left w:val="nil"/>
              <w:bottom w:val="single" w:sz="8" w:space="0" w:color="000000"/>
              <w:right w:val="single" w:sz="8" w:space="0" w:color="000000"/>
            </w:tcBorders>
            <w:shd w:val="clear" w:color="auto" w:fill="auto"/>
            <w:noWrap/>
            <w:vAlign w:val="bottom"/>
            <w:hideMark/>
          </w:tcPr>
          <w:p w14:paraId="2DD3E711" w14:textId="77777777" w:rsidR="00581BD2" w:rsidRPr="00336C2A" w:rsidRDefault="00581BD2" w:rsidP="00BB4F8B">
            <w:pPr>
              <w:jc w:val="right"/>
              <w:rPr>
                <w:color w:val="000000"/>
                <w:sz w:val="20"/>
                <w:szCs w:val="20"/>
              </w:rPr>
            </w:pPr>
            <w:r>
              <w:rPr>
                <w:color w:val="000000"/>
                <w:sz w:val="20"/>
                <w:szCs w:val="20"/>
              </w:rPr>
              <w:t>26,691</w:t>
            </w:r>
          </w:p>
        </w:tc>
        <w:tc>
          <w:tcPr>
            <w:tcW w:w="1648" w:type="dxa"/>
            <w:tcBorders>
              <w:top w:val="nil"/>
              <w:left w:val="nil"/>
              <w:bottom w:val="single" w:sz="8" w:space="0" w:color="000000"/>
              <w:right w:val="double" w:sz="6" w:space="0" w:color="auto"/>
            </w:tcBorders>
            <w:shd w:val="clear" w:color="auto" w:fill="auto"/>
            <w:noWrap/>
            <w:vAlign w:val="bottom"/>
            <w:hideMark/>
          </w:tcPr>
          <w:p w14:paraId="35543930" w14:textId="77777777" w:rsidR="00581BD2" w:rsidRPr="00336C2A" w:rsidRDefault="00581BD2" w:rsidP="00BB4F8B">
            <w:pPr>
              <w:jc w:val="right"/>
              <w:rPr>
                <w:color w:val="000000"/>
                <w:sz w:val="20"/>
                <w:szCs w:val="20"/>
              </w:rPr>
            </w:pPr>
            <w:r>
              <w:rPr>
                <w:color w:val="000000"/>
                <w:sz w:val="20"/>
                <w:szCs w:val="20"/>
              </w:rPr>
              <w:t>10,349</w:t>
            </w:r>
          </w:p>
        </w:tc>
      </w:tr>
      <w:tr w:rsidR="00581BD2" w:rsidRPr="00336C2A" w14:paraId="37C23A9D"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F5C93C8" w14:textId="77777777" w:rsidR="00581BD2" w:rsidRPr="00336C2A" w:rsidRDefault="00581BD2" w:rsidP="00BB4F8B">
            <w:pPr>
              <w:ind w:firstLineChars="100" w:firstLine="200"/>
              <w:rPr>
                <w:color w:val="000000"/>
                <w:sz w:val="20"/>
                <w:szCs w:val="20"/>
              </w:rPr>
            </w:pPr>
            <w:r w:rsidRPr="00336C2A">
              <w:rPr>
                <w:color w:val="000000"/>
                <w:sz w:val="20"/>
                <w:szCs w:val="20"/>
              </w:rPr>
              <w:t>Other Social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1D9E5047" w14:textId="77777777" w:rsidR="00581BD2" w:rsidRPr="00336C2A" w:rsidRDefault="00581BD2" w:rsidP="00BB4F8B">
            <w:pPr>
              <w:jc w:val="right"/>
              <w:rPr>
                <w:color w:val="000000"/>
                <w:sz w:val="20"/>
                <w:szCs w:val="20"/>
              </w:rPr>
            </w:pPr>
            <w:r w:rsidRPr="00336C2A">
              <w:rPr>
                <w:color w:val="000000"/>
                <w:sz w:val="20"/>
                <w:szCs w:val="20"/>
              </w:rPr>
              <w:t>1,824</w:t>
            </w:r>
          </w:p>
        </w:tc>
        <w:tc>
          <w:tcPr>
            <w:tcW w:w="1648" w:type="dxa"/>
            <w:tcBorders>
              <w:top w:val="nil"/>
              <w:left w:val="nil"/>
              <w:bottom w:val="single" w:sz="8" w:space="0" w:color="000000"/>
              <w:right w:val="single" w:sz="8" w:space="0" w:color="000000"/>
            </w:tcBorders>
            <w:shd w:val="clear" w:color="auto" w:fill="auto"/>
            <w:noWrap/>
            <w:vAlign w:val="bottom"/>
            <w:hideMark/>
          </w:tcPr>
          <w:p w14:paraId="5D7A6791" w14:textId="77777777" w:rsidR="00581BD2" w:rsidRPr="00336C2A" w:rsidRDefault="00581BD2" w:rsidP="00BB4F8B">
            <w:pPr>
              <w:jc w:val="right"/>
              <w:rPr>
                <w:color w:val="000000"/>
                <w:sz w:val="20"/>
                <w:szCs w:val="20"/>
              </w:rPr>
            </w:pPr>
            <w:r w:rsidRPr="00336C2A">
              <w:rPr>
                <w:color w:val="000000"/>
                <w:sz w:val="20"/>
                <w:szCs w:val="20"/>
              </w:rPr>
              <w:t>1,667</w:t>
            </w:r>
          </w:p>
        </w:tc>
        <w:tc>
          <w:tcPr>
            <w:tcW w:w="1648" w:type="dxa"/>
            <w:tcBorders>
              <w:top w:val="nil"/>
              <w:left w:val="nil"/>
              <w:bottom w:val="single" w:sz="8" w:space="0" w:color="000000"/>
              <w:right w:val="double" w:sz="6" w:space="0" w:color="auto"/>
            </w:tcBorders>
            <w:shd w:val="clear" w:color="auto" w:fill="auto"/>
            <w:noWrap/>
            <w:vAlign w:val="bottom"/>
            <w:hideMark/>
          </w:tcPr>
          <w:p w14:paraId="3BE41339" w14:textId="77777777" w:rsidR="00581BD2" w:rsidRPr="00336C2A" w:rsidRDefault="00581BD2" w:rsidP="00BB4F8B">
            <w:pPr>
              <w:jc w:val="right"/>
              <w:rPr>
                <w:color w:val="000000"/>
                <w:sz w:val="20"/>
                <w:szCs w:val="20"/>
              </w:rPr>
            </w:pPr>
            <w:r w:rsidRPr="00336C2A">
              <w:rPr>
                <w:color w:val="000000"/>
                <w:sz w:val="20"/>
                <w:szCs w:val="20"/>
              </w:rPr>
              <w:t>2,035</w:t>
            </w:r>
          </w:p>
        </w:tc>
      </w:tr>
      <w:tr w:rsidR="00581BD2" w:rsidRPr="00336C2A" w14:paraId="2697A4C3"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14F68C3" w14:textId="77777777" w:rsidR="00581BD2" w:rsidRPr="00336C2A" w:rsidRDefault="00581BD2" w:rsidP="00BB4F8B">
            <w:pPr>
              <w:ind w:firstLineChars="100" w:firstLine="200"/>
              <w:rPr>
                <w:color w:val="000000"/>
                <w:sz w:val="20"/>
                <w:szCs w:val="20"/>
              </w:rPr>
            </w:pPr>
            <w:r w:rsidRPr="00336C2A">
              <w:rPr>
                <w:color w:val="000000"/>
                <w:sz w:val="20"/>
                <w:szCs w:val="20"/>
              </w:rPr>
              <w:t>Subsidy to Local Government Units</w:t>
            </w:r>
          </w:p>
        </w:tc>
        <w:tc>
          <w:tcPr>
            <w:tcW w:w="1648" w:type="dxa"/>
            <w:tcBorders>
              <w:top w:val="nil"/>
              <w:left w:val="nil"/>
              <w:bottom w:val="single" w:sz="8" w:space="0" w:color="000000"/>
              <w:right w:val="single" w:sz="8" w:space="0" w:color="000000"/>
            </w:tcBorders>
            <w:shd w:val="clear" w:color="auto" w:fill="auto"/>
            <w:noWrap/>
            <w:vAlign w:val="bottom"/>
            <w:hideMark/>
          </w:tcPr>
          <w:p w14:paraId="4E72BE81" w14:textId="77777777" w:rsidR="00581BD2" w:rsidRPr="00336C2A" w:rsidRDefault="00581BD2" w:rsidP="00BB4F8B">
            <w:pPr>
              <w:jc w:val="right"/>
              <w:rPr>
                <w:color w:val="000000"/>
                <w:sz w:val="20"/>
                <w:szCs w:val="20"/>
              </w:rPr>
            </w:pPr>
            <w:r w:rsidRPr="00336C2A">
              <w:rPr>
                <w:color w:val="000000"/>
                <w:sz w:val="20"/>
                <w:szCs w:val="20"/>
              </w:rPr>
              <w:t>111,852</w:t>
            </w:r>
          </w:p>
        </w:tc>
        <w:tc>
          <w:tcPr>
            <w:tcW w:w="1648" w:type="dxa"/>
            <w:tcBorders>
              <w:top w:val="nil"/>
              <w:left w:val="nil"/>
              <w:bottom w:val="single" w:sz="8" w:space="0" w:color="000000"/>
              <w:right w:val="single" w:sz="8" w:space="0" w:color="000000"/>
            </w:tcBorders>
            <w:shd w:val="clear" w:color="auto" w:fill="auto"/>
            <w:noWrap/>
            <w:vAlign w:val="bottom"/>
            <w:hideMark/>
          </w:tcPr>
          <w:p w14:paraId="23034783" w14:textId="77777777" w:rsidR="00581BD2" w:rsidRPr="00336C2A" w:rsidRDefault="00581BD2" w:rsidP="00BB4F8B">
            <w:pPr>
              <w:jc w:val="right"/>
              <w:rPr>
                <w:color w:val="000000"/>
                <w:sz w:val="20"/>
                <w:szCs w:val="20"/>
              </w:rPr>
            </w:pPr>
            <w:r w:rsidRPr="00336C2A">
              <w:rPr>
                <w:color w:val="000000"/>
                <w:sz w:val="20"/>
                <w:szCs w:val="20"/>
              </w:rPr>
              <w:t>126,372</w:t>
            </w:r>
          </w:p>
        </w:tc>
        <w:tc>
          <w:tcPr>
            <w:tcW w:w="1648" w:type="dxa"/>
            <w:tcBorders>
              <w:top w:val="nil"/>
              <w:left w:val="nil"/>
              <w:bottom w:val="single" w:sz="8" w:space="0" w:color="000000"/>
              <w:right w:val="double" w:sz="6" w:space="0" w:color="auto"/>
            </w:tcBorders>
            <w:shd w:val="clear" w:color="auto" w:fill="auto"/>
            <w:noWrap/>
            <w:vAlign w:val="bottom"/>
            <w:hideMark/>
          </w:tcPr>
          <w:p w14:paraId="4FDB2E9A" w14:textId="77777777" w:rsidR="00581BD2" w:rsidRPr="00336C2A" w:rsidRDefault="00581BD2" w:rsidP="00BB4F8B">
            <w:pPr>
              <w:jc w:val="right"/>
              <w:rPr>
                <w:color w:val="000000"/>
                <w:sz w:val="20"/>
                <w:szCs w:val="20"/>
              </w:rPr>
            </w:pPr>
            <w:r w:rsidRPr="00336C2A">
              <w:rPr>
                <w:color w:val="000000"/>
                <w:sz w:val="20"/>
                <w:szCs w:val="20"/>
              </w:rPr>
              <w:t>144,248</w:t>
            </w:r>
          </w:p>
        </w:tc>
      </w:tr>
      <w:tr w:rsidR="00581BD2" w:rsidRPr="00336C2A" w14:paraId="7CD597DE"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2988603" w14:textId="77777777" w:rsidR="00581BD2" w:rsidRPr="00336C2A" w:rsidRDefault="00581BD2" w:rsidP="00BB4F8B">
            <w:pPr>
              <w:rPr>
                <w:b/>
                <w:bCs/>
                <w:color w:val="000000"/>
                <w:sz w:val="20"/>
                <w:szCs w:val="20"/>
              </w:rPr>
            </w:pPr>
            <w:r w:rsidRPr="00336C2A">
              <w:rPr>
                <w:b/>
                <w:bCs/>
                <w:color w:val="000000"/>
                <w:sz w:val="20"/>
                <w:szCs w:val="20"/>
              </w:rPr>
              <w:t>Defense</w:t>
            </w:r>
          </w:p>
        </w:tc>
        <w:tc>
          <w:tcPr>
            <w:tcW w:w="1648" w:type="dxa"/>
            <w:tcBorders>
              <w:top w:val="nil"/>
              <w:left w:val="nil"/>
              <w:bottom w:val="single" w:sz="8" w:space="0" w:color="000000"/>
              <w:right w:val="single" w:sz="8" w:space="0" w:color="000000"/>
            </w:tcBorders>
            <w:shd w:val="clear" w:color="auto" w:fill="auto"/>
            <w:noWrap/>
            <w:vAlign w:val="bottom"/>
            <w:hideMark/>
          </w:tcPr>
          <w:p w14:paraId="5059EB45" w14:textId="77777777" w:rsidR="00581BD2" w:rsidRPr="00336C2A" w:rsidRDefault="00581BD2" w:rsidP="00BB4F8B">
            <w:pPr>
              <w:jc w:val="right"/>
              <w:rPr>
                <w:b/>
                <w:bCs/>
                <w:color w:val="000000"/>
                <w:sz w:val="20"/>
                <w:szCs w:val="20"/>
              </w:rPr>
            </w:pPr>
            <w:r w:rsidRPr="00336C2A">
              <w:rPr>
                <w:b/>
                <w:bCs/>
                <w:color w:val="000000"/>
                <w:sz w:val="20"/>
                <w:szCs w:val="20"/>
              </w:rPr>
              <w:t>87,833</w:t>
            </w:r>
          </w:p>
        </w:tc>
        <w:tc>
          <w:tcPr>
            <w:tcW w:w="1648" w:type="dxa"/>
            <w:tcBorders>
              <w:top w:val="nil"/>
              <w:left w:val="nil"/>
              <w:bottom w:val="single" w:sz="8" w:space="0" w:color="000000"/>
              <w:right w:val="single" w:sz="8" w:space="0" w:color="000000"/>
            </w:tcBorders>
            <w:shd w:val="clear" w:color="auto" w:fill="auto"/>
            <w:noWrap/>
            <w:vAlign w:val="bottom"/>
            <w:hideMark/>
          </w:tcPr>
          <w:p w14:paraId="24A3892A" w14:textId="77777777" w:rsidR="00581BD2" w:rsidRPr="00336C2A" w:rsidRDefault="00581BD2" w:rsidP="00BB4F8B">
            <w:pPr>
              <w:jc w:val="right"/>
              <w:rPr>
                <w:b/>
                <w:bCs/>
                <w:color w:val="000000"/>
                <w:sz w:val="20"/>
                <w:szCs w:val="20"/>
              </w:rPr>
            </w:pPr>
            <w:r w:rsidRPr="00336C2A">
              <w:rPr>
                <w:b/>
                <w:bCs/>
                <w:color w:val="000000"/>
                <w:sz w:val="20"/>
                <w:szCs w:val="20"/>
              </w:rPr>
              <w:t>87,195</w:t>
            </w:r>
          </w:p>
        </w:tc>
        <w:tc>
          <w:tcPr>
            <w:tcW w:w="1648" w:type="dxa"/>
            <w:tcBorders>
              <w:top w:val="nil"/>
              <w:left w:val="nil"/>
              <w:bottom w:val="single" w:sz="8" w:space="0" w:color="000000"/>
              <w:right w:val="double" w:sz="6" w:space="0" w:color="auto"/>
            </w:tcBorders>
            <w:shd w:val="clear" w:color="auto" w:fill="auto"/>
            <w:noWrap/>
            <w:vAlign w:val="bottom"/>
            <w:hideMark/>
          </w:tcPr>
          <w:p w14:paraId="30D1D498" w14:textId="77777777" w:rsidR="00581BD2" w:rsidRPr="00336C2A" w:rsidRDefault="00581BD2" w:rsidP="00BB4F8B">
            <w:pPr>
              <w:jc w:val="right"/>
              <w:rPr>
                <w:b/>
                <w:bCs/>
                <w:color w:val="000000"/>
                <w:sz w:val="20"/>
                <w:szCs w:val="20"/>
              </w:rPr>
            </w:pPr>
            <w:r w:rsidRPr="00336C2A">
              <w:rPr>
                <w:b/>
                <w:bCs/>
                <w:color w:val="000000"/>
                <w:sz w:val="20"/>
                <w:szCs w:val="20"/>
              </w:rPr>
              <w:t>115,785</w:t>
            </w:r>
          </w:p>
        </w:tc>
      </w:tr>
      <w:tr w:rsidR="00581BD2" w:rsidRPr="00336C2A" w14:paraId="13D968C4"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93018E2" w14:textId="77777777" w:rsidR="00581BD2" w:rsidRPr="00336C2A" w:rsidRDefault="00581BD2" w:rsidP="00BB4F8B">
            <w:pPr>
              <w:ind w:firstLineChars="100" w:firstLine="200"/>
              <w:rPr>
                <w:color w:val="000000"/>
                <w:sz w:val="20"/>
                <w:szCs w:val="20"/>
              </w:rPr>
            </w:pPr>
            <w:r w:rsidRPr="00336C2A">
              <w:rPr>
                <w:color w:val="000000"/>
                <w:sz w:val="20"/>
                <w:szCs w:val="20"/>
              </w:rPr>
              <w:t>Domestic Security</w:t>
            </w:r>
          </w:p>
        </w:tc>
        <w:tc>
          <w:tcPr>
            <w:tcW w:w="1648" w:type="dxa"/>
            <w:tcBorders>
              <w:top w:val="nil"/>
              <w:left w:val="nil"/>
              <w:bottom w:val="single" w:sz="8" w:space="0" w:color="000000"/>
              <w:right w:val="single" w:sz="8" w:space="0" w:color="000000"/>
            </w:tcBorders>
            <w:shd w:val="clear" w:color="auto" w:fill="auto"/>
            <w:noWrap/>
            <w:vAlign w:val="bottom"/>
            <w:hideMark/>
          </w:tcPr>
          <w:p w14:paraId="35376C0C" w14:textId="77777777" w:rsidR="00581BD2" w:rsidRPr="00336C2A" w:rsidRDefault="00581BD2" w:rsidP="00BB4F8B">
            <w:pPr>
              <w:jc w:val="right"/>
              <w:rPr>
                <w:color w:val="000000"/>
                <w:sz w:val="20"/>
                <w:szCs w:val="20"/>
              </w:rPr>
            </w:pPr>
            <w:r w:rsidRPr="00336C2A">
              <w:rPr>
                <w:color w:val="000000"/>
                <w:sz w:val="20"/>
                <w:szCs w:val="20"/>
              </w:rPr>
              <w:t>87,833</w:t>
            </w:r>
          </w:p>
        </w:tc>
        <w:tc>
          <w:tcPr>
            <w:tcW w:w="1648" w:type="dxa"/>
            <w:tcBorders>
              <w:top w:val="nil"/>
              <w:left w:val="nil"/>
              <w:bottom w:val="single" w:sz="8" w:space="0" w:color="000000"/>
              <w:right w:val="single" w:sz="8" w:space="0" w:color="000000"/>
            </w:tcBorders>
            <w:shd w:val="clear" w:color="auto" w:fill="auto"/>
            <w:noWrap/>
            <w:vAlign w:val="bottom"/>
            <w:hideMark/>
          </w:tcPr>
          <w:p w14:paraId="2A38C8F3" w14:textId="77777777" w:rsidR="00581BD2" w:rsidRPr="00336C2A" w:rsidRDefault="00581BD2" w:rsidP="00BB4F8B">
            <w:pPr>
              <w:jc w:val="right"/>
              <w:rPr>
                <w:color w:val="000000"/>
                <w:sz w:val="20"/>
                <w:szCs w:val="20"/>
              </w:rPr>
            </w:pPr>
            <w:r w:rsidRPr="00336C2A">
              <w:rPr>
                <w:color w:val="000000"/>
                <w:sz w:val="20"/>
                <w:szCs w:val="20"/>
              </w:rPr>
              <w:t>87,195</w:t>
            </w:r>
          </w:p>
        </w:tc>
        <w:tc>
          <w:tcPr>
            <w:tcW w:w="1648" w:type="dxa"/>
            <w:tcBorders>
              <w:top w:val="nil"/>
              <w:left w:val="nil"/>
              <w:bottom w:val="single" w:sz="8" w:space="0" w:color="000000"/>
              <w:right w:val="double" w:sz="6" w:space="0" w:color="auto"/>
            </w:tcBorders>
            <w:shd w:val="clear" w:color="auto" w:fill="auto"/>
            <w:noWrap/>
            <w:vAlign w:val="bottom"/>
            <w:hideMark/>
          </w:tcPr>
          <w:p w14:paraId="5F81DBC8" w14:textId="77777777" w:rsidR="00581BD2" w:rsidRPr="00336C2A" w:rsidRDefault="00581BD2" w:rsidP="00BB4F8B">
            <w:pPr>
              <w:jc w:val="right"/>
              <w:rPr>
                <w:color w:val="000000"/>
                <w:sz w:val="20"/>
                <w:szCs w:val="20"/>
              </w:rPr>
            </w:pPr>
            <w:r w:rsidRPr="00336C2A">
              <w:rPr>
                <w:color w:val="000000"/>
                <w:sz w:val="20"/>
                <w:szCs w:val="20"/>
              </w:rPr>
              <w:t>115,785</w:t>
            </w:r>
          </w:p>
        </w:tc>
      </w:tr>
      <w:tr w:rsidR="00581BD2" w:rsidRPr="00336C2A" w14:paraId="5345D581"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694EA44" w14:textId="77777777" w:rsidR="00581BD2" w:rsidRPr="00336C2A" w:rsidRDefault="00581BD2" w:rsidP="00BB4F8B">
            <w:pPr>
              <w:rPr>
                <w:b/>
                <w:bCs/>
                <w:color w:val="000000"/>
                <w:sz w:val="20"/>
                <w:szCs w:val="20"/>
              </w:rPr>
            </w:pPr>
            <w:r w:rsidRPr="00336C2A">
              <w:rPr>
                <w:b/>
                <w:bCs/>
                <w:color w:val="000000"/>
                <w:sz w:val="20"/>
                <w:szCs w:val="20"/>
              </w:rPr>
              <w:t>General Public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69EBFBFB" w14:textId="77777777" w:rsidR="00581BD2" w:rsidRPr="00336C2A" w:rsidRDefault="00581BD2" w:rsidP="00BB4F8B">
            <w:pPr>
              <w:jc w:val="right"/>
              <w:rPr>
                <w:b/>
                <w:bCs/>
                <w:color w:val="000000"/>
                <w:sz w:val="20"/>
                <w:szCs w:val="20"/>
              </w:rPr>
            </w:pPr>
            <w:r w:rsidRPr="00336C2A">
              <w:rPr>
                <w:b/>
                <w:bCs/>
                <w:color w:val="000000"/>
                <w:sz w:val="20"/>
                <w:szCs w:val="20"/>
              </w:rPr>
              <w:t>341,661</w:t>
            </w:r>
          </w:p>
        </w:tc>
        <w:tc>
          <w:tcPr>
            <w:tcW w:w="1648" w:type="dxa"/>
            <w:tcBorders>
              <w:top w:val="nil"/>
              <w:left w:val="nil"/>
              <w:bottom w:val="single" w:sz="8" w:space="0" w:color="000000"/>
              <w:right w:val="single" w:sz="8" w:space="0" w:color="000000"/>
            </w:tcBorders>
            <w:shd w:val="clear" w:color="auto" w:fill="auto"/>
            <w:noWrap/>
            <w:vAlign w:val="bottom"/>
            <w:hideMark/>
          </w:tcPr>
          <w:p w14:paraId="1D2EBEC0" w14:textId="77777777" w:rsidR="00581BD2" w:rsidRPr="00336C2A" w:rsidRDefault="00581BD2" w:rsidP="00BB4F8B">
            <w:pPr>
              <w:jc w:val="right"/>
              <w:rPr>
                <w:b/>
                <w:bCs/>
                <w:color w:val="000000"/>
                <w:sz w:val="20"/>
                <w:szCs w:val="20"/>
              </w:rPr>
            </w:pPr>
            <w:r w:rsidRPr="00336C2A">
              <w:rPr>
                <w:b/>
                <w:bCs/>
                <w:color w:val="000000"/>
                <w:sz w:val="20"/>
                <w:szCs w:val="20"/>
              </w:rPr>
              <w:t>340,195</w:t>
            </w:r>
          </w:p>
        </w:tc>
        <w:tc>
          <w:tcPr>
            <w:tcW w:w="1648" w:type="dxa"/>
            <w:tcBorders>
              <w:top w:val="nil"/>
              <w:left w:val="nil"/>
              <w:bottom w:val="single" w:sz="8" w:space="0" w:color="000000"/>
              <w:right w:val="double" w:sz="6" w:space="0" w:color="auto"/>
            </w:tcBorders>
            <w:shd w:val="clear" w:color="auto" w:fill="auto"/>
            <w:noWrap/>
            <w:vAlign w:val="bottom"/>
            <w:hideMark/>
          </w:tcPr>
          <w:p w14:paraId="25589B2D" w14:textId="77777777" w:rsidR="00581BD2" w:rsidRPr="00336C2A" w:rsidRDefault="00581BD2" w:rsidP="00BB4F8B">
            <w:pPr>
              <w:jc w:val="right"/>
              <w:rPr>
                <w:b/>
                <w:bCs/>
                <w:color w:val="000000"/>
                <w:sz w:val="20"/>
                <w:szCs w:val="20"/>
              </w:rPr>
            </w:pPr>
            <w:r w:rsidRPr="00336C2A">
              <w:rPr>
                <w:b/>
                <w:bCs/>
                <w:color w:val="000000"/>
                <w:sz w:val="20"/>
                <w:szCs w:val="20"/>
              </w:rPr>
              <w:t>431,120</w:t>
            </w:r>
          </w:p>
        </w:tc>
      </w:tr>
      <w:tr w:rsidR="00581BD2" w:rsidRPr="00336C2A" w14:paraId="5F348E85"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91C8CA2" w14:textId="77777777" w:rsidR="00581BD2" w:rsidRPr="00336C2A" w:rsidRDefault="00581BD2" w:rsidP="00BB4F8B">
            <w:pPr>
              <w:ind w:firstLineChars="100" w:firstLine="200"/>
              <w:rPr>
                <w:color w:val="000000"/>
                <w:sz w:val="20"/>
                <w:szCs w:val="20"/>
              </w:rPr>
            </w:pPr>
            <w:r w:rsidRPr="00336C2A">
              <w:rPr>
                <w:color w:val="000000"/>
                <w:sz w:val="20"/>
                <w:szCs w:val="20"/>
              </w:rPr>
              <w:t>General Administration</w:t>
            </w:r>
          </w:p>
        </w:tc>
        <w:tc>
          <w:tcPr>
            <w:tcW w:w="1648" w:type="dxa"/>
            <w:tcBorders>
              <w:top w:val="nil"/>
              <w:left w:val="nil"/>
              <w:bottom w:val="single" w:sz="8" w:space="0" w:color="000000"/>
              <w:right w:val="single" w:sz="8" w:space="0" w:color="000000"/>
            </w:tcBorders>
            <w:shd w:val="clear" w:color="auto" w:fill="auto"/>
            <w:noWrap/>
            <w:vAlign w:val="bottom"/>
            <w:hideMark/>
          </w:tcPr>
          <w:p w14:paraId="174BE35E" w14:textId="77777777" w:rsidR="00581BD2" w:rsidRPr="00336C2A" w:rsidRDefault="00581BD2" w:rsidP="00BB4F8B">
            <w:pPr>
              <w:jc w:val="right"/>
              <w:rPr>
                <w:color w:val="000000"/>
                <w:sz w:val="20"/>
                <w:szCs w:val="20"/>
              </w:rPr>
            </w:pPr>
            <w:r w:rsidRPr="00336C2A">
              <w:rPr>
                <w:color w:val="000000"/>
                <w:sz w:val="20"/>
                <w:szCs w:val="20"/>
              </w:rPr>
              <w:t>132,537</w:t>
            </w:r>
          </w:p>
        </w:tc>
        <w:tc>
          <w:tcPr>
            <w:tcW w:w="1648" w:type="dxa"/>
            <w:tcBorders>
              <w:top w:val="nil"/>
              <w:left w:val="nil"/>
              <w:bottom w:val="single" w:sz="8" w:space="0" w:color="000000"/>
              <w:right w:val="single" w:sz="8" w:space="0" w:color="000000"/>
            </w:tcBorders>
            <w:shd w:val="clear" w:color="auto" w:fill="auto"/>
            <w:noWrap/>
            <w:vAlign w:val="bottom"/>
            <w:hideMark/>
          </w:tcPr>
          <w:p w14:paraId="555E4FAF" w14:textId="77777777" w:rsidR="00581BD2" w:rsidRPr="00336C2A" w:rsidRDefault="00581BD2" w:rsidP="00BB4F8B">
            <w:pPr>
              <w:jc w:val="right"/>
              <w:rPr>
                <w:color w:val="000000"/>
                <w:sz w:val="20"/>
                <w:szCs w:val="20"/>
              </w:rPr>
            </w:pPr>
            <w:r w:rsidRPr="00336C2A">
              <w:rPr>
                <w:color w:val="000000"/>
                <w:sz w:val="20"/>
                <w:szCs w:val="20"/>
              </w:rPr>
              <w:t>119,164</w:t>
            </w:r>
          </w:p>
        </w:tc>
        <w:tc>
          <w:tcPr>
            <w:tcW w:w="1648" w:type="dxa"/>
            <w:tcBorders>
              <w:top w:val="nil"/>
              <w:left w:val="nil"/>
              <w:bottom w:val="single" w:sz="8" w:space="0" w:color="000000"/>
              <w:right w:val="double" w:sz="6" w:space="0" w:color="auto"/>
            </w:tcBorders>
            <w:shd w:val="clear" w:color="auto" w:fill="auto"/>
            <w:noWrap/>
            <w:vAlign w:val="bottom"/>
            <w:hideMark/>
          </w:tcPr>
          <w:p w14:paraId="1E23D1CE" w14:textId="77777777" w:rsidR="00581BD2" w:rsidRPr="00336C2A" w:rsidRDefault="00581BD2" w:rsidP="00BB4F8B">
            <w:pPr>
              <w:jc w:val="right"/>
              <w:rPr>
                <w:color w:val="000000"/>
                <w:sz w:val="20"/>
                <w:szCs w:val="20"/>
              </w:rPr>
            </w:pPr>
            <w:r w:rsidRPr="00336C2A">
              <w:rPr>
                <w:color w:val="000000"/>
                <w:sz w:val="20"/>
                <w:szCs w:val="20"/>
              </w:rPr>
              <w:t>153,402</w:t>
            </w:r>
          </w:p>
        </w:tc>
      </w:tr>
      <w:tr w:rsidR="00581BD2" w:rsidRPr="00336C2A" w14:paraId="4FEBA014"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E4C777A" w14:textId="77777777" w:rsidR="00581BD2" w:rsidRPr="00336C2A" w:rsidRDefault="00581BD2" w:rsidP="00BB4F8B">
            <w:pPr>
              <w:ind w:firstLineChars="100" w:firstLine="200"/>
              <w:rPr>
                <w:color w:val="000000"/>
                <w:sz w:val="20"/>
                <w:szCs w:val="20"/>
              </w:rPr>
            </w:pPr>
            <w:r w:rsidRPr="00336C2A">
              <w:rPr>
                <w:color w:val="000000"/>
                <w:sz w:val="20"/>
                <w:szCs w:val="20"/>
              </w:rPr>
              <w:t>Public Order and Safety</w:t>
            </w:r>
          </w:p>
        </w:tc>
        <w:tc>
          <w:tcPr>
            <w:tcW w:w="1648" w:type="dxa"/>
            <w:tcBorders>
              <w:top w:val="nil"/>
              <w:left w:val="nil"/>
              <w:bottom w:val="single" w:sz="8" w:space="0" w:color="000000"/>
              <w:right w:val="single" w:sz="8" w:space="0" w:color="000000"/>
            </w:tcBorders>
            <w:shd w:val="clear" w:color="auto" w:fill="auto"/>
            <w:noWrap/>
            <w:vAlign w:val="bottom"/>
            <w:hideMark/>
          </w:tcPr>
          <w:p w14:paraId="56908A7D" w14:textId="77777777" w:rsidR="00581BD2" w:rsidRPr="00336C2A" w:rsidRDefault="00581BD2" w:rsidP="00BB4F8B">
            <w:pPr>
              <w:jc w:val="right"/>
              <w:rPr>
                <w:color w:val="000000"/>
                <w:sz w:val="20"/>
                <w:szCs w:val="20"/>
              </w:rPr>
            </w:pPr>
            <w:r w:rsidRPr="00336C2A">
              <w:rPr>
                <w:color w:val="000000"/>
                <w:sz w:val="20"/>
                <w:szCs w:val="20"/>
              </w:rPr>
              <w:t>115,055</w:t>
            </w:r>
          </w:p>
        </w:tc>
        <w:tc>
          <w:tcPr>
            <w:tcW w:w="1648" w:type="dxa"/>
            <w:tcBorders>
              <w:top w:val="nil"/>
              <w:left w:val="nil"/>
              <w:bottom w:val="single" w:sz="8" w:space="0" w:color="000000"/>
              <w:right w:val="single" w:sz="8" w:space="0" w:color="000000"/>
            </w:tcBorders>
            <w:shd w:val="clear" w:color="auto" w:fill="auto"/>
            <w:noWrap/>
            <w:vAlign w:val="bottom"/>
            <w:hideMark/>
          </w:tcPr>
          <w:p w14:paraId="021DD154" w14:textId="77777777" w:rsidR="00581BD2" w:rsidRPr="00336C2A" w:rsidRDefault="00581BD2" w:rsidP="00BB4F8B">
            <w:pPr>
              <w:jc w:val="right"/>
              <w:rPr>
                <w:color w:val="000000"/>
                <w:sz w:val="20"/>
                <w:szCs w:val="20"/>
              </w:rPr>
            </w:pPr>
            <w:r w:rsidRPr="00336C2A">
              <w:rPr>
                <w:color w:val="000000"/>
                <w:sz w:val="20"/>
                <w:szCs w:val="20"/>
              </w:rPr>
              <w:t>121,968</w:t>
            </w:r>
          </w:p>
        </w:tc>
        <w:tc>
          <w:tcPr>
            <w:tcW w:w="1648" w:type="dxa"/>
            <w:tcBorders>
              <w:top w:val="nil"/>
              <w:left w:val="nil"/>
              <w:bottom w:val="single" w:sz="8" w:space="0" w:color="000000"/>
              <w:right w:val="double" w:sz="6" w:space="0" w:color="auto"/>
            </w:tcBorders>
            <w:shd w:val="clear" w:color="auto" w:fill="auto"/>
            <w:noWrap/>
            <w:vAlign w:val="bottom"/>
            <w:hideMark/>
          </w:tcPr>
          <w:p w14:paraId="4CF436EA" w14:textId="77777777" w:rsidR="00581BD2" w:rsidRPr="00336C2A" w:rsidRDefault="00581BD2" w:rsidP="00BB4F8B">
            <w:pPr>
              <w:jc w:val="right"/>
              <w:rPr>
                <w:color w:val="000000"/>
                <w:sz w:val="20"/>
                <w:szCs w:val="20"/>
              </w:rPr>
            </w:pPr>
            <w:r w:rsidRPr="00336C2A">
              <w:rPr>
                <w:color w:val="000000"/>
                <w:sz w:val="20"/>
                <w:szCs w:val="20"/>
              </w:rPr>
              <w:t>143,035</w:t>
            </w:r>
          </w:p>
        </w:tc>
      </w:tr>
      <w:tr w:rsidR="00581BD2" w:rsidRPr="00336C2A" w14:paraId="0E1E4D2E"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D68ED6B" w14:textId="77777777" w:rsidR="00581BD2" w:rsidRPr="00336C2A" w:rsidRDefault="00581BD2" w:rsidP="00BB4F8B">
            <w:pPr>
              <w:ind w:firstLineChars="100" w:firstLine="200"/>
              <w:rPr>
                <w:color w:val="000000"/>
                <w:sz w:val="20"/>
                <w:szCs w:val="20"/>
              </w:rPr>
            </w:pPr>
            <w:r w:rsidRPr="00336C2A">
              <w:rPr>
                <w:color w:val="000000"/>
                <w:sz w:val="20"/>
                <w:szCs w:val="20"/>
              </w:rPr>
              <w:t>Other General Public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5D68E6A7" w14:textId="77777777" w:rsidR="00581BD2" w:rsidRPr="00336C2A" w:rsidRDefault="00581BD2" w:rsidP="00BB4F8B">
            <w:pPr>
              <w:jc w:val="right"/>
              <w:rPr>
                <w:color w:val="000000"/>
                <w:sz w:val="20"/>
                <w:szCs w:val="20"/>
              </w:rPr>
            </w:pPr>
            <w:r w:rsidRPr="00336C2A">
              <w:rPr>
                <w:color w:val="000000"/>
                <w:sz w:val="20"/>
                <w:szCs w:val="20"/>
              </w:rPr>
              <w:t>9,424</w:t>
            </w:r>
          </w:p>
        </w:tc>
        <w:tc>
          <w:tcPr>
            <w:tcW w:w="1648" w:type="dxa"/>
            <w:tcBorders>
              <w:top w:val="nil"/>
              <w:left w:val="nil"/>
              <w:bottom w:val="single" w:sz="8" w:space="0" w:color="000000"/>
              <w:right w:val="single" w:sz="8" w:space="0" w:color="000000"/>
            </w:tcBorders>
            <w:shd w:val="clear" w:color="auto" w:fill="auto"/>
            <w:noWrap/>
            <w:vAlign w:val="bottom"/>
            <w:hideMark/>
          </w:tcPr>
          <w:p w14:paraId="1C658B22" w14:textId="77777777" w:rsidR="00581BD2" w:rsidRPr="00336C2A" w:rsidRDefault="00581BD2" w:rsidP="00BB4F8B">
            <w:pPr>
              <w:jc w:val="right"/>
              <w:rPr>
                <w:color w:val="000000"/>
                <w:sz w:val="20"/>
                <w:szCs w:val="20"/>
              </w:rPr>
            </w:pPr>
            <w:r w:rsidRPr="00336C2A">
              <w:rPr>
                <w:color w:val="000000"/>
                <w:sz w:val="20"/>
                <w:szCs w:val="20"/>
              </w:rPr>
              <w:t>3,430</w:t>
            </w:r>
          </w:p>
        </w:tc>
        <w:tc>
          <w:tcPr>
            <w:tcW w:w="1648" w:type="dxa"/>
            <w:tcBorders>
              <w:top w:val="nil"/>
              <w:left w:val="nil"/>
              <w:bottom w:val="single" w:sz="8" w:space="0" w:color="000000"/>
              <w:right w:val="double" w:sz="6" w:space="0" w:color="auto"/>
            </w:tcBorders>
            <w:shd w:val="clear" w:color="auto" w:fill="auto"/>
            <w:noWrap/>
            <w:vAlign w:val="bottom"/>
            <w:hideMark/>
          </w:tcPr>
          <w:p w14:paraId="7E97517E" w14:textId="77777777" w:rsidR="00581BD2" w:rsidRPr="00336C2A" w:rsidRDefault="00581BD2" w:rsidP="00BB4F8B">
            <w:pPr>
              <w:jc w:val="right"/>
              <w:rPr>
                <w:color w:val="000000"/>
                <w:sz w:val="20"/>
                <w:szCs w:val="20"/>
              </w:rPr>
            </w:pPr>
            <w:r w:rsidRPr="00336C2A">
              <w:rPr>
                <w:color w:val="000000"/>
                <w:sz w:val="20"/>
                <w:szCs w:val="20"/>
              </w:rPr>
              <w:t>25,522</w:t>
            </w:r>
          </w:p>
        </w:tc>
      </w:tr>
      <w:tr w:rsidR="00581BD2" w:rsidRPr="00336C2A" w14:paraId="16613C11"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B83A1AC" w14:textId="77777777" w:rsidR="00581BD2" w:rsidRPr="00336C2A" w:rsidRDefault="00581BD2" w:rsidP="00BB4F8B">
            <w:pPr>
              <w:ind w:firstLineChars="100" w:firstLine="200"/>
              <w:rPr>
                <w:color w:val="000000"/>
                <w:sz w:val="20"/>
                <w:szCs w:val="20"/>
              </w:rPr>
            </w:pPr>
            <w:r w:rsidRPr="00336C2A">
              <w:rPr>
                <w:color w:val="000000"/>
                <w:sz w:val="20"/>
                <w:szCs w:val="20"/>
              </w:rPr>
              <w:t>Subsidy to Local Government Units</w:t>
            </w:r>
          </w:p>
        </w:tc>
        <w:tc>
          <w:tcPr>
            <w:tcW w:w="1648" w:type="dxa"/>
            <w:tcBorders>
              <w:top w:val="nil"/>
              <w:left w:val="nil"/>
              <w:bottom w:val="single" w:sz="8" w:space="0" w:color="000000"/>
              <w:right w:val="single" w:sz="8" w:space="0" w:color="000000"/>
            </w:tcBorders>
            <w:shd w:val="clear" w:color="auto" w:fill="auto"/>
            <w:noWrap/>
            <w:vAlign w:val="bottom"/>
            <w:hideMark/>
          </w:tcPr>
          <w:p w14:paraId="43DE13A8" w14:textId="77777777" w:rsidR="00581BD2" w:rsidRPr="00336C2A" w:rsidRDefault="00581BD2" w:rsidP="00BB4F8B">
            <w:pPr>
              <w:jc w:val="right"/>
              <w:rPr>
                <w:color w:val="000000"/>
                <w:sz w:val="20"/>
                <w:szCs w:val="20"/>
              </w:rPr>
            </w:pPr>
            <w:r w:rsidRPr="00336C2A">
              <w:rPr>
                <w:color w:val="000000"/>
                <w:sz w:val="20"/>
                <w:szCs w:val="20"/>
              </w:rPr>
              <w:t>84,645</w:t>
            </w:r>
          </w:p>
        </w:tc>
        <w:tc>
          <w:tcPr>
            <w:tcW w:w="1648" w:type="dxa"/>
            <w:tcBorders>
              <w:top w:val="nil"/>
              <w:left w:val="nil"/>
              <w:bottom w:val="single" w:sz="8" w:space="0" w:color="000000"/>
              <w:right w:val="single" w:sz="8" w:space="0" w:color="000000"/>
            </w:tcBorders>
            <w:shd w:val="clear" w:color="auto" w:fill="auto"/>
            <w:noWrap/>
            <w:vAlign w:val="bottom"/>
            <w:hideMark/>
          </w:tcPr>
          <w:p w14:paraId="39A4FB82" w14:textId="77777777" w:rsidR="00581BD2" w:rsidRPr="00336C2A" w:rsidRDefault="00581BD2" w:rsidP="00BB4F8B">
            <w:pPr>
              <w:jc w:val="right"/>
              <w:rPr>
                <w:color w:val="000000"/>
                <w:sz w:val="20"/>
                <w:szCs w:val="20"/>
              </w:rPr>
            </w:pPr>
            <w:r w:rsidRPr="00336C2A">
              <w:rPr>
                <w:color w:val="000000"/>
                <w:sz w:val="20"/>
                <w:szCs w:val="20"/>
              </w:rPr>
              <w:t>95,633</w:t>
            </w:r>
          </w:p>
        </w:tc>
        <w:tc>
          <w:tcPr>
            <w:tcW w:w="1648" w:type="dxa"/>
            <w:tcBorders>
              <w:top w:val="nil"/>
              <w:left w:val="nil"/>
              <w:bottom w:val="single" w:sz="8" w:space="0" w:color="000000"/>
              <w:right w:val="double" w:sz="6" w:space="0" w:color="auto"/>
            </w:tcBorders>
            <w:shd w:val="clear" w:color="auto" w:fill="auto"/>
            <w:noWrap/>
            <w:vAlign w:val="bottom"/>
            <w:hideMark/>
          </w:tcPr>
          <w:p w14:paraId="09517E26" w14:textId="77777777" w:rsidR="00581BD2" w:rsidRPr="00336C2A" w:rsidRDefault="00581BD2" w:rsidP="00BB4F8B">
            <w:pPr>
              <w:jc w:val="right"/>
              <w:rPr>
                <w:color w:val="000000"/>
                <w:sz w:val="20"/>
                <w:szCs w:val="20"/>
              </w:rPr>
            </w:pPr>
            <w:r w:rsidRPr="00336C2A">
              <w:rPr>
                <w:color w:val="000000"/>
                <w:sz w:val="20"/>
                <w:szCs w:val="20"/>
              </w:rPr>
              <w:t>109,161</w:t>
            </w:r>
          </w:p>
        </w:tc>
      </w:tr>
      <w:tr w:rsidR="00581BD2" w:rsidRPr="00336C2A" w14:paraId="7D8471B3"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B4A1DDC" w14:textId="77777777" w:rsidR="00581BD2" w:rsidRPr="00336C2A" w:rsidRDefault="00581BD2" w:rsidP="00BB4F8B">
            <w:pPr>
              <w:rPr>
                <w:b/>
                <w:bCs/>
                <w:color w:val="000000"/>
                <w:sz w:val="20"/>
                <w:szCs w:val="20"/>
              </w:rPr>
            </w:pPr>
            <w:r w:rsidRPr="00336C2A">
              <w:rPr>
                <w:b/>
                <w:bCs/>
                <w:color w:val="000000"/>
                <w:sz w:val="20"/>
                <w:szCs w:val="20"/>
              </w:rPr>
              <w:t>Net Lending</w:t>
            </w:r>
          </w:p>
        </w:tc>
        <w:tc>
          <w:tcPr>
            <w:tcW w:w="1648" w:type="dxa"/>
            <w:tcBorders>
              <w:top w:val="nil"/>
              <w:left w:val="nil"/>
              <w:bottom w:val="single" w:sz="8" w:space="0" w:color="000000"/>
              <w:right w:val="single" w:sz="8" w:space="0" w:color="000000"/>
            </w:tcBorders>
            <w:shd w:val="clear" w:color="auto" w:fill="auto"/>
            <w:noWrap/>
            <w:vAlign w:val="bottom"/>
            <w:hideMark/>
          </w:tcPr>
          <w:p w14:paraId="556857EA" w14:textId="77777777" w:rsidR="00581BD2" w:rsidRPr="00336C2A" w:rsidRDefault="00581BD2" w:rsidP="00BB4F8B">
            <w:pPr>
              <w:jc w:val="right"/>
              <w:rPr>
                <w:b/>
                <w:bCs/>
                <w:color w:val="000000"/>
                <w:sz w:val="20"/>
                <w:szCs w:val="20"/>
              </w:rPr>
            </w:pPr>
            <w:r w:rsidRPr="00336C2A">
              <w:rPr>
                <w:b/>
                <w:bCs/>
                <w:color w:val="000000"/>
                <w:sz w:val="20"/>
                <w:szCs w:val="20"/>
              </w:rPr>
              <w:t>16,626</w:t>
            </w:r>
          </w:p>
        </w:tc>
        <w:tc>
          <w:tcPr>
            <w:tcW w:w="1648" w:type="dxa"/>
            <w:tcBorders>
              <w:top w:val="nil"/>
              <w:left w:val="nil"/>
              <w:bottom w:val="single" w:sz="8" w:space="0" w:color="000000"/>
              <w:right w:val="single" w:sz="8" w:space="0" w:color="000000"/>
            </w:tcBorders>
            <w:shd w:val="clear" w:color="auto" w:fill="auto"/>
            <w:noWrap/>
            <w:vAlign w:val="bottom"/>
            <w:hideMark/>
          </w:tcPr>
          <w:p w14:paraId="1F01816E" w14:textId="77777777" w:rsidR="00581BD2" w:rsidRPr="00336C2A" w:rsidRDefault="00581BD2" w:rsidP="00BB4F8B">
            <w:pPr>
              <w:jc w:val="right"/>
              <w:rPr>
                <w:b/>
                <w:bCs/>
                <w:color w:val="000000"/>
                <w:sz w:val="20"/>
                <w:szCs w:val="20"/>
              </w:rPr>
            </w:pPr>
            <w:r w:rsidRPr="00336C2A">
              <w:rPr>
                <w:b/>
                <w:bCs/>
                <w:color w:val="000000"/>
                <w:sz w:val="20"/>
                <w:szCs w:val="20"/>
              </w:rPr>
              <w:t>13,395</w:t>
            </w:r>
          </w:p>
        </w:tc>
        <w:tc>
          <w:tcPr>
            <w:tcW w:w="1648" w:type="dxa"/>
            <w:tcBorders>
              <w:top w:val="nil"/>
              <w:left w:val="nil"/>
              <w:bottom w:val="single" w:sz="8" w:space="0" w:color="000000"/>
              <w:right w:val="double" w:sz="6" w:space="0" w:color="auto"/>
            </w:tcBorders>
            <w:shd w:val="clear" w:color="auto" w:fill="auto"/>
            <w:noWrap/>
            <w:vAlign w:val="bottom"/>
            <w:hideMark/>
          </w:tcPr>
          <w:p w14:paraId="17CF0F23" w14:textId="77777777" w:rsidR="00581BD2" w:rsidRPr="00336C2A" w:rsidRDefault="00581BD2" w:rsidP="00BB4F8B">
            <w:pPr>
              <w:jc w:val="right"/>
              <w:rPr>
                <w:b/>
                <w:bCs/>
                <w:color w:val="000000"/>
                <w:sz w:val="20"/>
                <w:szCs w:val="20"/>
              </w:rPr>
            </w:pPr>
            <w:r w:rsidRPr="00336C2A">
              <w:rPr>
                <w:b/>
                <w:bCs/>
                <w:color w:val="000000"/>
                <w:sz w:val="20"/>
                <w:szCs w:val="20"/>
              </w:rPr>
              <w:t>26,500</w:t>
            </w:r>
          </w:p>
        </w:tc>
      </w:tr>
      <w:tr w:rsidR="00581BD2" w:rsidRPr="00336C2A" w14:paraId="418D94F2" w14:textId="77777777" w:rsidTr="00BB4F8B">
        <w:trPr>
          <w:trHeight w:val="27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5D0AE4E0" w14:textId="77777777" w:rsidR="00581BD2" w:rsidRPr="00336C2A" w:rsidRDefault="00581BD2" w:rsidP="00BB4F8B">
            <w:pPr>
              <w:rPr>
                <w:b/>
                <w:bCs/>
                <w:color w:val="000000"/>
                <w:sz w:val="20"/>
                <w:szCs w:val="20"/>
              </w:rPr>
            </w:pPr>
            <w:r w:rsidRPr="00336C2A">
              <w:rPr>
                <w:b/>
                <w:bCs/>
                <w:color w:val="000000"/>
                <w:sz w:val="20"/>
                <w:szCs w:val="20"/>
              </w:rPr>
              <w:t>Debt Service</w:t>
            </w:r>
          </w:p>
        </w:tc>
        <w:tc>
          <w:tcPr>
            <w:tcW w:w="1648" w:type="dxa"/>
            <w:tcBorders>
              <w:top w:val="nil"/>
              <w:left w:val="nil"/>
              <w:bottom w:val="single" w:sz="8" w:space="0" w:color="000000"/>
              <w:right w:val="single" w:sz="8" w:space="0" w:color="000000"/>
            </w:tcBorders>
            <w:shd w:val="clear" w:color="auto" w:fill="auto"/>
            <w:noWrap/>
            <w:vAlign w:val="bottom"/>
            <w:hideMark/>
          </w:tcPr>
          <w:p w14:paraId="05FB412B" w14:textId="77777777" w:rsidR="00581BD2" w:rsidRPr="00336C2A" w:rsidRDefault="00581BD2" w:rsidP="00BB4F8B">
            <w:pPr>
              <w:jc w:val="right"/>
              <w:rPr>
                <w:b/>
                <w:bCs/>
                <w:color w:val="000000"/>
                <w:sz w:val="20"/>
                <w:szCs w:val="20"/>
              </w:rPr>
            </w:pPr>
            <w:r w:rsidRPr="00336C2A">
              <w:rPr>
                <w:b/>
                <w:bCs/>
                <w:color w:val="000000"/>
                <w:sz w:val="20"/>
                <w:szCs w:val="20"/>
              </w:rPr>
              <w:t>323,434</w:t>
            </w:r>
          </w:p>
        </w:tc>
        <w:tc>
          <w:tcPr>
            <w:tcW w:w="1648" w:type="dxa"/>
            <w:tcBorders>
              <w:top w:val="nil"/>
              <w:left w:val="nil"/>
              <w:bottom w:val="single" w:sz="8" w:space="0" w:color="000000"/>
              <w:right w:val="single" w:sz="8" w:space="0" w:color="000000"/>
            </w:tcBorders>
            <w:shd w:val="clear" w:color="auto" w:fill="auto"/>
            <w:noWrap/>
            <w:vAlign w:val="bottom"/>
            <w:hideMark/>
          </w:tcPr>
          <w:p w14:paraId="12FFAF4B" w14:textId="77777777" w:rsidR="00581BD2" w:rsidRPr="00336C2A" w:rsidRDefault="00581BD2" w:rsidP="00BB4F8B">
            <w:pPr>
              <w:jc w:val="right"/>
              <w:rPr>
                <w:b/>
                <w:bCs/>
                <w:color w:val="000000"/>
                <w:sz w:val="20"/>
                <w:szCs w:val="20"/>
              </w:rPr>
            </w:pPr>
            <w:r w:rsidRPr="00336C2A">
              <w:rPr>
                <w:b/>
                <w:bCs/>
                <w:color w:val="000000"/>
                <w:sz w:val="20"/>
                <w:szCs w:val="20"/>
              </w:rPr>
              <w:t>321,185</w:t>
            </w:r>
          </w:p>
        </w:tc>
        <w:tc>
          <w:tcPr>
            <w:tcW w:w="1648" w:type="dxa"/>
            <w:tcBorders>
              <w:top w:val="nil"/>
              <w:left w:val="nil"/>
              <w:bottom w:val="single" w:sz="8" w:space="0" w:color="000000"/>
              <w:right w:val="double" w:sz="6" w:space="0" w:color="auto"/>
            </w:tcBorders>
            <w:shd w:val="clear" w:color="auto" w:fill="auto"/>
            <w:noWrap/>
            <w:vAlign w:val="bottom"/>
            <w:hideMark/>
          </w:tcPr>
          <w:p w14:paraId="75F48B36" w14:textId="77777777" w:rsidR="00581BD2" w:rsidRPr="00336C2A" w:rsidRDefault="00581BD2" w:rsidP="00BB4F8B">
            <w:pPr>
              <w:jc w:val="right"/>
              <w:rPr>
                <w:b/>
                <w:bCs/>
                <w:color w:val="000000"/>
                <w:sz w:val="20"/>
                <w:szCs w:val="20"/>
              </w:rPr>
            </w:pPr>
            <w:r w:rsidRPr="00336C2A">
              <w:rPr>
                <w:b/>
                <w:bCs/>
                <w:color w:val="000000"/>
                <w:sz w:val="20"/>
                <w:szCs w:val="20"/>
              </w:rPr>
              <w:t>372,863</w:t>
            </w:r>
          </w:p>
        </w:tc>
      </w:tr>
      <w:tr w:rsidR="00581BD2" w:rsidRPr="00336C2A" w14:paraId="34C0C76E" w14:textId="77777777" w:rsidTr="00BB4F8B">
        <w:trPr>
          <w:trHeight w:val="270"/>
        </w:trPr>
        <w:tc>
          <w:tcPr>
            <w:tcW w:w="4756" w:type="dxa"/>
            <w:tcBorders>
              <w:top w:val="nil"/>
              <w:left w:val="double" w:sz="6" w:space="0" w:color="auto"/>
              <w:bottom w:val="single" w:sz="8" w:space="0" w:color="auto"/>
              <w:right w:val="single" w:sz="8" w:space="0" w:color="auto"/>
            </w:tcBorders>
            <w:shd w:val="clear" w:color="auto" w:fill="auto"/>
            <w:noWrap/>
            <w:vAlign w:val="bottom"/>
            <w:hideMark/>
          </w:tcPr>
          <w:p w14:paraId="6F97EB57" w14:textId="77777777" w:rsidR="00581BD2" w:rsidRPr="00336C2A" w:rsidRDefault="00581BD2" w:rsidP="00BB4F8B">
            <w:pPr>
              <w:ind w:firstLineChars="100" w:firstLine="200"/>
              <w:rPr>
                <w:color w:val="000000"/>
                <w:sz w:val="20"/>
                <w:szCs w:val="20"/>
              </w:rPr>
            </w:pPr>
            <w:r w:rsidRPr="00336C2A">
              <w:rPr>
                <w:color w:val="000000"/>
                <w:sz w:val="20"/>
                <w:szCs w:val="20"/>
              </w:rPr>
              <w:t>Interest Payments</w:t>
            </w:r>
          </w:p>
        </w:tc>
        <w:tc>
          <w:tcPr>
            <w:tcW w:w="1648" w:type="dxa"/>
            <w:tcBorders>
              <w:top w:val="nil"/>
              <w:left w:val="nil"/>
              <w:bottom w:val="single" w:sz="8" w:space="0" w:color="auto"/>
              <w:right w:val="single" w:sz="8" w:space="0" w:color="auto"/>
            </w:tcBorders>
            <w:shd w:val="clear" w:color="auto" w:fill="auto"/>
            <w:noWrap/>
            <w:vAlign w:val="bottom"/>
            <w:hideMark/>
          </w:tcPr>
          <w:p w14:paraId="322C6A3C" w14:textId="77777777" w:rsidR="00581BD2" w:rsidRPr="00336C2A" w:rsidRDefault="00581BD2" w:rsidP="00BB4F8B">
            <w:pPr>
              <w:jc w:val="right"/>
              <w:rPr>
                <w:color w:val="000000"/>
                <w:sz w:val="20"/>
                <w:szCs w:val="20"/>
              </w:rPr>
            </w:pPr>
            <w:r w:rsidRPr="00336C2A">
              <w:rPr>
                <w:color w:val="000000"/>
                <w:sz w:val="20"/>
                <w:szCs w:val="20"/>
              </w:rPr>
              <w:t>323,434</w:t>
            </w:r>
          </w:p>
        </w:tc>
        <w:tc>
          <w:tcPr>
            <w:tcW w:w="1648" w:type="dxa"/>
            <w:tcBorders>
              <w:top w:val="nil"/>
              <w:left w:val="nil"/>
              <w:bottom w:val="single" w:sz="8" w:space="0" w:color="auto"/>
              <w:right w:val="single" w:sz="8" w:space="0" w:color="auto"/>
            </w:tcBorders>
            <w:shd w:val="clear" w:color="auto" w:fill="auto"/>
            <w:noWrap/>
            <w:vAlign w:val="bottom"/>
            <w:hideMark/>
          </w:tcPr>
          <w:p w14:paraId="6CF43C90" w14:textId="77777777" w:rsidR="00581BD2" w:rsidRPr="00336C2A" w:rsidRDefault="00581BD2" w:rsidP="00BB4F8B">
            <w:pPr>
              <w:jc w:val="right"/>
              <w:rPr>
                <w:color w:val="000000"/>
                <w:sz w:val="20"/>
                <w:szCs w:val="20"/>
              </w:rPr>
            </w:pPr>
            <w:r w:rsidRPr="00336C2A">
              <w:rPr>
                <w:color w:val="000000"/>
                <w:sz w:val="20"/>
                <w:szCs w:val="20"/>
              </w:rPr>
              <w:t>321,185</w:t>
            </w:r>
          </w:p>
        </w:tc>
        <w:tc>
          <w:tcPr>
            <w:tcW w:w="1648" w:type="dxa"/>
            <w:tcBorders>
              <w:top w:val="nil"/>
              <w:left w:val="nil"/>
              <w:bottom w:val="single" w:sz="8" w:space="0" w:color="auto"/>
              <w:right w:val="double" w:sz="6" w:space="0" w:color="auto"/>
            </w:tcBorders>
            <w:shd w:val="clear" w:color="auto" w:fill="auto"/>
            <w:noWrap/>
            <w:vAlign w:val="bottom"/>
            <w:hideMark/>
          </w:tcPr>
          <w:p w14:paraId="70C44610" w14:textId="77777777" w:rsidR="00581BD2" w:rsidRPr="00336C2A" w:rsidRDefault="00581BD2" w:rsidP="00BB4F8B">
            <w:pPr>
              <w:jc w:val="right"/>
              <w:rPr>
                <w:color w:val="000000"/>
                <w:sz w:val="20"/>
                <w:szCs w:val="20"/>
              </w:rPr>
            </w:pPr>
            <w:r w:rsidRPr="00336C2A">
              <w:rPr>
                <w:color w:val="000000"/>
                <w:sz w:val="20"/>
                <w:szCs w:val="20"/>
              </w:rPr>
              <w:t>372,863</w:t>
            </w:r>
          </w:p>
        </w:tc>
      </w:tr>
      <w:tr w:rsidR="00581BD2" w:rsidRPr="00336C2A" w14:paraId="71D032CC" w14:textId="77777777" w:rsidTr="00BB4F8B">
        <w:trPr>
          <w:trHeight w:val="270"/>
        </w:trPr>
        <w:tc>
          <w:tcPr>
            <w:tcW w:w="4756" w:type="dxa"/>
            <w:tcBorders>
              <w:top w:val="nil"/>
              <w:left w:val="double" w:sz="6" w:space="0" w:color="auto"/>
              <w:bottom w:val="double" w:sz="6" w:space="0" w:color="auto"/>
              <w:right w:val="single" w:sz="8" w:space="0" w:color="auto"/>
            </w:tcBorders>
            <w:shd w:val="clear" w:color="auto" w:fill="auto"/>
            <w:noWrap/>
            <w:vAlign w:val="bottom"/>
            <w:hideMark/>
          </w:tcPr>
          <w:p w14:paraId="62AF84ED" w14:textId="77777777" w:rsidR="00581BD2" w:rsidRPr="00336C2A" w:rsidRDefault="00581BD2" w:rsidP="00BB4F8B">
            <w:pPr>
              <w:rPr>
                <w:b/>
                <w:bCs/>
                <w:color w:val="000000"/>
                <w:sz w:val="20"/>
                <w:szCs w:val="20"/>
              </w:rPr>
            </w:pPr>
            <w:r>
              <w:rPr>
                <w:b/>
                <w:bCs/>
                <w:color w:val="000000"/>
                <w:sz w:val="20"/>
                <w:szCs w:val="20"/>
              </w:rPr>
              <w:t>Total expenditure</w:t>
            </w:r>
          </w:p>
        </w:tc>
        <w:tc>
          <w:tcPr>
            <w:tcW w:w="1648" w:type="dxa"/>
            <w:tcBorders>
              <w:top w:val="nil"/>
              <w:left w:val="nil"/>
              <w:bottom w:val="double" w:sz="6" w:space="0" w:color="auto"/>
              <w:right w:val="single" w:sz="8" w:space="0" w:color="auto"/>
            </w:tcBorders>
            <w:shd w:val="clear" w:color="auto" w:fill="auto"/>
            <w:noWrap/>
            <w:vAlign w:val="bottom"/>
            <w:hideMark/>
          </w:tcPr>
          <w:p w14:paraId="028B5A42" w14:textId="77777777" w:rsidR="00581BD2" w:rsidRPr="00336C2A" w:rsidRDefault="00581BD2" w:rsidP="00BB4F8B">
            <w:pPr>
              <w:jc w:val="right"/>
              <w:rPr>
                <w:b/>
                <w:bCs/>
                <w:color w:val="000000"/>
                <w:sz w:val="20"/>
                <w:szCs w:val="20"/>
              </w:rPr>
            </w:pPr>
            <w:r w:rsidRPr="00336C2A">
              <w:rPr>
                <w:b/>
                <w:bCs/>
                <w:color w:val="000000"/>
                <w:sz w:val="20"/>
                <w:szCs w:val="20"/>
              </w:rPr>
              <w:t>1,998,376</w:t>
            </w:r>
          </w:p>
        </w:tc>
        <w:tc>
          <w:tcPr>
            <w:tcW w:w="1648" w:type="dxa"/>
            <w:tcBorders>
              <w:top w:val="nil"/>
              <w:left w:val="nil"/>
              <w:bottom w:val="double" w:sz="6" w:space="0" w:color="auto"/>
              <w:right w:val="single" w:sz="8" w:space="0" w:color="auto"/>
            </w:tcBorders>
            <w:shd w:val="clear" w:color="auto" w:fill="auto"/>
            <w:noWrap/>
            <w:vAlign w:val="bottom"/>
            <w:hideMark/>
          </w:tcPr>
          <w:p w14:paraId="37124781" w14:textId="77777777" w:rsidR="00581BD2" w:rsidRPr="00336C2A" w:rsidRDefault="00581BD2" w:rsidP="00BB4F8B">
            <w:pPr>
              <w:jc w:val="right"/>
              <w:rPr>
                <w:b/>
                <w:bCs/>
                <w:color w:val="000000"/>
                <w:sz w:val="20"/>
                <w:szCs w:val="20"/>
              </w:rPr>
            </w:pPr>
            <w:r w:rsidRPr="00336C2A">
              <w:rPr>
                <w:b/>
                <w:bCs/>
                <w:color w:val="000000"/>
                <w:sz w:val="20"/>
                <w:szCs w:val="20"/>
              </w:rPr>
              <w:t>2,019,062</w:t>
            </w:r>
          </w:p>
        </w:tc>
        <w:tc>
          <w:tcPr>
            <w:tcW w:w="1648" w:type="dxa"/>
            <w:tcBorders>
              <w:top w:val="nil"/>
              <w:left w:val="nil"/>
              <w:bottom w:val="double" w:sz="6" w:space="0" w:color="auto"/>
              <w:right w:val="double" w:sz="6" w:space="0" w:color="auto"/>
            </w:tcBorders>
            <w:shd w:val="clear" w:color="auto" w:fill="auto"/>
            <w:noWrap/>
            <w:vAlign w:val="bottom"/>
            <w:hideMark/>
          </w:tcPr>
          <w:p w14:paraId="534DFC2D" w14:textId="77777777" w:rsidR="00581BD2" w:rsidRPr="00336C2A" w:rsidRDefault="00581BD2" w:rsidP="00BB4F8B">
            <w:pPr>
              <w:jc w:val="right"/>
              <w:rPr>
                <w:b/>
                <w:bCs/>
                <w:color w:val="000000"/>
                <w:sz w:val="20"/>
                <w:szCs w:val="20"/>
              </w:rPr>
            </w:pPr>
            <w:r w:rsidRPr="00336C2A">
              <w:rPr>
                <w:b/>
                <w:bCs/>
                <w:color w:val="000000"/>
                <w:sz w:val="20"/>
                <w:szCs w:val="20"/>
              </w:rPr>
              <w:t>2,606,000</w:t>
            </w:r>
          </w:p>
        </w:tc>
      </w:tr>
    </w:tbl>
    <w:p w14:paraId="0771FC68" w14:textId="77777777" w:rsidR="00581BD2" w:rsidRDefault="00581BD2" w:rsidP="00581BD2">
      <w:pPr>
        <w:pStyle w:val="NormalWeb"/>
        <w:autoSpaceDE w:val="0"/>
        <w:autoSpaceDN w:val="0"/>
        <w:adjustRightInd w:val="0"/>
        <w:spacing w:before="0" w:beforeAutospacing="0" w:after="0" w:afterAutospacing="0"/>
        <w:contextualSpacing/>
        <w:jc w:val="both"/>
        <w:rPr>
          <w:sz w:val="20"/>
          <w:szCs w:val="20"/>
        </w:rPr>
      </w:pPr>
      <w:r w:rsidRPr="00EE024A">
        <w:rPr>
          <w:i/>
          <w:sz w:val="20"/>
          <w:szCs w:val="20"/>
        </w:rPr>
        <w:t>Source:</w:t>
      </w:r>
      <w:r w:rsidRPr="00606798">
        <w:rPr>
          <w:sz w:val="20"/>
          <w:szCs w:val="20"/>
        </w:rPr>
        <w:t xml:space="preserve"> DBM</w:t>
      </w:r>
      <w:r>
        <w:rPr>
          <w:sz w:val="20"/>
          <w:szCs w:val="20"/>
        </w:rPr>
        <w:t xml:space="preserve"> Fiscal Statistics Handbook</w:t>
      </w:r>
    </w:p>
    <w:p w14:paraId="52A4243A" w14:textId="5F952146" w:rsidR="001762EE" w:rsidRPr="005A497D" w:rsidRDefault="00581BD2" w:rsidP="00581BD2">
      <w:pPr>
        <w:pStyle w:val="NormalWeb"/>
        <w:autoSpaceDE w:val="0"/>
        <w:autoSpaceDN w:val="0"/>
        <w:adjustRightInd w:val="0"/>
        <w:spacing w:before="0" w:beforeAutospacing="0" w:after="0" w:afterAutospacing="0"/>
        <w:contextualSpacing/>
        <w:jc w:val="both"/>
      </w:pPr>
      <w:r>
        <w:rPr>
          <w:i/>
          <w:sz w:val="20"/>
          <w:szCs w:val="20"/>
        </w:rPr>
        <w:t>Notes: *denotes programmed expenditures</w:t>
      </w:r>
      <w:r w:rsidR="001762EE">
        <w:rPr>
          <w:sz w:val="20"/>
          <w:szCs w:val="20"/>
        </w:rPr>
        <w:t>.</w:t>
      </w:r>
    </w:p>
    <w:p w14:paraId="274438E6" w14:textId="77777777" w:rsidR="001762EE" w:rsidRPr="00EB3782" w:rsidRDefault="001762EE" w:rsidP="00EB3782">
      <w:pPr>
        <w:pStyle w:val="ListParagraph"/>
        <w:tabs>
          <w:tab w:val="left" w:pos="720"/>
        </w:tabs>
        <w:autoSpaceDE w:val="0"/>
        <w:autoSpaceDN w:val="0"/>
        <w:adjustRightInd w:val="0"/>
        <w:spacing w:after="0" w:line="240" w:lineRule="auto"/>
        <w:ind w:left="0" w:firstLine="0"/>
        <w:jc w:val="both"/>
        <w:rPr>
          <w:bCs/>
        </w:rPr>
      </w:pPr>
    </w:p>
    <w:p w14:paraId="79DBE158" w14:textId="2E80FDDC" w:rsidR="001762EE" w:rsidRPr="00AB4ACD" w:rsidRDefault="00D81D66" w:rsidP="00EB3782">
      <w:pPr>
        <w:pStyle w:val="ListParagraph"/>
        <w:numPr>
          <w:ilvl w:val="0"/>
          <w:numId w:val="10"/>
        </w:numPr>
        <w:tabs>
          <w:tab w:val="left" w:pos="720"/>
        </w:tabs>
        <w:autoSpaceDE w:val="0"/>
        <w:autoSpaceDN w:val="0"/>
        <w:adjustRightInd w:val="0"/>
        <w:spacing w:after="0" w:line="240" w:lineRule="auto"/>
        <w:ind w:left="0" w:firstLine="0"/>
        <w:jc w:val="both"/>
      </w:pPr>
      <w:r w:rsidRPr="00EE024A">
        <w:rPr>
          <w:b/>
          <w:bCs/>
        </w:rPr>
        <w:t>Despite the government</w:t>
      </w:r>
      <w:r w:rsidRPr="00EE024A">
        <w:rPr>
          <w:b/>
        </w:rPr>
        <w:t xml:space="preserve">’s target of achieving infrastructure spending of 5 percent of GDP by 2016, this area lags far behind the progress achieved in </w:t>
      </w:r>
      <w:r w:rsidRPr="00EE024A">
        <w:rPr>
          <w:b/>
          <w:bCs/>
        </w:rPr>
        <w:t>human capital investment.</w:t>
      </w:r>
      <w:r w:rsidRPr="00AB4ACD">
        <w:rPr>
          <w:bCs/>
        </w:rPr>
        <w:t xml:space="preserve"> </w:t>
      </w:r>
      <w:r>
        <w:rPr>
          <w:bCs/>
        </w:rPr>
        <w:t>In</w:t>
      </w:r>
      <w:r w:rsidRPr="00AB4ACD">
        <w:rPr>
          <w:bCs/>
        </w:rPr>
        <w:t xml:space="preserve"> 201</w:t>
      </w:r>
      <w:r>
        <w:rPr>
          <w:bCs/>
        </w:rPr>
        <w:t>5</w:t>
      </w:r>
      <w:r w:rsidRPr="00AB4ACD">
        <w:rPr>
          <w:bCs/>
        </w:rPr>
        <w:t xml:space="preserve">, infrastructure spending </w:t>
      </w:r>
      <w:r>
        <w:rPr>
          <w:bCs/>
        </w:rPr>
        <w:t>was programmed at 4</w:t>
      </w:r>
      <w:r w:rsidRPr="00AB4ACD">
        <w:rPr>
          <w:bCs/>
        </w:rPr>
        <w:t>.</w:t>
      </w:r>
      <w:r>
        <w:rPr>
          <w:bCs/>
        </w:rPr>
        <w:t>8 percent</w:t>
      </w:r>
      <w:r w:rsidRPr="00AB4ACD">
        <w:rPr>
          <w:bCs/>
        </w:rPr>
        <w:t xml:space="preserve"> of GDP from </w:t>
      </w:r>
      <w:r>
        <w:rPr>
          <w:bCs/>
        </w:rPr>
        <w:t>3.5 percent</w:t>
      </w:r>
      <w:r w:rsidRPr="00AB4ACD">
        <w:rPr>
          <w:bCs/>
        </w:rPr>
        <w:t xml:space="preserve"> in 2013</w:t>
      </w:r>
      <w:r>
        <w:rPr>
          <w:bCs/>
        </w:rPr>
        <w:t>, although actual spending may be much lower</w:t>
      </w:r>
      <w:r w:rsidRPr="00AB4ACD">
        <w:rPr>
          <w:bCs/>
        </w:rPr>
        <w:t>.</w:t>
      </w:r>
      <w:r>
        <w:rPr>
          <w:rStyle w:val="FootnoteReference"/>
          <w:bCs/>
        </w:rPr>
        <w:footnoteReference w:id="2"/>
      </w:r>
      <w:r w:rsidRPr="00AB4ACD">
        <w:rPr>
          <w:bCs/>
        </w:rPr>
        <w:t xml:space="preserve"> A</w:t>
      </w:r>
      <w:r>
        <w:rPr>
          <w:bCs/>
        </w:rPr>
        <w:t>ccording to the Government, the</w:t>
      </w:r>
      <w:r w:rsidRPr="00AB4ACD">
        <w:rPr>
          <w:bCs/>
        </w:rPr>
        <w:t xml:space="preserve"> </w:t>
      </w:r>
      <w:r>
        <w:rPr>
          <w:bCs/>
        </w:rPr>
        <w:t xml:space="preserve">relatively slow growth of infrastructure spending </w:t>
      </w:r>
      <w:r w:rsidRPr="00AB4ACD">
        <w:rPr>
          <w:bCs/>
        </w:rPr>
        <w:t xml:space="preserve">is partly the result of structural weaknesses within key departments and agencies, including </w:t>
      </w:r>
      <w:r>
        <w:rPr>
          <w:bCs/>
        </w:rPr>
        <w:t>(i</w:t>
      </w:r>
      <w:r w:rsidRPr="00AB4ACD">
        <w:rPr>
          <w:bCs/>
        </w:rPr>
        <w:t>) poor planning</w:t>
      </w:r>
      <w:r>
        <w:rPr>
          <w:bCs/>
        </w:rPr>
        <w:t>;</w:t>
      </w:r>
      <w:r w:rsidRPr="00AB4ACD">
        <w:rPr>
          <w:bCs/>
        </w:rPr>
        <w:t xml:space="preserve"> </w:t>
      </w:r>
      <w:r>
        <w:rPr>
          <w:bCs/>
        </w:rPr>
        <w:t>(ii</w:t>
      </w:r>
      <w:r w:rsidRPr="00AB4ACD">
        <w:rPr>
          <w:bCs/>
        </w:rPr>
        <w:t>) weak program and project design</w:t>
      </w:r>
      <w:r>
        <w:rPr>
          <w:bCs/>
        </w:rPr>
        <w:t>;</w:t>
      </w:r>
      <w:r w:rsidRPr="00AB4ACD">
        <w:rPr>
          <w:bCs/>
        </w:rPr>
        <w:t xml:space="preserve"> and </w:t>
      </w:r>
      <w:r>
        <w:rPr>
          <w:bCs/>
        </w:rPr>
        <w:t>(iii</w:t>
      </w:r>
      <w:r w:rsidRPr="00AB4ACD">
        <w:rPr>
          <w:bCs/>
        </w:rPr>
        <w:t xml:space="preserve">) procurement difficulties such as frequent bid failures, weak capacity to procure, right-of-way issues, difficulties in securing permits, and coordination problems. </w:t>
      </w:r>
      <w:r>
        <w:rPr>
          <w:bCs/>
        </w:rPr>
        <w:t>W</w:t>
      </w:r>
      <w:r w:rsidRPr="00AB4ACD">
        <w:rPr>
          <w:bCs/>
        </w:rPr>
        <w:t xml:space="preserve">eak spending also points to an improving debt profile as evidenced by declining government debt and corresponding interest payments although at the same time it indicates missed opportunities </w:t>
      </w:r>
      <w:r>
        <w:rPr>
          <w:bCs/>
        </w:rPr>
        <w:t xml:space="preserve">for </w:t>
      </w:r>
      <w:r w:rsidRPr="00AB4ACD">
        <w:rPr>
          <w:bCs/>
        </w:rPr>
        <w:t>translating revenue growth into severely needed investments</w:t>
      </w:r>
      <w:r w:rsidR="001762EE" w:rsidRPr="00AB4ACD">
        <w:rPr>
          <w:bCs/>
        </w:rPr>
        <w:t>.</w:t>
      </w:r>
    </w:p>
    <w:p w14:paraId="0360EC33" w14:textId="77777777" w:rsidR="001762EE" w:rsidRPr="005A497D" w:rsidRDefault="001762EE" w:rsidP="00EB3782">
      <w:pPr>
        <w:pStyle w:val="NormalWeb"/>
        <w:autoSpaceDE w:val="0"/>
        <w:autoSpaceDN w:val="0"/>
        <w:adjustRightInd w:val="0"/>
        <w:spacing w:before="0" w:beforeAutospacing="0" w:after="0" w:afterAutospacing="0"/>
        <w:contextualSpacing/>
        <w:jc w:val="both"/>
        <w:rPr>
          <w:bCs/>
        </w:rPr>
      </w:pPr>
    </w:p>
    <w:p w14:paraId="3852247D" w14:textId="7CEA182E" w:rsidR="001762EE" w:rsidRPr="005A497D" w:rsidRDefault="001762EE" w:rsidP="00EB3782">
      <w:pPr>
        <w:pStyle w:val="PEFATable"/>
        <w:spacing w:after="40"/>
        <w:jc w:val="both"/>
        <w:rPr>
          <w:sz w:val="24"/>
          <w:szCs w:val="24"/>
        </w:rPr>
      </w:pPr>
      <w:bookmarkStart w:id="39" w:name="_Toc454889236"/>
      <w:bookmarkStart w:id="40" w:name="_Toc429682014"/>
      <w:bookmarkStart w:id="41" w:name="_Toc436161454"/>
      <w:r w:rsidRPr="005A497D">
        <w:rPr>
          <w:sz w:val="24"/>
          <w:szCs w:val="24"/>
        </w:rPr>
        <w:t>Table 2.</w:t>
      </w:r>
      <w:r>
        <w:rPr>
          <w:sz w:val="24"/>
          <w:szCs w:val="24"/>
        </w:rPr>
        <w:t>4</w:t>
      </w:r>
      <w:r w:rsidRPr="005A497D">
        <w:rPr>
          <w:sz w:val="24"/>
          <w:szCs w:val="24"/>
        </w:rPr>
        <w:t>: National Government</w:t>
      </w:r>
      <w:r w:rsidR="00D81D66" w:rsidRPr="00D81D66">
        <w:rPr>
          <w:sz w:val="24"/>
          <w:szCs w:val="24"/>
        </w:rPr>
        <w:t xml:space="preserve"> </w:t>
      </w:r>
      <w:r w:rsidR="00D81D66">
        <w:rPr>
          <w:sz w:val="24"/>
          <w:szCs w:val="24"/>
        </w:rPr>
        <w:t xml:space="preserve">Expenditures, </w:t>
      </w:r>
      <w:r w:rsidR="0094673F">
        <w:rPr>
          <w:sz w:val="24"/>
          <w:szCs w:val="24"/>
        </w:rPr>
        <w:t>o</w:t>
      </w:r>
      <w:r w:rsidR="00D81D66">
        <w:rPr>
          <w:sz w:val="24"/>
          <w:szCs w:val="24"/>
        </w:rPr>
        <w:t xml:space="preserve">bligation </w:t>
      </w:r>
      <w:r w:rsidR="0094673F">
        <w:rPr>
          <w:sz w:val="24"/>
          <w:szCs w:val="24"/>
        </w:rPr>
        <w:t>b</w:t>
      </w:r>
      <w:r w:rsidR="00D81D66">
        <w:rPr>
          <w:sz w:val="24"/>
          <w:szCs w:val="24"/>
        </w:rPr>
        <w:t xml:space="preserve">asis, </w:t>
      </w:r>
      <w:r w:rsidR="0094673F">
        <w:rPr>
          <w:sz w:val="24"/>
          <w:szCs w:val="24"/>
        </w:rPr>
        <w:t>b</w:t>
      </w:r>
      <w:r w:rsidR="00D81D66">
        <w:rPr>
          <w:sz w:val="24"/>
          <w:szCs w:val="24"/>
        </w:rPr>
        <w:t xml:space="preserve">y </w:t>
      </w:r>
      <w:r w:rsidR="0094673F">
        <w:rPr>
          <w:sz w:val="24"/>
          <w:szCs w:val="24"/>
        </w:rPr>
        <w:t>s</w:t>
      </w:r>
      <w:r w:rsidR="00D81D66">
        <w:rPr>
          <w:sz w:val="24"/>
          <w:szCs w:val="24"/>
        </w:rPr>
        <w:t>ector</w:t>
      </w:r>
      <w:bookmarkEnd w:id="39"/>
      <w:r w:rsidR="00D81D66">
        <w:rPr>
          <w:sz w:val="24"/>
          <w:szCs w:val="24"/>
        </w:rPr>
        <w:t xml:space="preserve"> </w:t>
      </w:r>
      <w:bookmarkEnd w:id="40"/>
      <w:bookmarkEnd w:id="41"/>
    </w:p>
    <w:tbl>
      <w:tblPr>
        <w:tblW w:w="9700" w:type="dxa"/>
        <w:tblLook w:val="04A0" w:firstRow="1" w:lastRow="0" w:firstColumn="1" w:lastColumn="0" w:noHBand="0" w:noVBand="1"/>
      </w:tblPr>
      <w:tblGrid>
        <w:gridCol w:w="4756"/>
        <w:gridCol w:w="1648"/>
        <w:gridCol w:w="1648"/>
        <w:gridCol w:w="1648"/>
      </w:tblGrid>
      <w:tr w:rsidR="00D81D66" w:rsidRPr="00EF373F" w14:paraId="07EF9668" w14:textId="77777777" w:rsidTr="00BB4F8B">
        <w:trPr>
          <w:trHeight w:val="330"/>
        </w:trPr>
        <w:tc>
          <w:tcPr>
            <w:tcW w:w="4756" w:type="dxa"/>
            <w:vMerge w:val="restart"/>
            <w:tcBorders>
              <w:top w:val="double" w:sz="6" w:space="0" w:color="auto"/>
              <w:left w:val="double" w:sz="6" w:space="0" w:color="auto"/>
              <w:bottom w:val="double" w:sz="6" w:space="0" w:color="000000"/>
              <w:right w:val="single" w:sz="8" w:space="0" w:color="000000"/>
            </w:tcBorders>
            <w:shd w:val="clear" w:color="000000" w:fill="D9D9D9"/>
            <w:vAlign w:val="bottom"/>
            <w:hideMark/>
          </w:tcPr>
          <w:p w14:paraId="48E1D0CB" w14:textId="77777777" w:rsidR="00D81D66" w:rsidRPr="00EF373F" w:rsidRDefault="00D81D66" w:rsidP="00BB4F8B">
            <w:pPr>
              <w:jc w:val="center"/>
              <w:rPr>
                <w:i/>
                <w:iCs/>
                <w:color w:val="000000"/>
                <w:sz w:val="20"/>
                <w:szCs w:val="20"/>
              </w:rPr>
            </w:pPr>
            <w:r w:rsidRPr="00EF373F">
              <w:rPr>
                <w:i/>
                <w:iCs/>
                <w:color w:val="000000"/>
                <w:sz w:val="20"/>
                <w:szCs w:val="20"/>
              </w:rPr>
              <w:t> </w:t>
            </w:r>
          </w:p>
        </w:tc>
        <w:tc>
          <w:tcPr>
            <w:tcW w:w="4944" w:type="dxa"/>
            <w:gridSpan w:val="3"/>
            <w:tcBorders>
              <w:top w:val="double" w:sz="6" w:space="0" w:color="auto"/>
              <w:left w:val="nil"/>
              <w:bottom w:val="single" w:sz="8" w:space="0" w:color="000000"/>
              <w:right w:val="double" w:sz="6" w:space="0" w:color="000000"/>
            </w:tcBorders>
            <w:shd w:val="clear" w:color="000000" w:fill="D9D9D9"/>
            <w:vAlign w:val="bottom"/>
            <w:hideMark/>
          </w:tcPr>
          <w:p w14:paraId="1A13E2C6" w14:textId="77777777" w:rsidR="00D81D66" w:rsidRPr="00EF373F" w:rsidRDefault="00D81D66" w:rsidP="00BB4F8B">
            <w:pPr>
              <w:jc w:val="center"/>
              <w:rPr>
                <w:b/>
                <w:bCs/>
                <w:color w:val="000000"/>
                <w:sz w:val="20"/>
                <w:szCs w:val="20"/>
              </w:rPr>
            </w:pPr>
            <w:r w:rsidRPr="00EF373F">
              <w:rPr>
                <w:b/>
                <w:bCs/>
                <w:color w:val="000000"/>
                <w:sz w:val="20"/>
                <w:szCs w:val="20"/>
              </w:rPr>
              <w:t>% of GDP</w:t>
            </w:r>
          </w:p>
        </w:tc>
      </w:tr>
      <w:tr w:rsidR="00D81D66" w:rsidRPr="00EF373F" w14:paraId="727EDF14" w14:textId="77777777" w:rsidTr="00BB4F8B">
        <w:trPr>
          <w:trHeight w:val="315"/>
        </w:trPr>
        <w:tc>
          <w:tcPr>
            <w:tcW w:w="4756" w:type="dxa"/>
            <w:vMerge/>
            <w:tcBorders>
              <w:top w:val="double" w:sz="6" w:space="0" w:color="auto"/>
              <w:left w:val="double" w:sz="6" w:space="0" w:color="auto"/>
              <w:bottom w:val="double" w:sz="6" w:space="0" w:color="000000"/>
              <w:right w:val="single" w:sz="8" w:space="0" w:color="000000"/>
            </w:tcBorders>
            <w:vAlign w:val="center"/>
            <w:hideMark/>
          </w:tcPr>
          <w:p w14:paraId="0D69CA68" w14:textId="77777777" w:rsidR="00D81D66" w:rsidRPr="00EF373F" w:rsidRDefault="00D81D66" w:rsidP="00BB4F8B">
            <w:pPr>
              <w:rPr>
                <w:i/>
                <w:iCs/>
                <w:color w:val="000000"/>
                <w:sz w:val="20"/>
                <w:szCs w:val="20"/>
              </w:rPr>
            </w:pPr>
          </w:p>
        </w:tc>
        <w:tc>
          <w:tcPr>
            <w:tcW w:w="1648" w:type="dxa"/>
            <w:tcBorders>
              <w:top w:val="nil"/>
              <w:left w:val="nil"/>
              <w:bottom w:val="double" w:sz="6" w:space="0" w:color="auto"/>
              <w:right w:val="single" w:sz="8" w:space="0" w:color="000000"/>
            </w:tcBorders>
            <w:shd w:val="clear" w:color="000000" w:fill="D9D9D9"/>
            <w:vAlign w:val="bottom"/>
            <w:hideMark/>
          </w:tcPr>
          <w:p w14:paraId="2E86BB38" w14:textId="77777777" w:rsidR="00D81D66" w:rsidRPr="00EF373F" w:rsidRDefault="00D81D66" w:rsidP="00BB4F8B">
            <w:pPr>
              <w:jc w:val="center"/>
              <w:rPr>
                <w:b/>
                <w:bCs/>
                <w:color w:val="000000"/>
                <w:sz w:val="20"/>
                <w:szCs w:val="20"/>
              </w:rPr>
            </w:pPr>
            <w:r w:rsidRPr="00EF373F">
              <w:rPr>
                <w:b/>
                <w:bCs/>
                <w:color w:val="000000"/>
                <w:sz w:val="20"/>
                <w:szCs w:val="20"/>
              </w:rPr>
              <w:t>2013</w:t>
            </w:r>
          </w:p>
        </w:tc>
        <w:tc>
          <w:tcPr>
            <w:tcW w:w="1648" w:type="dxa"/>
            <w:tcBorders>
              <w:top w:val="nil"/>
              <w:left w:val="nil"/>
              <w:bottom w:val="double" w:sz="6" w:space="0" w:color="auto"/>
              <w:right w:val="single" w:sz="8" w:space="0" w:color="000000"/>
            </w:tcBorders>
            <w:shd w:val="clear" w:color="000000" w:fill="D9D9D9"/>
            <w:vAlign w:val="bottom"/>
            <w:hideMark/>
          </w:tcPr>
          <w:p w14:paraId="01C9191B" w14:textId="77777777" w:rsidR="00D81D66" w:rsidRPr="00EF373F" w:rsidRDefault="00D81D66" w:rsidP="00BB4F8B">
            <w:pPr>
              <w:jc w:val="center"/>
              <w:rPr>
                <w:b/>
                <w:bCs/>
                <w:color w:val="000000"/>
                <w:sz w:val="20"/>
                <w:szCs w:val="20"/>
              </w:rPr>
            </w:pPr>
            <w:r w:rsidRPr="00EF373F">
              <w:rPr>
                <w:b/>
                <w:bCs/>
                <w:color w:val="000000"/>
                <w:sz w:val="20"/>
                <w:szCs w:val="20"/>
              </w:rPr>
              <w:t>2014</w:t>
            </w:r>
          </w:p>
        </w:tc>
        <w:tc>
          <w:tcPr>
            <w:tcW w:w="1648" w:type="dxa"/>
            <w:tcBorders>
              <w:top w:val="nil"/>
              <w:left w:val="nil"/>
              <w:bottom w:val="double" w:sz="6" w:space="0" w:color="auto"/>
              <w:right w:val="double" w:sz="6" w:space="0" w:color="auto"/>
            </w:tcBorders>
            <w:shd w:val="clear" w:color="000000" w:fill="D9D9D9"/>
            <w:vAlign w:val="bottom"/>
            <w:hideMark/>
          </w:tcPr>
          <w:p w14:paraId="1AD4D868" w14:textId="77777777" w:rsidR="00D81D66" w:rsidRPr="00EF373F" w:rsidRDefault="00D81D66" w:rsidP="00BB4F8B">
            <w:pPr>
              <w:jc w:val="center"/>
              <w:rPr>
                <w:b/>
                <w:bCs/>
                <w:color w:val="000000"/>
                <w:sz w:val="20"/>
                <w:szCs w:val="20"/>
              </w:rPr>
            </w:pPr>
            <w:r w:rsidRPr="00EF373F">
              <w:rPr>
                <w:b/>
                <w:bCs/>
                <w:color w:val="000000"/>
                <w:sz w:val="20"/>
                <w:szCs w:val="20"/>
              </w:rPr>
              <w:t>2015</w:t>
            </w:r>
            <w:r>
              <w:rPr>
                <w:b/>
                <w:bCs/>
                <w:color w:val="000000"/>
                <w:sz w:val="20"/>
                <w:szCs w:val="20"/>
              </w:rPr>
              <w:t>*</w:t>
            </w:r>
          </w:p>
        </w:tc>
      </w:tr>
      <w:tr w:rsidR="00D81D66" w:rsidRPr="00EF373F" w14:paraId="14A7F25B" w14:textId="77777777" w:rsidTr="00BB4F8B">
        <w:trPr>
          <w:trHeight w:val="330"/>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0840F62F" w14:textId="77777777" w:rsidR="00D81D66" w:rsidRPr="00EF373F" w:rsidRDefault="00D81D66" w:rsidP="00BB4F8B">
            <w:pPr>
              <w:rPr>
                <w:b/>
                <w:bCs/>
                <w:color w:val="000000"/>
                <w:sz w:val="20"/>
                <w:szCs w:val="20"/>
              </w:rPr>
            </w:pPr>
            <w:r w:rsidRPr="00EF373F">
              <w:rPr>
                <w:b/>
                <w:bCs/>
                <w:color w:val="000000"/>
                <w:sz w:val="20"/>
                <w:szCs w:val="20"/>
              </w:rPr>
              <w:t>Economic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3F311C8D" w14:textId="77777777" w:rsidR="00D81D66" w:rsidRPr="00EF373F" w:rsidRDefault="00D81D66" w:rsidP="00BB4F8B">
            <w:pPr>
              <w:jc w:val="center"/>
              <w:rPr>
                <w:b/>
                <w:bCs/>
                <w:color w:val="000000"/>
                <w:sz w:val="20"/>
                <w:szCs w:val="20"/>
              </w:rPr>
            </w:pPr>
            <w:r w:rsidRPr="00EF373F">
              <w:rPr>
                <w:b/>
                <w:bCs/>
                <w:color w:val="000000"/>
                <w:sz w:val="20"/>
                <w:szCs w:val="20"/>
              </w:rPr>
              <w:t>4.5</w:t>
            </w:r>
          </w:p>
        </w:tc>
        <w:tc>
          <w:tcPr>
            <w:tcW w:w="1648" w:type="dxa"/>
            <w:tcBorders>
              <w:top w:val="nil"/>
              <w:left w:val="nil"/>
              <w:bottom w:val="single" w:sz="8" w:space="0" w:color="000000"/>
              <w:right w:val="single" w:sz="8" w:space="0" w:color="000000"/>
            </w:tcBorders>
            <w:shd w:val="clear" w:color="auto" w:fill="auto"/>
            <w:noWrap/>
            <w:vAlign w:val="bottom"/>
            <w:hideMark/>
          </w:tcPr>
          <w:p w14:paraId="5A211EE5" w14:textId="77777777" w:rsidR="00D81D66" w:rsidRPr="00EF373F" w:rsidRDefault="00D81D66" w:rsidP="00BB4F8B">
            <w:pPr>
              <w:jc w:val="center"/>
              <w:rPr>
                <w:b/>
                <w:bCs/>
                <w:color w:val="000000"/>
                <w:sz w:val="20"/>
                <w:szCs w:val="20"/>
              </w:rPr>
            </w:pPr>
            <w:r w:rsidRPr="00EF373F">
              <w:rPr>
                <w:b/>
                <w:bCs/>
                <w:color w:val="000000"/>
                <w:sz w:val="20"/>
                <w:szCs w:val="20"/>
              </w:rPr>
              <w:t>3.9</w:t>
            </w:r>
          </w:p>
        </w:tc>
        <w:tc>
          <w:tcPr>
            <w:tcW w:w="1648" w:type="dxa"/>
            <w:tcBorders>
              <w:top w:val="nil"/>
              <w:left w:val="nil"/>
              <w:bottom w:val="single" w:sz="8" w:space="0" w:color="000000"/>
              <w:right w:val="single" w:sz="8" w:space="0" w:color="000000"/>
            </w:tcBorders>
            <w:shd w:val="clear" w:color="auto" w:fill="auto"/>
            <w:noWrap/>
            <w:vAlign w:val="bottom"/>
            <w:hideMark/>
          </w:tcPr>
          <w:p w14:paraId="43AB1095" w14:textId="77777777" w:rsidR="00D81D66" w:rsidRPr="00EF373F" w:rsidRDefault="00D81D66" w:rsidP="00BB4F8B">
            <w:pPr>
              <w:jc w:val="center"/>
              <w:rPr>
                <w:b/>
                <w:bCs/>
                <w:color w:val="000000"/>
                <w:sz w:val="20"/>
                <w:szCs w:val="20"/>
              </w:rPr>
            </w:pPr>
            <w:r w:rsidRPr="00EF373F">
              <w:rPr>
                <w:b/>
                <w:bCs/>
                <w:color w:val="000000"/>
                <w:sz w:val="20"/>
                <w:szCs w:val="20"/>
              </w:rPr>
              <w:t>5.3</w:t>
            </w:r>
          </w:p>
        </w:tc>
      </w:tr>
      <w:tr w:rsidR="00D81D66" w:rsidRPr="00EF373F" w14:paraId="1C09B11A"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0A0958D1" w14:textId="77777777" w:rsidR="00D81D66" w:rsidRPr="00EF373F" w:rsidRDefault="00D81D66" w:rsidP="00BB4F8B">
            <w:pPr>
              <w:ind w:firstLineChars="100" w:firstLine="200"/>
              <w:rPr>
                <w:color w:val="000000"/>
                <w:sz w:val="20"/>
                <w:szCs w:val="20"/>
              </w:rPr>
            </w:pPr>
            <w:r>
              <w:rPr>
                <w:color w:val="000000"/>
                <w:sz w:val="20"/>
                <w:szCs w:val="20"/>
              </w:rPr>
              <w:t>Agricult</w:t>
            </w:r>
            <w:r w:rsidRPr="00EF373F">
              <w:rPr>
                <w:color w:val="000000"/>
                <w:sz w:val="20"/>
                <w:szCs w:val="20"/>
              </w:rPr>
              <w:t>ure, Agrarian Reform, and Natural Resources</w:t>
            </w:r>
          </w:p>
        </w:tc>
        <w:tc>
          <w:tcPr>
            <w:tcW w:w="1648" w:type="dxa"/>
            <w:tcBorders>
              <w:top w:val="nil"/>
              <w:left w:val="nil"/>
              <w:bottom w:val="single" w:sz="8" w:space="0" w:color="000000"/>
              <w:right w:val="single" w:sz="8" w:space="0" w:color="000000"/>
            </w:tcBorders>
            <w:shd w:val="clear" w:color="auto" w:fill="auto"/>
            <w:noWrap/>
            <w:vAlign w:val="bottom"/>
            <w:hideMark/>
          </w:tcPr>
          <w:p w14:paraId="23A0EF8B" w14:textId="77777777" w:rsidR="00D81D66" w:rsidRPr="00EF373F" w:rsidRDefault="00D81D66" w:rsidP="00BB4F8B">
            <w:pPr>
              <w:jc w:val="center"/>
              <w:rPr>
                <w:color w:val="000000"/>
                <w:sz w:val="20"/>
                <w:szCs w:val="20"/>
              </w:rPr>
            </w:pPr>
            <w:r w:rsidRPr="00EF373F">
              <w:rPr>
                <w:color w:val="000000"/>
                <w:sz w:val="20"/>
                <w:szCs w:val="20"/>
              </w:rPr>
              <w:t>1.0</w:t>
            </w:r>
          </w:p>
        </w:tc>
        <w:tc>
          <w:tcPr>
            <w:tcW w:w="1648" w:type="dxa"/>
            <w:tcBorders>
              <w:top w:val="nil"/>
              <w:left w:val="nil"/>
              <w:bottom w:val="single" w:sz="8" w:space="0" w:color="000000"/>
              <w:right w:val="single" w:sz="8" w:space="0" w:color="000000"/>
            </w:tcBorders>
            <w:shd w:val="clear" w:color="auto" w:fill="auto"/>
            <w:noWrap/>
            <w:vAlign w:val="bottom"/>
            <w:hideMark/>
          </w:tcPr>
          <w:p w14:paraId="70126203" w14:textId="77777777" w:rsidR="00D81D66" w:rsidRPr="00EF373F" w:rsidRDefault="00D81D66" w:rsidP="00BB4F8B">
            <w:pPr>
              <w:jc w:val="center"/>
              <w:rPr>
                <w:color w:val="000000"/>
                <w:sz w:val="20"/>
                <w:szCs w:val="20"/>
              </w:rPr>
            </w:pPr>
            <w:r w:rsidRPr="00EF373F">
              <w:rPr>
                <w:color w:val="000000"/>
                <w:sz w:val="20"/>
                <w:szCs w:val="20"/>
              </w:rPr>
              <w:t>0.9</w:t>
            </w:r>
          </w:p>
        </w:tc>
        <w:tc>
          <w:tcPr>
            <w:tcW w:w="1648" w:type="dxa"/>
            <w:tcBorders>
              <w:top w:val="nil"/>
              <w:left w:val="nil"/>
              <w:bottom w:val="single" w:sz="8" w:space="0" w:color="000000"/>
              <w:right w:val="single" w:sz="8" w:space="0" w:color="000000"/>
            </w:tcBorders>
            <w:shd w:val="clear" w:color="auto" w:fill="auto"/>
            <w:noWrap/>
            <w:vAlign w:val="bottom"/>
            <w:hideMark/>
          </w:tcPr>
          <w:p w14:paraId="0C4707FA" w14:textId="77777777" w:rsidR="00D81D66" w:rsidRPr="00EF373F" w:rsidRDefault="00D81D66" w:rsidP="00BB4F8B">
            <w:pPr>
              <w:jc w:val="center"/>
              <w:rPr>
                <w:color w:val="000000"/>
                <w:sz w:val="20"/>
                <w:szCs w:val="20"/>
              </w:rPr>
            </w:pPr>
            <w:r w:rsidRPr="00EF373F">
              <w:rPr>
                <w:color w:val="000000"/>
                <w:sz w:val="20"/>
                <w:szCs w:val="20"/>
              </w:rPr>
              <w:t>1.0</w:t>
            </w:r>
          </w:p>
        </w:tc>
      </w:tr>
      <w:tr w:rsidR="00D81D66" w:rsidRPr="00EF373F" w14:paraId="22C5F99B"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ADBFD86" w14:textId="77777777" w:rsidR="00D81D66" w:rsidRPr="00EF373F" w:rsidRDefault="00D81D66" w:rsidP="00BB4F8B">
            <w:pPr>
              <w:ind w:firstLineChars="100" w:firstLine="200"/>
              <w:rPr>
                <w:color w:val="000000"/>
                <w:sz w:val="20"/>
                <w:szCs w:val="20"/>
              </w:rPr>
            </w:pPr>
            <w:r w:rsidRPr="00EF373F">
              <w:rPr>
                <w:color w:val="000000"/>
                <w:sz w:val="20"/>
                <w:szCs w:val="20"/>
              </w:rPr>
              <w:t>Trade and Industry</w:t>
            </w:r>
          </w:p>
        </w:tc>
        <w:tc>
          <w:tcPr>
            <w:tcW w:w="1648" w:type="dxa"/>
            <w:tcBorders>
              <w:top w:val="nil"/>
              <w:left w:val="nil"/>
              <w:bottom w:val="single" w:sz="8" w:space="0" w:color="000000"/>
              <w:right w:val="single" w:sz="8" w:space="0" w:color="000000"/>
            </w:tcBorders>
            <w:shd w:val="clear" w:color="auto" w:fill="auto"/>
            <w:noWrap/>
            <w:vAlign w:val="bottom"/>
            <w:hideMark/>
          </w:tcPr>
          <w:p w14:paraId="2499D7AC" w14:textId="77777777" w:rsidR="00D81D66" w:rsidRPr="00EF373F" w:rsidRDefault="00D81D66" w:rsidP="00BB4F8B">
            <w:pPr>
              <w:jc w:val="center"/>
              <w:rPr>
                <w:color w:val="000000"/>
                <w:sz w:val="20"/>
                <w:szCs w:val="20"/>
              </w:rPr>
            </w:pPr>
            <w:r w:rsidRPr="00EF373F">
              <w:rPr>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3CF39ABB"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6883C914" w14:textId="77777777" w:rsidR="00D81D66" w:rsidRPr="00EF373F" w:rsidRDefault="00D81D66" w:rsidP="00BB4F8B">
            <w:pPr>
              <w:jc w:val="center"/>
              <w:rPr>
                <w:color w:val="000000"/>
                <w:sz w:val="20"/>
                <w:szCs w:val="20"/>
              </w:rPr>
            </w:pPr>
            <w:r w:rsidRPr="00EF373F">
              <w:rPr>
                <w:color w:val="000000"/>
                <w:sz w:val="20"/>
                <w:szCs w:val="20"/>
              </w:rPr>
              <w:t>0.0</w:t>
            </w:r>
          </w:p>
        </w:tc>
      </w:tr>
      <w:tr w:rsidR="00D81D66" w:rsidRPr="00EF373F" w14:paraId="799A52A9"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0057405" w14:textId="77777777" w:rsidR="00D81D66" w:rsidRPr="00EF373F" w:rsidRDefault="00D81D66" w:rsidP="00BB4F8B">
            <w:pPr>
              <w:ind w:firstLineChars="100" w:firstLine="200"/>
              <w:rPr>
                <w:color w:val="000000"/>
                <w:sz w:val="20"/>
                <w:szCs w:val="20"/>
              </w:rPr>
            </w:pPr>
            <w:r w:rsidRPr="00EF373F">
              <w:rPr>
                <w:color w:val="000000"/>
                <w:sz w:val="20"/>
                <w:szCs w:val="20"/>
              </w:rPr>
              <w:t>Tourism</w:t>
            </w:r>
          </w:p>
        </w:tc>
        <w:tc>
          <w:tcPr>
            <w:tcW w:w="1648" w:type="dxa"/>
            <w:tcBorders>
              <w:top w:val="nil"/>
              <w:left w:val="nil"/>
              <w:bottom w:val="single" w:sz="8" w:space="0" w:color="000000"/>
              <w:right w:val="single" w:sz="8" w:space="0" w:color="000000"/>
            </w:tcBorders>
            <w:shd w:val="clear" w:color="auto" w:fill="auto"/>
            <w:noWrap/>
            <w:vAlign w:val="bottom"/>
            <w:hideMark/>
          </w:tcPr>
          <w:p w14:paraId="0C40ACF3"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2837A48B"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79B04029" w14:textId="77777777" w:rsidR="00D81D66" w:rsidRPr="00EF373F" w:rsidRDefault="00D81D66" w:rsidP="00BB4F8B">
            <w:pPr>
              <w:jc w:val="center"/>
              <w:rPr>
                <w:color w:val="000000"/>
                <w:sz w:val="20"/>
                <w:szCs w:val="20"/>
              </w:rPr>
            </w:pPr>
            <w:r w:rsidRPr="00EF373F">
              <w:rPr>
                <w:color w:val="000000"/>
                <w:sz w:val="20"/>
                <w:szCs w:val="20"/>
              </w:rPr>
              <w:t>0.0</w:t>
            </w:r>
          </w:p>
        </w:tc>
      </w:tr>
      <w:tr w:rsidR="00D81D66" w:rsidRPr="00EF373F" w14:paraId="5B30C5BC"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06221A5" w14:textId="77777777" w:rsidR="00D81D66" w:rsidRPr="00EF373F" w:rsidRDefault="00D81D66" w:rsidP="00BB4F8B">
            <w:pPr>
              <w:ind w:firstLineChars="100" w:firstLine="200"/>
              <w:rPr>
                <w:color w:val="000000"/>
                <w:sz w:val="20"/>
                <w:szCs w:val="20"/>
              </w:rPr>
            </w:pPr>
            <w:r w:rsidRPr="00EF373F">
              <w:rPr>
                <w:color w:val="000000"/>
                <w:sz w:val="20"/>
                <w:szCs w:val="20"/>
              </w:rPr>
              <w:t>Power and Energy</w:t>
            </w:r>
          </w:p>
        </w:tc>
        <w:tc>
          <w:tcPr>
            <w:tcW w:w="1648" w:type="dxa"/>
            <w:tcBorders>
              <w:top w:val="nil"/>
              <w:left w:val="nil"/>
              <w:bottom w:val="single" w:sz="8" w:space="0" w:color="000000"/>
              <w:right w:val="single" w:sz="8" w:space="0" w:color="000000"/>
            </w:tcBorders>
            <w:shd w:val="clear" w:color="auto" w:fill="auto"/>
            <w:noWrap/>
            <w:vAlign w:val="bottom"/>
            <w:hideMark/>
          </w:tcPr>
          <w:p w14:paraId="3FB18158" w14:textId="77777777" w:rsidR="00D81D66" w:rsidRPr="00EF373F" w:rsidRDefault="00D81D66" w:rsidP="00BB4F8B">
            <w:pPr>
              <w:jc w:val="center"/>
              <w:rPr>
                <w:color w:val="000000"/>
                <w:sz w:val="20"/>
                <w:szCs w:val="20"/>
              </w:rPr>
            </w:pPr>
            <w:r w:rsidRPr="00EF373F">
              <w:rPr>
                <w:color w:val="000000"/>
                <w:sz w:val="20"/>
                <w:szCs w:val="20"/>
              </w:rPr>
              <w:t>0.3</w:t>
            </w:r>
          </w:p>
        </w:tc>
        <w:tc>
          <w:tcPr>
            <w:tcW w:w="1648" w:type="dxa"/>
            <w:tcBorders>
              <w:top w:val="nil"/>
              <w:left w:val="nil"/>
              <w:bottom w:val="single" w:sz="8" w:space="0" w:color="000000"/>
              <w:right w:val="single" w:sz="8" w:space="0" w:color="000000"/>
            </w:tcBorders>
            <w:shd w:val="clear" w:color="auto" w:fill="auto"/>
            <w:noWrap/>
            <w:vAlign w:val="bottom"/>
            <w:hideMark/>
          </w:tcPr>
          <w:p w14:paraId="17BBF4F9" w14:textId="77777777" w:rsidR="00D81D66" w:rsidRPr="00EF373F" w:rsidRDefault="00D81D66" w:rsidP="00BB4F8B">
            <w:pPr>
              <w:jc w:val="center"/>
              <w:rPr>
                <w:color w:val="000000"/>
                <w:sz w:val="20"/>
                <w:szCs w:val="20"/>
              </w:rPr>
            </w:pPr>
            <w:r w:rsidRPr="00EF373F">
              <w:rPr>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20B1AC6E" w14:textId="77777777" w:rsidR="00D81D66" w:rsidRPr="00EF373F" w:rsidRDefault="00D81D66" w:rsidP="00BB4F8B">
            <w:pPr>
              <w:jc w:val="center"/>
              <w:rPr>
                <w:color w:val="000000"/>
                <w:sz w:val="20"/>
                <w:szCs w:val="20"/>
              </w:rPr>
            </w:pPr>
            <w:r w:rsidRPr="00EF373F">
              <w:rPr>
                <w:color w:val="000000"/>
                <w:sz w:val="20"/>
                <w:szCs w:val="20"/>
              </w:rPr>
              <w:t>0.1</w:t>
            </w:r>
          </w:p>
        </w:tc>
      </w:tr>
      <w:tr w:rsidR="00D81D66" w:rsidRPr="00EF373F" w14:paraId="41A6A7DA"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91EABF6" w14:textId="77777777" w:rsidR="00D81D66" w:rsidRPr="00EF373F" w:rsidRDefault="00D81D66" w:rsidP="00BB4F8B">
            <w:pPr>
              <w:ind w:firstLineChars="100" w:firstLine="200"/>
              <w:rPr>
                <w:color w:val="000000"/>
                <w:sz w:val="20"/>
                <w:szCs w:val="20"/>
              </w:rPr>
            </w:pPr>
            <w:r w:rsidRPr="00EF373F">
              <w:rPr>
                <w:color w:val="000000"/>
                <w:sz w:val="20"/>
                <w:szCs w:val="20"/>
              </w:rPr>
              <w:t>Water Resource Development and Flood Control</w:t>
            </w:r>
          </w:p>
        </w:tc>
        <w:tc>
          <w:tcPr>
            <w:tcW w:w="1648" w:type="dxa"/>
            <w:tcBorders>
              <w:top w:val="nil"/>
              <w:left w:val="nil"/>
              <w:bottom w:val="single" w:sz="8" w:space="0" w:color="000000"/>
              <w:right w:val="single" w:sz="8" w:space="0" w:color="000000"/>
            </w:tcBorders>
            <w:shd w:val="clear" w:color="auto" w:fill="auto"/>
            <w:noWrap/>
            <w:vAlign w:val="bottom"/>
            <w:hideMark/>
          </w:tcPr>
          <w:p w14:paraId="28B80770" w14:textId="77777777" w:rsidR="00D81D66" w:rsidRPr="00EF373F" w:rsidRDefault="00D81D66" w:rsidP="00BB4F8B">
            <w:pPr>
              <w:jc w:val="center"/>
              <w:rPr>
                <w:color w:val="000000"/>
                <w:sz w:val="20"/>
                <w:szCs w:val="20"/>
              </w:rPr>
            </w:pPr>
            <w:r w:rsidRPr="00EF373F">
              <w:rPr>
                <w:color w:val="000000"/>
                <w:sz w:val="20"/>
                <w:szCs w:val="20"/>
              </w:rPr>
              <w:t>0.2</w:t>
            </w:r>
          </w:p>
        </w:tc>
        <w:tc>
          <w:tcPr>
            <w:tcW w:w="1648" w:type="dxa"/>
            <w:tcBorders>
              <w:top w:val="nil"/>
              <w:left w:val="nil"/>
              <w:bottom w:val="single" w:sz="8" w:space="0" w:color="000000"/>
              <w:right w:val="single" w:sz="8" w:space="0" w:color="000000"/>
            </w:tcBorders>
            <w:shd w:val="clear" w:color="auto" w:fill="auto"/>
            <w:noWrap/>
            <w:vAlign w:val="bottom"/>
            <w:hideMark/>
          </w:tcPr>
          <w:p w14:paraId="37020BF6" w14:textId="77777777" w:rsidR="00D81D66" w:rsidRPr="00EF373F" w:rsidRDefault="00D81D66" w:rsidP="00BB4F8B">
            <w:pPr>
              <w:jc w:val="center"/>
              <w:rPr>
                <w:color w:val="000000"/>
                <w:sz w:val="20"/>
                <w:szCs w:val="20"/>
              </w:rPr>
            </w:pPr>
            <w:r w:rsidRPr="00EF373F">
              <w:rPr>
                <w:color w:val="000000"/>
                <w:sz w:val="20"/>
                <w:szCs w:val="20"/>
              </w:rPr>
              <w:t>0.2</w:t>
            </w:r>
          </w:p>
        </w:tc>
        <w:tc>
          <w:tcPr>
            <w:tcW w:w="1648" w:type="dxa"/>
            <w:tcBorders>
              <w:top w:val="nil"/>
              <w:left w:val="nil"/>
              <w:bottom w:val="single" w:sz="8" w:space="0" w:color="000000"/>
              <w:right w:val="single" w:sz="8" w:space="0" w:color="000000"/>
            </w:tcBorders>
            <w:shd w:val="clear" w:color="auto" w:fill="auto"/>
            <w:noWrap/>
            <w:vAlign w:val="bottom"/>
            <w:hideMark/>
          </w:tcPr>
          <w:p w14:paraId="64919FA7" w14:textId="77777777" w:rsidR="00D81D66" w:rsidRPr="00EF373F" w:rsidRDefault="00D81D66" w:rsidP="00BB4F8B">
            <w:pPr>
              <w:jc w:val="center"/>
              <w:rPr>
                <w:color w:val="000000"/>
                <w:sz w:val="20"/>
                <w:szCs w:val="20"/>
              </w:rPr>
            </w:pPr>
            <w:r w:rsidRPr="00EF373F">
              <w:rPr>
                <w:color w:val="000000"/>
                <w:sz w:val="20"/>
                <w:szCs w:val="20"/>
              </w:rPr>
              <w:t>0.3</w:t>
            </w:r>
          </w:p>
        </w:tc>
      </w:tr>
      <w:tr w:rsidR="00D81D66" w:rsidRPr="00EF373F" w14:paraId="1041B4AD"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1823C66" w14:textId="77777777" w:rsidR="00D81D66" w:rsidRPr="00EF373F" w:rsidRDefault="00D81D66" w:rsidP="00BB4F8B">
            <w:pPr>
              <w:ind w:firstLineChars="100" w:firstLine="200"/>
              <w:rPr>
                <w:color w:val="000000"/>
                <w:sz w:val="20"/>
                <w:szCs w:val="20"/>
              </w:rPr>
            </w:pPr>
            <w:r w:rsidRPr="00EF373F">
              <w:rPr>
                <w:color w:val="000000"/>
                <w:sz w:val="20"/>
                <w:szCs w:val="20"/>
              </w:rPr>
              <w:t>Communications, Roads, and Other Transportation</w:t>
            </w:r>
          </w:p>
        </w:tc>
        <w:tc>
          <w:tcPr>
            <w:tcW w:w="1648" w:type="dxa"/>
            <w:tcBorders>
              <w:top w:val="nil"/>
              <w:left w:val="nil"/>
              <w:bottom w:val="single" w:sz="8" w:space="0" w:color="000000"/>
              <w:right w:val="single" w:sz="8" w:space="0" w:color="000000"/>
            </w:tcBorders>
            <w:shd w:val="clear" w:color="auto" w:fill="auto"/>
            <w:noWrap/>
            <w:vAlign w:val="bottom"/>
            <w:hideMark/>
          </w:tcPr>
          <w:p w14:paraId="6C53E59A" w14:textId="77777777" w:rsidR="00D81D66" w:rsidRPr="00EF373F" w:rsidRDefault="00D81D66" w:rsidP="00BB4F8B">
            <w:pPr>
              <w:jc w:val="center"/>
              <w:rPr>
                <w:color w:val="000000"/>
                <w:sz w:val="20"/>
                <w:szCs w:val="20"/>
              </w:rPr>
            </w:pPr>
            <w:r w:rsidRPr="00EF373F">
              <w:rPr>
                <w:color w:val="000000"/>
                <w:sz w:val="20"/>
                <w:szCs w:val="20"/>
              </w:rPr>
              <w:t>1.8</w:t>
            </w:r>
          </w:p>
        </w:tc>
        <w:tc>
          <w:tcPr>
            <w:tcW w:w="1648" w:type="dxa"/>
            <w:tcBorders>
              <w:top w:val="nil"/>
              <w:left w:val="nil"/>
              <w:bottom w:val="single" w:sz="8" w:space="0" w:color="000000"/>
              <w:right w:val="single" w:sz="8" w:space="0" w:color="000000"/>
            </w:tcBorders>
            <w:shd w:val="clear" w:color="auto" w:fill="auto"/>
            <w:noWrap/>
            <w:vAlign w:val="bottom"/>
            <w:hideMark/>
          </w:tcPr>
          <w:p w14:paraId="699C28E6" w14:textId="77777777" w:rsidR="00D81D66" w:rsidRPr="00EF373F" w:rsidRDefault="00D81D66" w:rsidP="00BB4F8B">
            <w:pPr>
              <w:jc w:val="center"/>
              <w:rPr>
                <w:color w:val="000000"/>
                <w:sz w:val="20"/>
                <w:szCs w:val="20"/>
              </w:rPr>
            </w:pPr>
            <w:r w:rsidRPr="00EF373F">
              <w:rPr>
                <w:color w:val="000000"/>
                <w:sz w:val="20"/>
                <w:szCs w:val="20"/>
              </w:rPr>
              <w:t>1.6</w:t>
            </w:r>
          </w:p>
        </w:tc>
        <w:tc>
          <w:tcPr>
            <w:tcW w:w="1648" w:type="dxa"/>
            <w:tcBorders>
              <w:top w:val="nil"/>
              <w:left w:val="nil"/>
              <w:bottom w:val="single" w:sz="8" w:space="0" w:color="000000"/>
              <w:right w:val="single" w:sz="8" w:space="0" w:color="000000"/>
            </w:tcBorders>
            <w:shd w:val="clear" w:color="auto" w:fill="auto"/>
            <w:noWrap/>
            <w:vAlign w:val="bottom"/>
            <w:hideMark/>
          </w:tcPr>
          <w:p w14:paraId="26D9E562" w14:textId="77777777" w:rsidR="00D81D66" w:rsidRPr="00EF373F" w:rsidRDefault="00D81D66" w:rsidP="00BB4F8B">
            <w:pPr>
              <w:jc w:val="center"/>
              <w:rPr>
                <w:color w:val="000000"/>
                <w:sz w:val="20"/>
                <w:szCs w:val="20"/>
              </w:rPr>
            </w:pPr>
            <w:r w:rsidRPr="00EF373F">
              <w:rPr>
                <w:color w:val="000000"/>
                <w:sz w:val="20"/>
                <w:szCs w:val="20"/>
              </w:rPr>
              <w:t>2.6</w:t>
            </w:r>
          </w:p>
        </w:tc>
      </w:tr>
      <w:tr w:rsidR="00D81D66" w:rsidRPr="00EF373F" w14:paraId="522C6BF9"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43BCFCAE" w14:textId="77777777" w:rsidR="00D81D66" w:rsidRPr="00EF373F" w:rsidRDefault="00D81D66" w:rsidP="00BB4F8B">
            <w:pPr>
              <w:ind w:firstLineChars="100" w:firstLine="200"/>
              <w:rPr>
                <w:color w:val="000000"/>
                <w:sz w:val="20"/>
                <w:szCs w:val="20"/>
              </w:rPr>
            </w:pPr>
            <w:r w:rsidRPr="00EF373F">
              <w:rPr>
                <w:color w:val="000000"/>
                <w:sz w:val="20"/>
                <w:szCs w:val="20"/>
              </w:rPr>
              <w:t>Other Economic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44368304" w14:textId="77777777" w:rsidR="00D81D66" w:rsidRPr="00EF373F" w:rsidRDefault="00D81D66" w:rsidP="00BB4F8B">
            <w:pPr>
              <w:jc w:val="center"/>
              <w:rPr>
                <w:color w:val="000000"/>
                <w:sz w:val="20"/>
                <w:szCs w:val="20"/>
              </w:rPr>
            </w:pPr>
            <w:r w:rsidRPr="00EF373F">
              <w:rPr>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7A4D0831" w14:textId="77777777" w:rsidR="00D81D66" w:rsidRPr="00EF373F" w:rsidRDefault="00D81D66" w:rsidP="00BB4F8B">
            <w:pPr>
              <w:jc w:val="center"/>
              <w:rPr>
                <w:color w:val="000000"/>
                <w:sz w:val="20"/>
                <w:szCs w:val="20"/>
              </w:rPr>
            </w:pPr>
            <w:r w:rsidRPr="00EF373F">
              <w:rPr>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78403489" w14:textId="77777777" w:rsidR="00D81D66" w:rsidRPr="00EF373F" w:rsidRDefault="00D81D66" w:rsidP="00BB4F8B">
            <w:pPr>
              <w:jc w:val="center"/>
              <w:rPr>
                <w:color w:val="000000"/>
                <w:sz w:val="20"/>
                <w:szCs w:val="20"/>
              </w:rPr>
            </w:pPr>
            <w:r w:rsidRPr="00EF373F">
              <w:rPr>
                <w:color w:val="000000"/>
                <w:sz w:val="20"/>
                <w:szCs w:val="20"/>
              </w:rPr>
              <w:t>0.2</w:t>
            </w:r>
          </w:p>
        </w:tc>
      </w:tr>
      <w:tr w:rsidR="00D81D66" w:rsidRPr="00EF373F" w14:paraId="32A59DE5"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0D370135" w14:textId="77777777" w:rsidR="00D81D66" w:rsidRPr="00EF373F" w:rsidRDefault="00D81D66" w:rsidP="00BB4F8B">
            <w:pPr>
              <w:ind w:firstLineChars="100" w:firstLine="200"/>
              <w:rPr>
                <w:color w:val="000000"/>
                <w:sz w:val="20"/>
                <w:szCs w:val="20"/>
              </w:rPr>
            </w:pPr>
            <w:r w:rsidRPr="00EF373F">
              <w:rPr>
                <w:color w:val="000000"/>
                <w:sz w:val="20"/>
                <w:szCs w:val="20"/>
              </w:rPr>
              <w:t>Subsidy to Local Government Units</w:t>
            </w:r>
          </w:p>
        </w:tc>
        <w:tc>
          <w:tcPr>
            <w:tcW w:w="1648" w:type="dxa"/>
            <w:tcBorders>
              <w:top w:val="nil"/>
              <w:left w:val="nil"/>
              <w:bottom w:val="single" w:sz="8" w:space="0" w:color="000000"/>
              <w:right w:val="single" w:sz="8" w:space="0" w:color="000000"/>
            </w:tcBorders>
            <w:shd w:val="clear" w:color="auto" w:fill="auto"/>
            <w:noWrap/>
            <w:vAlign w:val="bottom"/>
            <w:hideMark/>
          </w:tcPr>
          <w:p w14:paraId="12360840" w14:textId="77777777" w:rsidR="00D81D66" w:rsidRPr="00EF373F" w:rsidRDefault="00D81D66" w:rsidP="00BB4F8B">
            <w:pPr>
              <w:jc w:val="center"/>
              <w:rPr>
                <w:color w:val="000000"/>
                <w:sz w:val="20"/>
                <w:szCs w:val="20"/>
              </w:rPr>
            </w:pPr>
            <w:r w:rsidRPr="00EF373F">
              <w:rPr>
                <w:color w:val="000000"/>
                <w:sz w:val="20"/>
                <w:szCs w:val="20"/>
              </w:rPr>
              <w:t>0.9</w:t>
            </w:r>
          </w:p>
        </w:tc>
        <w:tc>
          <w:tcPr>
            <w:tcW w:w="1648" w:type="dxa"/>
            <w:tcBorders>
              <w:top w:val="nil"/>
              <w:left w:val="nil"/>
              <w:bottom w:val="single" w:sz="8" w:space="0" w:color="000000"/>
              <w:right w:val="single" w:sz="8" w:space="0" w:color="000000"/>
            </w:tcBorders>
            <w:shd w:val="clear" w:color="auto" w:fill="auto"/>
            <w:noWrap/>
            <w:vAlign w:val="bottom"/>
            <w:hideMark/>
          </w:tcPr>
          <w:p w14:paraId="3DE7495B" w14:textId="77777777" w:rsidR="00D81D66" w:rsidRPr="00EF373F" w:rsidRDefault="00D81D66" w:rsidP="00BB4F8B">
            <w:pPr>
              <w:jc w:val="center"/>
              <w:rPr>
                <w:color w:val="000000"/>
                <w:sz w:val="20"/>
                <w:szCs w:val="20"/>
              </w:rPr>
            </w:pPr>
            <w:r w:rsidRPr="00EF373F">
              <w:rPr>
                <w:color w:val="000000"/>
                <w:sz w:val="20"/>
                <w:szCs w:val="20"/>
              </w:rPr>
              <w:t>0.9</w:t>
            </w:r>
          </w:p>
        </w:tc>
        <w:tc>
          <w:tcPr>
            <w:tcW w:w="1648" w:type="dxa"/>
            <w:tcBorders>
              <w:top w:val="nil"/>
              <w:left w:val="nil"/>
              <w:bottom w:val="single" w:sz="8" w:space="0" w:color="000000"/>
              <w:right w:val="single" w:sz="8" w:space="0" w:color="000000"/>
            </w:tcBorders>
            <w:shd w:val="clear" w:color="auto" w:fill="auto"/>
            <w:noWrap/>
            <w:vAlign w:val="bottom"/>
            <w:hideMark/>
          </w:tcPr>
          <w:p w14:paraId="6CF5F42F" w14:textId="77777777" w:rsidR="00D81D66" w:rsidRPr="00EF373F" w:rsidRDefault="00D81D66" w:rsidP="00BB4F8B">
            <w:pPr>
              <w:jc w:val="center"/>
              <w:rPr>
                <w:color w:val="000000"/>
                <w:sz w:val="20"/>
                <w:szCs w:val="20"/>
              </w:rPr>
            </w:pPr>
            <w:r w:rsidRPr="00EF373F">
              <w:rPr>
                <w:color w:val="000000"/>
                <w:sz w:val="20"/>
                <w:szCs w:val="20"/>
              </w:rPr>
              <w:t>1.0</w:t>
            </w:r>
          </w:p>
        </w:tc>
      </w:tr>
      <w:tr w:rsidR="00D81D66" w:rsidRPr="00EF373F" w14:paraId="00AD92D1"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6A7268C" w14:textId="77777777" w:rsidR="00D81D66" w:rsidRPr="00EF373F" w:rsidRDefault="00D81D66" w:rsidP="00BB4F8B">
            <w:pPr>
              <w:rPr>
                <w:b/>
                <w:bCs/>
                <w:color w:val="000000"/>
                <w:sz w:val="20"/>
                <w:szCs w:val="20"/>
              </w:rPr>
            </w:pPr>
            <w:r w:rsidRPr="00EF373F">
              <w:rPr>
                <w:b/>
                <w:bCs/>
                <w:color w:val="000000"/>
                <w:sz w:val="20"/>
                <w:szCs w:val="20"/>
              </w:rPr>
              <w:t>Social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257E7FDC" w14:textId="77777777" w:rsidR="00D81D66" w:rsidRPr="00EF373F" w:rsidRDefault="00D81D66" w:rsidP="00BB4F8B">
            <w:pPr>
              <w:jc w:val="center"/>
              <w:rPr>
                <w:b/>
                <w:bCs/>
                <w:color w:val="000000"/>
                <w:sz w:val="20"/>
                <w:szCs w:val="20"/>
              </w:rPr>
            </w:pPr>
            <w:r w:rsidRPr="00EF373F">
              <w:rPr>
                <w:b/>
                <w:bCs/>
                <w:color w:val="000000"/>
                <w:sz w:val="20"/>
                <w:szCs w:val="20"/>
              </w:rPr>
              <w:t>6.2</w:t>
            </w:r>
          </w:p>
        </w:tc>
        <w:tc>
          <w:tcPr>
            <w:tcW w:w="1648" w:type="dxa"/>
            <w:tcBorders>
              <w:top w:val="nil"/>
              <w:left w:val="nil"/>
              <w:bottom w:val="single" w:sz="8" w:space="0" w:color="000000"/>
              <w:right w:val="single" w:sz="8" w:space="0" w:color="000000"/>
            </w:tcBorders>
            <w:shd w:val="clear" w:color="auto" w:fill="auto"/>
            <w:noWrap/>
            <w:vAlign w:val="bottom"/>
            <w:hideMark/>
          </w:tcPr>
          <w:p w14:paraId="00FBDAD7" w14:textId="77777777" w:rsidR="00D81D66" w:rsidRPr="00EF373F" w:rsidRDefault="00D81D66" w:rsidP="00BB4F8B">
            <w:pPr>
              <w:jc w:val="center"/>
              <w:rPr>
                <w:b/>
                <w:bCs/>
                <w:color w:val="000000"/>
                <w:sz w:val="20"/>
                <w:szCs w:val="20"/>
              </w:rPr>
            </w:pPr>
            <w:r>
              <w:rPr>
                <w:b/>
                <w:bCs/>
                <w:color w:val="000000"/>
                <w:sz w:val="20"/>
                <w:szCs w:val="20"/>
              </w:rPr>
              <w:t>6.1</w:t>
            </w:r>
          </w:p>
        </w:tc>
        <w:tc>
          <w:tcPr>
            <w:tcW w:w="1648" w:type="dxa"/>
            <w:tcBorders>
              <w:top w:val="nil"/>
              <w:left w:val="nil"/>
              <w:bottom w:val="single" w:sz="8" w:space="0" w:color="000000"/>
              <w:right w:val="single" w:sz="8" w:space="0" w:color="000000"/>
            </w:tcBorders>
            <w:shd w:val="clear" w:color="auto" w:fill="auto"/>
            <w:noWrap/>
            <w:vAlign w:val="bottom"/>
            <w:hideMark/>
          </w:tcPr>
          <w:p w14:paraId="59071B42" w14:textId="77777777" w:rsidR="00D81D66" w:rsidRPr="00EF373F" w:rsidRDefault="00D81D66" w:rsidP="00BB4F8B">
            <w:pPr>
              <w:jc w:val="center"/>
              <w:rPr>
                <w:b/>
                <w:bCs/>
                <w:color w:val="000000"/>
                <w:sz w:val="20"/>
                <w:szCs w:val="20"/>
              </w:rPr>
            </w:pPr>
            <w:r w:rsidRPr="00EF373F">
              <w:rPr>
                <w:b/>
                <w:bCs/>
                <w:color w:val="000000"/>
                <w:sz w:val="20"/>
                <w:szCs w:val="20"/>
              </w:rPr>
              <w:t>7.2</w:t>
            </w:r>
          </w:p>
        </w:tc>
      </w:tr>
      <w:tr w:rsidR="00D81D66" w:rsidRPr="00EF373F" w14:paraId="6DCCECA4"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1DE600B8" w14:textId="77777777" w:rsidR="00D81D66" w:rsidRPr="00EF373F" w:rsidRDefault="00D81D66" w:rsidP="00BB4F8B">
            <w:pPr>
              <w:ind w:firstLineChars="100" w:firstLine="200"/>
              <w:rPr>
                <w:color w:val="000000"/>
                <w:sz w:val="20"/>
                <w:szCs w:val="20"/>
              </w:rPr>
            </w:pPr>
            <w:r w:rsidRPr="00EF373F">
              <w:rPr>
                <w:color w:val="000000"/>
                <w:sz w:val="20"/>
                <w:szCs w:val="20"/>
              </w:rPr>
              <w:t>Education, Culture, and Manpower Development</w:t>
            </w:r>
          </w:p>
        </w:tc>
        <w:tc>
          <w:tcPr>
            <w:tcW w:w="1648" w:type="dxa"/>
            <w:tcBorders>
              <w:top w:val="nil"/>
              <w:left w:val="nil"/>
              <w:bottom w:val="single" w:sz="8" w:space="0" w:color="000000"/>
              <w:right w:val="single" w:sz="8" w:space="0" w:color="000000"/>
            </w:tcBorders>
            <w:shd w:val="clear" w:color="auto" w:fill="auto"/>
            <w:noWrap/>
            <w:vAlign w:val="bottom"/>
            <w:hideMark/>
          </w:tcPr>
          <w:p w14:paraId="1BB64D71" w14:textId="77777777" w:rsidR="00D81D66" w:rsidRPr="00EF373F" w:rsidRDefault="00D81D66" w:rsidP="00BB4F8B">
            <w:pPr>
              <w:jc w:val="center"/>
              <w:rPr>
                <w:color w:val="000000"/>
                <w:sz w:val="20"/>
                <w:szCs w:val="20"/>
              </w:rPr>
            </w:pPr>
            <w:r w:rsidRPr="00EF373F">
              <w:rPr>
                <w:color w:val="000000"/>
                <w:sz w:val="20"/>
                <w:szCs w:val="20"/>
              </w:rPr>
              <w:t>2.8</w:t>
            </w:r>
          </w:p>
        </w:tc>
        <w:tc>
          <w:tcPr>
            <w:tcW w:w="1648" w:type="dxa"/>
            <w:tcBorders>
              <w:top w:val="nil"/>
              <w:left w:val="nil"/>
              <w:bottom w:val="single" w:sz="8" w:space="0" w:color="000000"/>
              <w:right w:val="single" w:sz="8" w:space="0" w:color="000000"/>
            </w:tcBorders>
            <w:shd w:val="clear" w:color="auto" w:fill="auto"/>
            <w:noWrap/>
            <w:vAlign w:val="bottom"/>
            <w:hideMark/>
          </w:tcPr>
          <w:p w14:paraId="3BC5A8AD" w14:textId="77777777" w:rsidR="00D81D66" w:rsidRPr="00EF373F" w:rsidRDefault="00D81D66" w:rsidP="00BB4F8B">
            <w:pPr>
              <w:jc w:val="center"/>
              <w:rPr>
                <w:color w:val="000000"/>
                <w:sz w:val="20"/>
                <w:szCs w:val="20"/>
              </w:rPr>
            </w:pPr>
            <w:r w:rsidRPr="00EF373F">
              <w:rPr>
                <w:color w:val="000000"/>
                <w:sz w:val="20"/>
                <w:szCs w:val="20"/>
              </w:rPr>
              <w:t>2.6</w:t>
            </w:r>
          </w:p>
        </w:tc>
        <w:tc>
          <w:tcPr>
            <w:tcW w:w="1648" w:type="dxa"/>
            <w:tcBorders>
              <w:top w:val="nil"/>
              <w:left w:val="nil"/>
              <w:bottom w:val="single" w:sz="8" w:space="0" w:color="000000"/>
              <w:right w:val="single" w:sz="8" w:space="0" w:color="000000"/>
            </w:tcBorders>
            <w:shd w:val="clear" w:color="auto" w:fill="auto"/>
            <w:noWrap/>
            <w:vAlign w:val="bottom"/>
            <w:hideMark/>
          </w:tcPr>
          <w:p w14:paraId="28E4D505" w14:textId="77777777" w:rsidR="00D81D66" w:rsidRPr="00EF373F" w:rsidRDefault="00D81D66" w:rsidP="00BB4F8B">
            <w:pPr>
              <w:jc w:val="center"/>
              <w:rPr>
                <w:color w:val="000000"/>
                <w:sz w:val="20"/>
                <w:szCs w:val="20"/>
              </w:rPr>
            </w:pPr>
            <w:r w:rsidRPr="00EF373F">
              <w:rPr>
                <w:color w:val="000000"/>
                <w:sz w:val="20"/>
                <w:szCs w:val="20"/>
              </w:rPr>
              <w:t>3.4</w:t>
            </w:r>
          </w:p>
        </w:tc>
      </w:tr>
      <w:tr w:rsidR="00D81D66" w:rsidRPr="00EF373F" w14:paraId="32FCD33C"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699F48E3" w14:textId="77777777" w:rsidR="00D81D66" w:rsidRPr="00EF373F" w:rsidRDefault="00D81D66" w:rsidP="00BB4F8B">
            <w:pPr>
              <w:ind w:firstLineChars="100" w:firstLine="200"/>
              <w:rPr>
                <w:color w:val="000000"/>
                <w:sz w:val="20"/>
                <w:szCs w:val="20"/>
              </w:rPr>
            </w:pPr>
            <w:r w:rsidRPr="00EF373F">
              <w:rPr>
                <w:color w:val="000000"/>
                <w:sz w:val="20"/>
                <w:szCs w:val="20"/>
              </w:rPr>
              <w:t>Health</w:t>
            </w:r>
          </w:p>
        </w:tc>
        <w:tc>
          <w:tcPr>
            <w:tcW w:w="1648" w:type="dxa"/>
            <w:tcBorders>
              <w:top w:val="nil"/>
              <w:left w:val="nil"/>
              <w:bottom w:val="single" w:sz="8" w:space="0" w:color="000000"/>
              <w:right w:val="single" w:sz="8" w:space="0" w:color="000000"/>
            </w:tcBorders>
            <w:shd w:val="clear" w:color="auto" w:fill="auto"/>
            <w:noWrap/>
            <w:vAlign w:val="bottom"/>
            <w:hideMark/>
          </w:tcPr>
          <w:p w14:paraId="1EBC094E" w14:textId="77777777" w:rsidR="00D81D66" w:rsidRPr="00EF373F" w:rsidRDefault="00D81D66" w:rsidP="00BB4F8B">
            <w:pPr>
              <w:jc w:val="center"/>
              <w:rPr>
                <w:color w:val="000000"/>
                <w:sz w:val="20"/>
                <w:szCs w:val="20"/>
              </w:rPr>
            </w:pPr>
            <w:r w:rsidRPr="00EF373F">
              <w:rPr>
                <w:color w:val="000000"/>
                <w:sz w:val="20"/>
                <w:szCs w:val="20"/>
              </w:rPr>
              <w:t>0.5</w:t>
            </w:r>
          </w:p>
        </w:tc>
        <w:tc>
          <w:tcPr>
            <w:tcW w:w="1648" w:type="dxa"/>
            <w:tcBorders>
              <w:top w:val="nil"/>
              <w:left w:val="nil"/>
              <w:bottom w:val="single" w:sz="8" w:space="0" w:color="000000"/>
              <w:right w:val="single" w:sz="8" w:space="0" w:color="000000"/>
            </w:tcBorders>
            <w:shd w:val="clear" w:color="auto" w:fill="auto"/>
            <w:noWrap/>
            <w:vAlign w:val="bottom"/>
            <w:hideMark/>
          </w:tcPr>
          <w:p w14:paraId="2EBDAAD6" w14:textId="77777777" w:rsidR="00D81D66" w:rsidRPr="00EF373F" w:rsidRDefault="00D81D66" w:rsidP="00BB4F8B">
            <w:pPr>
              <w:jc w:val="center"/>
              <w:rPr>
                <w:color w:val="000000"/>
                <w:sz w:val="20"/>
                <w:szCs w:val="20"/>
              </w:rPr>
            </w:pPr>
            <w:r w:rsidRPr="00EF373F">
              <w:rPr>
                <w:color w:val="000000"/>
                <w:sz w:val="20"/>
                <w:szCs w:val="20"/>
              </w:rPr>
              <w:t>0.7</w:t>
            </w:r>
          </w:p>
        </w:tc>
        <w:tc>
          <w:tcPr>
            <w:tcW w:w="1648" w:type="dxa"/>
            <w:tcBorders>
              <w:top w:val="nil"/>
              <w:left w:val="nil"/>
              <w:bottom w:val="single" w:sz="8" w:space="0" w:color="000000"/>
              <w:right w:val="single" w:sz="8" w:space="0" w:color="000000"/>
            </w:tcBorders>
            <w:shd w:val="clear" w:color="auto" w:fill="auto"/>
            <w:noWrap/>
            <w:vAlign w:val="bottom"/>
            <w:hideMark/>
          </w:tcPr>
          <w:p w14:paraId="3D4FA1BE" w14:textId="77777777" w:rsidR="00D81D66" w:rsidRPr="00EF373F" w:rsidRDefault="00D81D66" w:rsidP="00BB4F8B">
            <w:pPr>
              <w:jc w:val="center"/>
              <w:rPr>
                <w:color w:val="000000"/>
                <w:sz w:val="20"/>
                <w:szCs w:val="20"/>
              </w:rPr>
            </w:pPr>
            <w:r w:rsidRPr="00EF373F">
              <w:rPr>
                <w:color w:val="000000"/>
                <w:sz w:val="20"/>
                <w:szCs w:val="20"/>
              </w:rPr>
              <w:t>0.7</w:t>
            </w:r>
          </w:p>
        </w:tc>
      </w:tr>
      <w:tr w:rsidR="00D81D66" w:rsidRPr="00EF373F" w14:paraId="593E7364"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8407D24" w14:textId="77777777" w:rsidR="00D81D66" w:rsidRPr="00EF373F" w:rsidRDefault="00D81D66" w:rsidP="00BB4F8B">
            <w:pPr>
              <w:ind w:firstLineChars="100" w:firstLine="200"/>
              <w:rPr>
                <w:color w:val="000000"/>
                <w:sz w:val="20"/>
                <w:szCs w:val="20"/>
              </w:rPr>
            </w:pPr>
            <w:r w:rsidRPr="00EF373F">
              <w:rPr>
                <w:color w:val="000000"/>
                <w:sz w:val="20"/>
                <w:szCs w:val="20"/>
              </w:rPr>
              <w:t>Social Security, Welfare, and Employment</w:t>
            </w:r>
          </w:p>
        </w:tc>
        <w:tc>
          <w:tcPr>
            <w:tcW w:w="1648" w:type="dxa"/>
            <w:tcBorders>
              <w:top w:val="nil"/>
              <w:left w:val="nil"/>
              <w:bottom w:val="single" w:sz="8" w:space="0" w:color="000000"/>
              <w:right w:val="single" w:sz="8" w:space="0" w:color="000000"/>
            </w:tcBorders>
            <w:shd w:val="clear" w:color="auto" w:fill="auto"/>
            <w:noWrap/>
            <w:vAlign w:val="bottom"/>
            <w:hideMark/>
          </w:tcPr>
          <w:p w14:paraId="4D0D8779" w14:textId="77777777" w:rsidR="00D81D66" w:rsidRPr="00EF373F" w:rsidRDefault="00D81D66" w:rsidP="00BB4F8B">
            <w:pPr>
              <w:jc w:val="center"/>
              <w:rPr>
                <w:color w:val="000000"/>
                <w:sz w:val="20"/>
                <w:szCs w:val="20"/>
              </w:rPr>
            </w:pPr>
            <w:r w:rsidRPr="00EF373F">
              <w:rPr>
                <w:color w:val="000000"/>
                <w:sz w:val="20"/>
                <w:szCs w:val="20"/>
              </w:rPr>
              <w:t>1.5</w:t>
            </w:r>
          </w:p>
        </w:tc>
        <w:tc>
          <w:tcPr>
            <w:tcW w:w="1648" w:type="dxa"/>
            <w:tcBorders>
              <w:top w:val="nil"/>
              <w:left w:val="nil"/>
              <w:bottom w:val="single" w:sz="8" w:space="0" w:color="000000"/>
              <w:right w:val="single" w:sz="8" w:space="0" w:color="000000"/>
            </w:tcBorders>
            <w:shd w:val="clear" w:color="auto" w:fill="auto"/>
            <w:noWrap/>
            <w:vAlign w:val="bottom"/>
            <w:hideMark/>
          </w:tcPr>
          <w:p w14:paraId="1B130C0B" w14:textId="77777777" w:rsidR="00D81D66" w:rsidRPr="00EF373F" w:rsidRDefault="00D81D66" w:rsidP="00BB4F8B">
            <w:pPr>
              <w:jc w:val="center"/>
              <w:rPr>
                <w:color w:val="000000"/>
                <w:sz w:val="20"/>
                <w:szCs w:val="20"/>
              </w:rPr>
            </w:pPr>
            <w:r>
              <w:rPr>
                <w:color w:val="000000"/>
                <w:sz w:val="20"/>
                <w:szCs w:val="20"/>
              </w:rPr>
              <w:t>1.7</w:t>
            </w:r>
          </w:p>
        </w:tc>
        <w:tc>
          <w:tcPr>
            <w:tcW w:w="1648" w:type="dxa"/>
            <w:tcBorders>
              <w:top w:val="nil"/>
              <w:left w:val="nil"/>
              <w:bottom w:val="single" w:sz="8" w:space="0" w:color="000000"/>
              <w:right w:val="single" w:sz="8" w:space="0" w:color="000000"/>
            </w:tcBorders>
            <w:shd w:val="clear" w:color="auto" w:fill="auto"/>
            <w:noWrap/>
            <w:vAlign w:val="bottom"/>
            <w:hideMark/>
          </w:tcPr>
          <w:p w14:paraId="44C1C8BA" w14:textId="77777777" w:rsidR="00D81D66" w:rsidRPr="00EF373F" w:rsidRDefault="00D81D66" w:rsidP="00BB4F8B">
            <w:pPr>
              <w:jc w:val="center"/>
              <w:rPr>
                <w:color w:val="000000"/>
                <w:sz w:val="20"/>
                <w:szCs w:val="20"/>
              </w:rPr>
            </w:pPr>
            <w:r w:rsidRPr="00EF373F">
              <w:rPr>
                <w:color w:val="000000"/>
                <w:sz w:val="20"/>
                <w:szCs w:val="20"/>
              </w:rPr>
              <w:t>1.9</w:t>
            </w:r>
          </w:p>
        </w:tc>
      </w:tr>
      <w:tr w:rsidR="00D81D66" w:rsidRPr="00EF373F" w14:paraId="09E1F8C3"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4BDDABC7" w14:textId="77777777" w:rsidR="00D81D66" w:rsidRPr="00EF373F" w:rsidRDefault="00D81D66" w:rsidP="00BB4F8B">
            <w:pPr>
              <w:ind w:firstLineChars="100" w:firstLine="200"/>
              <w:rPr>
                <w:color w:val="000000"/>
                <w:sz w:val="20"/>
                <w:szCs w:val="20"/>
              </w:rPr>
            </w:pPr>
            <w:r w:rsidRPr="00EF373F">
              <w:rPr>
                <w:color w:val="000000"/>
                <w:sz w:val="20"/>
                <w:szCs w:val="20"/>
              </w:rPr>
              <w:t>Land Distribution (CARP)</w:t>
            </w:r>
          </w:p>
        </w:tc>
        <w:tc>
          <w:tcPr>
            <w:tcW w:w="1648" w:type="dxa"/>
            <w:tcBorders>
              <w:top w:val="nil"/>
              <w:left w:val="nil"/>
              <w:bottom w:val="single" w:sz="8" w:space="0" w:color="000000"/>
              <w:right w:val="single" w:sz="8" w:space="0" w:color="000000"/>
            </w:tcBorders>
            <w:shd w:val="clear" w:color="auto" w:fill="auto"/>
            <w:noWrap/>
            <w:vAlign w:val="bottom"/>
            <w:hideMark/>
          </w:tcPr>
          <w:p w14:paraId="1213D314"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1D955B51"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05DCFCFC" w14:textId="77777777" w:rsidR="00D81D66" w:rsidRPr="00EF373F" w:rsidRDefault="00D81D66" w:rsidP="00BB4F8B">
            <w:pPr>
              <w:jc w:val="center"/>
              <w:rPr>
                <w:color w:val="000000"/>
                <w:sz w:val="20"/>
                <w:szCs w:val="20"/>
              </w:rPr>
            </w:pPr>
            <w:r w:rsidRPr="00EF373F">
              <w:rPr>
                <w:color w:val="000000"/>
                <w:sz w:val="20"/>
                <w:szCs w:val="20"/>
              </w:rPr>
              <w:t>0.0</w:t>
            </w:r>
          </w:p>
        </w:tc>
      </w:tr>
      <w:tr w:rsidR="00D81D66" w:rsidRPr="00EF373F" w14:paraId="532B5B60"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D110092" w14:textId="77777777" w:rsidR="00D81D66" w:rsidRPr="00EF373F" w:rsidRDefault="00D81D66" w:rsidP="00BB4F8B">
            <w:pPr>
              <w:ind w:firstLineChars="100" w:firstLine="200"/>
              <w:rPr>
                <w:color w:val="000000"/>
                <w:sz w:val="20"/>
                <w:szCs w:val="20"/>
              </w:rPr>
            </w:pPr>
            <w:r w:rsidRPr="00EF373F">
              <w:rPr>
                <w:color w:val="000000"/>
                <w:sz w:val="20"/>
                <w:szCs w:val="20"/>
              </w:rPr>
              <w:t>Housing and Community Development</w:t>
            </w:r>
          </w:p>
        </w:tc>
        <w:tc>
          <w:tcPr>
            <w:tcW w:w="1648" w:type="dxa"/>
            <w:tcBorders>
              <w:top w:val="nil"/>
              <w:left w:val="nil"/>
              <w:bottom w:val="single" w:sz="8" w:space="0" w:color="000000"/>
              <w:right w:val="single" w:sz="8" w:space="0" w:color="000000"/>
            </w:tcBorders>
            <w:shd w:val="clear" w:color="auto" w:fill="auto"/>
            <w:noWrap/>
            <w:vAlign w:val="bottom"/>
            <w:hideMark/>
          </w:tcPr>
          <w:p w14:paraId="504FAF90" w14:textId="77777777" w:rsidR="00D81D66" w:rsidRPr="00EF373F" w:rsidRDefault="00D81D66" w:rsidP="00BB4F8B">
            <w:pPr>
              <w:jc w:val="center"/>
              <w:rPr>
                <w:color w:val="000000"/>
                <w:sz w:val="20"/>
                <w:szCs w:val="20"/>
              </w:rPr>
            </w:pPr>
            <w:r w:rsidRPr="00EF373F">
              <w:rPr>
                <w:color w:val="000000"/>
                <w:sz w:val="20"/>
                <w:szCs w:val="20"/>
              </w:rPr>
              <w:t>0.3</w:t>
            </w:r>
          </w:p>
        </w:tc>
        <w:tc>
          <w:tcPr>
            <w:tcW w:w="1648" w:type="dxa"/>
            <w:tcBorders>
              <w:top w:val="nil"/>
              <w:left w:val="nil"/>
              <w:bottom w:val="single" w:sz="8" w:space="0" w:color="000000"/>
              <w:right w:val="single" w:sz="8" w:space="0" w:color="000000"/>
            </w:tcBorders>
            <w:shd w:val="clear" w:color="auto" w:fill="auto"/>
            <w:noWrap/>
            <w:vAlign w:val="bottom"/>
            <w:hideMark/>
          </w:tcPr>
          <w:p w14:paraId="1C0F0EF1" w14:textId="77777777" w:rsidR="00D81D66" w:rsidRPr="00EF373F" w:rsidRDefault="00D81D66" w:rsidP="00BB4F8B">
            <w:pPr>
              <w:jc w:val="center"/>
              <w:rPr>
                <w:color w:val="000000"/>
                <w:sz w:val="20"/>
                <w:szCs w:val="20"/>
              </w:rPr>
            </w:pPr>
            <w:r w:rsidRPr="00EF373F">
              <w:rPr>
                <w:color w:val="000000"/>
                <w:sz w:val="20"/>
                <w:szCs w:val="20"/>
              </w:rPr>
              <w:t>0.2</w:t>
            </w:r>
          </w:p>
        </w:tc>
        <w:tc>
          <w:tcPr>
            <w:tcW w:w="1648" w:type="dxa"/>
            <w:tcBorders>
              <w:top w:val="nil"/>
              <w:left w:val="nil"/>
              <w:bottom w:val="single" w:sz="8" w:space="0" w:color="000000"/>
              <w:right w:val="single" w:sz="8" w:space="0" w:color="000000"/>
            </w:tcBorders>
            <w:shd w:val="clear" w:color="auto" w:fill="auto"/>
            <w:noWrap/>
            <w:vAlign w:val="bottom"/>
            <w:hideMark/>
          </w:tcPr>
          <w:p w14:paraId="08BCEF0C" w14:textId="77777777" w:rsidR="00D81D66" w:rsidRPr="00EF373F" w:rsidRDefault="00D81D66" w:rsidP="00BB4F8B">
            <w:pPr>
              <w:jc w:val="center"/>
              <w:rPr>
                <w:color w:val="000000"/>
                <w:sz w:val="20"/>
                <w:szCs w:val="20"/>
              </w:rPr>
            </w:pPr>
            <w:r w:rsidRPr="00EF373F">
              <w:rPr>
                <w:color w:val="000000"/>
                <w:sz w:val="20"/>
                <w:szCs w:val="20"/>
              </w:rPr>
              <w:t>0.1</w:t>
            </w:r>
          </w:p>
        </w:tc>
      </w:tr>
      <w:tr w:rsidR="00D81D66" w:rsidRPr="00EF373F" w14:paraId="0E4A9876"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415D5EAC" w14:textId="77777777" w:rsidR="00D81D66" w:rsidRPr="00EF373F" w:rsidRDefault="00D81D66" w:rsidP="00BB4F8B">
            <w:pPr>
              <w:ind w:firstLineChars="100" w:firstLine="200"/>
              <w:rPr>
                <w:color w:val="000000"/>
                <w:sz w:val="20"/>
                <w:szCs w:val="20"/>
              </w:rPr>
            </w:pPr>
            <w:r w:rsidRPr="00EF373F">
              <w:rPr>
                <w:color w:val="000000"/>
                <w:sz w:val="20"/>
                <w:szCs w:val="20"/>
              </w:rPr>
              <w:t>Other Social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3605BC6F"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151AC0E6"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3E66F17A" w14:textId="77777777" w:rsidR="00D81D66" w:rsidRPr="00EF373F" w:rsidRDefault="00D81D66" w:rsidP="00BB4F8B">
            <w:pPr>
              <w:jc w:val="center"/>
              <w:rPr>
                <w:color w:val="000000"/>
                <w:sz w:val="20"/>
                <w:szCs w:val="20"/>
              </w:rPr>
            </w:pPr>
            <w:r w:rsidRPr="00EF373F">
              <w:rPr>
                <w:color w:val="000000"/>
                <w:sz w:val="20"/>
                <w:szCs w:val="20"/>
              </w:rPr>
              <w:t>0.0</w:t>
            </w:r>
          </w:p>
        </w:tc>
      </w:tr>
      <w:tr w:rsidR="00D81D66" w:rsidRPr="00EF373F" w14:paraId="36F70950"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5EC790C0" w14:textId="77777777" w:rsidR="00D81D66" w:rsidRPr="00EF373F" w:rsidRDefault="00D81D66" w:rsidP="00BB4F8B">
            <w:pPr>
              <w:ind w:firstLineChars="100" w:firstLine="200"/>
              <w:rPr>
                <w:color w:val="000000"/>
                <w:sz w:val="20"/>
                <w:szCs w:val="20"/>
              </w:rPr>
            </w:pPr>
            <w:r w:rsidRPr="00EF373F">
              <w:rPr>
                <w:color w:val="000000"/>
                <w:sz w:val="20"/>
                <w:szCs w:val="20"/>
              </w:rPr>
              <w:t>Subsidy to Local Government Units</w:t>
            </w:r>
          </w:p>
        </w:tc>
        <w:tc>
          <w:tcPr>
            <w:tcW w:w="1648" w:type="dxa"/>
            <w:tcBorders>
              <w:top w:val="nil"/>
              <w:left w:val="nil"/>
              <w:bottom w:val="single" w:sz="8" w:space="0" w:color="000000"/>
              <w:right w:val="single" w:sz="8" w:space="0" w:color="000000"/>
            </w:tcBorders>
            <w:shd w:val="clear" w:color="auto" w:fill="auto"/>
            <w:noWrap/>
            <w:vAlign w:val="bottom"/>
            <w:hideMark/>
          </w:tcPr>
          <w:p w14:paraId="29090432" w14:textId="77777777" w:rsidR="00D81D66" w:rsidRPr="00EF373F" w:rsidRDefault="00D81D66" w:rsidP="00BB4F8B">
            <w:pPr>
              <w:jc w:val="center"/>
              <w:rPr>
                <w:color w:val="000000"/>
                <w:sz w:val="20"/>
                <w:szCs w:val="20"/>
              </w:rPr>
            </w:pPr>
            <w:r w:rsidRPr="00EF373F">
              <w:rPr>
                <w:color w:val="000000"/>
                <w:sz w:val="20"/>
                <w:szCs w:val="20"/>
              </w:rPr>
              <w:t>1.0</w:t>
            </w:r>
          </w:p>
        </w:tc>
        <w:tc>
          <w:tcPr>
            <w:tcW w:w="1648" w:type="dxa"/>
            <w:tcBorders>
              <w:top w:val="nil"/>
              <w:left w:val="nil"/>
              <w:bottom w:val="single" w:sz="8" w:space="0" w:color="000000"/>
              <w:right w:val="single" w:sz="8" w:space="0" w:color="000000"/>
            </w:tcBorders>
            <w:shd w:val="clear" w:color="auto" w:fill="auto"/>
            <w:noWrap/>
            <w:vAlign w:val="bottom"/>
            <w:hideMark/>
          </w:tcPr>
          <w:p w14:paraId="59F2C1F6" w14:textId="77777777" w:rsidR="00D81D66" w:rsidRPr="00EF373F" w:rsidRDefault="00D81D66" w:rsidP="00BB4F8B">
            <w:pPr>
              <w:jc w:val="center"/>
              <w:rPr>
                <w:color w:val="000000"/>
                <w:sz w:val="20"/>
                <w:szCs w:val="20"/>
              </w:rPr>
            </w:pPr>
            <w:r w:rsidRPr="00EF373F">
              <w:rPr>
                <w:color w:val="000000"/>
                <w:sz w:val="20"/>
                <w:szCs w:val="20"/>
              </w:rPr>
              <w:t>1.0</w:t>
            </w:r>
          </w:p>
        </w:tc>
        <w:tc>
          <w:tcPr>
            <w:tcW w:w="1648" w:type="dxa"/>
            <w:tcBorders>
              <w:top w:val="nil"/>
              <w:left w:val="nil"/>
              <w:bottom w:val="single" w:sz="8" w:space="0" w:color="000000"/>
              <w:right w:val="single" w:sz="8" w:space="0" w:color="000000"/>
            </w:tcBorders>
            <w:shd w:val="clear" w:color="auto" w:fill="auto"/>
            <w:noWrap/>
            <w:vAlign w:val="bottom"/>
            <w:hideMark/>
          </w:tcPr>
          <w:p w14:paraId="5107E55D" w14:textId="77777777" w:rsidR="00D81D66" w:rsidRPr="00EF373F" w:rsidRDefault="00D81D66" w:rsidP="00BB4F8B">
            <w:pPr>
              <w:jc w:val="center"/>
              <w:rPr>
                <w:color w:val="000000"/>
                <w:sz w:val="20"/>
                <w:szCs w:val="20"/>
              </w:rPr>
            </w:pPr>
            <w:r w:rsidRPr="00EF373F">
              <w:rPr>
                <w:color w:val="000000"/>
                <w:sz w:val="20"/>
                <w:szCs w:val="20"/>
              </w:rPr>
              <w:t>1.1</w:t>
            </w:r>
          </w:p>
        </w:tc>
      </w:tr>
      <w:tr w:rsidR="00D81D66" w:rsidRPr="00EF373F" w14:paraId="071AB4DF"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E2D0473" w14:textId="77777777" w:rsidR="00D81D66" w:rsidRPr="00EF373F" w:rsidRDefault="00D81D66" w:rsidP="00BB4F8B">
            <w:pPr>
              <w:rPr>
                <w:b/>
                <w:bCs/>
                <w:color w:val="000000"/>
                <w:sz w:val="20"/>
                <w:szCs w:val="20"/>
              </w:rPr>
            </w:pPr>
            <w:r w:rsidRPr="00EF373F">
              <w:rPr>
                <w:b/>
                <w:bCs/>
                <w:color w:val="000000"/>
                <w:sz w:val="20"/>
                <w:szCs w:val="20"/>
              </w:rPr>
              <w:t>Defense</w:t>
            </w:r>
          </w:p>
        </w:tc>
        <w:tc>
          <w:tcPr>
            <w:tcW w:w="1648" w:type="dxa"/>
            <w:tcBorders>
              <w:top w:val="nil"/>
              <w:left w:val="nil"/>
              <w:bottom w:val="single" w:sz="8" w:space="0" w:color="000000"/>
              <w:right w:val="single" w:sz="8" w:space="0" w:color="000000"/>
            </w:tcBorders>
            <w:shd w:val="clear" w:color="auto" w:fill="auto"/>
            <w:noWrap/>
            <w:vAlign w:val="bottom"/>
            <w:hideMark/>
          </w:tcPr>
          <w:p w14:paraId="60108711" w14:textId="77777777" w:rsidR="00D81D66" w:rsidRPr="00EF373F" w:rsidRDefault="00D81D66" w:rsidP="00BB4F8B">
            <w:pPr>
              <w:jc w:val="center"/>
              <w:rPr>
                <w:b/>
                <w:bCs/>
                <w:color w:val="000000"/>
                <w:sz w:val="20"/>
                <w:szCs w:val="20"/>
              </w:rPr>
            </w:pPr>
            <w:r w:rsidRPr="00EF373F">
              <w:rPr>
                <w:b/>
                <w:bCs/>
                <w:color w:val="000000"/>
                <w:sz w:val="20"/>
                <w:szCs w:val="20"/>
              </w:rPr>
              <w:t>0.8</w:t>
            </w:r>
          </w:p>
        </w:tc>
        <w:tc>
          <w:tcPr>
            <w:tcW w:w="1648" w:type="dxa"/>
            <w:tcBorders>
              <w:top w:val="nil"/>
              <w:left w:val="nil"/>
              <w:bottom w:val="single" w:sz="8" w:space="0" w:color="000000"/>
              <w:right w:val="single" w:sz="8" w:space="0" w:color="000000"/>
            </w:tcBorders>
            <w:shd w:val="clear" w:color="auto" w:fill="auto"/>
            <w:noWrap/>
            <w:vAlign w:val="bottom"/>
            <w:hideMark/>
          </w:tcPr>
          <w:p w14:paraId="751A8877" w14:textId="77777777" w:rsidR="00D81D66" w:rsidRPr="00EF373F" w:rsidRDefault="00D81D66" w:rsidP="00BB4F8B">
            <w:pPr>
              <w:jc w:val="center"/>
              <w:rPr>
                <w:b/>
                <w:bCs/>
                <w:color w:val="000000"/>
                <w:sz w:val="20"/>
                <w:szCs w:val="20"/>
              </w:rPr>
            </w:pPr>
            <w:r w:rsidRPr="00EF373F">
              <w:rPr>
                <w:b/>
                <w:bCs/>
                <w:color w:val="000000"/>
                <w:sz w:val="20"/>
                <w:szCs w:val="20"/>
              </w:rPr>
              <w:t>0.7</w:t>
            </w:r>
          </w:p>
        </w:tc>
        <w:tc>
          <w:tcPr>
            <w:tcW w:w="1648" w:type="dxa"/>
            <w:tcBorders>
              <w:top w:val="nil"/>
              <w:left w:val="nil"/>
              <w:bottom w:val="single" w:sz="8" w:space="0" w:color="000000"/>
              <w:right w:val="single" w:sz="8" w:space="0" w:color="000000"/>
            </w:tcBorders>
            <w:shd w:val="clear" w:color="auto" w:fill="auto"/>
            <w:noWrap/>
            <w:vAlign w:val="bottom"/>
            <w:hideMark/>
          </w:tcPr>
          <w:p w14:paraId="15F22FA6" w14:textId="77777777" w:rsidR="00D81D66" w:rsidRPr="00EF373F" w:rsidRDefault="00D81D66" w:rsidP="00BB4F8B">
            <w:pPr>
              <w:jc w:val="center"/>
              <w:rPr>
                <w:b/>
                <w:bCs/>
                <w:color w:val="000000"/>
                <w:sz w:val="20"/>
                <w:szCs w:val="20"/>
              </w:rPr>
            </w:pPr>
            <w:r w:rsidRPr="00EF373F">
              <w:rPr>
                <w:b/>
                <w:bCs/>
                <w:color w:val="000000"/>
                <w:sz w:val="20"/>
                <w:szCs w:val="20"/>
              </w:rPr>
              <w:t>0.9</w:t>
            </w:r>
          </w:p>
        </w:tc>
      </w:tr>
      <w:tr w:rsidR="00D81D66" w:rsidRPr="00EF373F" w14:paraId="528C5E92"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6998004" w14:textId="77777777" w:rsidR="00D81D66" w:rsidRPr="00EF373F" w:rsidRDefault="00D81D66" w:rsidP="00BB4F8B">
            <w:pPr>
              <w:ind w:firstLineChars="100" w:firstLine="200"/>
              <w:rPr>
                <w:color w:val="000000"/>
                <w:sz w:val="20"/>
                <w:szCs w:val="20"/>
              </w:rPr>
            </w:pPr>
            <w:r w:rsidRPr="00EF373F">
              <w:rPr>
                <w:color w:val="000000"/>
                <w:sz w:val="20"/>
                <w:szCs w:val="20"/>
              </w:rPr>
              <w:t>Domestic Security</w:t>
            </w:r>
          </w:p>
        </w:tc>
        <w:tc>
          <w:tcPr>
            <w:tcW w:w="1648" w:type="dxa"/>
            <w:tcBorders>
              <w:top w:val="nil"/>
              <w:left w:val="nil"/>
              <w:bottom w:val="single" w:sz="8" w:space="0" w:color="000000"/>
              <w:right w:val="single" w:sz="8" w:space="0" w:color="000000"/>
            </w:tcBorders>
            <w:shd w:val="clear" w:color="auto" w:fill="auto"/>
            <w:noWrap/>
            <w:vAlign w:val="bottom"/>
            <w:hideMark/>
          </w:tcPr>
          <w:p w14:paraId="69D0EB59" w14:textId="77777777" w:rsidR="00D81D66" w:rsidRPr="00EF373F" w:rsidRDefault="00D81D66" w:rsidP="00BB4F8B">
            <w:pPr>
              <w:jc w:val="center"/>
              <w:rPr>
                <w:color w:val="000000"/>
                <w:sz w:val="20"/>
                <w:szCs w:val="20"/>
              </w:rPr>
            </w:pPr>
            <w:r w:rsidRPr="00EF373F">
              <w:rPr>
                <w:color w:val="000000"/>
                <w:sz w:val="20"/>
                <w:szCs w:val="20"/>
              </w:rPr>
              <w:t>0.8</w:t>
            </w:r>
          </w:p>
        </w:tc>
        <w:tc>
          <w:tcPr>
            <w:tcW w:w="1648" w:type="dxa"/>
            <w:tcBorders>
              <w:top w:val="nil"/>
              <w:left w:val="nil"/>
              <w:bottom w:val="single" w:sz="8" w:space="0" w:color="000000"/>
              <w:right w:val="single" w:sz="8" w:space="0" w:color="000000"/>
            </w:tcBorders>
            <w:shd w:val="clear" w:color="auto" w:fill="auto"/>
            <w:noWrap/>
            <w:vAlign w:val="bottom"/>
            <w:hideMark/>
          </w:tcPr>
          <w:p w14:paraId="0EE1A3A1" w14:textId="77777777" w:rsidR="00D81D66" w:rsidRPr="00EF373F" w:rsidRDefault="00D81D66" w:rsidP="00BB4F8B">
            <w:pPr>
              <w:jc w:val="center"/>
              <w:rPr>
                <w:color w:val="000000"/>
                <w:sz w:val="20"/>
                <w:szCs w:val="20"/>
              </w:rPr>
            </w:pPr>
            <w:r w:rsidRPr="00EF373F">
              <w:rPr>
                <w:color w:val="000000"/>
                <w:sz w:val="20"/>
                <w:szCs w:val="20"/>
              </w:rPr>
              <w:t>0.7</w:t>
            </w:r>
          </w:p>
        </w:tc>
        <w:tc>
          <w:tcPr>
            <w:tcW w:w="1648" w:type="dxa"/>
            <w:tcBorders>
              <w:top w:val="nil"/>
              <w:left w:val="nil"/>
              <w:bottom w:val="single" w:sz="8" w:space="0" w:color="000000"/>
              <w:right w:val="single" w:sz="8" w:space="0" w:color="000000"/>
            </w:tcBorders>
            <w:shd w:val="clear" w:color="auto" w:fill="auto"/>
            <w:noWrap/>
            <w:vAlign w:val="bottom"/>
            <w:hideMark/>
          </w:tcPr>
          <w:p w14:paraId="014F195B" w14:textId="77777777" w:rsidR="00D81D66" w:rsidRPr="00EF373F" w:rsidRDefault="00D81D66" w:rsidP="00BB4F8B">
            <w:pPr>
              <w:jc w:val="center"/>
              <w:rPr>
                <w:color w:val="000000"/>
                <w:sz w:val="20"/>
                <w:szCs w:val="20"/>
              </w:rPr>
            </w:pPr>
            <w:r w:rsidRPr="00EF373F">
              <w:rPr>
                <w:color w:val="000000"/>
                <w:sz w:val="20"/>
                <w:szCs w:val="20"/>
              </w:rPr>
              <w:t>0.9</w:t>
            </w:r>
          </w:p>
        </w:tc>
      </w:tr>
      <w:tr w:rsidR="00D81D66" w:rsidRPr="00EF373F" w14:paraId="423940F0"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6E14EED0" w14:textId="77777777" w:rsidR="00D81D66" w:rsidRPr="00EF373F" w:rsidRDefault="00D81D66" w:rsidP="00BB4F8B">
            <w:pPr>
              <w:rPr>
                <w:b/>
                <w:bCs/>
                <w:color w:val="000000"/>
                <w:sz w:val="20"/>
                <w:szCs w:val="20"/>
              </w:rPr>
            </w:pPr>
            <w:r w:rsidRPr="00EF373F">
              <w:rPr>
                <w:b/>
                <w:bCs/>
                <w:color w:val="000000"/>
                <w:sz w:val="20"/>
                <w:szCs w:val="20"/>
              </w:rPr>
              <w:t>General Public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341A9CD2" w14:textId="77777777" w:rsidR="00D81D66" w:rsidRPr="00EF373F" w:rsidRDefault="00D81D66" w:rsidP="00BB4F8B">
            <w:pPr>
              <w:jc w:val="center"/>
              <w:rPr>
                <w:b/>
                <w:bCs/>
                <w:color w:val="000000"/>
                <w:sz w:val="20"/>
                <w:szCs w:val="20"/>
              </w:rPr>
            </w:pPr>
            <w:r w:rsidRPr="00EF373F">
              <w:rPr>
                <w:b/>
                <w:bCs/>
                <w:color w:val="000000"/>
                <w:sz w:val="20"/>
                <w:szCs w:val="20"/>
              </w:rPr>
              <w:t>3.0</w:t>
            </w:r>
          </w:p>
        </w:tc>
        <w:tc>
          <w:tcPr>
            <w:tcW w:w="1648" w:type="dxa"/>
            <w:tcBorders>
              <w:top w:val="nil"/>
              <w:left w:val="nil"/>
              <w:bottom w:val="single" w:sz="8" w:space="0" w:color="000000"/>
              <w:right w:val="single" w:sz="8" w:space="0" w:color="000000"/>
            </w:tcBorders>
            <w:shd w:val="clear" w:color="auto" w:fill="auto"/>
            <w:noWrap/>
            <w:vAlign w:val="bottom"/>
            <w:hideMark/>
          </w:tcPr>
          <w:p w14:paraId="7BFEF67B" w14:textId="77777777" w:rsidR="00D81D66" w:rsidRPr="00EF373F" w:rsidRDefault="00D81D66" w:rsidP="00BB4F8B">
            <w:pPr>
              <w:jc w:val="center"/>
              <w:rPr>
                <w:b/>
                <w:bCs/>
                <w:color w:val="000000"/>
                <w:sz w:val="20"/>
                <w:szCs w:val="20"/>
              </w:rPr>
            </w:pPr>
            <w:r w:rsidRPr="00EF373F">
              <w:rPr>
                <w:b/>
                <w:bCs/>
                <w:color w:val="000000"/>
                <w:sz w:val="20"/>
                <w:szCs w:val="20"/>
              </w:rPr>
              <w:t>2.7</w:t>
            </w:r>
          </w:p>
        </w:tc>
        <w:tc>
          <w:tcPr>
            <w:tcW w:w="1648" w:type="dxa"/>
            <w:tcBorders>
              <w:top w:val="nil"/>
              <w:left w:val="nil"/>
              <w:bottom w:val="single" w:sz="8" w:space="0" w:color="000000"/>
              <w:right w:val="single" w:sz="8" w:space="0" w:color="000000"/>
            </w:tcBorders>
            <w:shd w:val="clear" w:color="auto" w:fill="auto"/>
            <w:noWrap/>
            <w:vAlign w:val="bottom"/>
            <w:hideMark/>
          </w:tcPr>
          <w:p w14:paraId="7F42D6D9" w14:textId="77777777" w:rsidR="00D81D66" w:rsidRPr="00EF373F" w:rsidRDefault="00D81D66" w:rsidP="00BB4F8B">
            <w:pPr>
              <w:jc w:val="center"/>
              <w:rPr>
                <w:b/>
                <w:bCs/>
                <w:color w:val="000000"/>
                <w:sz w:val="20"/>
                <w:szCs w:val="20"/>
              </w:rPr>
            </w:pPr>
            <w:r w:rsidRPr="00EF373F">
              <w:rPr>
                <w:b/>
                <w:bCs/>
                <w:color w:val="000000"/>
                <w:sz w:val="20"/>
                <w:szCs w:val="20"/>
              </w:rPr>
              <w:t>3.2</w:t>
            </w:r>
          </w:p>
        </w:tc>
      </w:tr>
      <w:tr w:rsidR="00D81D66" w:rsidRPr="00EF373F" w14:paraId="2E292654"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297D05A4" w14:textId="77777777" w:rsidR="00D81D66" w:rsidRPr="00EF373F" w:rsidRDefault="00D81D66" w:rsidP="00BB4F8B">
            <w:pPr>
              <w:ind w:firstLineChars="100" w:firstLine="200"/>
              <w:rPr>
                <w:color w:val="000000"/>
                <w:sz w:val="20"/>
                <w:szCs w:val="20"/>
              </w:rPr>
            </w:pPr>
            <w:r w:rsidRPr="00EF373F">
              <w:rPr>
                <w:color w:val="000000"/>
                <w:sz w:val="20"/>
                <w:szCs w:val="20"/>
              </w:rPr>
              <w:t>General Administration</w:t>
            </w:r>
          </w:p>
        </w:tc>
        <w:tc>
          <w:tcPr>
            <w:tcW w:w="1648" w:type="dxa"/>
            <w:tcBorders>
              <w:top w:val="nil"/>
              <w:left w:val="nil"/>
              <w:bottom w:val="single" w:sz="8" w:space="0" w:color="000000"/>
              <w:right w:val="single" w:sz="8" w:space="0" w:color="000000"/>
            </w:tcBorders>
            <w:shd w:val="clear" w:color="auto" w:fill="auto"/>
            <w:noWrap/>
            <w:vAlign w:val="bottom"/>
            <w:hideMark/>
          </w:tcPr>
          <w:p w14:paraId="3C4E1EDF" w14:textId="77777777" w:rsidR="00D81D66" w:rsidRPr="00EF373F" w:rsidRDefault="00D81D66" w:rsidP="00BB4F8B">
            <w:pPr>
              <w:jc w:val="center"/>
              <w:rPr>
                <w:color w:val="000000"/>
                <w:sz w:val="20"/>
                <w:szCs w:val="20"/>
              </w:rPr>
            </w:pPr>
            <w:r w:rsidRPr="00EF373F">
              <w:rPr>
                <w:color w:val="000000"/>
                <w:sz w:val="20"/>
                <w:szCs w:val="20"/>
              </w:rPr>
              <w:t>1.1</w:t>
            </w:r>
          </w:p>
        </w:tc>
        <w:tc>
          <w:tcPr>
            <w:tcW w:w="1648" w:type="dxa"/>
            <w:tcBorders>
              <w:top w:val="nil"/>
              <w:left w:val="nil"/>
              <w:bottom w:val="single" w:sz="8" w:space="0" w:color="000000"/>
              <w:right w:val="single" w:sz="8" w:space="0" w:color="000000"/>
            </w:tcBorders>
            <w:shd w:val="clear" w:color="auto" w:fill="auto"/>
            <w:noWrap/>
            <w:vAlign w:val="bottom"/>
            <w:hideMark/>
          </w:tcPr>
          <w:p w14:paraId="1C0336FE" w14:textId="77777777" w:rsidR="00D81D66" w:rsidRPr="00EF373F" w:rsidRDefault="00D81D66" w:rsidP="00BB4F8B">
            <w:pPr>
              <w:jc w:val="center"/>
              <w:rPr>
                <w:color w:val="000000"/>
                <w:sz w:val="20"/>
                <w:szCs w:val="20"/>
              </w:rPr>
            </w:pPr>
            <w:r w:rsidRPr="00EF373F">
              <w:rPr>
                <w:color w:val="000000"/>
                <w:sz w:val="20"/>
                <w:szCs w:val="20"/>
              </w:rPr>
              <w:t>0.9</w:t>
            </w:r>
          </w:p>
        </w:tc>
        <w:tc>
          <w:tcPr>
            <w:tcW w:w="1648" w:type="dxa"/>
            <w:tcBorders>
              <w:top w:val="nil"/>
              <w:left w:val="nil"/>
              <w:bottom w:val="single" w:sz="8" w:space="0" w:color="000000"/>
              <w:right w:val="single" w:sz="8" w:space="0" w:color="000000"/>
            </w:tcBorders>
            <w:shd w:val="clear" w:color="auto" w:fill="auto"/>
            <w:noWrap/>
            <w:vAlign w:val="bottom"/>
            <w:hideMark/>
          </w:tcPr>
          <w:p w14:paraId="426169EB" w14:textId="77777777" w:rsidR="00D81D66" w:rsidRPr="00EF373F" w:rsidRDefault="00D81D66" w:rsidP="00BB4F8B">
            <w:pPr>
              <w:jc w:val="center"/>
              <w:rPr>
                <w:color w:val="000000"/>
                <w:sz w:val="20"/>
                <w:szCs w:val="20"/>
              </w:rPr>
            </w:pPr>
            <w:r w:rsidRPr="00EF373F">
              <w:rPr>
                <w:color w:val="000000"/>
                <w:sz w:val="20"/>
                <w:szCs w:val="20"/>
              </w:rPr>
              <w:t>1.2</w:t>
            </w:r>
          </w:p>
        </w:tc>
      </w:tr>
      <w:tr w:rsidR="00D81D66" w:rsidRPr="00EF373F" w14:paraId="659DCEB8"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BB022B4" w14:textId="77777777" w:rsidR="00D81D66" w:rsidRPr="00EF373F" w:rsidRDefault="00D81D66" w:rsidP="00BB4F8B">
            <w:pPr>
              <w:ind w:firstLineChars="100" w:firstLine="200"/>
              <w:rPr>
                <w:color w:val="000000"/>
                <w:sz w:val="20"/>
                <w:szCs w:val="20"/>
              </w:rPr>
            </w:pPr>
            <w:r w:rsidRPr="00EF373F">
              <w:rPr>
                <w:color w:val="000000"/>
                <w:sz w:val="20"/>
                <w:szCs w:val="20"/>
              </w:rPr>
              <w:t>Public Order and Safety</w:t>
            </w:r>
          </w:p>
        </w:tc>
        <w:tc>
          <w:tcPr>
            <w:tcW w:w="1648" w:type="dxa"/>
            <w:tcBorders>
              <w:top w:val="nil"/>
              <w:left w:val="nil"/>
              <w:bottom w:val="single" w:sz="8" w:space="0" w:color="000000"/>
              <w:right w:val="single" w:sz="8" w:space="0" w:color="000000"/>
            </w:tcBorders>
            <w:shd w:val="clear" w:color="auto" w:fill="auto"/>
            <w:noWrap/>
            <w:vAlign w:val="bottom"/>
            <w:hideMark/>
          </w:tcPr>
          <w:p w14:paraId="2F304A74" w14:textId="77777777" w:rsidR="00D81D66" w:rsidRPr="00EF373F" w:rsidRDefault="00D81D66" w:rsidP="00BB4F8B">
            <w:pPr>
              <w:jc w:val="center"/>
              <w:rPr>
                <w:color w:val="000000"/>
                <w:sz w:val="20"/>
                <w:szCs w:val="20"/>
              </w:rPr>
            </w:pPr>
            <w:r w:rsidRPr="00EF373F">
              <w:rPr>
                <w:color w:val="000000"/>
                <w:sz w:val="20"/>
                <w:szCs w:val="20"/>
              </w:rPr>
              <w:t>1.0</w:t>
            </w:r>
          </w:p>
        </w:tc>
        <w:tc>
          <w:tcPr>
            <w:tcW w:w="1648" w:type="dxa"/>
            <w:tcBorders>
              <w:top w:val="nil"/>
              <w:left w:val="nil"/>
              <w:bottom w:val="single" w:sz="8" w:space="0" w:color="000000"/>
              <w:right w:val="single" w:sz="8" w:space="0" w:color="000000"/>
            </w:tcBorders>
            <w:shd w:val="clear" w:color="auto" w:fill="auto"/>
            <w:noWrap/>
            <w:vAlign w:val="bottom"/>
            <w:hideMark/>
          </w:tcPr>
          <w:p w14:paraId="6AA50FBE" w14:textId="77777777" w:rsidR="00D81D66" w:rsidRPr="00EF373F" w:rsidRDefault="00D81D66" w:rsidP="00BB4F8B">
            <w:pPr>
              <w:jc w:val="center"/>
              <w:rPr>
                <w:color w:val="000000"/>
                <w:sz w:val="20"/>
                <w:szCs w:val="20"/>
              </w:rPr>
            </w:pPr>
            <w:r w:rsidRPr="00EF373F">
              <w:rPr>
                <w:color w:val="000000"/>
                <w:sz w:val="20"/>
                <w:szCs w:val="20"/>
              </w:rPr>
              <w:t>1.0</w:t>
            </w:r>
          </w:p>
        </w:tc>
        <w:tc>
          <w:tcPr>
            <w:tcW w:w="1648" w:type="dxa"/>
            <w:tcBorders>
              <w:top w:val="nil"/>
              <w:left w:val="nil"/>
              <w:bottom w:val="single" w:sz="8" w:space="0" w:color="000000"/>
              <w:right w:val="single" w:sz="8" w:space="0" w:color="000000"/>
            </w:tcBorders>
            <w:shd w:val="clear" w:color="auto" w:fill="auto"/>
            <w:noWrap/>
            <w:vAlign w:val="bottom"/>
            <w:hideMark/>
          </w:tcPr>
          <w:p w14:paraId="5959D06D" w14:textId="77777777" w:rsidR="00D81D66" w:rsidRPr="00EF373F" w:rsidRDefault="00D81D66" w:rsidP="00BB4F8B">
            <w:pPr>
              <w:jc w:val="center"/>
              <w:rPr>
                <w:color w:val="000000"/>
                <w:sz w:val="20"/>
                <w:szCs w:val="20"/>
              </w:rPr>
            </w:pPr>
            <w:r w:rsidRPr="00EF373F">
              <w:rPr>
                <w:color w:val="000000"/>
                <w:sz w:val="20"/>
                <w:szCs w:val="20"/>
              </w:rPr>
              <w:t>1.1</w:t>
            </w:r>
          </w:p>
        </w:tc>
      </w:tr>
      <w:tr w:rsidR="00D81D66" w:rsidRPr="00EF373F" w14:paraId="76E30A5D"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21062F9" w14:textId="77777777" w:rsidR="00D81D66" w:rsidRPr="00EF373F" w:rsidRDefault="00D81D66" w:rsidP="00BB4F8B">
            <w:pPr>
              <w:ind w:firstLineChars="100" w:firstLine="200"/>
              <w:rPr>
                <w:color w:val="000000"/>
                <w:sz w:val="20"/>
                <w:szCs w:val="20"/>
              </w:rPr>
            </w:pPr>
            <w:r w:rsidRPr="00EF373F">
              <w:rPr>
                <w:color w:val="000000"/>
                <w:sz w:val="20"/>
                <w:szCs w:val="20"/>
              </w:rPr>
              <w:t>Other General Public Services</w:t>
            </w:r>
          </w:p>
        </w:tc>
        <w:tc>
          <w:tcPr>
            <w:tcW w:w="1648" w:type="dxa"/>
            <w:tcBorders>
              <w:top w:val="nil"/>
              <w:left w:val="nil"/>
              <w:bottom w:val="single" w:sz="8" w:space="0" w:color="000000"/>
              <w:right w:val="single" w:sz="8" w:space="0" w:color="000000"/>
            </w:tcBorders>
            <w:shd w:val="clear" w:color="auto" w:fill="auto"/>
            <w:noWrap/>
            <w:vAlign w:val="bottom"/>
            <w:hideMark/>
          </w:tcPr>
          <w:p w14:paraId="79B1ED81" w14:textId="77777777" w:rsidR="00D81D66" w:rsidRPr="00EF373F" w:rsidRDefault="00D81D66" w:rsidP="00BB4F8B">
            <w:pPr>
              <w:jc w:val="center"/>
              <w:rPr>
                <w:color w:val="000000"/>
                <w:sz w:val="20"/>
                <w:szCs w:val="20"/>
              </w:rPr>
            </w:pPr>
            <w:r w:rsidRPr="00EF373F">
              <w:rPr>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39F1623A" w14:textId="77777777" w:rsidR="00D81D66" w:rsidRPr="00EF373F" w:rsidRDefault="00D81D66" w:rsidP="00BB4F8B">
            <w:pPr>
              <w:jc w:val="center"/>
              <w:rPr>
                <w:color w:val="000000"/>
                <w:sz w:val="20"/>
                <w:szCs w:val="20"/>
              </w:rPr>
            </w:pPr>
            <w:r w:rsidRPr="00EF373F">
              <w:rPr>
                <w:color w:val="000000"/>
                <w:sz w:val="20"/>
                <w:szCs w:val="20"/>
              </w:rPr>
              <w:t>0.0</w:t>
            </w:r>
          </w:p>
        </w:tc>
        <w:tc>
          <w:tcPr>
            <w:tcW w:w="1648" w:type="dxa"/>
            <w:tcBorders>
              <w:top w:val="nil"/>
              <w:left w:val="nil"/>
              <w:bottom w:val="single" w:sz="8" w:space="0" w:color="000000"/>
              <w:right w:val="single" w:sz="8" w:space="0" w:color="000000"/>
            </w:tcBorders>
            <w:shd w:val="clear" w:color="auto" w:fill="auto"/>
            <w:noWrap/>
            <w:vAlign w:val="bottom"/>
            <w:hideMark/>
          </w:tcPr>
          <w:p w14:paraId="7C52285A" w14:textId="77777777" w:rsidR="00D81D66" w:rsidRPr="00EF373F" w:rsidRDefault="00D81D66" w:rsidP="00BB4F8B">
            <w:pPr>
              <w:jc w:val="center"/>
              <w:rPr>
                <w:color w:val="000000"/>
                <w:sz w:val="20"/>
                <w:szCs w:val="20"/>
              </w:rPr>
            </w:pPr>
            <w:r w:rsidRPr="00EF373F">
              <w:rPr>
                <w:color w:val="000000"/>
                <w:sz w:val="20"/>
                <w:szCs w:val="20"/>
              </w:rPr>
              <w:t>0.2</w:t>
            </w:r>
          </w:p>
        </w:tc>
      </w:tr>
      <w:tr w:rsidR="00D81D66" w:rsidRPr="00EF373F" w14:paraId="76303432"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7F1193C8" w14:textId="77777777" w:rsidR="00D81D66" w:rsidRPr="00EF373F" w:rsidRDefault="00D81D66" w:rsidP="00BB4F8B">
            <w:pPr>
              <w:ind w:firstLineChars="100" w:firstLine="200"/>
              <w:rPr>
                <w:color w:val="000000"/>
                <w:sz w:val="20"/>
                <w:szCs w:val="20"/>
              </w:rPr>
            </w:pPr>
            <w:r w:rsidRPr="00EF373F">
              <w:rPr>
                <w:color w:val="000000"/>
                <w:sz w:val="20"/>
                <w:szCs w:val="20"/>
              </w:rPr>
              <w:t>Subsidy to Local Government Units</w:t>
            </w:r>
          </w:p>
        </w:tc>
        <w:tc>
          <w:tcPr>
            <w:tcW w:w="1648" w:type="dxa"/>
            <w:tcBorders>
              <w:top w:val="nil"/>
              <w:left w:val="nil"/>
              <w:bottom w:val="single" w:sz="8" w:space="0" w:color="000000"/>
              <w:right w:val="single" w:sz="8" w:space="0" w:color="000000"/>
            </w:tcBorders>
            <w:shd w:val="clear" w:color="auto" w:fill="auto"/>
            <w:noWrap/>
            <w:vAlign w:val="bottom"/>
            <w:hideMark/>
          </w:tcPr>
          <w:p w14:paraId="605F658D" w14:textId="77777777" w:rsidR="00D81D66" w:rsidRPr="00EF373F" w:rsidRDefault="00D81D66" w:rsidP="00BB4F8B">
            <w:pPr>
              <w:jc w:val="center"/>
              <w:rPr>
                <w:color w:val="000000"/>
                <w:sz w:val="20"/>
                <w:szCs w:val="20"/>
              </w:rPr>
            </w:pPr>
            <w:r w:rsidRPr="00EF373F">
              <w:rPr>
                <w:color w:val="000000"/>
                <w:sz w:val="20"/>
                <w:szCs w:val="20"/>
              </w:rPr>
              <w:t>0.7</w:t>
            </w:r>
          </w:p>
        </w:tc>
        <w:tc>
          <w:tcPr>
            <w:tcW w:w="1648" w:type="dxa"/>
            <w:tcBorders>
              <w:top w:val="nil"/>
              <w:left w:val="nil"/>
              <w:bottom w:val="single" w:sz="8" w:space="0" w:color="000000"/>
              <w:right w:val="single" w:sz="8" w:space="0" w:color="000000"/>
            </w:tcBorders>
            <w:shd w:val="clear" w:color="auto" w:fill="auto"/>
            <w:noWrap/>
            <w:vAlign w:val="bottom"/>
            <w:hideMark/>
          </w:tcPr>
          <w:p w14:paraId="46C7C2D7" w14:textId="77777777" w:rsidR="00D81D66" w:rsidRPr="00EF373F" w:rsidRDefault="00D81D66" w:rsidP="00BB4F8B">
            <w:pPr>
              <w:jc w:val="center"/>
              <w:rPr>
                <w:color w:val="000000"/>
                <w:sz w:val="20"/>
                <w:szCs w:val="20"/>
              </w:rPr>
            </w:pPr>
            <w:r w:rsidRPr="00EF373F">
              <w:rPr>
                <w:color w:val="000000"/>
                <w:sz w:val="20"/>
                <w:szCs w:val="20"/>
              </w:rPr>
              <w:t>0.8</w:t>
            </w:r>
          </w:p>
        </w:tc>
        <w:tc>
          <w:tcPr>
            <w:tcW w:w="1648" w:type="dxa"/>
            <w:tcBorders>
              <w:top w:val="nil"/>
              <w:left w:val="nil"/>
              <w:bottom w:val="single" w:sz="8" w:space="0" w:color="000000"/>
              <w:right w:val="single" w:sz="8" w:space="0" w:color="000000"/>
            </w:tcBorders>
            <w:shd w:val="clear" w:color="auto" w:fill="auto"/>
            <w:noWrap/>
            <w:vAlign w:val="bottom"/>
            <w:hideMark/>
          </w:tcPr>
          <w:p w14:paraId="788A8C2B" w14:textId="77777777" w:rsidR="00D81D66" w:rsidRPr="00EF373F" w:rsidRDefault="00D81D66" w:rsidP="00BB4F8B">
            <w:pPr>
              <w:jc w:val="center"/>
              <w:rPr>
                <w:color w:val="000000"/>
                <w:sz w:val="20"/>
                <w:szCs w:val="20"/>
              </w:rPr>
            </w:pPr>
            <w:r w:rsidRPr="00EF373F">
              <w:rPr>
                <w:color w:val="000000"/>
                <w:sz w:val="20"/>
                <w:szCs w:val="20"/>
              </w:rPr>
              <w:t>0.8</w:t>
            </w:r>
          </w:p>
        </w:tc>
      </w:tr>
      <w:tr w:rsidR="00D81D66" w:rsidRPr="00EF373F" w14:paraId="0AF4BAFE"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324F55A1" w14:textId="77777777" w:rsidR="00D81D66" w:rsidRPr="00EF373F" w:rsidRDefault="00D81D66" w:rsidP="00BB4F8B">
            <w:pPr>
              <w:rPr>
                <w:b/>
                <w:bCs/>
                <w:color w:val="000000"/>
                <w:sz w:val="20"/>
                <w:szCs w:val="20"/>
              </w:rPr>
            </w:pPr>
            <w:r w:rsidRPr="00EF373F">
              <w:rPr>
                <w:b/>
                <w:bCs/>
                <w:color w:val="000000"/>
                <w:sz w:val="20"/>
                <w:szCs w:val="20"/>
              </w:rPr>
              <w:t>Net Lending</w:t>
            </w:r>
          </w:p>
        </w:tc>
        <w:tc>
          <w:tcPr>
            <w:tcW w:w="1648" w:type="dxa"/>
            <w:tcBorders>
              <w:top w:val="nil"/>
              <w:left w:val="nil"/>
              <w:bottom w:val="single" w:sz="8" w:space="0" w:color="000000"/>
              <w:right w:val="single" w:sz="8" w:space="0" w:color="000000"/>
            </w:tcBorders>
            <w:shd w:val="clear" w:color="auto" w:fill="auto"/>
            <w:noWrap/>
            <w:vAlign w:val="bottom"/>
            <w:hideMark/>
          </w:tcPr>
          <w:p w14:paraId="2894D7E2" w14:textId="77777777" w:rsidR="00D81D66" w:rsidRPr="00EF373F" w:rsidRDefault="00D81D66" w:rsidP="00BB4F8B">
            <w:pPr>
              <w:jc w:val="center"/>
              <w:rPr>
                <w:b/>
                <w:bCs/>
                <w:color w:val="000000"/>
                <w:sz w:val="20"/>
                <w:szCs w:val="20"/>
              </w:rPr>
            </w:pPr>
            <w:r w:rsidRPr="00EF373F">
              <w:rPr>
                <w:b/>
                <w:bCs/>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712ABD22" w14:textId="77777777" w:rsidR="00D81D66" w:rsidRPr="00EF373F" w:rsidRDefault="00D81D66" w:rsidP="00BB4F8B">
            <w:pPr>
              <w:jc w:val="center"/>
              <w:rPr>
                <w:b/>
                <w:bCs/>
                <w:color w:val="000000"/>
                <w:sz w:val="20"/>
                <w:szCs w:val="20"/>
              </w:rPr>
            </w:pPr>
            <w:r w:rsidRPr="00EF373F">
              <w:rPr>
                <w:b/>
                <w:bCs/>
                <w:color w:val="000000"/>
                <w:sz w:val="20"/>
                <w:szCs w:val="20"/>
              </w:rPr>
              <w:t>0.1</w:t>
            </w:r>
          </w:p>
        </w:tc>
        <w:tc>
          <w:tcPr>
            <w:tcW w:w="1648" w:type="dxa"/>
            <w:tcBorders>
              <w:top w:val="nil"/>
              <w:left w:val="nil"/>
              <w:bottom w:val="single" w:sz="8" w:space="0" w:color="000000"/>
              <w:right w:val="single" w:sz="8" w:space="0" w:color="000000"/>
            </w:tcBorders>
            <w:shd w:val="clear" w:color="auto" w:fill="auto"/>
            <w:noWrap/>
            <w:vAlign w:val="bottom"/>
            <w:hideMark/>
          </w:tcPr>
          <w:p w14:paraId="0FA6BEDC" w14:textId="77777777" w:rsidR="00D81D66" w:rsidRPr="00EF373F" w:rsidRDefault="00D81D66" w:rsidP="00BB4F8B">
            <w:pPr>
              <w:jc w:val="center"/>
              <w:rPr>
                <w:b/>
                <w:bCs/>
                <w:color w:val="000000"/>
                <w:sz w:val="20"/>
                <w:szCs w:val="20"/>
              </w:rPr>
            </w:pPr>
            <w:r w:rsidRPr="00EF373F">
              <w:rPr>
                <w:b/>
                <w:bCs/>
                <w:color w:val="000000"/>
                <w:sz w:val="20"/>
                <w:szCs w:val="20"/>
              </w:rPr>
              <w:t>0.2</w:t>
            </w:r>
          </w:p>
        </w:tc>
      </w:tr>
      <w:tr w:rsidR="00D81D66" w:rsidRPr="00EF373F" w14:paraId="60A08C75" w14:textId="77777777" w:rsidTr="00BB4F8B">
        <w:trPr>
          <w:trHeight w:val="315"/>
        </w:trPr>
        <w:tc>
          <w:tcPr>
            <w:tcW w:w="4756" w:type="dxa"/>
            <w:tcBorders>
              <w:top w:val="nil"/>
              <w:left w:val="double" w:sz="6" w:space="0" w:color="auto"/>
              <w:bottom w:val="single" w:sz="8" w:space="0" w:color="000000"/>
              <w:right w:val="single" w:sz="8" w:space="0" w:color="000000"/>
            </w:tcBorders>
            <w:shd w:val="clear" w:color="auto" w:fill="auto"/>
            <w:noWrap/>
            <w:vAlign w:val="bottom"/>
            <w:hideMark/>
          </w:tcPr>
          <w:p w14:paraId="69B6572C" w14:textId="77777777" w:rsidR="00D81D66" w:rsidRPr="00EF373F" w:rsidRDefault="00D81D66" w:rsidP="00BB4F8B">
            <w:pPr>
              <w:rPr>
                <w:b/>
                <w:bCs/>
                <w:color w:val="000000"/>
                <w:sz w:val="20"/>
                <w:szCs w:val="20"/>
              </w:rPr>
            </w:pPr>
            <w:r w:rsidRPr="00EF373F">
              <w:rPr>
                <w:b/>
                <w:bCs/>
                <w:color w:val="000000"/>
                <w:sz w:val="20"/>
                <w:szCs w:val="20"/>
              </w:rPr>
              <w:t>Debt Service</w:t>
            </w:r>
          </w:p>
        </w:tc>
        <w:tc>
          <w:tcPr>
            <w:tcW w:w="1648" w:type="dxa"/>
            <w:tcBorders>
              <w:top w:val="nil"/>
              <w:left w:val="nil"/>
              <w:bottom w:val="single" w:sz="8" w:space="0" w:color="000000"/>
              <w:right w:val="single" w:sz="8" w:space="0" w:color="000000"/>
            </w:tcBorders>
            <w:shd w:val="clear" w:color="auto" w:fill="auto"/>
            <w:noWrap/>
            <w:vAlign w:val="bottom"/>
            <w:hideMark/>
          </w:tcPr>
          <w:p w14:paraId="133B15F8" w14:textId="77777777" w:rsidR="00D81D66" w:rsidRPr="00EF373F" w:rsidRDefault="00D81D66" w:rsidP="00BB4F8B">
            <w:pPr>
              <w:jc w:val="center"/>
              <w:rPr>
                <w:b/>
                <w:bCs/>
                <w:color w:val="000000"/>
                <w:sz w:val="20"/>
                <w:szCs w:val="20"/>
              </w:rPr>
            </w:pPr>
            <w:r w:rsidRPr="00EF373F">
              <w:rPr>
                <w:b/>
                <w:bCs/>
                <w:color w:val="000000"/>
                <w:sz w:val="20"/>
                <w:szCs w:val="20"/>
              </w:rPr>
              <w:t>2.8</w:t>
            </w:r>
          </w:p>
        </w:tc>
        <w:tc>
          <w:tcPr>
            <w:tcW w:w="1648" w:type="dxa"/>
            <w:tcBorders>
              <w:top w:val="nil"/>
              <w:left w:val="nil"/>
              <w:bottom w:val="single" w:sz="8" w:space="0" w:color="000000"/>
              <w:right w:val="single" w:sz="8" w:space="0" w:color="000000"/>
            </w:tcBorders>
            <w:shd w:val="clear" w:color="auto" w:fill="auto"/>
            <w:noWrap/>
            <w:vAlign w:val="bottom"/>
            <w:hideMark/>
          </w:tcPr>
          <w:p w14:paraId="5CC67C8C" w14:textId="77777777" w:rsidR="00D81D66" w:rsidRPr="00EF373F" w:rsidRDefault="00D81D66" w:rsidP="00BB4F8B">
            <w:pPr>
              <w:jc w:val="center"/>
              <w:rPr>
                <w:b/>
                <w:bCs/>
                <w:color w:val="000000"/>
                <w:sz w:val="20"/>
                <w:szCs w:val="20"/>
              </w:rPr>
            </w:pPr>
            <w:r w:rsidRPr="00EF373F">
              <w:rPr>
                <w:b/>
                <w:bCs/>
                <w:color w:val="000000"/>
                <w:sz w:val="20"/>
                <w:szCs w:val="20"/>
              </w:rPr>
              <w:t>2.5</w:t>
            </w:r>
          </w:p>
        </w:tc>
        <w:tc>
          <w:tcPr>
            <w:tcW w:w="1648" w:type="dxa"/>
            <w:tcBorders>
              <w:top w:val="nil"/>
              <w:left w:val="nil"/>
              <w:bottom w:val="single" w:sz="8" w:space="0" w:color="000000"/>
              <w:right w:val="single" w:sz="8" w:space="0" w:color="000000"/>
            </w:tcBorders>
            <w:shd w:val="clear" w:color="auto" w:fill="auto"/>
            <w:noWrap/>
            <w:vAlign w:val="bottom"/>
            <w:hideMark/>
          </w:tcPr>
          <w:p w14:paraId="45A4DC34" w14:textId="77777777" w:rsidR="00D81D66" w:rsidRPr="00EF373F" w:rsidRDefault="00D81D66" w:rsidP="00BB4F8B">
            <w:pPr>
              <w:jc w:val="center"/>
              <w:rPr>
                <w:b/>
                <w:bCs/>
                <w:color w:val="000000"/>
                <w:sz w:val="20"/>
                <w:szCs w:val="20"/>
              </w:rPr>
            </w:pPr>
            <w:r w:rsidRPr="00EF373F">
              <w:rPr>
                <w:b/>
                <w:bCs/>
                <w:color w:val="000000"/>
                <w:sz w:val="20"/>
                <w:szCs w:val="20"/>
              </w:rPr>
              <w:t>2.8</w:t>
            </w:r>
          </w:p>
        </w:tc>
      </w:tr>
      <w:tr w:rsidR="00D81D66" w:rsidRPr="00EF373F" w14:paraId="77A0609B" w14:textId="77777777" w:rsidTr="00BB4F8B">
        <w:trPr>
          <w:trHeight w:val="315"/>
        </w:trPr>
        <w:tc>
          <w:tcPr>
            <w:tcW w:w="4756" w:type="dxa"/>
            <w:tcBorders>
              <w:top w:val="nil"/>
              <w:left w:val="double" w:sz="6" w:space="0" w:color="auto"/>
              <w:bottom w:val="single" w:sz="8" w:space="0" w:color="auto"/>
              <w:right w:val="single" w:sz="8" w:space="0" w:color="auto"/>
            </w:tcBorders>
            <w:shd w:val="clear" w:color="auto" w:fill="auto"/>
            <w:noWrap/>
            <w:vAlign w:val="bottom"/>
            <w:hideMark/>
          </w:tcPr>
          <w:p w14:paraId="0A394EFB" w14:textId="77777777" w:rsidR="00D81D66" w:rsidRPr="00EF373F" w:rsidRDefault="00D81D66" w:rsidP="00BB4F8B">
            <w:pPr>
              <w:ind w:firstLineChars="100" w:firstLine="200"/>
              <w:rPr>
                <w:color w:val="000000"/>
                <w:sz w:val="20"/>
                <w:szCs w:val="20"/>
              </w:rPr>
            </w:pPr>
            <w:r w:rsidRPr="00EF373F">
              <w:rPr>
                <w:color w:val="000000"/>
                <w:sz w:val="20"/>
                <w:szCs w:val="20"/>
              </w:rPr>
              <w:t>Interest Payments</w:t>
            </w:r>
          </w:p>
        </w:tc>
        <w:tc>
          <w:tcPr>
            <w:tcW w:w="1648" w:type="dxa"/>
            <w:tcBorders>
              <w:top w:val="nil"/>
              <w:left w:val="nil"/>
              <w:bottom w:val="single" w:sz="8" w:space="0" w:color="000000"/>
              <w:right w:val="single" w:sz="8" w:space="0" w:color="000000"/>
            </w:tcBorders>
            <w:shd w:val="clear" w:color="auto" w:fill="auto"/>
            <w:noWrap/>
            <w:vAlign w:val="bottom"/>
            <w:hideMark/>
          </w:tcPr>
          <w:p w14:paraId="5397AAEE" w14:textId="77777777" w:rsidR="00D81D66" w:rsidRPr="00EF373F" w:rsidRDefault="00D81D66" w:rsidP="00BB4F8B">
            <w:pPr>
              <w:jc w:val="center"/>
              <w:rPr>
                <w:color w:val="000000"/>
                <w:sz w:val="20"/>
                <w:szCs w:val="20"/>
              </w:rPr>
            </w:pPr>
            <w:r w:rsidRPr="00EF373F">
              <w:rPr>
                <w:color w:val="000000"/>
                <w:sz w:val="20"/>
                <w:szCs w:val="20"/>
              </w:rPr>
              <w:t>2.8</w:t>
            </w:r>
          </w:p>
        </w:tc>
        <w:tc>
          <w:tcPr>
            <w:tcW w:w="1648" w:type="dxa"/>
            <w:tcBorders>
              <w:top w:val="nil"/>
              <w:left w:val="nil"/>
              <w:bottom w:val="single" w:sz="8" w:space="0" w:color="000000"/>
              <w:right w:val="single" w:sz="8" w:space="0" w:color="000000"/>
            </w:tcBorders>
            <w:shd w:val="clear" w:color="auto" w:fill="auto"/>
            <w:noWrap/>
            <w:vAlign w:val="bottom"/>
            <w:hideMark/>
          </w:tcPr>
          <w:p w14:paraId="7C854BB1" w14:textId="77777777" w:rsidR="00D81D66" w:rsidRPr="00EF373F" w:rsidRDefault="00D81D66" w:rsidP="00BB4F8B">
            <w:pPr>
              <w:jc w:val="center"/>
              <w:rPr>
                <w:color w:val="000000"/>
                <w:sz w:val="20"/>
                <w:szCs w:val="20"/>
              </w:rPr>
            </w:pPr>
            <w:r w:rsidRPr="00EF373F">
              <w:rPr>
                <w:color w:val="000000"/>
                <w:sz w:val="20"/>
                <w:szCs w:val="20"/>
              </w:rPr>
              <w:t>2.5</w:t>
            </w:r>
          </w:p>
        </w:tc>
        <w:tc>
          <w:tcPr>
            <w:tcW w:w="1648" w:type="dxa"/>
            <w:tcBorders>
              <w:top w:val="nil"/>
              <w:left w:val="nil"/>
              <w:bottom w:val="single" w:sz="8" w:space="0" w:color="000000"/>
              <w:right w:val="single" w:sz="8" w:space="0" w:color="000000"/>
            </w:tcBorders>
            <w:shd w:val="clear" w:color="auto" w:fill="auto"/>
            <w:noWrap/>
            <w:vAlign w:val="bottom"/>
            <w:hideMark/>
          </w:tcPr>
          <w:p w14:paraId="20B5C056" w14:textId="77777777" w:rsidR="00D81D66" w:rsidRPr="00EF373F" w:rsidRDefault="00D81D66" w:rsidP="00BB4F8B">
            <w:pPr>
              <w:jc w:val="center"/>
              <w:rPr>
                <w:color w:val="000000"/>
                <w:sz w:val="20"/>
                <w:szCs w:val="20"/>
              </w:rPr>
            </w:pPr>
            <w:r w:rsidRPr="00EF373F">
              <w:rPr>
                <w:color w:val="000000"/>
                <w:sz w:val="20"/>
                <w:szCs w:val="20"/>
              </w:rPr>
              <w:t>2.8</w:t>
            </w:r>
          </w:p>
        </w:tc>
      </w:tr>
      <w:tr w:rsidR="00D81D66" w:rsidRPr="00EF373F" w14:paraId="60DE7D67" w14:textId="77777777" w:rsidTr="00BB4F8B">
        <w:trPr>
          <w:trHeight w:val="315"/>
        </w:trPr>
        <w:tc>
          <w:tcPr>
            <w:tcW w:w="4756" w:type="dxa"/>
            <w:tcBorders>
              <w:top w:val="nil"/>
              <w:left w:val="double" w:sz="6" w:space="0" w:color="auto"/>
              <w:bottom w:val="double" w:sz="6" w:space="0" w:color="auto"/>
              <w:right w:val="single" w:sz="8" w:space="0" w:color="auto"/>
            </w:tcBorders>
            <w:shd w:val="clear" w:color="auto" w:fill="auto"/>
            <w:noWrap/>
            <w:vAlign w:val="bottom"/>
            <w:hideMark/>
          </w:tcPr>
          <w:p w14:paraId="5EA71171" w14:textId="77777777" w:rsidR="00D81D66" w:rsidRPr="00EF373F" w:rsidRDefault="00D81D66" w:rsidP="00BB4F8B">
            <w:pPr>
              <w:rPr>
                <w:b/>
                <w:bCs/>
                <w:color w:val="000000"/>
                <w:sz w:val="20"/>
                <w:szCs w:val="20"/>
              </w:rPr>
            </w:pPr>
            <w:r>
              <w:rPr>
                <w:b/>
                <w:bCs/>
                <w:color w:val="000000"/>
                <w:sz w:val="20"/>
                <w:szCs w:val="20"/>
              </w:rPr>
              <w:t>Total expenditure</w:t>
            </w:r>
          </w:p>
        </w:tc>
        <w:tc>
          <w:tcPr>
            <w:tcW w:w="1648" w:type="dxa"/>
            <w:tcBorders>
              <w:top w:val="nil"/>
              <w:left w:val="nil"/>
              <w:bottom w:val="single" w:sz="8" w:space="0" w:color="000000"/>
              <w:right w:val="single" w:sz="8" w:space="0" w:color="000000"/>
            </w:tcBorders>
            <w:shd w:val="clear" w:color="auto" w:fill="auto"/>
            <w:noWrap/>
            <w:vAlign w:val="bottom"/>
            <w:hideMark/>
          </w:tcPr>
          <w:p w14:paraId="4A55150F" w14:textId="77777777" w:rsidR="00D81D66" w:rsidRPr="00EF373F" w:rsidRDefault="00D81D66" w:rsidP="00BB4F8B">
            <w:pPr>
              <w:jc w:val="center"/>
              <w:rPr>
                <w:b/>
                <w:bCs/>
                <w:color w:val="000000"/>
                <w:sz w:val="20"/>
                <w:szCs w:val="20"/>
              </w:rPr>
            </w:pPr>
            <w:r>
              <w:rPr>
                <w:b/>
                <w:bCs/>
                <w:color w:val="000000"/>
                <w:sz w:val="20"/>
                <w:szCs w:val="20"/>
              </w:rPr>
              <w:t>17.4</w:t>
            </w:r>
          </w:p>
        </w:tc>
        <w:tc>
          <w:tcPr>
            <w:tcW w:w="1648" w:type="dxa"/>
            <w:tcBorders>
              <w:top w:val="nil"/>
              <w:left w:val="nil"/>
              <w:bottom w:val="single" w:sz="8" w:space="0" w:color="000000"/>
              <w:right w:val="single" w:sz="8" w:space="0" w:color="000000"/>
            </w:tcBorders>
            <w:shd w:val="clear" w:color="auto" w:fill="auto"/>
            <w:noWrap/>
            <w:vAlign w:val="bottom"/>
            <w:hideMark/>
          </w:tcPr>
          <w:p w14:paraId="3D15C7B3" w14:textId="77777777" w:rsidR="00D81D66" w:rsidRPr="00EF373F" w:rsidRDefault="00D81D66" w:rsidP="00BB4F8B">
            <w:pPr>
              <w:jc w:val="center"/>
              <w:rPr>
                <w:b/>
                <w:bCs/>
                <w:color w:val="000000"/>
                <w:sz w:val="20"/>
                <w:szCs w:val="20"/>
              </w:rPr>
            </w:pPr>
            <w:r w:rsidRPr="00EF373F">
              <w:rPr>
                <w:b/>
                <w:bCs/>
                <w:color w:val="000000"/>
                <w:sz w:val="20"/>
                <w:szCs w:val="20"/>
              </w:rPr>
              <w:t>16.0</w:t>
            </w:r>
          </w:p>
        </w:tc>
        <w:tc>
          <w:tcPr>
            <w:tcW w:w="1648" w:type="dxa"/>
            <w:tcBorders>
              <w:top w:val="nil"/>
              <w:left w:val="nil"/>
              <w:bottom w:val="single" w:sz="8" w:space="0" w:color="000000"/>
              <w:right w:val="single" w:sz="8" w:space="0" w:color="000000"/>
            </w:tcBorders>
            <w:shd w:val="clear" w:color="auto" w:fill="auto"/>
            <w:noWrap/>
            <w:vAlign w:val="bottom"/>
            <w:hideMark/>
          </w:tcPr>
          <w:p w14:paraId="079B0369" w14:textId="77777777" w:rsidR="00D81D66" w:rsidRPr="00EF373F" w:rsidRDefault="00D81D66" w:rsidP="00BB4F8B">
            <w:pPr>
              <w:jc w:val="center"/>
              <w:rPr>
                <w:b/>
                <w:bCs/>
                <w:color w:val="000000"/>
                <w:sz w:val="20"/>
                <w:szCs w:val="20"/>
              </w:rPr>
            </w:pPr>
            <w:r w:rsidRPr="00EF373F">
              <w:rPr>
                <w:b/>
                <w:bCs/>
                <w:color w:val="000000"/>
                <w:sz w:val="20"/>
                <w:szCs w:val="20"/>
              </w:rPr>
              <w:t>19.6</w:t>
            </w:r>
          </w:p>
        </w:tc>
      </w:tr>
    </w:tbl>
    <w:p w14:paraId="0C2B34B7" w14:textId="77777777" w:rsidR="00D81D66" w:rsidRDefault="00D81D66" w:rsidP="00D81D66">
      <w:pPr>
        <w:pStyle w:val="NormalWeb"/>
        <w:autoSpaceDE w:val="0"/>
        <w:autoSpaceDN w:val="0"/>
        <w:adjustRightInd w:val="0"/>
        <w:spacing w:before="0" w:beforeAutospacing="0" w:after="0" w:afterAutospacing="0"/>
        <w:contextualSpacing/>
        <w:jc w:val="both"/>
        <w:rPr>
          <w:sz w:val="20"/>
          <w:szCs w:val="20"/>
        </w:rPr>
      </w:pPr>
      <w:r w:rsidRPr="00EE024A">
        <w:rPr>
          <w:i/>
          <w:sz w:val="20"/>
          <w:szCs w:val="20"/>
        </w:rPr>
        <w:t>Source:</w:t>
      </w:r>
      <w:r w:rsidRPr="00606798">
        <w:rPr>
          <w:sz w:val="20"/>
          <w:szCs w:val="20"/>
        </w:rPr>
        <w:t xml:space="preserve"> DBM</w:t>
      </w:r>
      <w:r>
        <w:rPr>
          <w:sz w:val="20"/>
          <w:szCs w:val="20"/>
        </w:rPr>
        <w:t xml:space="preserve"> Fiscal Statistics Handbook</w:t>
      </w:r>
    </w:p>
    <w:p w14:paraId="0A5BD5AB" w14:textId="5D750F4A" w:rsidR="001762EE" w:rsidRPr="005A497D" w:rsidRDefault="00D81D66" w:rsidP="00D81D66">
      <w:pPr>
        <w:pStyle w:val="NormalWeb"/>
        <w:autoSpaceDE w:val="0"/>
        <w:autoSpaceDN w:val="0"/>
        <w:adjustRightInd w:val="0"/>
        <w:spacing w:before="40" w:beforeAutospacing="0" w:after="0" w:afterAutospacing="0"/>
        <w:jc w:val="both"/>
        <w:rPr>
          <w:sz w:val="20"/>
          <w:szCs w:val="20"/>
        </w:rPr>
      </w:pPr>
      <w:r>
        <w:rPr>
          <w:i/>
          <w:sz w:val="20"/>
          <w:szCs w:val="20"/>
        </w:rPr>
        <w:t>Notes: *denotes programmed expenditures. Numbers may not add up due to rounding</w:t>
      </w:r>
    </w:p>
    <w:p w14:paraId="0020B0EE" w14:textId="77777777" w:rsidR="001762EE" w:rsidRDefault="001762EE" w:rsidP="00FA09A4">
      <w:pPr>
        <w:pStyle w:val="NormalWeb"/>
        <w:autoSpaceDE w:val="0"/>
        <w:autoSpaceDN w:val="0"/>
        <w:adjustRightInd w:val="0"/>
        <w:spacing w:before="0" w:beforeAutospacing="0" w:after="0" w:afterAutospacing="0"/>
        <w:contextualSpacing/>
        <w:jc w:val="both"/>
        <w:rPr>
          <w:bCs/>
        </w:rPr>
      </w:pPr>
    </w:p>
    <w:p w14:paraId="3800B8D4" w14:textId="504C4B5D" w:rsidR="00D81D66" w:rsidRDefault="00D81D66" w:rsidP="00D81D66">
      <w:pPr>
        <w:pStyle w:val="PEFATable"/>
        <w:spacing w:after="40"/>
        <w:jc w:val="both"/>
        <w:rPr>
          <w:sz w:val="24"/>
          <w:szCs w:val="24"/>
        </w:rPr>
      </w:pPr>
      <w:bookmarkStart w:id="42" w:name="_Toc454889237"/>
      <w:r w:rsidRPr="005A497D">
        <w:rPr>
          <w:sz w:val="24"/>
          <w:szCs w:val="24"/>
        </w:rPr>
        <w:t>Table 2.</w:t>
      </w:r>
      <w:r>
        <w:rPr>
          <w:sz w:val="24"/>
          <w:szCs w:val="24"/>
        </w:rPr>
        <w:t>5</w:t>
      </w:r>
      <w:r w:rsidRPr="005A497D">
        <w:rPr>
          <w:sz w:val="24"/>
          <w:szCs w:val="24"/>
        </w:rPr>
        <w:t xml:space="preserve">: </w:t>
      </w:r>
      <w:r>
        <w:rPr>
          <w:sz w:val="24"/>
          <w:szCs w:val="24"/>
        </w:rPr>
        <w:t>National Government expenditures, obligation basis, by expense class</w:t>
      </w:r>
      <w:bookmarkEnd w:id="42"/>
    </w:p>
    <w:tbl>
      <w:tblPr>
        <w:tblW w:w="8400" w:type="dxa"/>
        <w:jc w:val="center"/>
        <w:tblLook w:val="04A0" w:firstRow="1" w:lastRow="0" w:firstColumn="1" w:lastColumn="0" w:noHBand="0" w:noVBand="1"/>
      </w:tblPr>
      <w:tblGrid>
        <w:gridCol w:w="5152"/>
        <w:gridCol w:w="1130"/>
        <w:gridCol w:w="1059"/>
        <w:gridCol w:w="1059"/>
      </w:tblGrid>
      <w:tr w:rsidR="00D81D66" w:rsidRPr="00F036AC" w14:paraId="537C7FEF" w14:textId="77777777" w:rsidTr="00BB4F8B">
        <w:trPr>
          <w:trHeight w:val="285"/>
          <w:jc w:val="center"/>
        </w:trPr>
        <w:tc>
          <w:tcPr>
            <w:tcW w:w="5152" w:type="dxa"/>
            <w:vMerge w:val="restart"/>
            <w:tcBorders>
              <w:top w:val="double" w:sz="6" w:space="0" w:color="auto"/>
              <w:left w:val="double" w:sz="6" w:space="0" w:color="auto"/>
              <w:bottom w:val="double" w:sz="6" w:space="0" w:color="000000"/>
              <w:right w:val="single" w:sz="8" w:space="0" w:color="000000"/>
            </w:tcBorders>
            <w:shd w:val="clear" w:color="000000" w:fill="D9D9D9"/>
            <w:vAlign w:val="bottom"/>
            <w:hideMark/>
          </w:tcPr>
          <w:p w14:paraId="0EBF5F7B" w14:textId="77777777" w:rsidR="00D81D66" w:rsidRPr="00F036AC" w:rsidRDefault="00D81D66" w:rsidP="00BB4F8B">
            <w:pPr>
              <w:jc w:val="center"/>
              <w:rPr>
                <w:i/>
                <w:iCs/>
                <w:color w:val="000000"/>
                <w:sz w:val="20"/>
                <w:szCs w:val="20"/>
              </w:rPr>
            </w:pPr>
            <w:r w:rsidRPr="00F036AC">
              <w:rPr>
                <w:i/>
                <w:iCs/>
                <w:color w:val="000000"/>
                <w:sz w:val="20"/>
                <w:szCs w:val="20"/>
              </w:rPr>
              <w:t> </w:t>
            </w:r>
          </w:p>
        </w:tc>
        <w:tc>
          <w:tcPr>
            <w:tcW w:w="3248" w:type="dxa"/>
            <w:gridSpan w:val="3"/>
            <w:tcBorders>
              <w:top w:val="double" w:sz="6" w:space="0" w:color="auto"/>
              <w:left w:val="nil"/>
              <w:bottom w:val="single" w:sz="8" w:space="0" w:color="000000"/>
              <w:right w:val="double" w:sz="6" w:space="0" w:color="000000"/>
            </w:tcBorders>
            <w:shd w:val="clear" w:color="000000" w:fill="D9D9D9"/>
            <w:vAlign w:val="bottom"/>
            <w:hideMark/>
          </w:tcPr>
          <w:p w14:paraId="5EBEA994" w14:textId="03BA7D48" w:rsidR="00D81D66" w:rsidRPr="00F036AC" w:rsidRDefault="00D81D66" w:rsidP="00BB4F8B">
            <w:pPr>
              <w:jc w:val="center"/>
              <w:rPr>
                <w:b/>
                <w:bCs/>
                <w:color w:val="000000"/>
                <w:sz w:val="20"/>
                <w:szCs w:val="20"/>
              </w:rPr>
            </w:pPr>
            <w:r w:rsidRPr="00F036AC">
              <w:rPr>
                <w:b/>
                <w:bCs/>
                <w:color w:val="000000"/>
                <w:sz w:val="20"/>
                <w:szCs w:val="20"/>
              </w:rPr>
              <w:t>Nominal</w:t>
            </w:r>
            <w:r w:rsidR="00D018CF">
              <w:rPr>
                <w:b/>
                <w:bCs/>
                <w:color w:val="000000"/>
                <w:sz w:val="20"/>
                <w:szCs w:val="20"/>
              </w:rPr>
              <w:t xml:space="preserve"> </w:t>
            </w:r>
            <w:r w:rsidR="00D018CF" w:rsidRPr="00D018CF">
              <w:rPr>
                <w:b/>
                <w:bCs/>
                <w:i/>
                <w:color w:val="000000"/>
                <w:sz w:val="20"/>
                <w:szCs w:val="20"/>
              </w:rPr>
              <w:t>(in Php millions)</w:t>
            </w:r>
          </w:p>
        </w:tc>
      </w:tr>
      <w:tr w:rsidR="00D81D66" w:rsidRPr="00F036AC" w14:paraId="2ABD821B" w14:textId="77777777" w:rsidTr="00BB4F8B">
        <w:trPr>
          <w:trHeight w:val="270"/>
          <w:jc w:val="center"/>
        </w:trPr>
        <w:tc>
          <w:tcPr>
            <w:tcW w:w="5152" w:type="dxa"/>
            <w:vMerge/>
            <w:tcBorders>
              <w:top w:val="double" w:sz="6" w:space="0" w:color="auto"/>
              <w:left w:val="double" w:sz="6" w:space="0" w:color="auto"/>
              <w:bottom w:val="double" w:sz="6" w:space="0" w:color="000000"/>
              <w:right w:val="single" w:sz="8" w:space="0" w:color="000000"/>
            </w:tcBorders>
            <w:vAlign w:val="center"/>
            <w:hideMark/>
          </w:tcPr>
          <w:p w14:paraId="6A44E69D" w14:textId="77777777" w:rsidR="00D81D66" w:rsidRPr="00F036AC" w:rsidRDefault="00D81D66" w:rsidP="00BB4F8B">
            <w:pPr>
              <w:rPr>
                <w:i/>
                <w:iCs/>
                <w:color w:val="000000"/>
                <w:sz w:val="20"/>
                <w:szCs w:val="20"/>
              </w:rPr>
            </w:pPr>
          </w:p>
        </w:tc>
        <w:tc>
          <w:tcPr>
            <w:tcW w:w="1130" w:type="dxa"/>
            <w:tcBorders>
              <w:top w:val="nil"/>
              <w:left w:val="nil"/>
              <w:bottom w:val="double" w:sz="6" w:space="0" w:color="auto"/>
              <w:right w:val="single" w:sz="8" w:space="0" w:color="000000"/>
            </w:tcBorders>
            <w:shd w:val="clear" w:color="000000" w:fill="D9D9D9"/>
            <w:vAlign w:val="bottom"/>
            <w:hideMark/>
          </w:tcPr>
          <w:p w14:paraId="704FF95D" w14:textId="77777777" w:rsidR="00D81D66" w:rsidRPr="00F036AC" w:rsidRDefault="00D81D66" w:rsidP="00BB4F8B">
            <w:pPr>
              <w:jc w:val="center"/>
              <w:rPr>
                <w:b/>
                <w:bCs/>
                <w:color w:val="000000"/>
                <w:sz w:val="20"/>
                <w:szCs w:val="20"/>
              </w:rPr>
            </w:pPr>
            <w:r w:rsidRPr="00F036AC">
              <w:rPr>
                <w:b/>
                <w:bCs/>
                <w:color w:val="000000"/>
                <w:sz w:val="20"/>
                <w:szCs w:val="20"/>
              </w:rPr>
              <w:t>2013</w:t>
            </w:r>
          </w:p>
        </w:tc>
        <w:tc>
          <w:tcPr>
            <w:tcW w:w="1059" w:type="dxa"/>
            <w:tcBorders>
              <w:top w:val="nil"/>
              <w:left w:val="nil"/>
              <w:bottom w:val="double" w:sz="6" w:space="0" w:color="auto"/>
              <w:right w:val="single" w:sz="8" w:space="0" w:color="000000"/>
            </w:tcBorders>
            <w:shd w:val="clear" w:color="000000" w:fill="D9D9D9"/>
            <w:vAlign w:val="bottom"/>
            <w:hideMark/>
          </w:tcPr>
          <w:p w14:paraId="471E46F1" w14:textId="77777777" w:rsidR="00D81D66" w:rsidRPr="00F036AC" w:rsidRDefault="00D81D66" w:rsidP="00BB4F8B">
            <w:pPr>
              <w:jc w:val="center"/>
              <w:rPr>
                <w:b/>
                <w:bCs/>
                <w:color w:val="000000"/>
                <w:sz w:val="20"/>
                <w:szCs w:val="20"/>
              </w:rPr>
            </w:pPr>
            <w:r w:rsidRPr="00F036AC">
              <w:rPr>
                <w:b/>
                <w:bCs/>
                <w:color w:val="000000"/>
                <w:sz w:val="20"/>
                <w:szCs w:val="20"/>
              </w:rPr>
              <w:t>2014</w:t>
            </w:r>
          </w:p>
        </w:tc>
        <w:tc>
          <w:tcPr>
            <w:tcW w:w="1059" w:type="dxa"/>
            <w:tcBorders>
              <w:top w:val="nil"/>
              <w:left w:val="nil"/>
              <w:bottom w:val="double" w:sz="6" w:space="0" w:color="auto"/>
              <w:right w:val="double" w:sz="6" w:space="0" w:color="auto"/>
            </w:tcBorders>
            <w:shd w:val="clear" w:color="000000" w:fill="D9D9D9"/>
            <w:vAlign w:val="bottom"/>
            <w:hideMark/>
          </w:tcPr>
          <w:p w14:paraId="6F946397" w14:textId="77777777" w:rsidR="00D81D66" w:rsidRPr="00F036AC" w:rsidRDefault="00D81D66" w:rsidP="00BB4F8B">
            <w:pPr>
              <w:jc w:val="center"/>
              <w:rPr>
                <w:b/>
                <w:bCs/>
                <w:color w:val="000000"/>
                <w:sz w:val="20"/>
                <w:szCs w:val="20"/>
              </w:rPr>
            </w:pPr>
            <w:r w:rsidRPr="00F036AC">
              <w:rPr>
                <w:b/>
                <w:bCs/>
                <w:color w:val="000000"/>
                <w:sz w:val="20"/>
                <w:szCs w:val="20"/>
              </w:rPr>
              <w:t>2015</w:t>
            </w:r>
            <w:r>
              <w:rPr>
                <w:b/>
                <w:bCs/>
                <w:color w:val="000000"/>
                <w:sz w:val="20"/>
                <w:szCs w:val="20"/>
              </w:rPr>
              <w:t>*</w:t>
            </w:r>
          </w:p>
        </w:tc>
      </w:tr>
      <w:tr w:rsidR="00D81D66" w:rsidRPr="00F036AC" w14:paraId="03F5DA0C"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43350F2A" w14:textId="77777777" w:rsidR="00D81D66" w:rsidRPr="00F036AC" w:rsidRDefault="00D81D66" w:rsidP="00BB4F8B">
            <w:pPr>
              <w:rPr>
                <w:b/>
                <w:bCs/>
                <w:color w:val="000000"/>
                <w:sz w:val="20"/>
                <w:szCs w:val="20"/>
              </w:rPr>
            </w:pPr>
            <w:r w:rsidRPr="00F036AC">
              <w:rPr>
                <w:b/>
                <w:bCs/>
                <w:color w:val="000000"/>
                <w:sz w:val="20"/>
                <w:szCs w:val="20"/>
              </w:rPr>
              <w:t>Current expenditures (CE)</w:t>
            </w:r>
          </w:p>
        </w:tc>
        <w:tc>
          <w:tcPr>
            <w:tcW w:w="1130" w:type="dxa"/>
            <w:tcBorders>
              <w:top w:val="nil"/>
              <w:left w:val="nil"/>
              <w:bottom w:val="single" w:sz="8" w:space="0" w:color="000000"/>
              <w:right w:val="single" w:sz="8" w:space="0" w:color="000000"/>
            </w:tcBorders>
            <w:shd w:val="clear" w:color="auto" w:fill="auto"/>
            <w:noWrap/>
            <w:vAlign w:val="bottom"/>
            <w:hideMark/>
          </w:tcPr>
          <w:p w14:paraId="6593916D" w14:textId="77777777" w:rsidR="00D81D66" w:rsidRPr="00F036AC" w:rsidRDefault="00D81D66" w:rsidP="00BB4F8B">
            <w:pPr>
              <w:jc w:val="right"/>
              <w:rPr>
                <w:b/>
                <w:bCs/>
                <w:color w:val="000000"/>
                <w:sz w:val="20"/>
                <w:szCs w:val="20"/>
              </w:rPr>
            </w:pPr>
            <w:r w:rsidRPr="00F036AC">
              <w:rPr>
                <w:b/>
                <w:bCs/>
                <w:color w:val="000000"/>
                <w:sz w:val="20"/>
                <w:szCs w:val="20"/>
              </w:rPr>
              <w:t xml:space="preserve">   1,531,784 </w:t>
            </w:r>
          </w:p>
        </w:tc>
        <w:tc>
          <w:tcPr>
            <w:tcW w:w="1059" w:type="dxa"/>
            <w:tcBorders>
              <w:top w:val="nil"/>
              <w:left w:val="nil"/>
              <w:bottom w:val="single" w:sz="8" w:space="0" w:color="000000"/>
              <w:right w:val="single" w:sz="8" w:space="0" w:color="000000"/>
            </w:tcBorders>
            <w:shd w:val="clear" w:color="auto" w:fill="auto"/>
            <w:noWrap/>
            <w:vAlign w:val="bottom"/>
            <w:hideMark/>
          </w:tcPr>
          <w:p w14:paraId="693EF443" w14:textId="77777777" w:rsidR="00D81D66" w:rsidRPr="00F036AC" w:rsidRDefault="00D81D66" w:rsidP="00BB4F8B">
            <w:pPr>
              <w:jc w:val="right"/>
              <w:rPr>
                <w:b/>
                <w:bCs/>
                <w:color w:val="000000"/>
                <w:sz w:val="20"/>
                <w:szCs w:val="20"/>
              </w:rPr>
            </w:pPr>
            <w:r w:rsidRPr="00F036AC">
              <w:rPr>
                <w:b/>
                <w:bCs/>
                <w:color w:val="000000"/>
                <w:sz w:val="20"/>
                <w:szCs w:val="20"/>
              </w:rPr>
              <w:t xml:space="preserve">  1,623,586 </w:t>
            </w:r>
          </w:p>
        </w:tc>
        <w:tc>
          <w:tcPr>
            <w:tcW w:w="1059" w:type="dxa"/>
            <w:tcBorders>
              <w:top w:val="nil"/>
              <w:left w:val="nil"/>
              <w:bottom w:val="single" w:sz="8" w:space="0" w:color="000000"/>
              <w:right w:val="single" w:sz="8" w:space="0" w:color="000000"/>
            </w:tcBorders>
            <w:shd w:val="clear" w:color="auto" w:fill="auto"/>
            <w:noWrap/>
            <w:vAlign w:val="bottom"/>
            <w:hideMark/>
          </w:tcPr>
          <w:p w14:paraId="2F2D9D3C" w14:textId="77777777" w:rsidR="00D81D66" w:rsidRPr="00F036AC" w:rsidRDefault="00D81D66" w:rsidP="00BB4F8B">
            <w:pPr>
              <w:jc w:val="right"/>
              <w:rPr>
                <w:b/>
                <w:bCs/>
                <w:color w:val="000000"/>
                <w:sz w:val="20"/>
                <w:szCs w:val="20"/>
              </w:rPr>
            </w:pPr>
            <w:r w:rsidRPr="00F036AC">
              <w:rPr>
                <w:b/>
                <w:bCs/>
                <w:color w:val="000000"/>
                <w:sz w:val="20"/>
                <w:szCs w:val="20"/>
              </w:rPr>
              <w:t xml:space="preserve">  1,911,440 </w:t>
            </w:r>
          </w:p>
        </w:tc>
      </w:tr>
      <w:tr w:rsidR="00D81D66" w:rsidRPr="00F036AC" w14:paraId="4797A024"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09BAAA45" w14:textId="77777777" w:rsidR="00D81D66" w:rsidRPr="00F036AC" w:rsidRDefault="00D81D66" w:rsidP="00BB4F8B">
            <w:pPr>
              <w:ind w:firstLineChars="100" w:firstLine="200"/>
              <w:rPr>
                <w:color w:val="000000"/>
                <w:sz w:val="20"/>
                <w:szCs w:val="20"/>
              </w:rPr>
            </w:pPr>
            <w:r w:rsidRPr="00F036AC">
              <w:rPr>
                <w:color w:val="000000"/>
                <w:sz w:val="20"/>
                <w:szCs w:val="20"/>
              </w:rPr>
              <w:t>Personal Services (PS)</w:t>
            </w:r>
          </w:p>
        </w:tc>
        <w:tc>
          <w:tcPr>
            <w:tcW w:w="1130" w:type="dxa"/>
            <w:tcBorders>
              <w:top w:val="nil"/>
              <w:left w:val="nil"/>
              <w:bottom w:val="single" w:sz="8" w:space="0" w:color="000000"/>
              <w:right w:val="single" w:sz="8" w:space="0" w:color="000000"/>
            </w:tcBorders>
            <w:shd w:val="clear" w:color="auto" w:fill="auto"/>
            <w:noWrap/>
            <w:vAlign w:val="bottom"/>
            <w:hideMark/>
          </w:tcPr>
          <w:p w14:paraId="5922DD7A" w14:textId="77777777" w:rsidR="00D81D66" w:rsidRPr="00F036AC" w:rsidRDefault="00D81D66" w:rsidP="00BB4F8B">
            <w:pPr>
              <w:jc w:val="right"/>
              <w:rPr>
                <w:color w:val="000000"/>
                <w:sz w:val="20"/>
                <w:szCs w:val="20"/>
              </w:rPr>
            </w:pPr>
            <w:r w:rsidRPr="00F036AC">
              <w:rPr>
                <w:color w:val="000000"/>
                <w:sz w:val="20"/>
                <w:szCs w:val="20"/>
              </w:rPr>
              <w:t xml:space="preserve">         611,752 </w:t>
            </w:r>
          </w:p>
        </w:tc>
        <w:tc>
          <w:tcPr>
            <w:tcW w:w="1059" w:type="dxa"/>
            <w:tcBorders>
              <w:top w:val="nil"/>
              <w:left w:val="nil"/>
              <w:bottom w:val="single" w:sz="8" w:space="0" w:color="000000"/>
              <w:right w:val="single" w:sz="8" w:space="0" w:color="000000"/>
            </w:tcBorders>
            <w:shd w:val="clear" w:color="auto" w:fill="auto"/>
            <w:noWrap/>
            <w:vAlign w:val="bottom"/>
            <w:hideMark/>
          </w:tcPr>
          <w:p w14:paraId="299764F1" w14:textId="77777777" w:rsidR="00D81D66" w:rsidRPr="00F036AC" w:rsidRDefault="00D81D66" w:rsidP="00BB4F8B">
            <w:pPr>
              <w:jc w:val="right"/>
              <w:rPr>
                <w:color w:val="000000"/>
                <w:sz w:val="20"/>
                <w:szCs w:val="20"/>
              </w:rPr>
            </w:pPr>
            <w:r w:rsidRPr="00F036AC">
              <w:rPr>
                <w:color w:val="000000"/>
                <w:sz w:val="20"/>
                <w:szCs w:val="20"/>
              </w:rPr>
              <w:t xml:space="preserve">       635,598 </w:t>
            </w:r>
          </w:p>
        </w:tc>
        <w:tc>
          <w:tcPr>
            <w:tcW w:w="1059" w:type="dxa"/>
            <w:tcBorders>
              <w:top w:val="nil"/>
              <w:left w:val="nil"/>
              <w:bottom w:val="single" w:sz="8" w:space="0" w:color="000000"/>
              <w:right w:val="single" w:sz="8" w:space="0" w:color="000000"/>
            </w:tcBorders>
            <w:shd w:val="clear" w:color="auto" w:fill="auto"/>
            <w:noWrap/>
            <w:vAlign w:val="bottom"/>
            <w:hideMark/>
          </w:tcPr>
          <w:p w14:paraId="3008404D" w14:textId="77777777" w:rsidR="00D81D66" w:rsidRPr="00F036AC" w:rsidRDefault="00D81D66" w:rsidP="00BB4F8B">
            <w:pPr>
              <w:jc w:val="right"/>
              <w:rPr>
                <w:color w:val="000000"/>
                <w:sz w:val="20"/>
                <w:szCs w:val="20"/>
              </w:rPr>
            </w:pPr>
            <w:r w:rsidRPr="00F036AC">
              <w:rPr>
                <w:color w:val="000000"/>
                <w:sz w:val="20"/>
                <w:szCs w:val="20"/>
              </w:rPr>
              <w:t xml:space="preserve">       745,965 </w:t>
            </w:r>
          </w:p>
        </w:tc>
      </w:tr>
      <w:tr w:rsidR="00D81D66" w:rsidRPr="00F036AC" w14:paraId="4CD88E27"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1EE75A93" w14:textId="77777777" w:rsidR="00D81D66" w:rsidRPr="00F036AC" w:rsidRDefault="00D81D66" w:rsidP="00BB4F8B">
            <w:pPr>
              <w:ind w:firstLineChars="100" w:firstLine="200"/>
              <w:rPr>
                <w:color w:val="000000"/>
                <w:sz w:val="20"/>
                <w:szCs w:val="20"/>
              </w:rPr>
            </w:pPr>
            <w:r w:rsidRPr="00F036AC">
              <w:rPr>
                <w:color w:val="000000"/>
                <w:sz w:val="20"/>
                <w:szCs w:val="20"/>
              </w:rPr>
              <w:t>Maintenance and Other Operating Expenses (MOOE)</w:t>
            </w:r>
          </w:p>
        </w:tc>
        <w:tc>
          <w:tcPr>
            <w:tcW w:w="1130" w:type="dxa"/>
            <w:tcBorders>
              <w:top w:val="nil"/>
              <w:left w:val="nil"/>
              <w:bottom w:val="single" w:sz="8" w:space="0" w:color="000000"/>
              <w:right w:val="single" w:sz="8" w:space="0" w:color="000000"/>
            </w:tcBorders>
            <w:shd w:val="clear" w:color="auto" w:fill="auto"/>
            <w:noWrap/>
            <w:vAlign w:val="bottom"/>
            <w:hideMark/>
          </w:tcPr>
          <w:p w14:paraId="2C8A768C" w14:textId="77777777" w:rsidR="00D81D66" w:rsidRPr="00F036AC" w:rsidRDefault="00D81D66" w:rsidP="00BB4F8B">
            <w:pPr>
              <w:jc w:val="right"/>
              <w:rPr>
                <w:color w:val="000000"/>
                <w:sz w:val="20"/>
                <w:szCs w:val="20"/>
              </w:rPr>
            </w:pPr>
            <w:r w:rsidRPr="00F036AC">
              <w:rPr>
                <w:color w:val="000000"/>
                <w:sz w:val="20"/>
                <w:szCs w:val="20"/>
              </w:rPr>
              <w:t xml:space="preserve">         299,995 </w:t>
            </w:r>
          </w:p>
        </w:tc>
        <w:tc>
          <w:tcPr>
            <w:tcW w:w="1059" w:type="dxa"/>
            <w:tcBorders>
              <w:top w:val="nil"/>
              <w:left w:val="nil"/>
              <w:bottom w:val="single" w:sz="8" w:space="0" w:color="000000"/>
              <w:right w:val="single" w:sz="8" w:space="0" w:color="000000"/>
            </w:tcBorders>
            <w:shd w:val="clear" w:color="auto" w:fill="auto"/>
            <w:noWrap/>
            <w:vAlign w:val="bottom"/>
            <w:hideMark/>
          </w:tcPr>
          <w:p w14:paraId="56F294BA" w14:textId="77777777" w:rsidR="00D81D66" w:rsidRPr="00F036AC" w:rsidRDefault="00D81D66" w:rsidP="00BB4F8B">
            <w:pPr>
              <w:jc w:val="right"/>
              <w:rPr>
                <w:color w:val="000000"/>
                <w:sz w:val="20"/>
                <w:szCs w:val="20"/>
              </w:rPr>
            </w:pPr>
            <w:r w:rsidRPr="00F036AC">
              <w:rPr>
                <w:color w:val="000000"/>
                <w:sz w:val="20"/>
                <w:szCs w:val="20"/>
              </w:rPr>
              <w:t xml:space="preserve">       314,912 </w:t>
            </w:r>
          </w:p>
        </w:tc>
        <w:tc>
          <w:tcPr>
            <w:tcW w:w="1059" w:type="dxa"/>
            <w:tcBorders>
              <w:top w:val="nil"/>
              <w:left w:val="nil"/>
              <w:bottom w:val="single" w:sz="8" w:space="0" w:color="000000"/>
              <w:right w:val="single" w:sz="8" w:space="0" w:color="000000"/>
            </w:tcBorders>
            <w:shd w:val="clear" w:color="auto" w:fill="auto"/>
            <w:noWrap/>
            <w:vAlign w:val="bottom"/>
            <w:hideMark/>
          </w:tcPr>
          <w:p w14:paraId="3340826E" w14:textId="77777777" w:rsidR="00D81D66" w:rsidRPr="00F036AC" w:rsidRDefault="00D81D66" w:rsidP="00BB4F8B">
            <w:pPr>
              <w:jc w:val="right"/>
              <w:rPr>
                <w:color w:val="000000"/>
                <w:sz w:val="20"/>
                <w:szCs w:val="20"/>
              </w:rPr>
            </w:pPr>
            <w:r w:rsidRPr="00F036AC">
              <w:rPr>
                <w:color w:val="000000"/>
                <w:sz w:val="20"/>
                <w:szCs w:val="20"/>
              </w:rPr>
              <w:t xml:space="preserve">       463,325 </w:t>
            </w:r>
          </w:p>
        </w:tc>
      </w:tr>
      <w:tr w:rsidR="00D81D66" w:rsidRPr="00F036AC" w14:paraId="1CFFE1DA"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2AD23FFE" w14:textId="77777777" w:rsidR="00D81D66" w:rsidRPr="00F036AC" w:rsidRDefault="00D81D66" w:rsidP="00BB4F8B">
            <w:pPr>
              <w:ind w:firstLineChars="100" w:firstLine="200"/>
              <w:rPr>
                <w:color w:val="000000"/>
                <w:sz w:val="20"/>
                <w:szCs w:val="20"/>
              </w:rPr>
            </w:pPr>
            <w:r w:rsidRPr="00F036AC">
              <w:rPr>
                <w:color w:val="000000"/>
                <w:sz w:val="20"/>
                <w:szCs w:val="20"/>
              </w:rPr>
              <w:t>Subsidies</w:t>
            </w:r>
          </w:p>
        </w:tc>
        <w:tc>
          <w:tcPr>
            <w:tcW w:w="1130" w:type="dxa"/>
            <w:tcBorders>
              <w:top w:val="nil"/>
              <w:left w:val="nil"/>
              <w:bottom w:val="single" w:sz="8" w:space="0" w:color="000000"/>
              <w:right w:val="single" w:sz="8" w:space="0" w:color="000000"/>
            </w:tcBorders>
            <w:shd w:val="clear" w:color="auto" w:fill="auto"/>
            <w:noWrap/>
            <w:vAlign w:val="bottom"/>
            <w:hideMark/>
          </w:tcPr>
          <w:p w14:paraId="5EEDB43C" w14:textId="77777777" w:rsidR="00D81D66" w:rsidRPr="00F036AC" w:rsidRDefault="00D81D66" w:rsidP="00BB4F8B">
            <w:pPr>
              <w:jc w:val="right"/>
              <w:rPr>
                <w:color w:val="000000"/>
                <w:sz w:val="20"/>
                <w:szCs w:val="20"/>
              </w:rPr>
            </w:pPr>
            <w:r w:rsidRPr="00F036AC">
              <w:rPr>
                <w:color w:val="000000"/>
                <w:sz w:val="20"/>
                <w:szCs w:val="20"/>
              </w:rPr>
              <w:t xml:space="preserve">           54,760 </w:t>
            </w:r>
          </w:p>
        </w:tc>
        <w:tc>
          <w:tcPr>
            <w:tcW w:w="1059" w:type="dxa"/>
            <w:tcBorders>
              <w:top w:val="nil"/>
              <w:left w:val="nil"/>
              <w:bottom w:val="single" w:sz="8" w:space="0" w:color="000000"/>
              <w:right w:val="single" w:sz="8" w:space="0" w:color="000000"/>
            </w:tcBorders>
            <w:shd w:val="clear" w:color="auto" w:fill="auto"/>
            <w:noWrap/>
            <w:vAlign w:val="bottom"/>
            <w:hideMark/>
          </w:tcPr>
          <w:p w14:paraId="60284E24" w14:textId="77777777" w:rsidR="00D81D66" w:rsidRPr="00F036AC" w:rsidRDefault="00D81D66" w:rsidP="00BB4F8B">
            <w:pPr>
              <w:jc w:val="right"/>
              <w:rPr>
                <w:color w:val="000000"/>
                <w:sz w:val="20"/>
                <w:szCs w:val="20"/>
              </w:rPr>
            </w:pPr>
            <w:r w:rsidRPr="00F036AC">
              <w:rPr>
                <w:color w:val="000000"/>
                <w:sz w:val="20"/>
                <w:szCs w:val="20"/>
              </w:rPr>
              <w:t xml:space="preserve">         77,407 </w:t>
            </w:r>
          </w:p>
        </w:tc>
        <w:tc>
          <w:tcPr>
            <w:tcW w:w="1059" w:type="dxa"/>
            <w:tcBorders>
              <w:top w:val="nil"/>
              <w:left w:val="nil"/>
              <w:bottom w:val="single" w:sz="8" w:space="0" w:color="000000"/>
              <w:right w:val="single" w:sz="8" w:space="0" w:color="000000"/>
            </w:tcBorders>
            <w:shd w:val="clear" w:color="auto" w:fill="auto"/>
            <w:noWrap/>
            <w:vAlign w:val="bottom"/>
            <w:hideMark/>
          </w:tcPr>
          <w:p w14:paraId="054AADF2" w14:textId="77777777" w:rsidR="00D81D66" w:rsidRPr="00F036AC" w:rsidRDefault="00D81D66" w:rsidP="00BB4F8B">
            <w:pPr>
              <w:jc w:val="right"/>
              <w:rPr>
                <w:color w:val="000000"/>
                <w:sz w:val="20"/>
                <w:szCs w:val="20"/>
              </w:rPr>
            </w:pPr>
            <w:r w:rsidRPr="00F036AC">
              <w:rPr>
                <w:color w:val="000000"/>
                <w:sz w:val="20"/>
                <w:szCs w:val="20"/>
              </w:rPr>
              <w:t xml:space="preserve">         15,719 </w:t>
            </w:r>
          </w:p>
        </w:tc>
      </w:tr>
      <w:tr w:rsidR="00D81D66" w:rsidRPr="00F036AC" w14:paraId="004436CA"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1F881FDF" w14:textId="77777777" w:rsidR="00D81D66" w:rsidRPr="00F036AC" w:rsidRDefault="00D81D66" w:rsidP="00BB4F8B">
            <w:pPr>
              <w:ind w:firstLineChars="100" w:firstLine="200"/>
              <w:rPr>
                <w:color w:val="000000"/>
                <w:sz w:val="20"/>
                <w:szCs w:val="20"/>
              </w:rPr>
            </w:pPr>
            <w:r w:rsidRPr="00F036AC">
              <w:rPr>
                <w:color w:val="000000"/>
                <w:sz w:val="20"/>
                <w:szCs w:val="20"/>
              </w:rPr>
              <w:t>Allotment to LGUs</w:t>
            </w:r>
          </w:p>
        </w:tc>
        <w:tc>
          <w:tcPr>
            <w:tcW w:w="1130" w:type="dxa"/>
            <w:tcBorders>
              <w:top w:val="nil"/>
              <w:left w:val="nil"/>
              <w:bottom w:val="single" w:sz="8" w:space="0" w:color="000000"/>
              <w:right w:val="single" w:sz="8" w:space="0" w:color="000000"/>
            </w:tcBorders>
            <w:shd w:val="clear" w:color="auto" w:fill="auto"/>
            <w:noWrap/>
            <w:vAlign w:val="bottom"/>
            <w:hideMark/>
          </w:tcPr>
          <w:p w14:paraId="443B5FEA" w14:textId="77777777" w:rsidR="00D81D66" w:rsidRPr="00F036AC" w:rsidRDefault="00D81D66" w:rsidP="00BB4F8B">
            <w:pPr>
              <w:jc w:val="right"/>
              <w:rPr>
                <w:color w:val="000000"/>
                <w:sz w:val="20"/>
                <w:szCs w:val="20"/>
              </w:rPr>
            </w:pPr>
            <w:r w:rsidRPr="00F036AC">
              <w:rPr>
                <w:color w:val="000000"/>
                <w:sz w:val="20"/>
                <w:szCs w:val="20"/>
              </w:rPr>
              <w:t xml:space="preserve">         241,843 </w:t>
            </w:r>
          </w:p>
        </w:tc>
        <w:tc>
          <w:tcPr>
            <w:tcW w:w="1059" w:type="dxa"/>
            <w:tcBorders>
              <w:top w:val="nil"/>
              <w:left w:val="nil"/>
              <w:bottom w:val="single" w:sz="8" w:space="0" w:color="000000"/>
              <w:right w:val="single" w:sz="8" w:space="0" w:color="000000"/>
            </w:tcBorders>
            <w:shd w:val="clear" w:color="auto" w:fill="auto"/>
            <w:noWrap/>
            <w:vAlign w:val="bottom"/>
            <w:hideMark/>
          </w:tcPr>
          <w:p w14:paraId="34DB6CCD" w14:textId="77777777" w:rsidR="00D81D66" w:rsidRPr="00F036AC" w:rsidRDefault="00D81D66" w:rsidP="00BB4F8B">
            <w:pPr>
              <w:jc w:val="right"/>
              <w:rPr>
                <w:color w:val="000000"/>
                <w:sz w:val="20"/>
                <w:szCs w:val="20"/>
              </w:rPr>
            </w:pPr>
            <w:r w:rsidRPr="00F036AC">
              <w:rPr>
                <w:color w:val="000000"/>
                <w:sz w:val="20"/>
                <w:szCs w:val="20"/>
              </w:rPr>
              <w:t xml:space="preserve">       273,236 </w:t>
            </w:r>
          </w:p>
        </w:tc>
        <w:tc>
          <w:tcPr>
            <w:tcW w:w="1059" w:type="dxa"/>
            <w:tcBorders>
              <w:top w:val="nil"/>
              <w:left w:val="nil"/>
              <w:bottom w:val="single" w:sz="8" w:space="0" w:color="000000"/>
              <w:right w:val="single" w:sz="8" w:space="0" w:color="000000"/>
            </w:tcBorders>
            <w:shd w:val="clear" w:color="auto" w:fill="auto"/>
            <w:noWrap/>
            <w:vAlign w:val="bottom"/>
            <w:hideMark/>
          </w:tcPr>
          <w:p w14:paraId="60E9B150" w14:textId="77777777" w:rsidR="00D81D66" w:rsidRPr="00F036AC" w:rsidRDefault="00D81D66" w:rsidP="00BB4F8B">
            <w:pPr>
              <w:jc w:val="right"/>
              <w:rPr>
                <w:color w:val="000000"/>
                <w:sz w:val="20"/>
                <w:szCs w:val="20"/>
              </w:rPr>
            </w:pPr>
            <w:r w:rsidRPr="00F036AC">
              <w:rPr>
                <w:color w:val="000000"/>
                <w:sz w:val="20"/>
                <w:szCs w:val="20"/>
              </w:rPr>
              <w:t xml:space="preserve">       311,888 </w:t>
            </w:r>
          </w:p>
        </w:tc>
      </w:tr>
      <w:tr w:rsidR="00D81D66" w:rsidRPr="00F036AC" w14:paraId="2E4A1D4B"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53F68600" w14:textId="77777777" w:rsidR="00D81D66" w:rsidRPr="00F036AC" w:rsidRDefault="00D81D66" w:rsidP="00BB4F8B">
            <w:pPr>
              <w:ind w:firstLineChars="100" w:firstLine="200"/>
              <w:rPr>
                <w:color w:val="000000"/>
                <w:sz w:val="20"/>
                <w:szCs w:val="20"/>
              </w:rPr>
            </w:pPr>
            <w:r w:rsidRPr="00F036AC">
              <w:rPr>
                <w:color w:val="000000"/>
                <w:sz w:val="20"/>
                <w:szCs w:val="20"/>
              </w:rPr>
              <w:t>Interest payments</w:t>
            </w:r>
          </w:p>
        </w:tc>
        <w:tc>
          <w:tcPr>
            <w:tcW w:w="1130" w:type="dxa"/>
            <w:tcBorders>
              <w:top w:val="nil"/>
              <w:left w:val="nil"/>
              <w:bottom w:val="single" w:sz="8" w:space="0" w:color="000000"/>
              <w:right w:val="single" w:sz="8" w:space="0" w:color="000000"/>
            </w:tcBorders>
            <w:shd w:val="clear" w:color="auto" w:fill="auto"/>
            <w:noWrap/>
            <w:vAlign w:val="bottom"/>
            <w:hideMark/>
          </w:tcPr>
          <w:p w14:paraId="337F84B2" w14:textId="77777777" w:rsidR="00D81D66" w:rsidRPr="00F036AC" w:rsidRDefault="00D81D66" w:rsidP="00BB4F8B">
            <w:pPr>
              <w:jc w:val="right"/>
              <w:rPr>
                <w:color w:val="000000"/>
                <w:sz w:val="20"/>
                <w:szCs w:val="20"/>
              </w:rPr>
            </w:pPr>
            <w:r w:rsidRPr="00F036AC">
              <w:rPr>
                <w:color w:val="000000"/>
                <w:sz w:val="20"/>
                <w:szCs w:val="20"/>
              </w:rPr>
              <w:t xml:space="preserve">         323,434 </w:t>
            </w:r>
          </w:p>
        </w:tc>
        <w:tc>
          <w:tcPr>
            <w:tcW w:w="1059" w:type="dxa"/>
            <w:tcBorders>
              <w:top w:val="nil"/>
              <w:left w:val="nil"/>
              <w:bottom w:val="single" w:sz="8" w:space="0" w:color="000000"/>
              <w:right w:val="single" w:sz="8" w:space="0" w:color="000000"/>
            </w:tcBorders>
            <w:shd w:val="clear" w:color="auto" w:fill="auto"/>
            <w:noWrap/>
            <w:vAlign w:val="bottom"/>
            <w:hideMark/>
          </w:tcPr>
          <w:p w14:paraId="3E126898" w14:textId="77777777" w:rsidR="00D81D66" w:rsidRPr="00F036AC" w:rsidRDefault="00D81D66" w:rsidP="00BB4F8B">
            <w:pPr>
              <w:jc w:val="right"/>
              <w:rPr>
                <w:color w:val="000000"/>
                <w:sz w:val="20"/>
                <w:szCs w:val="20"/>
              </w:rPr>
            </w:pPr>
            <w:r w:rsidRPr="00F036AC">
              <w:rPr>
                <w:color w:val="000000"/>
                <w:sz w:val="20"/>
                <w:szCs w:val="20"/>
              </w:rPr>
              <w:t xml:space="preserve">       321,185 </w:t>
            </w:r>
          </w:p>
        </w:tc>
        <w:tc>
          <w:tcPr>
            <w:tcW w:w="1059" w:type="dxa"/>
            <w:tcBorders>
              <w:top w:val="nil"/>
              <w:left w:val="nil"/>
              <w:bottom w:val="single" w:sz="8" w:space="0" w:color="000000"/>
              <w:right w:val="single" w:sz="8" w:space="0" w:color="000000"/>
            </w:tcBorders>
            <w:shd w:val="clear" w:color="auto" w:fill="auto"/>
            <w:noWrap/>
            <w:vAlign w:val="bottom"/>
            <w:hideMark/>
          </w:tcPr>
          <w:p w14:paraId="63437771" w14:textId="77777777" w:rsidR="00D81D66" w:rsidRPr="00F036AC" w:rsidRDefault="00D81D66" w:rsidP="00BB4F8B">
            <w:pPr>
              <w:jc w:val="right"/>
              <w:rPr>
                <w:color w:val="000000"/>
                <w:sz w:val="20"/>
                <w:szCs w:val="20"/>
              </w:rPr>
            </w:pPr>
            <w:r w:rsidRPr="00F036AC">
              <w:rPr>
                <w:color w:val="000000"/>
                <w:sz w:val="20"/>
                <w:szCs w:val="20"/>
              </w:rPr>
              <w:t xml:space="preserve">       372,863 </w:t>
            </w:r>
          </w:p>
        </w:tc>
      </w:tr>
      <w:tr w:rsidR="00D81D66" w:rsidRPr="00F036AC" w14:paraId="7B1F985D"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6C5287A8" w14:textId="77777777" w:rsidR="00D81D66" w:rsidRPr="00F036AC" w:rsidRDefault="00D81D66" w:rsidP="00BB4F8B">
            <w:pPr>
              <w:ind w:firstLineChars="100" w:firstLine="200"/>
              <w:rPr>
                <w:color w:val="000000"/>
                <w:sz w:val="20"/>
                <w:szCs w:val="20"/>
              </w:rPr>
            </w:pPr>
            <w:r w:rsidRPr="00F036AC">
              <w:rPr>
                <w:color w:val="000000"/>
                <w:sz w:val="20"/>
                <w:szCs w:val="20"/>
              </w:rPr>
              <w:t>Other CE</w:t>
            </w:r>
          </w:p>
        </w:tc>
        <w:tc>
          <w:tcPr>
            <w:tcW w:w="1130" w:type="dxa"/>
            <w:tcBorders>
              <w:top w:val="nil"/>
              <w:left w:val="nil"/>
              <w:bottom w:val="single" w:sz="8" w:space="0" w:color="000000"/>
              <w:right w:val="single" w:sz="8" w:space="0" w:color="000000"/>
            </w:tcBorders>
            <w:shd w:val="clear" w:color="auto" w:fill="auto"/>
            <w:noWrap/>
            <w:vAlign w:val="bottom"/>
            <w:hideMark/>
          </w:tcPr>
          <w:p w14:paraId="352B27D3" w14:textId="77777777" w:rsidR="00D81D66" w:rsidRPr="00F036AC" w:rsidRDefault="00D81D66" w:rsidP="00BB4F8B">
            <w:pPr>
              <w:jc w:val="right"/>
              <w:rPr>
                <w:color w:val="000000"/>
                <w:sz w:val="20"/>
                <w:szCs w:val="20"/>
              </w:rPr>
            </w:pPr>
            <w:r>
              <w:rPr>
                <w:color w:val="000000"/>
                <w:sz w:val="20"/>
                <w:szCs w:val="20"/>
              </w:rPr>
              <w:t>-</w:t>
            </w:r>
          </w:p>
        </w:tc>
        <w:tc>
          <w:tcPr>
            <w:tcW w:w="1059" w:type="dxa"/>
            <w:tcBorders>
              <w:top w:val="nil"/>
              <w:left w:val="nil"/>
              <w:bottom w:val="single" w:sz="8" w:space="0" w:color="000000"/>
              <w:right w:val="single" w:sz="8" w:space="0" w:color="000000"/>
            </w:tcBorders>
            <w:shd w:val="clear" w:color="auto" w:fill="auto"/>
            <w:noWrap/>
            <w:vAlign w:val="bottom"/>
            <w:hideMark/>
          </w:tcPr>
          <w:p w14:paraId="53A3A3CA" w14:textId="77777777" w:rsidR="00D81D66" w:rsidRPr="00F036AC" w:rsidRDefault="00D81D66" w:rsidP="00BB4F8B">
            <w:pPr>
              <w:jc w:val="right"/>
              <w:rPr>
                <w:color w:val="000000"/>
                <w:sz w:val="20"/>
                <w:szCs w:val="20"/>
              </w:rPr>
            </w:pPr>
            <w:r w:rsidRPr="00F036AC">
              <w:rPr>
                <w:color w:val="000000"/>
                <w:sz w:val="20"/>
                <w:szCs w:val="20"/>
              </w:rPr>
              <w:t xml:space="preserve">           1,248 </w:t>
            </w:r>
          </w:p>
        </w:tc>
        <w:tc>
          <w:tcPr>
            <w:tcW w:w="1059" w:type="dxa"/>
            <w:tcBorders>
              <w:top w:val="nil"/>
              <w:left w:val="nil"/>
              <w:bottom w:val="single" w:sz="8" w:space="0" w:color="000000"/>
              <w:right w:val="single" w:sz="8" w:space="0" w:color="000000"/>
            </w:tcBorders>
            <w:shd w:val="clear" w:color="auto" w:fill="auto"/>
            <w:noWrap/>
            <w:vAlign w:val="bottom"/>
            <w:hideMark/>
          </w:tcPr>
          <w:p w14:paraId="47CF69EE" w14:textId="77777777" w:rsidR="00D81D66" w:rsidRPr="00F036AC" w:rsidRDefault="00D81D66" w:rsidP="00BB4F8B">
            <w:pPr>
              <w:jc w:val="right"/>
              <w:rPr>
                <w:color w:val="000000"/>
                <w:sz w:val="20"/>
                <w:szCs w:val="20"/>
              </w:rPr>
            </w:pPr>
            <w:r w:rsidRPr="00F036AC">
              <w:rPr>
                <w:color w:val="000000"/>
                <w:sz w:val="20"/>
                <w:szCs w:val="20"/>
              </w:rPr>
              <w:t xml:space="preserve">           1,680 </w:t>
            </w:r>
          </w:p>
        </w:tc>
      </w:tr>
      <w:tr w:rsidR="00D81D66" w:rsidRPr="00F036AC" w14:paraId="4F0F2C6F"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06251DE0" w14:textId="77777777" w:rsidR="00D81D66" w:rsidRPr="00F036AC" w:rsidRDefault="00D81D66" w:rsidP="00BB4F8B">
            <w:pPr>
              <w:rPr>
                <w:b/>
                <w:bCs/>
                <w:color w:val="000000"/>
                <w:sz w:val="20"/>
                <w:szCs w:val="20"/>
              </w:rPr>
            </w:pPr>
            <w:r w:rsidRPr="00F036AC">
              <w:rPr>
                <w:b/>
                <w:bCs/>
                <w:color w:val="000000"/>
                <w:sz w:val="20"/>
                <w:szCs w:val="20"/>
              </w:rPr>
              <w:t>Capital Outlay (CO)</w:t>
            </w:r>
          </w:p>
        </w:tc>
        <w:tc>
          <w:tcPr>
            <w:tcW w:w="1130" w:type="dxa"/>
            <w:tcBorders>
              <w:top w:val="nil"/>
              <w:left w:val="nil"/>
              <w:bottom w:val="single" w:sz="8" w:space="0" w:color="000000"/>
              <w:right w:val="single" w:sz="8" w:space="0" w:color="000000"/>
            </w:tcBorders>
            <w:shd w:val="clear" w:color="auto" w:fill="auto"/>
            <w:noWrap/>
            <w:vAlign w:val="bottom"/>
            <w:hideMark/>
          </w:tcPr>
          <w:p w14:paraId="58F7D80A" w14:textId="77777777" w:rsidR="00D81D66" w:rsidRPr="00F036AC" w:rsidRDefault="00D81D66" w:rsidP="00BB4F8B">
            <w:pPr>
              <w:jc w:val="right"/>
              <w:rPr>
                <w:b/>
                <w:bCs/>
                <w:color w:val="000000"/>
                <w:sz w:val="20"/>
                <w:szCs w:val="20"/>
              </w:rPr>
            </w:pPr>
            <w:r w:rsidRPr="00F036AC">
              <w:rPr>
                <w:b/>
                <w:bCs/>
                <w:color w:val="000000"/>
                <w:sz w:val="20"/>
                <w:szCs w:val="20"/>
              </w:rPr>
              <w:t xml:space="preserve">       449,966 </w:t>
            </w:r>
          </w:p>
        </w:tc>
        <w:tc>
          <w:tcPr>
            <w:tcW w:w="1059" w:type="dxa"/>
            <w:tcBorders>
              <w:top w:val="nil"/>
              <w:left w:val="nil"/>
              <w:bottom w:val="single" w:sz="8" w:space="0" w:color="000000"/>
              <w:right w:val="single" w:sz="8" w:space="0" w:color="000000"/>
            </w:tcBorders>
            <w:shd w:val="clear" w:color="auto" w:fill="auto"/>
            <w:noWrap/>
            <w:vAlign w:val="bottom"/>
            <w:hideMark/>
          </w:tcPr>
          <w:p w14:paraId="3727E448" w14:textId="77777777" w:rsidR="00D81D66" w:rsidRPr="00F036AC" w:rsidRDefault="00D81D66" w:rsidP="00BB4F8B">
            <w:pPr>
              <w:jc w:val="right"/>
              <w:rPr>
                <w:b/>
                <w:bCs/>
                <w:color w:val="000000"/>
                <w:sz w:val="20"/>
                <w:szCs w:val="20"/>
              </w:rPr>
            </w:pPr>
            <w:r w:rsidRPr="00F036AC">
              <w:rPr>
                <w:b/>
                <w:bCs/>
                <w:color w:val="000000"/>
                <w:sz w:val="20"/>
                <w:szCs w:val="20"/>
              </w:rPr>
              <w:t xml:space="preserve">     382,081 </w:t>
            </w:r>
          </w:p>
        </w:tc>
        <w:tc>
          <w:tcPr>
            <w:tcW w:w="1059" w:type="dxa"/>
            <w:tcBorders>
              <w:top w:val="nil"/>
              <w:left w:val="nil"/>
              <w:bottom w:val="single" w:sz="8" w:space="0" w:color="000000"/>
              <w:right w:val="single" w:sz="8" w:space="0" w:color="000000"/>
            </w:tcBorders>
            <w:shd w:val="clear" w:color="auto" w:fill="auto"/>
            <w:noWrap/>
            <w:vAlign w:val="bottom"/>
            <w:hideMark/>
          </w:tcPr>
          <w:p w14:paraId="106D602C" w14:textId="77777777" w:rsidR="00D81D66" w:rsidRPr="00F036AC" w:rsidRDefault="00D81D66" w:rsidP="00BB4F8B">
            <w:pPr>
              <w:jc w:val="right"/>
              <w:rPr>
                <w:b/>
                <w:bCs/>
                <w:color w:val="000000"/>
                <w:sz w:val="20"/>
                <w:szCs w:val="20"/>
              </w:rPr>
            </w:pPr>
            <w:r w:rsidRPr="00F036AC">
              <w:rPr>
                <w:b/>
                <w:bCs/>
                <w:color w:val="000000"/>
                <w:sz w:val="20"/>
                <w:szCs w:val="20"/>
              </w:rPr>
              <w:t xml:space="preserve">     668,060 </w:t>
            </w:r>
          </w:p>
        </w:tc>
      </w:tr>
      <w:tr w:rsidR="00D81D66" w:rsidRPr="00F036AC" w14:paraId="5FBA1EE6"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14287DDC" w14:textId="77777777" w:rsidR="00D81D66" w:rsidRPr="00F036AC" w:rsidRDefault="00D81D66" w:rsidP="00BB4F8B">
            <w:pPr>
              <w:ind w:firstLineChars="100" w:firstLine="200"/>
              <w:rPr>
                <w:color w:val="000000"/>
                <w:sz w:val="20"/>
                <w:szCs w:val="20"/>
              </w:rPr>
            </w:pPr>
            <w:r w:rsidRPr="00F036AC">
              <w:rPr>
                <w:color w:val="000000"/>
                <w:sz w:val="20"/>
                <w:szCs w:val="20"/>
              </w:rPr>
              <w:t>Infrastructure spending</w:t>
            </w:r>
          </w:p>
        </w:tc>
        <w:tc>
          <w:tcPr>
            <w:tcW w:w="1130" w:type="dxa"/>
            <w:tcBorders>
              <w:top w:val="nil"/>
              <w:left w:val="nil"/>
              <w:bottom w:val="single" w:sz="8" w:space="0" w:color="000000"/>
              <w:right w:val="single" w:sz="8" w:space="0" w:color="000000"/>
            </w:tcBorders>
            <w:shd w:val="clear" w:color="auto" w:fill="auto"/>
            <w:noWrap/>
            <w:vAlign w:val="bottom"/>
            <w:hideMark/>
          </w:tcPr>
          <w:p w14:paraId="70712B19" w14:textId="77777777" w:rsidR="00D81D66" w:rsidRPr="00F036AC" w:rsidRDefault="00D81D66" w:rsidP="00BB4F8B">
            <w:pPr>
              <w:jc w:val="right"/>
              <w:rPr>
                <w:color w:val="000000"/>
                <w:sz w:val="20"/>
                <w:szCs w:val="20"/>
              </w:rPr>
            </w:pPr>
            <w:r w:rsidRPr="00F036AC">
              <w:rPr>
                <w:color w:val="000000"/>
                <w:sz w:val="20"/>
                <w:szCs w:val="20"/>
              </w:rPr>
              <w:t xml:space="preserve">         404,084 </w:t>
            </w:r>
          </w:p>
        </w:tc>
        <w:tc>
          <w:tcPr>
            <w:tcW w:w="1059" w:type="dxa"/>
            <w:tcBorders>
              <w:top w:val="nil"/>
              <w:left w:val="nil"/>
              <w:bottom w:val="single" w:sz="8" w:space="0" w:color="000000"/>
              <w:right w:val="single" w:sz="8" w:space="0" w:color="000000"/>
            </w:tcBorders>
            <w:shd w:val="clear" w:color="auto" w:fill="auto"/>
            <w:noWrap/>
            <w:vAlign w:val="bottom"/>
            <w:hideMark/>
          </w:tcPr>
          <w:p w14:paraId="408F578B" w14:textId="77777777" w:rsidR="00D81D66" w:rsidRPr="00F036AC" w:rsidRDefault="00D81D66" w:rsidP="00BB4F8B">
            <w:pPr>
              <w:jc w:val="right"/>
              <w:rPr>
                <w:color w:val="000000"/>
                <w:sz w:val="20"/>
                <w:szCs w:val="20"/>
              </w:rPr>
            </w:pPr>
            <w:r w:rsidRPr="00F036AC">
              <w:rPr>
                <w:color w:val="000000"/>
                <w:sz w:val="20"/>
                <w:szCs w:val="20"/>
              </w:rPr>
              <w:t xml:space="preserve">       350,727 </w:t>
            </w:r>
          </w:p>
        </w:tc>
        <w:tc>
          <w:tcPr>
            <w:tcW w:w="1059" w:type="dxa"/>
            <w:tcBorders>
              <w:top w:val="nil"/>
              <w:left w:val="nil"/>
              <w:bottom w:val="single" w:sz="8" w:space="0" w:color="000000"/>
              <w:right w:val="single" w:sz="8" w:space="0" w:color="000000"/>
            </w:tcBorders>
            <w:shd w:val="clear" w:color="auto" w:fill="auto"/>
            <w:noWrap/>
            <w:vAlign w:val="bottom"/>
            <w:hideMark/>
          </w:tcPr>
          <w:p w14:paraId="561E33E8" w14:textId="77777777" w:rsidR="00D81D66" w:rsidRPr="00F036AC" w:rsidRDefault="00D81D66" w:rsidP="00BB4F8B">
            <w:pPr>
              <w:jc w:val="right"/>
              <w:rPr>
                <w:color w:val="000000"/>
                <w:sz w:val="20"/>
                <w:szCs w:val="20"/>
              </w:rPr>
            </w:pPr>
            <w:r w:rsidRPr="00F036AC">
              <w:rPr>
                <w:color w:val="000000"/>
                <w:sz w:val="20"/>
                <w:szCs w:val="20"/>
              </w:rPr>
              <w:t xml:space="preserve">       641,790 </w:t>
            </w:r>
          </w:p>
        </w:tc>
      </w:tr>
      <w:tr w:rsidR="00D81D66" w:rsidRPr="00F036AC" w14:paraId="544FDDC4"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024052AC" w14:textId="77777777" w:rsidR="00D81D66" w:rsidRPr="00F036AC" w:rsidRDefault="00D81D66" w:rsidP="00BB4F8B">
            <w:pPr>
              <w:ind w:firstLineChars="100" w:firstLine="200"/>
              <w:rPr>
                <w:color w:val="000000"/>
                <w:sz w:val="20"/>
                <w:szCs w:val="20"/>
              </w:rPr>
            </w:pPr>
            <w:r w:rsidRPr="00F036AC">
              <w:rPr>
                <w:color w:val="000000"/>
                <w:sz w:val="20"/>
                <w:szCs w:val="20"/>
              </w:rPr>
              <w:t>Other CO </w:t>
            </w:r>
          </w:p>
        </w:tc>
        <w:tc>
          <w:tcPr>
            <w:tcW w:w="1130" w:type="dxa"/>
            <w:tcBorders>
              <w:top w:val="nil"/>
              <w:left w:val="nil"/>
              <w:bottom w:val="single" w:sz="8" w:space="0" w:color="000000"/>
              <w:right w:val="single" w:sz="8" w:space="0" w:color="000000"/>
            </w:tcBorders>
            <w:shd w:val="clear" w:color="auto" w:fill="auto"/>
            <w:noWrap/>
            <w:vAlign w:val="bottom"/>
            <w:hideMark/>
          </w:tcPr>
          <w:p w14:paraId="78B04049" w14:textId="77777777" w:rsidR="00D81D66" w:rsidRPr="00F036AC" w:rsidRDefault="00D81D66" w:rsidP="00BB4F8B">
            <w:pPr>
              <w:jc w:val="right"/>
              <w:rPr>
                <w:color w:val="000000"/>
                <w:sz w:val="20"/>
                <w:szCs w:val="20"/>
              </w:rPr>
            </w:pPr>
            <w:r w:rsidRPr="00F036AC">
              <w:rPr>
                <w:color w:val="000000"/>
                <w:sz w:val="20"/>
                <w:szCs w:val="20"/>
              </w:rPr>
              <w:t xml:space="preserve">           45,882 </w:t>
            </w:r>
          </w:p>
        </w:tc>
        <w:tc>
          <w:tcPr>
            <w:tcW w:w="1059" w:type="dxa"/>
            <w:tcBorders>
              <w:top w:val="nil"/>
              <w:left w:val="nil"/>
              <w:bottom w:val="single" w:sz="8" w:space="0" w:color="000000"/>
              <w:right w:val="single" w:sz="8" w:space="0" w:color="000000"/>
            </w:tcBorders>
            <w:shd w:val="clear" w:color="auto" w:fill="auto"/>
            <w:noWrap/>
            <w:vAlign w:val="bottom"/>
            <w:hideMark/>
          </w:tcPr>
          <w:p w14:paraId="1C9F2C61" w14:textId="77777777" w:rsidR="00D81D66" w:rsidRPr="00F036AC" w:rsidRDefault="00D81D66" w:rsidP="00BB4F8B">
            <w:pPr>
              <w:jc w:val="right"/>
              <w:rPr>
                <w:color w:val="000000"/>
                <w:sz w:val="20"/>
                <w:szCs w:val="20"/>
              </w:rPr>
            </w:pPr>
            <w:r w:rsidRPr="00F036AC">
              <w:rPr>
                <w:color w:val="000000"/>
                <w:sz w:val="20"/>
                <w:szCs w:val="20"/>
              </w:rPr>
              <w:t xml:space="preserve">         31,354 </w:t>
            </w:r>
          </w:p>
        </w:tc>
        <w:tc>
          <w:tcPr>
            <w:tcW w:w="1059" w:type="dxa"/>
            <w:tcBorders>
              <w:top w:val="nil"/>
              <w:left w:val="nil"/>
              <w:bottom w:val="single" w:sz="8" w:space="0" w:color="000000"/>
              <w:right w:val="single" w:sz="8" w:space="0" w:color="000000"/>
            </w:tcBorders>
            <w:shd w:val="clear" w:color="auto" w:fill="auto"/>
            <w:noWrap/>
            <w:vAlign w:val="bottom"/>
            <w:hideMark/>
          </w:tcPr>
          <w:p w14:paraId="21765963" w14:textId="77777777" w:rsidR="00D81D66" w:rsidRPr="00F036AC" w:rsidRDefault="00D81D66" w:rsidP="00BB4F8B">
            <w:pPr>
              <w:jc w:val="right"/>
              <w:rPr>
                <w:color w:val="000000"/>
                <w:sz w:val="20"/>
                <w:szCs w:val="20"/>
              </w:rPr>
            </w:pPr>
            <w:r w:rsidRPr="00F036AC">
              <w:rPr>
                <w:color w:val="000000"/>
                <w:sz w:val="20"/>
                <w:szCs w:val="20"/>
              </w:rPr>
              <w:t xml:space="preserve">         26,270 </w:t>
            </w:r>
          </w:p>
        </w:tc>
      </w:tr>
      <w:tr w:rsidR="00D81D66" w:rsidRPr="00F036AC" w14:paraId="68DD8575"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16FB87E4" w14:textId="77777777" w:rsidR="00D81D66" w:rsidRPr="00F036AC" w:rsidRDefault="00D81D66" w:rsidP="00BB4F8B">
            <w:pPr>
              <w:rPr>
                <w:b/>
                <w:bCs/>
                <w:color w:val="000000"/>
                <w:sz w:val="20"/>
                <w:szCs w:val="20"/>
              </w:rPr>
            </w:pPr>
            <w:r w:rsidRPr="00F036AC">
              <w:rPr>
                <w:b/>
                <w:bCs/>
                <w:color w:val="000000"/>
                <w:sz w:val="20"/>
                <w:szCs w:val="20"/>
              </w:rPr>
              <w:t>Net lending</w:t>
            </w:r>
          </w:p>
        </w:tc>
        <w:tc>
          <w:tcPr>
            <w:tcW w:w="1130" w:type="dxa"/>
            <w:tcBorders>
              <w:top w:val="nil"/>
              <w:left w:val="nil"/>
              <w:bottom w:val="single" w:sz="8" w:space="0" w:color="000000"/>
              <w:right w:val="single" w:sz="8" w:space="0" w:color="000000"/>
            </w:tcBorders>
            <w:shd w:val="clear" w:color="auto" w:fill="auto"/>
            <w:noWrap/>
            <w:vAlign w:val="bottom"/>
            <w:hideMark/>
          </w:tcPr>
          <w:p w14:paraId="4A98E795" w14:textId="77777777" w:rsidR="00D81D66" w:rsidRPr="00F036AC" w:rsidRDefault="00D81D66" w:rsidP="00BB4F8B">
            <w:pPr>
              <w:jc w:val="right"/>
              <w:rPr>
                <w:b/>
                <w:bCs/>
                <w:color w:val="000000"/>
                <w:sz w:val="20"/>
                <w:szCs w:val="20"/>
              </w:rPr>
            </w:pPr>
            <w:r w:rsidRPr="00F036AC">
              <w:rPr>
                <w:b/>
                <w:bCs/>
                <w:color w:val="000000"/>
                <w:sz w:val="20"/>
                <w:szCs w:val="20"/>
              </w:rPr>
              <w:t xml:space="preserve">         16,626 </w:t>
            </w:r>
          </w:p>
        </w:tc>
        <w:tc>
          <w:tcPr>
            <w:tcW w:w="1059" w:type="dxa"/>
            <w:tcBorders>
              <w:top w:val="nil"/>
              <w:left w:val="nil"/>
              <w:bottom w:val="single" w:sz="8" w:space="0" w:color="000000"/>
              <w:right w:val="single" w:sz="8" w:space="0" w:color="000000"/>
            </w:tcBorders>
            <w:shd w:val="clear" w:color="auto" w:fill="auto"/>
            <w:noWrap/>
            <w:vAlign w:val="bottom"/>
            <w:hideMark/>
          </w:tcPr>
          <w:p w14:paraId="66F909FB" w14:textId="77777777" w:rsidR="00D81D66" w:rsidRPr="00F036AC" w:rsidRDefault="00D81D66" w:rsidP="00BB4F8B">
            <w:pPr>
              <w:jc w:val="right"/>
              <w:rPr>
                <w:b/>
                <w:bCs/>
                <w:color w:val="000000"/>
                <w:sz w:val="20"/>
                <w:szCs w:val="20"/>
              </w:rPr>
            </w:pPr>
            <w:r w:rsidRPr="00F036AC">
              <w:rPr>
                <w:b/>
                <w:bCs/>
                <w:color w:val="000000"/>
                <w:sz w:val="20"/>
                <w:szCs w:val="20"/>
              </w:rPr>
              <w:t xml:space="preserve">        13,395 </w:t>
            </w:r>
          </w:p>
        </w:tc>
        <w:tc>
          <w:tcPr>
            <w:tcW w:w="1059" w:type="dxa"/>
            <w:tcBorders>
              <w:top w:val="nil"/>
              <w:left w:val="nil"/>
              <w:bottom w:val="single" w:sz="8" w:space="0" w:color="000000"/>
              <w:right w:val="single" w:sz="8" w:space="0" w:color="000000"/>
            </w:tcBorders>
            <w:shd w:val="clear" w:color="auto" w:fill="auto"/>
            <w:noWrap/>
            <w:vAlign w:val="bottom"/>
            <w:hideMark/>
          </w:tcPr>
          <w:p w14:paraId="7B00CDA1" w14:textId="77777777" w:rsidR="00D81D66" w:rsidRPr="00F036AC" w:rsidRDefault="00D81D66" w:rsidP="00BB4F8B">
            <w:pPr>
              <w:jc w:val="right"/>
              <w:rPr>
                <w:b/>
                <w:bCs/>
                <w:color w:val="000000"/>
                <w:sz w:val="20"/>
                <w:szCs w:val="20"/>
              </w:rPr>
            </w:pPr>
            <w:r w:rsidRPr="00F036AC">
              <w:rPr>
                <w:b/>
                <w:bCs/>
                <w:color w:val="000000"/>
                <w:sz w:val="20"/>
                <w:szCs w:val="20"/>
              </w:rPr>
              <w:t xml:space="preserve">        26,500 </w:t>
            </w:r>
          </w:p>
        </w:tc>
      </w:tr>
      <w:tr w:rsidR="00D81D66" w:rsidRPr="00F036AC" w14:paraId="417580A6" w14:textId="77777777" w:rsidTr="00BB4F8B">
        <w:trPr>
          <w:trHeight w:val="57"/>
          <w:jc w:val="center"/>
        </w:trPr>
        <w:tc>
          <w:tcPr>
            <w:tcW w:w="5152" w:type="dxa"/>
            <w:tcBorders>
              <w:top w:val="nil"/>
              <w:left w:val="double" w:sz="6" w:space="0" w:color="auto"/>
              <w:bottom w:val="single" w:sz="8" w:space="0" w:color="000000"/>
              <w:right w:val="single" w:sz="8" w:space="0" w:color="000000"/>
            </w:tcBorders>
            <w:shd w:val="clear" w:color="auto" w:fill="auto"/>
            <w:noWrap/>
            <w:vAlign w:val="bottom"/>
            <w:hideMark/>
          </w:tcPr>
          <w:p w14:paraId="1555CFF8" w14:textId="77777777" w:rsidR="00D81D66" w:rsidRPr="00F036AC" w:rsidRDefault="00D81D66" w:rsidP="00BB4F8B">
            <w:pPr>
              <w:ind w:firstLineChars="100" w:firstLine="200"/>
              <w:rPr>
                <w:color w:val="000000"/>
                <w:sz w:val="20"/>
                <w:szCs w:val="20"/>
              </w:rPr>
            </w:pPr>
            <w:r w:rsidRPr="00F036AC">
              <w:rPr>
                <w:color w:val="000000"/>
                <w:sz w:val="20"/>
                <w:szCs w:val="20"/>
              </w:rPr>
              <w:t>Net lending</w:t>
            </w:r>
          </w:p>
        </w:tc>
        <w:tc>
          <w:tcPr>
            <w:tcW w:w="1130" w:type="dxa"/>
            <w:tcBorders>
              <w:top w:val="nil"/>
              <w:left w:val="nil"/>
              <w:bottom w:val="single" w:sz="8" w:space="0" w:color="000000"/>
              <w:right w:val="single" w:sz="8" w:space="0" w:color="000000"/>
            </w:tcBorders>
            <w:shd w:val="clear" w:color="auto" w:fill="auto"/>
            <w:noWrap/>
            <w:vAlign w:val="bottom"/>
            <w:hideMark/>
          </w:tcPr>
          <w:p w14:paraId="1818173E" w14:textId="77777777" w:rsidR="00D81D66" w:rsidRPr="00F036AC" w:rsidRDefault="00D81D66" w:rsidP="00BB4F8B">
            <w:pPr>
              <w:jc w:val="right"/>
              <w:rPr>
                <w:color w:val="000000"/>
                <w:sz w:val="20"/>
                <w:szCs w:val="20"/>
              </w:rPr>
            </w:pPr>
            <w:r w:rsidRPr="00F036AC">
              <w:rPr>
                <w:color w:val="000000"/>
                <w:sz w:val="20"/>
                <w:szCs w:val="20"/>
              </w:rPr>
              <w:t xml:space="preserve">           16,626 </w:t>
            </w:r>
          </w:p>
        </w:tc>
        <w:tc>
          <w:tcPr>
            <w:tcW w:w="1059" w:type="dxa"/>
            <w:tcBorders>
              <w:top w:val="nil"/>
              <w:left w:val="nil"/>
              <w:bottom w:val="single" w:sz="8" w:space="0" w:color="000000"/>
              <w:right w:val="single" w:sz="8" w:space="0" w:color="000000"/>
            </w:tcBorders>
            <w:shd w:val="clear" w:color="auto" w:fill="auto"/>
            <w:noWrap/>
            <w:vAlign w:val="bottom"/>
            <w:hideMark/>
          </w:tcPr>
          <w:p w14:paraId="6F405733" w14:textId="77777777" w:rsidR="00D81D66" w:rsidRPr="00F036AC" w:rsidRDefault="00D81D66" w:rsidP="00BB4F8B">
            <w:pPr>
              <w:jc w:val="right"/>
              <w:rPr>
                <w:color w:val="000000"/>
                <w:sz w:val="20"/>
                <w:szCs w:val="20"/>
              </w:rPr>
            </w:pPr>
            <w:r w:rsidRPr="00F036AC">
              <w:rPr>
                <w:color w:val="000000"/>
                <w:sz w:val="20"/>
                <w:szCs w:val="20"/>
              </w:rPr>
              <w:t xml:space="preserve">         13,395 </w:t>
            </w:r>
          </w:p>
        </w:tc>
        <w:tc>
          <w:tcPr>
            <w:tcW w:w="1059" w:type="dxa"/>
            <w:tcBorders>
              <w:top w:val="nil"/>
              <w:left w:val="nil"/>
              <w:bottom w:val="single" w:sz="8" w:space="0" w:color="000000"/>
              <w:right w:val="single" w:sz="8" w:space="0" w:color="000000"/>
            </w:tcBorders>
            <w:shd w:val="clear" w:color="auto" w:fill="auto"/>
            <w:noWrap/>
            <w:vAlign w:val="bottom"/>
            <w:hideMark/>
          </w:tcPr>
          <w:p w14:paraId="125E29C7" w14:textId="77777777" w:rsidR="00D81D66" w:rsidRPr="00F036AC" w:rsidRDefault="00D81D66" w:rsidP="00BB4F8B">
            <w:pPr>
              <w:jc w:val="right"/>
              <w:rPr>
                <w:color w:val="000000"/>
                <w:sz w:val="20"/>
                <w:szCs w:val="20"/>
              </w:rPr>
            </w:pPr>
            <w:r w:rsidRPr="00F036AC">
              <w:rPr>
                <w:color w:val="000000"/>
                <w:sz w:val="20"/>
                <w:szCs w:val="20"/>
              </w:rPr>
              <w:t xml:space="preserve">         26,500 </w:t>
            </w:r>
          </w:p>
        </w:tc>
      </w:tr>
      <w:tr w:rsidR="00D81D66" w:rsidRPr="00F036AC" w14:paraId="5D02CA10" w14:textId="77777777" w:rsidTr="00BB4F8B">
        <w:trPr>
          <w:trHeight w:val="57"/>
          <w:jc w:val="center"/>
        </w:trPr>
        <w:tc>
          <w:tcPr>
            <w:tcW w:w="5152" w:type="dxa"/>
            <w:tcBorders>
              <w:top w:val="nil"/>
              <w:left w:val="double" w:sz="6" w:space="0" w:color="auto"/>
              <w:bottom w:val="double" w:sz="6" w:space="0" w:color="auto"/>
              <w:right w:val="single" w:sz="8" w:space="0" w:color="000000"/>
            </w:tcBorders>
            <w:shd w:val="clear" w:color="auto" w:fill="auto"/>
            <w:noWrap/>
            <w:vAlign w:val="bottom"/>
            <w:hideMark/>
          </w:tcPr>
          <w:p w14:paraId="53D53379" w14:textId="77777777" w:rsidR="00D81D66" w:rsidRPr="00F036AC" w:rsidRDefault="00D81D66" w:rsidP="00BB4F8B">
            <w:pPr>
              <w:rPr>
                <w:b/>
                <w:bCs/>
                <w:color w:val="000000"/>
                <w:sz w:val="20"/>
                <w:szCs w:val="20"/>
              </w:rPr>
            </w:pPr>
            <w:r w:rsidRPr="00F036AC">
              <w:rPr>
                <w:b/>
                <w:bCs/>
                <w:color w:val="000000"/>
                <w:sz w:val="20"/>
                <w:szCs w:val="20"/>
              </w:rPr>
              <w:t>Total expenditure</w:t>
            </w:r>
          </w:p>
        </w:tc>
        <w:tc>
          <w:tcPr>
            <w:tcW w:w="1130" w:type="dxa"/>
            <w:tcBorders>
              <w:top w:val="nil"/>
              <w:left w:val="nil"/>
              <w:bottom w:val="double" w:sz="6" w:space="0" w:color="auto"/>
              <w:right w:val="single" w:sz="8" w:space="0" w:color="000000"/>
            </w:tcBorders>
            <w:shd w:val="clear" w:color="auto" w:fill="auto"/>
            <w:noWrap/>
            <w:vAlign w:val="bottom"/>
            <w:hideMark/>
          </w:tcPr>
          <w:p w14:paraId="35249AA0" w14:textId="77777777" w:rsidR="00D81D66" w:rsidRPr="00F036AC" w:rsidRDefault="00D81D66" w:rsidP="00BB4F8B">
            <w:pPr>
              <w:jc w:val="right"/>
              <w:rPr>
                <w:b/>
                <w:bCs/>
                <w:color w:val="000000"/>
                <w:sz w:val="20"/>
                <w:szCs w:val="20"/>
              </w:rPr>
            </w:pPr>
            <w:r w:rsidRPr="00F036AC">
              <w:rPr>
                <w:b/>
                <w:bCs/>
                <w:color w:val="000000"/>
                <w:sz w:val="20"/>
                <w:szCs w:val="20"/>
              </w:rPr>
              <w:t xml:space="preserve">   1,998,376 </w:t>
            </w:r>
          </w:p>
        </w:tc>
        <w:tc>
          <w:tcPr>
            <w:tcW w:w="1059" w:type="dxa"/>
            <w:tcBorders>
              <w:top w:val="nil"/>
              <w:left w:val="nil"/>
              <w:bottom w:val="double" w:sz="6" w:space="0" w:color="auto"/>
              <w:right w:val="single" w:sz="8" w:space="0" w:color="000000"/>
            </w:tcBorders>
            <w:shd w:val="clear" w:color="auto" w:fill="auto"/>
            <w:noWrap/>
            <w:vAlign w:val="bottom"/>
            <w:hideMark/>
          </w:tcPr>
          <w:p w14:paraId="584CB4A8" w14:textId="77777777" w:rsidR="00D81D66" w:rsidRPr="00F036AC" w:rsidRDefault="00D81D66" w:rsidP="00BB4F8B">
            <w:pPr>
              <w:jc w:val="right"/>
              <w:rPr>
                <w:b/>
                <w:bCs/>
                <w:color w:val="000000"/>
                <w:sz w:val="20"/>
                <w:szCs w:val="20"/>
              </w:rPr>
            </w:pPr>
            <w:r w:rsidRPr="00F036AC">
              <w:rPr>
                <w:b/>
                <w:bCs/>
                <w:color w:val="000000"/>
                <w:sz w:val="20"/>
                <w:szCs w:val="20"/>
              </w:rPr>
              <w:t xml:space="preserve">  2,019,062 </w:t>
            </w:r>
          </w:p>
        </w:tc>
        <w:tc>
          <w:tcPr>
            <w:tcW w:w="1059" w:type="dxa"/>
            <w:tcBorders>
              <w:top w:val="nil"/>
              <w:left w:val="nil"/>
              <w:bottom w:val="double" w:sz="6" w:space="0" w:color="auto"/>
              <w:right w:val="single" w:sz="8" w:space="0" w:color="000000"/>
            </w:tcBorders>
            <w:shd w:val="clear" w:color="auto" w:fill="auto"/>
            <w:noWrap/>
            <w:vAlign w:val="bottom"/>
            <w:hideMark/>
          </w:tcPr>
          <w:p w14:paraId="11BB6448" w14:textId="77777777" w:rsidR="00D81D66" w:rsidRPr="00F036AC" w:rsidRDefault="00D81D66" w:rsidP="00BB4F8B">
            <w:pPr>
              <w:jc w:val="right"/>
              <w:rPr>
                <w:b/>
                <w:bCs/>
                <w:color w:val="000000"/>
                <w:sz w:val="20"/>
                <w:szCs w:val="20"/>
              </w:rPr>
            </w:pPr>
            <w:r w:rsidRPr="00F036AC">
              <w:rPr>
                <w:b/>
                <w:bCs/>
                <w:color w:val="000000"/>
                <w:sz w:val="20"/>
                <w:szCs w:val="20"/>
              </w:rPr>
              <w:t xml:space="preserve">  2,606,000 </w:t>
            </w:r>
          </w:p>
        </w:tc>
      </w:tr>
    </w:tbl>
    <w:p w14:paraId="4F0EB296" w14:textId="77777777" w:rsidR="00D81D66" w:rsidRDefault="00D81D66" w:rsidP="00D81D66">
      <w:pPr>
        <w:pStyle w:val="NormalWeb"/>
        <w:autoSpaceDE w:val="0"/>
        <w:autoSpaceDN w:val="0"/>
        <w:adjustRightInd w:val="0"/>
        <w:spacing w:before="0" w:beforeAutospacing="0" w:after="0" w:afterAutospacing="0"/>
        <w:contextualSpacing/>
        <w:jc w:val="both"/>
        <w:rPr>
          <w:sz w:val="20"/>
          <w:szCs w:val="20"/>
        </w:rPr>
      </w:pPr>
      <w:r>
        <w:rPr>
          <w:i/>
          <w:sz w:val="20"/>
          <w:szCs w:val="20"/>
        </w:rPr>
        <w:t xml:space="preserve">         </w:t>
      </w:r>
      <w:r w:rsidRPr="00EE024A">
        <w:rPr>
          <w:i/>
          <w:sz w:val="20"/>
          <w:szCs w:val="20"/>
        </w:rPr>
        <w:t>Source:</w:t>
      </w:r>
      <w:r w:rsidRPr="00606798">
        <w:rPr>
          <w:sz w:val="20"/>
          <w:szCs w:val="20"/>
        </w:rPr>
        <w:t xml:space="preserve"> DBM</w:t>
      </w:r>
      <w:r>
        <w:rPr>
          <w:sz w:val="20"/>
          <w:szCs w:val="20"/>
        </w:rPr>
        <w:t xml:space="preserve"> Fiscal Statistics Handbook</w:t>
      </w:r>
    </w:p>
    <w:p w14:paraId="01E5F81E" w14:textId="77777777" w:rsidR="00D81D66" w:rsidRDefault="00D81D66" w:rsidP="00D81D66">
      <w:pPr>
        <w:pStyle w:val="NormalWeb"/>
        <w:autoSpaceDE w:val="0"/>
        <w:autoSpaceDN w:val="0"/>
        <w:adjustRightInd w:val="0"/>
        <w:spacing w:before="0" w:beforeAutospacing="0" w:after="0" w:afterAutospacing="0"/>
        <w:contextualSpacing/>
        <w:jc w:val="both"/>
        <w:rPr>
          <w:i/>
          <w:sz w:val="20"/>
          <w:szCs w:val="20"/>
        </w:rPr>
      </w:pPr>
      <w:r>
        <w:rPr>
          <w:i/>
          <w:sz w:val="20"/>
          <w:szCs w:val="20"/>
        </w:rPr>
        <w:t xml:space="preserve">         Notes: *denotes programmed expenditures. Numbers may not add up due to rounding.</w:t>
      </w:r>
    </w:p>
    <w:p w14:paraId="6E6C3F48" w14:textId="77777777" w:rsidR="00D81D66" w:rsidRDefault="00D81D66" w:rsidP="00D81D66">
      <w:pPr>
        <w:pStyle w:val="NormalWeb"/>
        <w:autoSpaceDE w:val="0"/>
        <w:autoSpaceDN w:val="0"/>
        <w:adjustRightInd w:val="0"/>
        <w:spacing w:before="0" w:beforeAutospacing="0" w:after="0" w:afterAutospacing="0"/>
        <w:contextualSpacing/>
        <w:jc w:val="both"/>
        <w:rPr>
          <w:i/>
          <w:sz w:val="20"/>
          <w:szCs w:val="20"/>
        </w:rPr>
      </w:pPr>
    </w:p>
    <w:p w14:paraId="49C4A9B0" w14:textId="19F4191C" w:rsidR="00D81D66" w:rsidRPr="00301181" w:rsidRDefault="00D81D66" w:rsidP="00D81D66">
      <w:pPr>
        <w:pStyle w:val="PEFATable"/>
        <w:spacing w:after="40"/>
        <w:jc w:val="both"/>
        <w:rPr>
          <w:sz w:val="24"/>
          <w:szCs w:val="24"/>
        </w:rPr>
      </w:pPr>
      <w:bookmarkStart w:id="43" w:name="_Toc454889238"/>
      <w:r w:rsidRPr="005A497D">
        <w:rPr>
          <w:sz w:val="24"/>
          <w:szCs w:val="24"/>
        </w:rPr>
        <w:t>Table 2.</w:t>
      </w:r>
      <w:r>
        <w:rPr>
          <w:sz w:val="24"/>
          <w:szCs w:val="24"/>
        </w:rPr>
        <w:t>6</w:t>
      </w:r>
      <w:r w:rsidRPr="005A497D">
        <w:rPr>
          <w:sz w:val="24"/>
          <w:szCs w:val="24"/>
        </w:rPr>
        <w:t xml:space="preserve">: </w:t>
      </w:r>
      <w:r>
        <w:rPr>
          <w:sz w:val="24"/>
          <w:szCs w:val="24"/>
        </w:rPr>
        <w:t>National Government expenditures, obligation basis, by expense class</w:t>
      </w:r>
      <w:bookmarkEnd w:id="43"/>
      <w:r>
        <w:rPr>
          <w:sz w:val="24"/>
          <w:szCs w:val="24"/>
        </w:rPr>
        <w:t xml:space="preserve"> </w:t>
      </w:r>
    </w:p>
    <w:tbl>
      <w:tblPr>
        <w:tblW w:w="8400" w:type="dxa"/>
        <w:jc w:val="center"/>
        <w:tblLook w:val="04A0" w:firstRow="1" w:lastRow="0" w:firstColumn="1" w:lastColumn="0" w:noHBand="0" w:noVBand="1"/>
      </w:tblPr>
      <w:tblGrid>
        <w:gridCol w:w="5160"/>
        <w:gridCol w:w="1120"/>
        <w:gridCol w:w="1060"/>
        <w:gridCol w:w="1060"/>
      </w:tblGrid>
      <w:tr w:rsidR="00D81D66" w:rsidRPr="00F036AC" w14:paraId="2C648ACA" w14:textId="77777777" w:rsidTr="00BB4F8B">
        <w:trPr>
          <w:trHeight w:val="285"/>
          <w:jc w:val="center"/>
        </w:trPr>
        <w:tc>
          <w:tcPr>
            <w:tcW w:w="5160" w:type="dxa"/>
            <w:vMerge w:val="restart"/>
            <w:tcBorders>
              <w:top w:val="double" w:sz="6" w:space="0" w:color="auto"/>
              <w:left w:val="double" w:sz="6" w:space="0" w:color="auto"/>
              <w:bottom w:val="double" w:sz="6" w:space="0" w:color="000000"/>
              <w:right w:val="single" w:sz="8" w:space="0" w:color="000000"/>
            </w:tcBorders>
            <w:shd w:val="clear" w:color="000000" w:fill="D9D9D9"/>
            <w:vAlign w:val="bottom"/>
            <w:hideMark/>
          </w:tcPr>
          <w:p w14:paraId="18AEB183" w14:textId="77777777" w:rsidR="00D81D66" w:rsidRPr="00F036AC" w:rsidRDefault="00D81D66" w:rsidP="00BB4F8B">
            <w:pPr>
              <w:jc w:val="center"/>
              <w:rPr>
                <w:i/>
                <w:iCs/>
                <w:color w:val="000000"/>
                <w:sz w:val="20"/>
                <w:szCs w:val="20"/>
              </w:rPr>
            </w:pPr>
            <w:r w:rsidRPr="00F036AC">
              <w:rPr>
                <w:i/>
                <w:iCs/>
                <w:color w:val="000000"/>
                <w:sz w:val="20"/>
                <w:szCs w:val="20"/>
              </w:rPr>
              <w:t> </w:t>
            </w:r>
          </w:p>
        </w:tc>
        <w:tc>
          <w:tcPr>
            <w:tcW w:w="3240" w:type="dxa"/>
            <w:gridSpan w:val="3"/>
            <w:tcBorders>
              <w:top w:val="double" w:sz="6" w:space="0" w:color="auto"/>
              <w:left w:val="nil"/>
              <w:bottom w:val="single" w:sz="8" w:space="0" w:color="000000"/>
              <w:right w:val="double" w:sz="6" w:space="0" w:color="000000"/>
            </w:tcBorders>
            <w:shd w:val="clear" w:color="000000" w:fill="D9D9D9"/>
            <w:vAlign w:val="bottom"/>
            <w:hideMark/>
          </w:tcPr>
          <w:p w14:paraId="00DCA9A3" w14:textId="77777777" w:rsidR="00D81D66" w:rsidRPr="00F036AC" w:rsidRDefault="00D81D66" w:rsidP="00BB4F8B">
            <w:pPr>
              <w:jc w:val="center"/>
              <w:rPr>
                <w:b/>
                <w:bCs/>
                <w:color w:val="000000"/>
                <w:sz w:val="20"/>
                <w:szCs w:val="20"/>
              </w:rPr>
            </w:pPr>
            <w:r w:rsidRPr="00F036AC">
              <w:rPr>
                <w:b/>
                <w:bCs/>
                <w:color w:val="000000"/>
                <w:sz w:val="20"/>
                <w:szCs w:val="20"/>
              </w:rPr>
              <w:t>% of GDP</w:t>
            </w:r>
          </w:p>
        </w:tc>
      </w:tr>
      <w:tr w:rsidR="00D81D66" w:rsidRPr="00F036AC" w14:paraId="0D5222B3" w14:textId="77777777" w:rsidTr="00BB4F8B">
        <w:trPr>
          <w:trHeight w:val="270"/>
          <w:jc w:val="center"/>
        </w:trPr>
        <w:tc>
          <w:tcPr>
            <w:tcW w:w="5160" w:type="dxa"/>
            <w:vMerge/>
            <w:tcBorders>
              <w:top w:val="double" w:sz="6" w:space="0" w:color="auto"/>
              <w:left w:val="double" w:sz="6" w:space="0" w:color="auto"/>
              <w:bottom w:val="double" w:sz="6" w:space="0" w:color="000000"/>
              <w:right w:val="single" w:sz="8" w:space="0" w:color="000000"/>
            </w:tcBorders>
            <w:vAlign w:val="center"/>
            <w:hideMark/>
          </w:tcPr>
          <w:p w14:paraId="282D202E" w14:textId="77777777" w:rsidR="00D81D66" w:rsidRPr="00F036AC" w:rsidRDefault="00D81D66" w:rsidP="00BB4F8B">
            <w:pPr>
              <w:rPr>
                <w:i/>
                <w:iCs/>
                <w:color w:val="000000"/>
                <w:sz w:val="20"/>
                <w:szCs w:val="20"/>
              </w:rPr>
            </w:pPr>
          </w:p>
        </w:tc>
        <w:tc>
          <w:tcPr>
            <w:tcW w:w="1120" w:type="dxa"/>
            <w:tcBorders>
              <w:top w:val="nil"/>
              <w:left w:val="nil"/>
              <w:bottom w:val="double" w:sz="6" w:space="0" w:color="auto"/>
              <w:right w:val="single" w:sz="8" w:space="0" w:color="000000"/>
            </w:tcBorders>
            <w:shd w:val="clear" w:color="000000" w:fill="D9D9D9"/>
            <w:vAlign w:val="bottom"/>
            <w:hideMark/>
          </w:tcPr>
          <w:p w14:paraId="66385DE9" w14:textId="77777777" w:rsidR="00D81D66" w:rsidRPr="00F036AC" w:rsidRDefault="00D81D66" w:rsidP="00BB4F8B">
            <w:pPr>
              <w:jc w:val="center"/>
              <w:rPr>
                <w:b/>
                <w:bCs/>
                <w:color w:val="000000"/>
                <w:sz w:val="20"/>
                <w:szCs w:val="20"/>
              </w:rPr>
            </w:pPr>
            <w:r w:rsidRPr="00F036AC">
              <w:rPr>
                <w:b/>
                <w:bCs/>
                <w:color w:val="000000"/>
                <w:sz w:val="20"/>
                <w:szCs w:val="20"/>
              </w:rPr>
              <w:t>201</w:t>
            </w:r>
            <w:r>
              <w:rPr>
                <w:b/>
                <w:bCs/>
                <w:color w:val="000000"/>
                <w:sz w:val="20"/>
                <w:szCs w:val="20"/>
              </w:rPr>
              <w:t>3</w:t>
            </w:r>
            <w:r w:rsidRPr="00F036AC">
              <w:rPr>
                <w:color w:val="000000"/>
                <w:sz w:val="20"/>
                <w:szCs w:val="20"/>
              </w:rPr>
              <w:t> </w:t>
            </w:r>
          </w:p>
        </w:tc>
        <w:tc>
          <w:tcPr>
            <w:tcW w:w="1060" w:type="dxa"/>
            <w:tcBorders>
              <w:top w:val="nil"/>
              <w:left w:val="nil"/>
              <w:bottom w:val="double" w:sz="6" w:space="0" w:color="auto"/>
              <w:right w:val="single" w:sz="8" w:space="0" w:color="000000"/>
            </w:tcBorders>
            <w:shd w:val="clear" w:color="000000" w:fill="D9D9D9"/>
            <w:vAlign w:val="bottom"/>
            <w:hideMark/>
          </w:tcPr>
          <w:p w14:paraId="1B77A9FF" w14:textId="77777777" w:rsidR="00D81D66" w:rsidRPr="00F036AC" w:rsidRDefault="00D81D66" w:rsidP="00BB4F8B">
            <w:pPr>
              <w:jc w:val="center"/>
              <w:rPr>
                <w:b/>
                <w:bCs/>
                <w:color w:val="000000"/>
                <w:sz w:val="20"/>
                <w:szCs w:val="20"/>
              </w:rPr>
            </w:pPr>
            <w:r w:rsidRPr="00F036AC">
              <w:rPr>
                <w:b/>
                <w:bCs/>
                <w:color w:val="000000"/>
                <w:sz w:val="20"/>
                <w:szCs w:val="20"/>
              </w:rPr>
              <w:t>201</w:t>
            </w:r>
            <w:r>
              <w:rPr>
                <w:b/>
                <w:bCs/>
                <w:color w:val="000000"/>
                <w:sz w:val="20"/>
                <w:szCs w:val="20"/>
              </w:rPr>
              <w:t>4</w:t>
            </w:r>
            <w:r w:rsidRPr="00F036AC">
              <w:rPr>
                <w:color w:val="000000"/>
                <w:sz w:val="20"/>
                <w:szCs w:val="20"/>
              </w:rPr>
              <w:t> </w:t>
            </w:r>
          </w:p>
        </w:tc>
        <w:tc>
          <w:tcPr>
            <w:tcW w:w="1060" w:type="dxa"/>
            <w:tcBorders>
              <w:top w:val="nil"/>
              <w:left w:val="nil"/>
              <w:bottom w:val="double" w:sz="6" w:space="0" w:color="auto"/>
              <w:right w:val="double" w:sz="6" w:space="0" w:color="auto"/>
            </w:tcBorders>
            <w:shd w:val="clear" w:color="000000" w:fill="D9D9D9"/>
            <w:vAlign w:val="bottom"/>
            <w:hideMark/>
          </w:tcPr>
          <w:p w14:paraId="58C15E79" w14:textId="77777777" w:rsidR="00D81D66" w:rsidRPr="00F036AC" w:rsidRDefault="00D81D66" w:rsidP="00BB4F8B">
            <w:pPr>
              <w:jc w:val="center"/>
              <w:rPr>
                <w:b/>
                <w:bCs/>
                <w:color w:val="000000"/>
                <w:sz w:val="20"/>
                <w:szCs w:val="20"/>
              </w:rPr>
            </w:pPr>
            <w:r w:rsidRPr="00F036AC">
              <w:rPr>
                <w:b/>
                <w:bCs/>
                <w:color w:val="000000"/>
                <w:sz w:val="20"/>
                <w:szCs w:val="20"/>
              </w:rPr>
              <w:t>201</w:t>
            </w:r>
            <w:r>
              <w:rPr>
                <w:b/>
                <w:bCs/>
                <w:color w:val="000000"/>
                <w:sz w:val="20"/>
                <w:szCs w:val="20"/>
              </w:rPr>
              <w:t>5*</w:t>
            </w:r>
            <w:r w:rsidRPr="00F036AC">
              <w:rPr>
                <w:color w:val="000000"/>
                <w:sz w:val="20"/>
                <w:szCs w:val="20"/>
              </w:rPr>
              <w:t> </w:t>
            </w:r>
          </w:p>
        </w:tc>
      </w:tr>
      <w:tr w:rsidR="00D81D66" w:rsidRPr="00F036AC" w14:paraId="2CAA31BE" w14:textId="77777777" w:rsidTr="00BB4F8B">
        <w:trPr>
          <w:trHeight w:val="285"/>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2309DF3B" w14:textId="77777777" w:rsidR="00D81D66" w:rsidRPr="00F036AC" w:rsidRDefault="00D81D66" w:rsidP="00BB4F8B">
            <w:pPr>
              <w:rPr>
                <w:b/>
                <w:bCs/>
                <w:color w:val="000000"/>
                <w:sz w:val="20"/>
                <w:szCs w:val="20"/>
              </w:rPr>
            </w:pPr>
            <w:r w:rsidRPr="00F036AC">
              <w:rPr>
                <w:b/>
                <w:bCs/>
                <w:color w:val="000000"/>
                <w:sz w:val="20"/>
                <w:szCs w:val="20"/>
              </w:rPr>
              <w:t>Current expenditures (CE)</w:t>
            </w:r>
          </w:p>
        </w:tc>
        <w:tc>
          <w:tcPr>
            <w:tcW w:w="1120" w:type="dxa"/>
            <w:tcBorders>
              <w:top w:val="nil"/>
              <w:left w:val="nil"/>
              <w:bottom w:val="single" w:sz="8" w:space="0" w:color="000000"/>
              <w:right w:val="single" w:sz="8" w:space="0" w:color="000000"/>
            </w:tcBorders>
            <w:shd w:val="clear" w:color="auto" w:fill="auto"/>
            <w:noWrap/>
            <w:vAlign w:val="bottom"/>
            <w:hideMark/>
          </w:tcPr>
          <w:p w14:paraId="4CC5A8BC" w14:textId="77777777" w:rsidR="00D81D66" w:rsidRPr="00F036AC" w:rsidRDefault="00D81D66" w:rsidP="00BB4F8B">
            <w:pPr>
              <w:jc w:val="center"/>
              <w:rPr>
                <w:b/>
                <w:bCs/>
                <w:color w:val="000000"/>
                <w:sz w:val="20"/>
                <w:szCs w:val="20"/>
              </w:rPr>
            </w:pPr>
            <w:r>
              <w:rPr>
                <w:b/>
                <w:bCs/>
                <w:color w:val="000000"/>
                <w:sz w:val="20"/>
                <w:szCs w:val="20"/>
              </w:rPr>
              <w:t>13.4</w:t>
            </w:r>
          </w:p>
        </w:tc>
        <w:tc>
          <w:tcPr>
            <w:tcW w:w="1060" w:type="dxa"/>
            <w:tcBorders>
              <w:top w:val="nil"/>
              <w:left w:val="nil"/>
              <w:bottom w:val="single" w:sz="8" w:space="0" w:color="000000"/>
              <w:right w:val="single" w:sz="8" w:space="0" w:color="000000"/>
            </w:tcBorders>
            <w:shd w:val="clear" w:color="auto" w:fill="auto"/>
            <w:noWrap/>
            <w:vAlign w:val="bottom"/>
            <w:hideMark/>
          </w:tcPr>
          <w:p w14:paraId="55E70704" w14:textId="77777777" w:rsidR="00D81D66" w:rsidRPr="00F036AC" w:rsidRDefault="00D81D66" w:rsidP="00BB4F8B">
            <w:pPr>
              <w:jc w:val="center"/>
              <w:rPr>
                <w:b/>
                <w:bCs/>
                <w:color w:val="000000"/>
                <w:sz w:val="20"/>
                <w:szCs w:val="20"/>
              </w:rPr>
            </w:pPr>
            <w:r w:rsidRPr="00F036AC">
              <w:rPr>
                <w:b/>
                <w:bCs/>
                <w:color w:val="000000"/>
                <w:sz w:val="20"/>
                <w:szCs w:val="20"/>
              </w:rPr>
              <w:t>12.8</w:t>
            </w:r>
          </w:p>
        </w:tc>
        <w:tc>
          <w:tcPr>
            <w:tcW w:w="1060" w:type="dxa"/>
            <w:tcBorders>
              <w:top w:val="nil"/>
              <w:left w:val="nil"/>
              <w:bottom w:val="single" w:sz="8" w:space="0" w:color="000000"/>
              <w:right w:val="double" w:sz="6" w:space="0" w:color="auto"/>
            </w:tcBorders>
            <w:shd w:val="clear" w:color="auto" w:fill="auto"/>
            <w:noWrap/>
            <w:vAlign w:val="bottom"/>
            <w:hideMark/>
          </w:tcPr>
          <w:p w14:paraId="1B0512AD" w14:textId="77777777" w:rsidR="00D81D66" w:rsidRPr="00F036AC" w:rsidRDefault="00D81D66" w:rsidP="00BB4F8B">
            <w:pPr>
              <w:jc w:val="center"/>
              <w:rPr>
                <w:b/>
                <w:bCs/>
                <w:color w:val="000000"/>
                <w:sz w:val="20"/>
                <w:szCs w:val="20"/>
              </w:rPr>
            </w:pPr>
            <w:r w:rsidRPr="00F036AC">
              <w:rPr>
                <w:b/>
                <w:bCs/>
                <w:color w:val="000000"/>
                <w:sz w:val="20"/>
                <w:szCs w:val="20"/>
              </w:rPr>
              <w:t>14.4</w:t>
            </w:r>
          </w:p>
        </w:tc>
      </w:tr>
      <w:tr w:rsidR="00D81D66" w:rsidRPr="00F036AC" w14:paraId="04EFF796"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18431706" w14:textId="77777777" w:rsidR="00D81D66" w:rsidRPr="00F036AC" w:rsidRDefault="00D81D66" w:rsidP="00BB4F8B">
            <w:pPr>
              <w:ind w:firstLineChars="100" w:firstLine="200"/>
              <w:rPr>
                <w:color w:val="000000"/>
                <w:sz w:val="20"/>
                <w:szCs w:val="20"/>
              </w:rPr>
            </w:pPr>
            <w:r w:rsidRPr="00F036AC">
              <w:rPr>
                <w:color w:val="000000"/>
                <w:sz w:val="20"/>
                <w:szCs w:val="20"/>
              </w:rPr>
              <w:t>Personal Services (PS)</w:t>
            </w:r>
          </w:p>
        </w:tc>
        <w:tc>
          <w:tcPr>
            <w:tcW w:w="1120" w:type="dxa"/>
            <w:tcBorders>
              <w:top w:val="nil"/>
              <w:left w:val="nil"/>
              <w:bottom w:val="single" w:sz="8" w:space="0" w:color="000000"/>
              <w:right w:val="single" w:sz="8" w:space="0" w:color="000000"/>
            </w:tcBorders>
            <w:shd w:val="clear" w:color="auto" w:fill="auto"/>
            <w:noWrap/>
            <w:vAlign w:val="bottom"/>
            <w:hideMark/>
          </w:tcPr>
          <w:p w14:paraId="60D70237" w14:textId="77777777" w:rsidR="00D81D66" w:rsidRPr="00F036AC" w:rsidRDefault="00D81D66" w:rsidP="00BB4F8B">
            <w:pPr>
              <w:jc w:val="center"/>
              <w:rPr>
                <w:color w:val="000000"/>
                <w:sz w:val="20"/>
                <w:szCs w:val="20"/>
              </w:rPr>
            </w:pPr>
            <w:r w:rsidRPr="00F036AC">
              <w:rPr>
                <w:color w:val="000000"/>
                <w:sz w:val="20"/>
                <w:szCs w:val="20"/>
              </w:rPr>
              <w:t>5.3</w:t>
            </w:r>
          </w:p>
        </w:tc>
        <w:tc>
          <w:tcPr>
            <w:tcW w:w="1060" w:type="dxa"/>
            <w:tcBorders>
              <w:top w:val="nil"/>
              <w:left w:val="nil"/>
              <w:bottom w:val="single" w:sz="8" w:space="0" w:color="000000"/>
              <w:right w:val="single" w:sz="8" w:space="0" w:color="000000"/>
            </w:tcBorders>
            <w:shd w:val="clear" w:color="auto" w:fill="auto"/>
            <w:noWrap/>
            <w:vAlign w:val="bottom"/>
            <w:hideMark/>
          </w:tcPr>
          <w:p w14:paraId="337CEB4C" w14:textId="77777777" w:rsidR="00D81D66" w:rsidRPr="00F036AC" w:rsidRDefault="00D81D66" w:rsidP="00BB4F8B">
            <w:pPr>
              <w:jc w:val="center"/>
              <w:rPr>
                <w:color w:val="000000"/>
                <w:sz w:val="20"/>
                <w:szCs w:val="20"/>
              </w:rPr>
            </w:pPr>
            <w:r w:rsidRPr="00F036AC">
              <w:rPr>
                <w:color w:val="000000"/>
                <w:sz w:val="20"/>
                <w:szCs w:val="20"/>
              </w:rPr>
              <w:t>5.0</w:t>
            </w:r>
          </w:p>
        </w:tc>
        <w:tc>
          <w:tcPr>
            <w:tcW w:w="1060" w:type="dxa"/>
            <w:tcBorders>
              <w:top w:val="nil"/>
              <w:left w:val="nil"/>
              <w:bottom w:val="single" w:sz="8" w:space="0" w:color="000000"/>
              <w:right w:val="double" w:sz="6" w:space="0" w:color="auto"/>
            </w:tcBorders>
            <w:shd w:val="clear" w:color="auto" w:fill="auto"/>
            <w:noWrap/>
            <w:vAlign w:val="bottom"/>
            <w:hideMark/>
          </w:tcPr>
          <w:p w14:paraId="5A5B8AFD" w14:textId="77777777" w:rsidR="00D81D66" w:rsidRPr="00F036AC" w:rsidRDefault="00D81D66" w:rsidP="00BB4F8B">
            <w:pPr>
              <w:jc w:val="center"/>
              <w:rPr>
                <w:color w:val="000000"/>
                <w:sz w:val="20"/>
                <w:szCs w:val="20"/>
              </w:rPr>
            </w:pPr>
            <w:r w:rsidRPr="00F036AC">
              <w:rPr>
                <w:color w:val="000000"/>
                <w:sz w:val="20"/>
                <w:szCs w:val="20"/>
              </w:rPr>
              <w:t>5.6</w:t>
            </w:r>
          </w:p>
        </w:tc>
      </w:tr>
      <w:tr w:rsidR="00D81D66" w:rsidRPr="00F036AC" w14:paraId="53BEF27D"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04F9E9A5" w14:textId="77777777" w:rsidR="00D81D66" w:rsidRPr="00F036AC" w:rsidRDefault="00D81D66" w:rsidP="00BB4F8B">
            <w:pPr>
              <w:ind w:firstLineChars="100" w:firstLine="200"/>
              <w:rPr>
                <w:color w:val="000000"/>
                <w:sz w:val="20"/>
                <w:szCs w:val="20"/>
              </w:rPr>
            </w:pPr>
            <w:r w:rsidRPr="00F036AC">
              <w:rPr>
                <w:color w:val="000000"/>
                <w:sz w:val="20"/>
                <w:szCs w:val="20"/>
              </w:rPr>
              <w:t>Maintenance and Other Operating Expenses (MOOE)</w:t>
            </w:r>
          </w:p>
        </w:tc>
        <w:tc>
          <w:tcPr>
            <w:tcW w:w="1120" w:type="dxa"/>
            <w:tcBorders>
              <w:top w:val="nil"/>
              <w:left w:val="nil"/>
              <w:bottom w:val="single" w:sz="8" w:space="0" w:color="000000"/>
              <w:right w:val="single" w:sz="8" w:space="0" w:color="000000"/>
            </w:tcBorders>
            <w:shd w:val="clear" w:color="auto" w:fill="auto"/>
            <w:noWrap/>
            <w:vAlign w:val="bottom"/>
            <w:hideMark/>
          </w:tcPr>
          <w:p w14:paraId="0285229B" w14:textId="77777777" w:rsidR="00D81D66" w:rsidRPr="00F036AC" w:rsidRDefault="00D81D66" w:rsidP="00BB4F8B">
            <w:pPr>
              <w:jc w:val="center"/>
              <w:rPr>
                <w:color w:val="000000"/>
                <w:sz w:val="20"/>
                <w:szCs w:val="20"/>
              </w:rPr>
            </w:pPr>
            <w:r w:rsidRPr="00F036AC">
              <w:rPr>
                <w:color w:val="000000"/>
                <w:sz w:val="20"/>
                <w:szCs w:val="20"/>
              </w:rPr>
              <w:t>2.6</w:t>
            </w:r>
          </w:p>
        </w:tc>
        <w:tc>
          <w:tcPr>
            <w:tcW w:w="1060" w:type="dxa"/>
            <w:tcBorders>
              <w:top w:val="nil"/>
              <w:left w:val="nil"/>
              <w:bottom w:val="single" w:sz="8" w:space="0" w:color="000000"/>
              <w:right w:val="single" w:sz="8" w:space="0" w:color="000000"/>
            </w:tcBorders>
            <w:shd w:val="clear" w:color="auto" w:fill="auto"/>
            <w:noWrap/>
            <w:vAlign w:val="bottom"/>
            <w:hideMark/>
          </w:tcPr>
          <w:p w14:paraId="488D489C" w14:textId="77777777" w:rsidR="00D81D66" w:rsidRPr="00F036AC" w:rsidRDefault="00D81D66" w:rsidP="00BB4F8B">
            <w:pPr>
              <w:jc w:val="center"/>
              <w:rPr>
                <w:color w:val="000000"/>
                <w:sz w:val="20"/>
                <w:szCs w:val="20"/>
              </w:rPr>
            </w:pPr>
            <w:r w:rsidRPr="00F036AC">
              <w:rPr>
                <w:color w:val="000000"/>
                <w:sz w:val="20"/>
                <w:szCs w:val="20"/>
              </w:rPr>
              <w:t>2.5</w:t>
            </w:r>
          </w:p>
        </w:tc>
        <w:tc>
          <w:tcPr>
            <w:tcW w:w="1060" w:type="dxa"/>
            <w:tcBorders>
              <w:top w:val="nil"/>
              <w:left w:val="nil"/>
              <w:bottom w:val="single" w:sz="8" w:space="0" w:color="000000"/>
              <w:right w:val="double" w:sz="6" w:space="0" w:color="auto"/>
            </w:tcBorders>
            <w:shd w:val="clear" w:color="auto" w:fill="auto"/>
            <w:noWrap/>
            <w:vAlign w:val="bottom"/>
            <w:hideMark/>
          </w:tcPr>
          <w:p w14:paraId="6F275A45" w14:textId="77777777" w:rsidR="00D81D66" w:rsidRPr="00F036AC" w:rsidRDefault="00D81D66" w:rsidP="00BB4F8B">
            <w:pPr>
              <w:jc w:val="center"/>
              <w:rPr>
                <w:color w:val="000000"/>
                <w:sz w:val="20"/>
                <w:szCs w:val="20"/>
              </w:rPr>
            </w:pPr>
            <w:r w:rsidRPr="00F036AC">
              <w:rPr>
                <w:color w:val="000000"/>
                <w:sz w:val="20"/>
                <w:szCs w:val="20"/>
              </w:rPr>
              <w:t>3.5</w:t>
            </w:r>
          </w:p>
        </w:tc>
      </w:tr>
      <w:tr w:rsidR="00D81D66" w:rsidRPr="00F036AC" w14:paraId="0F207992"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5F699520" w14:textId="77777777" w:rsidR="00D81D66" w:rsidRPr="00F036AC" w:rsidRDefault="00D81D66" w:rsidP="00BB4F8B">
            <w:pPr>
              <w:ind w:firstLineChars="100" w:firstLine="200"/>
              <w:rPr>
                <w:color w:val="000000"/>
                <w:sz w:val="20"/>
                <w:szCs w:val="20"/>
              </w:rPr>
            </w:pPr>
            <w:r w:rsidRPr="00F036AC">
              <w:rPr>
                <w:color w:val="000000"/>
                <w:sz w:val="20"/>
                <w:szCs w:val="20"/>
              </w:rPr>
              <w:t>Subsidies</w:t>
            </w:r>
          </w:p>
        </w:tc>
        <w:tc>
          <w:tcPr>
            <w:tcW w:w="1120" w:type="dxa"/>
            <w:tcBorders>
              <w:top w:val="nil"/>
              <w:left w:val="nil"/>
              <w:bottom w:val="single" w:sz="8" w:space="0" w:color="000000"/>
              <w:right w:val="single" w:sz="8" w:space="0" w:color="000000"/>
            </w:tcBorders>
            <w:shd w:val="clear" w:color="auto" w:fill="auto"/>
            <w:noWrap/>
            <w:vAlign w:val="bottom"/>
            <w:hideMark/>
          </w:tcPr>
          <w:p w14:paraId="708AE628" w14:textId="77777777" w:rsidR="00D81D66" w:rsidRPr="00F036AC" w:rsidRDefault="00D81D66" w:rsidP="00BB4F8B">
            <w:pPr>
              <w:jc w:val="center"/>
              <w:rPr>
                <w:color w:val="000000"/>
                <w:sz w:val="20"/>
                <w:szCs w:val="20"/>
              </w:rPr>
            </w:pPr>
            <w:r w:rsidRPr="00F036AC">
              <w:rPr>
                <w:color w:val="000000"/>
                <w:sz w:val="20"/>
                <w:szCs w:val="20"/>
              </w:rPr>
              <w:t>0.5</w:t>
            </w:r>
          </w:p>
        </w:tc>
        <w:tc>
          <w:tcPr>
            <w:tcW w:w="1060" w:type="dxa"/>
            <w:tcBorders>
              <w:top w:val="nil"/>
              <w:left w:val="nil"/>
              <w:bottom w:val="single" w:sz="8" w:space="0" w:color="000000"/>
              <w:right w:val="single" w:sz="8" w:space="0" w:color="000000"/>
            </w:tcBorders>
            <w:shd w:val="clear" w:color="auto" w:fill="auto"/>
            <w:noWrap/>
            <w:vAlign w:val="bottom"/>
            <w:hideMark/>
          </w:tcPr>
          <w:p w14:paraId="1BAC7E33" w14:textId="77777777" w:rsidR="00D81D66" w:rsidRPr="00F036AC" w:rsidRDefault="00D81D66" w:rsidP="00BB4F8B">
            <w:pPr>
              <w:jc w:val="center"/>
              <w:rPr>
                <w:color w:val="000000"/>
                <w:sz w:val="20"/>
                <w:szCs w:val="20"/>
              </w:rPr>
            </w:pPr>
            <w:r w:rsidRPr="00F036AC">
              <w:rPr>
                <w:color w:val="000000"/>
                <w:sz w:val="20"/>
                <w:szCs w:val="20"/>
              </w:rPr>
              <w:t>0.6</w:t>
            </w:r>
          </w:p>
        </w:tc>
        <w:tc>
          <w:tcPr>
            <w:tcW w:w="1060" w:type="dxa"/>
            <w:tcBorders>
              <w:top w:val="nil"/>
              <w:left w:val="nil"/>
              <w:bottom w:val="single" w:sz="8" w:space="0" w:color="000000"/>
              <w:right w:val="double" w:sz="6" w:space="0" w:color="auto"/>
            </w:tcBorders>
            <w:shd w:val="clear" w:color="auto" w:fill="auto"/>
            <w:noWrap/>
            <w:vAlign w:val="bottom"/>
            <w:hideMark/>
          </w:tcPr>
          <w:p w14:paraId="43723322" w14:textId="77777777" w:rsidR="00D81D66" w:rsidRPr="00F036AC" w:rsidRDefault="00D81D66" w:rsidP="00BB4F8B">
            <w:pPr>
              <w:jc w:val="center"/>
              <w:rPr>
                <w:color w:val="000000"/>
                <w:sz w:val="20"/>
                <w:szCs w:val="20"/>
              </w:rPr>
            </w:pPr>
            <w:r w:rsidRPr="00F036AC">
              <w:rPr>
                <w:color w:val="000000"/>
                <w:sz w:val="20"/>
                <w:szCs w:val="20"/>
              </w:rPr>
              <w:t>0.1</w:t>
            </w:r>
          </w:p>
        </w:tc>
      </w:tr>
      <w:tr w:rsidR="00D81D66" w:rsidRPr="00F036AC" w14:paraId="4E4645AE"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6BE47DD3" w14:textId="77777777" w:rsidR="00D81D66" w:rsidRPr="00F036AC" w:rsidRDefault="00D81D66" w:rsidP="00BB4F8B">
            <w:pPr>
              <w:ind w:firstLineChars="100" w:firstLine="200"/>
              <w:rPr>
                <w:color w:val="000000"/>
                <w:sz w:val="20"/>
                <w:szCs w:val="20"/>
              </w:rPr>
            </w:pPr>
            <w:r w:rsidRPr="00F036AC">
              <w:rPr>
                <w:color w:val="000000"/>
                <w:sz w:val="20"/>
                <w:szCs w:val="20"/>
              </w:rPr>
              <w:t>Allotment to LGUs</w:t>
            </w:r>
          </w:p>
        </w:tc>
        <w:tc>
          <w:tcPr>
            <w:tcW w:w="1120" w:type="dxa"/>
            <w:tcBorders>
              <w:top w:val="nil"/>
              <w:left w:val="nil"/>
              <w:bottom w:val="single" w:sz="8" w:space="0" w:color="000000"/>
              <w:right w:val="single" w:sz="8" w:space="0" w:color="000000"/>
            </w:tcBorders>
            <w:shd w:val="clear" w:color="auto" w:fill="auto"/>
            <w:noWrap/>
            <w:vAlign w:val="bottom"/>
            <w:hideMark/>
          </w:tcPr>
          <w:p w14:paraId="37BBF2CD" w14:textId="77777777" w:rsidR="00D81D66" w:rsidRPr="00F036AC" w:rsidRDefault="00D81D66" w:rsidP="00BB4F8B">
            <w:pPr>
              <w:jc w:val="center"/>
              <w:rPr>
                <w:color w:val="000000"/>
                <w:sz w:val="20"/>
                <w:szCs w:val="20"/>
              </w:rPr>
            </w:pPr>
            <w:r>
              <w:rPr>
                <w:color w:val="000000"/>
                <w:sz w:val="20"/>
                <w:szCs w:val="20"/>
              </w:rPr>
              <w:t>2.2</w:t>
            </w:r>
          </w:p>
        </w:tc>
        <w:tc>
          <w:tcPr>
            <w:tcW w:w="1060" w:type="dxa"/>
            <w:tcBorders>
              <w:top w:val="nil"/>
              <w:left w:val="nil"/>
              <w:bottom w:val="single" w:sz="8" w:space="0" w:color="000000"/>
              <w:right w:val="single" w:sz="8" w:space="0" w:color="000000"/>
            </w:tcBorders>
            <w:shd w:val="clear" w:color="auto" w:fill="auto"/>
            <w:noWrap/>
            <w:vAlign w:val="bottom"/>
            <w:hideMark/>
          </w:tcPr>
          <w:p w14:paraId="405E72B9" w14:textId="77777777" w:rsidR="00D81D66" w:rsidRPr="00F036AC" w:rsidRDefault="00D81D66" w:rsidP="00BB4F8B">
            <w:pPr>
              <w:jc w:val="center"/>
              <w:rPr>
                <w:color w:val="000000"/>
                <w:sz w:val="20"/>
                <w:szCs w:val="20"/>
              </w:rPr>
            </w:pPr>
            <w:r w:rsidRPr="00F036AC">
              <w:rPr>
                <w:color w:val="000000"/>
                <w:sz w:val="20"/>
                <w:szCs w:val="20"/>
              </w:rPr>
              <w:t>2.2</w:t>
            </w:r>
          </w:p>
        </w:tc>
        <w:tc>
          <w:tcPr>
            <w:tcW w:w="1060" w:type="dxa"/>
            <w:tcBorders>
              <w:top w:val="nil"/>
              <w:left w:val="nil"/>
              <w:bottom w:val="single" w:sz="8" w:space="0" w:color="000000"/>
              <w:right w:val="double" w:sz="6" w:space="0" w:color="auto"/>
            </w:tcBorders>
            <w:shd w:val="clear" w:color="auto" w:fill="auto"/>
            <w:noWrap/>
            <w:vAlign w:val="bottom"/>
            <w:hideMark/>
          </w:tcPr>
          <w:p w14:paraId="0263EB4B" w14:textId="77777777" w:rsidR="00D81D66" w:rsidRPr="00F036AC" w:rsidRDefault="00D81D66" w:rsidP="00BB4F8B">
            <w:pPr>
              <w:jc w:val="center"/>
              <w:rPr>
                <w:color w:val="000000"/>
                <w:sz w:val="20"/>
                <w:szCs w:val="20"/>
              </w:rPr>
            </w:pPr>
            <w:r w:rsidRPr="00F036AC">
              <w:rPr>
                <w:color w:val="000000"/>
                <w:sz w:val="20"/>
                <w:szCs w:val="20"/>
              </w:rPr>
              <w:t>2.3</w:t>
            </w:r>
          </w:p>
        </w:tc>
      </w:tr>
      <w:tr w:rsidR="00D81D66" w:rsidRPr="00F036AC" w14:paraId="0B479BFF"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78EC0F35" w14:textId="77777777" w:rsidR="00D81D66" w:rsidRPr="00F036AC" w:rsidRDefault="00D81D66" w:rsidP="00BB4F8B">
            <w:pPr>
              <w:ind w:firstLineChars="100" w:firstLine="200"/>
              <w:rPr>
                <w:color w:val="000000"/>
                <w:sz w:val="20"/>
                <w:szCs w:val="20"/>
              </w:rPr>
            </w:pPr>
            <w:r w:rsidRPr="00F036AC">
              <w:rPr>
                <w:color w:val="000000"/>
                <w:sz w:val="20"/>
                <w:szCs w:val="20"/>
              </w:rPr>
              <w:t>Interest payments</w:t>
            </w:r>
          </w:p>
        </w:tc>
        <w:tc>
          <w:tcPr>
            <w:tcW w:w="1120" w:type="dxa"/>
            <w:tcBorders>
              <w:top w:val="nil"/>
              <w:left w:val="nil"/>
              <w:bottom w:val="single" w:sz="8" w:space="0" w:color="000000"/>
              <w:right w:val="single" w:sz="8" w:space="0" w:color="000000"/>
            </w:tcBorders>
            <w:shd w:val="clear" w:color="auto" w:fill="auto"/>
            <w:noWrap/>
            <w:vAlign w:val="bottom"/>
            <w:hideMark/>
          </w:tcPr>
          <w:p w14:paraId="131063C9" w14:textId="77777777" w:rsidR="00D81D66" w:rsidRPr="00F036AC" w:rsidRDefault="00D81D66" w:rsidP="00BB4F8B">
            <w:pPr>
              <w:jc w:val="center"/>
              <w:rPr>
                <w:color w:val="000000"/>
                <w:sz w:val="20"/>
                <w:szCs w:val="20"/>
              </w:rPr>
            </w:pPr>
            <w:r w:rsidRPr="00F036AC">
              <w:rPr>
                <w:color w:val="000000"/>
                <w:sz w:val="20"/>
                <w:szCs w:val="20"/>
              </w:rPr>
              <w:t>2.8</w:t>
            </w:r>
          </w:p>
        </w:tc>
        <w:tc>
          <w:tcPr>
            <w:tcW w:w="1060" w:type="dxa"/>
            <w:tcBorders>
              <w:top w:val="nil"/>
              <w:left w:val="nil"/>
              <w:bottom w:val="single" w:sz="8" w:space="0" w:color="000000"/>
              <w:right w:val="single" w:sz="8" w:space="0" w:color="000000"/>
            </w:tcBorders>
            <w:shd w:val="clear" w:color="auto" w:fill="auto"/>
            <w:noWrap/>
            <w:vAlign w:val="bottom"/>
            <w:hideMark/>
          </w:tcPr>
          <w:p w14:paraId="76D0CF7D" w14:textId="77777777" w:rsidR="00D81D66" w:rsidRPr="00F036AC" w:rsidRDefault="00D81D66" w:rsidP="00BB4F8B">
            <w:pPr>
              <w:jc w:val="center"/>
              <w:rPr>
                <w:color w:val="000000"/>
                <w:sz w:val="20"/>
                <w:szCs w:val="20"/>
              </w:rPr>
            </w:pPr>
            <w:r w:rsidRPr="00F036AC">
              <w:rPr>
                <w:color w:val="000000"/>
                <w:sz w:val="20"/>
                <w:szCs w:val="20"/>
              </w:rPr>
              <w:t>2.5</w:t>
            </w:r>
          </w:p>
        </w:tc>
        <w:tc>
          <w:tcPr>
            <w:tcW w:w="1060" w:type="dxa"/>
            <w:tcBorders>
              <w:top w:val="nil"/>
              <w:left w:val="nil"/>
              <w:bottom w:val="single" w:sz="8" w:space="0" w:color="000000"/>
              <w:right w:val="double" w:sz="6" w:space="0" w:color="auto"/>
            </w:tcBorders>
            <w:shd w:val="clear" w:color="auto" w:fill="auto"/>
            <w:noWrap/>
            <w:vAlign w:val="bottom"/>
            <w:hideMark/>
          </w:tcPr>
          <w:p w14:paraId="43B4D476" w14:textId="77777777" w:rsidR="00D81D66" w:rsidRPr="00F036AC" w:rsidRDefault="00D81D66" w:rsidP="00BB4F8B">
            <w:pPr>
              <w:jc w:val="center"/>
              <w:rPr>
                <w:color w:val="000000"/>
                <w:sz w:val="20"/>
                <w:szCs w:val="20"/>
              </w:rPr>
            </w:pPr>
            <w:r w:rsidRPr="00F036AC">
              <w:rPr>
                <w:color w:val="000000"/>
                <w:sz w:val="20"/>
                <w:szCs w:val="20"/>
              </w:rPr>
              <w:t>2.8</w:t>
            </w:r>
          </w:p>
        </w:tc>
      </w:tr>
      <w:tr w:rsidR="00D81D66" w:rsidRPr="00F036AC" w14:paraId="2371757D"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5538330B" w14:textId="77777777" w:rsidR="00D81D66" w:rsidRPr="00F036AC" w:rsidRDefault="00D81D66" w:rsidP="00BB4F8B">
            <w:pPr>
              <w:ind w:firstLineChars="100" w:firstLine="200"/>
              <w:rPr>
                <w:color w:val="000000"/>
                <w:sz w:val="20"/>
                <w:szCs w:val="20"/>
              </w:rPr>
            </w:pPr>
            <w:r w:rsidRPr="00F036AC">
              <w:rPr>
                <w:color w:val="000000"/>
                <w:sz w:val="20"/>
                <w:szCs w:val="20"/>
              </w:rPr>
              <w:t>Other CE</w:t>
            </w:r>
          </w:p>
        </w:tc>
        <w:tc>
          <w:tcPr>
            <w:tcW w:w="1120" w:type="dxa"/>
            <w:tcBorders>
              <w:top w:val="nil"/>
              <w:left w:val="nil"/>
              <w:bottom w:val="single" w:sz="8" w:space="0" w:color="000000"/>
              <w:right w:val="single" w:sz="8" w:space="0" w:color="000000"/>
            </w:tcBorders>
            <w:shd w:val="clear" w:color="auto" w:fill="auto"/>
            <w:noWrap/>
            <w:vAlign w:val="bottom"/>
            <w:hideMark/>
          </w:tcPr>
          <w:p w14:paraId="680B09AE" w14:textId="77777777" w:rsidR="00D81D66" w:rsidRPr="00F036AC" w:rsidRDefault="00D81D66" w:rsidP="00BB4F8B">
            <w:pPr>
              <w:jc w:val="center"/>
              <w:rPr>
                <w:color w:val="000000"/>
                <w:sz w:val="20"/>
                <w:szCs w:val="20"/>
              </w:rPr>
            </w:pPr>
            <w:r>
              <w:rPr>
                <w:color w:val="000000"/>
                <w:sz w:val="20"/>
                <w:szCs w:val="20"/>
              </w:rPr>
              <w:t>-</w:t>
            </w:r>
          </w:p>
        </w:tc>
        <w:tc>
          <w:tcPr>
            <w:tcW w:w="1060" w:type="dxa"/>
            <w:tcBorders>
              <w:top w:val="nil"/>
              <w:left w:val="nil"/>
              <w:bottom w:val="single" w:sz="8" w:space="0" w:color="000000"/>
              <w:right w:val="single" w:sz="8" w:space="0" w:color="000000"/>
            </w:tcBorders>
            <w:shd w:val="clear" w:color="auto" w:fill="auto"/>
            <w:noWrap/>
            <w:vAlign w:val="bottom"/>
            <w:hideMark/>
          </w:tcPr>
          <w:p w14:paraId="0A7F4C81" w14:textId="77777777" w:rsidR="00D81D66" w:rsidRPr="00F036AC" w:rsidRDefault="00D81D66" w:rsidP="00BB4F8B">
            <w:pPr>
              <w:jc w:val="center"/>
              <w:rPr>
                <w:color w:val="000000"/>
                <w:sz w:val="20"/>
                <w:szCs w:val="20"/>
              </w:rPr>
            </w:pPr>
            <w:r>
              <w:rPr>
                <w:color w:val="000000"/>
                <w:sz w:val="20"/>
                <w:szCs w:val="20"/>
              </w:rPr>
              <w:t>-</w:t>
            </w:r>
          </w:p>
        </w:tc>
        <w:tc>
          <w:tcPr>
            <w:tcW w:w="1060" w:type="dxa"/>
            <w:tcBorders>
              <w:top w:val="nil"/>
              <w:left w:val="nil"/>
              <w:bottom w:val="single" w:sz="8" w:space="0" w:color="000000"/>
              <w:right w:val="double" w:sz="6" w:space="0" w:color="auto"/>
            </w:tcBorders>
            <w:shd w:val="clear" w:color="auto" w:fill="auto"/>
            <w:noWrap/>
            <w:vAlign w:val="bottom"/>
            <w:hideMark/>
          </w:tcPr>
          <w:p w14:paraId="50A6A0BE" w14:textId="77777777" w:rsidR="00D81D66" w:rsidRPr="00F036AC" w:rsidRDefault="00D81D66" w:rsidP="00BB4F8B">
            <w:pPr>
              <w:jc w:val="center"/>
              <w:rPr>
                <w:color w:val="000000"/>
                <w:sz w:val="20"/>
                <w:szCs w:val="20"/>
              </w:rPr>
            </w:pPr>
            <w:r>
              <w:rPr>
                <w:color w:val="000000"/>
                <w:sz w:val="20"/>
                <w:szCs w:val="20"/>
              </w:rPr>
              <w:t>-</w:t>
            </w:r>
          </w:p>
        </w:tc>
      </w:tr>
      <w:tr w:rsidR="00D81D66" w:rsidRPr="00F036AC" w14:paraId="12EED455"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52B4F56E" w14:textId="77777777" w:rsidR="00D81D66" w:rsidRPr="00F036AC" w:rsidRDefault="00D81D66" w:rsidP="00BB4F8B">
            <w:pPr>
              <w:rPr>
                <w:b/>
                <w:bCs/>
                <w:color w:val="000000"/>
                <w:sz w:val="20"/>
                <w:szCs w:val="20"/>
              </w:rPr>
            </w:pPr>
            <w:r w:rsidRPr="00F036AC">
              <w:rPr>
                <w:b/>
                <w:bCs/>
                <w:color w:val="000000"/>
                <w:sz w:val="20"/>
                <w:szCs w:val="20"/>
              </w:rPr>
              <w:t>Capital Outlay (CO)</w:t>
            </w:r>
          </w:p>
        </w:tc>
        <w:tc>
          <w:tcPr>
            <w:tcW w:w="1120" w:type="dxa"/>
            <w:tcBorders>
              <w:top w:val="nil"/>
              <w:left w:val="nil"/>
              <w:bottom w:val="single" w:sz="8" w:space="0" w:color="000000"/>
              <w:right w:val="single" w:sz="8" w:space="0" w:color="000000"/>
            </w:tcBorders>
            <w:shd w:val="clear" w:color="auto" w:fill="auto"/>
            <w:noWrap/>
            <w:vAlign w:val="bottom"/>
            <w:hideMark/>
          </w:tcPr>
          <w:p w14:paraId="03385F92" w14:textId="77777777" w:rsidR="00D81D66" w:rsidRPr="00F036AC" w:rsidRDefault="00D81D66" w:rsidP="00BB4F8B">
            <w:pPr>
              <w:jc w:val="center"/>
              <w:rPr>
                <w:b/>
                <w:bCs/>
                <w:color w:val="000000"/>
                <w:sz w:val="20"/>
                <w:szCs w:val="20"/>
              </w:rPr>
            </w:pPr>
            <w:r w:rsidRPr="00F036AC">
              <w:rPr>
                <w:b/>
                <w:bCs/>
                <w:color w:val="000000"/>
                <w:sz w:val="20"/>
                <w:szCs w:val="20"/>
              </w:rPr>
              <w:t>3.9</w:t>
            </w:r>
          </w:p>
        </w:tc>
        <w:tc>
          <w:tcPr>
            <w:tcW w:w="1060" w:type="dxa"/>
            <w:tcBorders>
              <w:top w:val="nil"/>
              <w:left w:val="nil"/>
              <w:bottom w:val="single" w:sz="8" w:space="0" w:color="000000"/>
              <w:right w:val="single" w:sz="8" w:space="0" w:color="000000"/>
            </w:tcBorders>
            <w:shd w:val="clear" w:color="auto" w:fill="auto"/>
            <w:noWrap/>
            <w:vAlign w:val="bottom"/>
            <w:hideMark/>
          </w:tcPr>
          <w:p w14:paraId="24B71904" w14:textId="77777777" w:rsidR="00D81D66" w:rsidRPr="00F036AC" w:rsidRDefault="00D81D66" w:rsidP="00BB4F8B">
            <w:pPr>
              <w:jc w:val="center"/>
              <w:rPr>
                <w:b/>
                <w:bCs/>
                <w:color w:val="000000"/>
                <w:sz w:val="20"/>
                <w:szCs w:val="20"/>
              </w:rPr>
            </w:pPr>
            <w:r w:rsidRPr="00F036AC">
              <w:rPr>
                <w:b/>
                <w:bCs/>
                <w:color w:val="000000"/>
                <w:sz w:val="20"/>
                <w:szCs w:val="20"/>
              </w:rPr>
              <w:t>3.0</w:t>
            </w:r>
          </w:p>
        </w:tc>
        <w:tc>
          <w:tcPr>
            <w:tcW w:w="1060" w:type="dxa"/>
            <w:tcBorders>
              <w:top w:val="nil"/>
              <w:left w:val="nil"/>
              <w:bottom w:val="single" w:sz="8" w:space="0" w:color="000000"/>
              <w:right w:val="double" w:sz="6" w:space="0" w:color="auto"/>
            </w:tcBorders>
            <w:shd w:val="clear" w:color="auto" w:fill="auto"/>
            <w:noWrap/>
            <w:vAlign w:val="bottom"/>
            <w:hideMark/>
          </w:tcPr>
          <w:p w14:paraId="1F47720B" w14:textId="77777777" w:rsidR="00D81D66" w:rsidRPr="00F036AC" w:rsidRDefault="00D81D66" w:rsidP="00BB4F8B">
            <w:pPr>
              <w:jc w:val="center"/>
              <w:rPr>
                <w:b/>
                <w:bCs/>
                <w:color w:val="000000"/>
                <w:sz w:val="20"/>
                <w:szCs w:val="20"/>
              </w:rPr>
            </w:pPr>
            <w:r w:rsidRPr="00F036AC">
              <w:rPr>
                <w:b/>
                <w:bCs/>
                <w:color w:val="000000"/>
                <w:sz w:val="20"/>
                <w:szCs w:val="20"/>
              </w:rPr>
              <w:t>5.0</w:t>
            </w:r>
          </w:p>
        </w:tc>
      </w:tr>
      <w:tr w:rsidR="00D81D66" w:rsidRPr="00F036AC" w14:paraId="4F9F69E7"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6F548D87" w14:textId="77777777" w:rsidR="00D81D66" w:rsidRPr="00F036AC" w:rsidRDefault="00D81D66" w:rsidP="00BB4F8B">
            <w:pPr>
              <w:ind w:firstLineChars="100" w:firstLine="200"/>
              <w:rPr>
                <w:color w:val="000000"/>
                <w:sz w:val="20"/>
                <w:szCs w:val="20"/>
              </w:rPr>
            </w:pPr>
            <w:r w:rsidRPr="00F036AC">
              <w:rPr>
                <w:color w:val="000000"/>
                <w:sz w:val="20"/>
                <w:szCs w:val="20"/>
              </w:rPr>
              <w:t>Infrastructure spending</w:t>
            </w:r>
          </w:p>
        </w:tc>
        <w:tc>
          <w:tcPr>
            <w:tcW w:w="1120" w:type="dxa"/>
            <w:tcBorders>
              <w:top w:val="nil"/>
              <w:left w:val="nil"/>
              <w:bottom w:val="single" w:sz="8" w:space="0" w:color="000000"/>
              <w:right w:val="single" w:sz="8" w:space="0" w:color="000000"/>
            </w:tcBorders>
            <w:shd w:val="clear" w:color="auto" w:fill="auto"/>
            <w:noWrap/>
            <w:vAlign w:val="bottom"/>
            <w:hideMark/>
          </w:tcPr>
          <w:p w14:paraId="19C66D48" w14:textId="77777777" w:rsidR="00D81D66" w:rsidRPr="00F036AC" w:rsidRDefault="00D81D66" w:rsidP="00BB4F8B">
            <w:pPr>
              <w:jc w:val="center"/>
              <w:rPr>
                <w:color w:val="000000"/>
                <w:sz w:val="20"/>
                <w:szCs w:val="20"/>
              </w:rPr>
            </w:pPr>
            <w:r w:rsidRPr="00F036AC">
              <w:rPr>
                <w:color w:val="000000"/>
                <w:sz w:val="20"/>
                <w:szCs w:val="20"/>
              </w:rPr>
              <w:t>3.5</w:t>
            </w:r>
          </w:p>
        </w:tc>
        <w:tc>
          <w:tcPr>
            <w:tcW w:w="1060" w:type="dxa"/>
            <w:tcBorders>
              <w:top w:val="nil"/>
              <w:left w:val="nil"/>
              <w:bottom w:val="single" w:sz="8" w:space="0" w:color="000000"/>
              <w:right w:val="single" w:sz="8" w:space="0" w:color="000000"/>
            </w:tcBorders>
            <w:shd w:val="clear" w:color="auto" w:fill="auto"/>
            <w:noWrap/>
            <w:vAlign w:val="bottom"/>
            <w:hideMark/>
          </w:tcPr>
          <w:p w14:paraId="6C5B12BC" w14:textId="77777777" w:rsidR="00D81D66" w:rsidRPr="00F036AC" w:rsidRDefault="00D81D66" w:rsidP="00BB4F8B">
            <w:pPr>
              <w:jc w:val="center"/>
              <w:rPr>
                <w:color w:val="000000"/>
                <w:sz w:val="20"/>
                <w:szCs w:val="20"/>
              </w:rPr>
            </w:pPr>
            <w:r w:rsidRPr="00F036AC">
              <w:rPr>
                <w:color w:val="000000"/>
                <w:sz w:val="20"/>
                <w:szCs w:val="20"/>
              </w:rPr>
              <w:t>2.8</w:t>
            </w:r>
          </w:p>
        </w:tc>
        <w:tc>
          <w:tcPr>
            <w:tcW w:w="1060" w:type="dxa"/>
            <w:tcBorders>
              <w:top w:val="nil"/>
              <w:left w:val="nil"/>
              <w:bottom w:val="single" w:sz="8" w:space="0" w:color="000000"/>
              <w:right w:val="double" w:sz="6" w:space="0" w:color="auto"/>
            </w:tcBorders>
            <w:shd w:val="clear" w:color="auto" w:fill="auto"/>
            <w:noWrap/>
            <w:vAlign w:val="bottom"/>
            <w:hideMark/>
          </w:tcPr>
          <w:p w14:paraId="7CEA9D3F" w14:textId="77777777" w:rsidR="00D81D66" w:rsidRPr="00F036AC" w:rsidRDefault="00D81D66" w:rsidP="00BB4F8B">
            <w:pPr>
              <w:jc w:val="center"/>
              <w:rPr>
                <w:color w:val="000000"/>
                <w:sz w:val="20"/>
                <w:szCs w:val="20"/>
              </w:rPr>
            </w:pPr>
            <w:r w:rsidRPr="00F036AC">
              <w:rPr>
                <w:color w:val="000000"/>
                <w:sz w:val="20"/>
                <w:szCs w:val="20"/>
              </w:rPr>
              <w:t>4.8</w:t>
            </w:r>
          </w:p>
        </w:tc>
      </w:tr>
      <w:tr w:rsidR="00D81D66" w:rsidRPr="00F036AC" w14:paraId="74A343DF"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31AEB20A" w14:textId="77777777" w:rsidR="00D81D66" w:rsidRPr="00F036AC" w:rsidRDefault="00D81D66" w:rsidP="00BB4F8B">
            <w:pPr>
              <w:ind w:firstLineChars="100" w:firstLine="200"/>
              <w:rPr>
                <w:color w:val="000000"/>
                <w:sz w:val="20"/>
                <w:szCs w:val="20"/>
              </w:rPr>
            </w:pPr>
            <w:r w:rsidRPr="00F036AC">
              <w:rPr>
                <w:color w:val="000000"/>
                <w:sz w:val="20"/>
                <w:szCs w:val="20"/>
              </w:rPr>
              <w:t>Other CO </w:t>
            </w:r>
          </w:p>
        </w:tc>
        <w:tc>
          <w:tcPr>
            <w:tcW w:w="1120" w:type="dxa"/>
            <w:tcBorders>
              <w:top w:val="nil"/>
              <w:left w:val="nil"/>
              <w:bottom w:val="single" w:sz="8" w:space="0" w:color="000000"/>
              <w:right w:val="single" w:sz="8" w:space="0" w:color="000000"/>
            </w:tcBorders>
            <w:shd w:val="clear" w:color="auto" w:fill="auto"/>
            <w:noWrap/>
            <w:vAlign w:val="bottom"/>
            <w:hideMark/>
          </w:tcPr>
          <w:p w14:paraId="15F0EB6C" w14:textId="77777777" w:rsidR="00D81D66" w:rsidRPr="00F036AC" w:rsidRDefault="00D81D66" w:rsidP="00BB4F8B">
            <w:pPr>
              <w:jc w:val="center"/>
              <w:rPr>
                <w:color w:val="000000"/>
                <w:sz w:val="20"/>
                <w:szCs w:val="20"/>
              </w:rPr>
            </w:pPr>
            <w:r w:rsidRPr="00F036AC">
              <w:rPr>
                <w:color w:val="000000"/>
                <w:sz w:val="20"/>
                <w:szCs w:val="20"/>
              </w:rPr>
              <w:t>0.4</w:t>
            </w:r>
          </w:p>
        </w:tc>
        <w:tc>
          <w:tcPr>
            <w:tcW w:w="1060" w:type="dxa"/>
            <w:tcBorders>
              <w:top w:val="nil"/>
              <w:left w:val="nil"/>
              <w:bottom w:val="single" w:sz="8" w:space="0" w:color="000000"/>
              <w:right w:val="single" w:sz="8" w:space="0" w:color="000000"/>
            </w:tcBorders>
            <w:shd w:val="clear" w:color="auto" w:fill="auto"/>
            <w:noWrap/>
            <w:vAlign w:val="bottom"/>
            <w:hideMark/>
          </w:tcPr>
          <w:p w14:paraId="56845424" w14:textId="77777777" w:rsidR="00D81D66" w:rsidRPr="00F036AC" w:rsidRDefault="00D81D66" w:rsidP="00BB4F8B">
            <w:pPr>
              <w:jc w:val="center"/>
              <w:rPr>
                <w:color w:val="000000"/>
                <w:sz w:val="20"/>
                <w:szCs w:val="20"/>
              </w:rPr>
            </w:pPr>
            <w:r w:rsidRPr="00F036AC">
              <w:rPr>
                <w:color w:val="000000"/>
                <w:sz w:val="20"/>
                <w:szCs w:val="20"/>
              </w:rPr>
              <w:t>0.2</w:t>
            </w:r>
          </w:p>
        </w:tc>
        <w:tc>
          <w:tcPr>
            <w:tcW w:w="1060" w:type="dxa"/>
            <w:tcBorders>
              <w:top w:val="nil"/>
              <w:left w:val="nil"/>
              <w:bottom w:val="single" w:sz="8" w:space="0" w:color="000000"/>
              <w:right w:val="double" w:sz="6" w:space="0" w:color="auto"/>
            </w:tcBorders>
            <w:shd w:val="clear" w:color="auto" w:fill="auto"/>
            <w:noWrap/>
            <w:vAlign w:val="bottom"/>
            <w:hideMark/>
          </w:tcPr>
          <w:p w14:paraId="2D9CD4FA" w14:textId="77777777" w:rsidR="00D81D66" w:rsidRPr="00F036AC" w:rsidRDefault="00D81D66" w:rsidP="00BB4F8B">
            <w:pPr>
              <w:jc w:val="center"/>
              <w:rPr>
                <w:color w:val="000000"/>
                <w:sz w:val="20"/>
                <w:szCs w:val="20"/>
              </w:rPr>
            </w:pPr>
            <w:r w:rsidRPr="00F036AC">
              <w:rPr>
                <w:color w:val="000000"/>
                <w:sz w:val="20"/>
                <w:szCs w:val="20"/>
              </w:rPr>
              <w:t>0.2</w:t>
            </w:r>
          </w:p>
        </w:tc>
      </w:tr>
      <w:tr w:rsidR="00D81D66" w:rsidRPr="00F036AC" w14:paraId="6BBF4690"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366FC609" w14:textId="77777777" w:rsidR="00D81D66" w:rsidRPr="00F036AC" w:rsidRDefault="00D81D66" w:rsidP="00BB4F8B">
            <w:pPr>
              <w:rPr>
                <w:b/>
                <w:bCs/>
                <w:color w:val="000000"/>
                <w:sz w:val="20"/>
                <w:szCs w:val="20"/>
              </w:rPr>
            </w:pPr>
            <w:r w:rsidRPr="00F036AC">
              <w:rPr>
                <w:b/>
                <w:bCs/>
                <w:color w:val="000000"/>
                <w:sz w:val="20"/>
                <w:szCs w:val="20"/>
              </w:rPr>
              <w:t>Net lending</w:t>
            </w:r>
          </w:p>
        </w:tc>
        <w:tc>
          <w:tcPr>
            <w:tcW w:w="1120" w:type="dxa"/>
            <w:tcBorders>
              <w:top w:val="nil"/>
              <w:left w:val="nil"/>
              <w:bottom w:val="single" w:sz="8" w:space="0" w:color="000000"/>
              <w:right w:val="single" w:sz="8" w:space="0" w:color="000000"/>
            </w:tcBorders>
            <w:shd w:val="clear" w:color="auto" w:fill="auto"/>
            <w:noWrap/>
            <w:vAlign w:val="bottom"/>
            <w:hideMark/>
          </w:tcPr>
          <w:p w14:paraId="790D2334" w14:textId="77777777" w:rsidR="00D81D66" w:rsidRPr="00F036AC" w:rsidRDefault="00D81D66" w:rsidP="00BB4F8B">
            <w:pPr>
              <w:jc w:val="center"/>
              <w:rPr>
                <w:b/>
                <w:bCs/>
                <w:color w:val="000000"/>
                <w:sz w:val="20"/>
                <w:szCs w:val="20"/>
              </w:rPr>
            </w:pPr>
            <w:r w:rsidRPr="00F036AC">
              <w:rPr>
                <w:b/>
                <w:bCs/>
                <w:color w:val="000000"/>
                <w:sz w:val="20"/>
                <w:szCs w:val="20"/>
              </w:rPr>
              <w:t>0.1</w:t>
            </w:r>
          </w:p>
        </w:tc>
        <w:tc>
          <w:tcPr>
            <w:tcW w:w="1060" w:type="dxa"/>
            <w:tcBorders>
              <w:top w:val="nil"/>
              <w:left w:val="nil"/>
              <w:bottom w:val="single" w:sz="8" w:space="0" w:color="000000"/>
              <w:right w:val="single" w:sz="8" w:space="0" w:color="000000"/>
            </w:tcBorders>
            <w:shd w:val="clear" w:color="auto" w:fill="auto"/>
            <w:noWrap/>
            <w:vAlign w:val="bottom"/>
            <w:hideMark/>
          </w:tcPr>
          <w:p w14:paraId="080C7D3A" w14:textId="77777777" w:rsidR="00D81D66" w:rsidRPr="00F036AC" w:rsidRDefault="00D81D66" w:rsidP="00BB4F8B">
            <w:pPr>
              <w:jc w:val="center"/>
              <w:rPr>
                <w:b/>
                <w:bCs/>
                <w:color w:val="000000"/>
                <w:sz w:val="20"/>
                <w:szCs w:val="20"/>
              </w:rPr>
            </w:pPr>
            <w:r w:rsidRPr="00F036AC">
              <w:rPr>
                <w:b/>
                <w:bCs/>
                <w:color w:val="000000"/>
                <w:sz w:val="20"/>
                <w:szCs w:val="20"/>
              </w:rPr>
              <w:t>0.1</w:t>
            </w:r>
          </w:p>
        </w:tc>
        <w:tc>
          <w:tcPr>
            <w:tcW w:w="1060" w:type="dxa"/>
            <w:tcBorders>
              <w:top w:val="nil"/>
              <w:left w:val="nil"/>
              <w:bottom w:val="single" w:sz="8" w:space="0" w:color="000000"/>
              <w:right w:val="double" w:sz="6" w:space="0" w:color="auto"/>
            </w:tcBorders>
            <w:shd w:val="clear" w:color="auto" w:fill="auto"/>
            <w:noWrap/>
            <w:vAlign w:val="bottom"/>
            <w:hideMark/>
          </w:tcPr>
          <w:p w14:paraId="622CCCF2" w14:textId="77777777" w:rsidR="00D81D66" w:rsidRPr="00F036AC" w:rsidRDefault="00D81D66" w:rsidP="00BB4F8B">
            <w:pPr>
              <w:jc w:val="center"/>
              <w:rPr>
                <w:b/>
                <w:bCs/>
                <w:color w:val="000000"/>
                <w:sz w:val="20"/>
                <w:szCs w:val="20"/>
              </w:rPr>
            </w:pPr>
            <w:r w:rsidRPr="00F036AC">
              <w:rPr>
                <w:b/>
                <w:bCs/>
                <w:color w:val="000000"/>
                <w:sz w:val="20"/>
                <w:szCs w:val="20"/>
              </w:rPr>
              <w:t>0.2</w:t>
            </w:r>
          </w:p>
        </w:tc>
      </w:tr>
      <w:tr w:rsidR="00D81D66" w:rsidRPr="00F036AC" w14:paraId="2D9729E3" w14:textId="77777777" w:rsidTr="00BB4F8B">
        <w:trPr>
          <w:trHeight w:val="270"/>
          <w:jc w:val="center"/>
        </w:trPr>
        <w:tc>
          <w:tcPr>
            <w:tcW w:w="5160" w:type="dxa"/>
            <w:tcBorders>
              <w:top w:val="nil"/>
              <w:left w:val="double" w:sz="6" w:space="0" w:color="auto"/>
              <w:bottom w:val="single" w:sz="8" w:space="0" w:color="000000"/>
              <w:right w:val="single" w:sz="8" w:space="0" w:color="000000"/>
            </w:tcBorders>
            <w:shd w:val="clear" w:color="auto" w:fill="auto"/>
            <w:noWrap/>
            <w:vAlign w:val="bottom"/>
            <w:hideMark/>
          </w:tcPr>
          <w:p w14:paraId="2402FCAC" w14:textId="77777777" w:rsidR="00D81D66" w:rsidRPr="00F036AC" w:rsidRDefault="00D81D66" w:rsidP="00BB4F8B">
            <w:pPr>
              <w:ind w:firstLineChars="100" w:firstLine="200"/>
              <w:rPr>
                <w:color w:val="000000"/>
                <w:sz w:val="20"/>
                <w:szCs w:val="20"/>
              </w:rPr>
            </w:pPr>
            <w:r w:rsidRPr="00F036AC">
              <w:rPr>
                <w:color w:val="000000"/>
                <w:sz w:val="20"/>
                <w:szCs w:val="20"/>
              </w:rPr>
              <w:t>Net lending</w:t>
            </w:r>
          </w:p>
        </w:tc>
        <w:tc>
          <w:tcPr>
            <w:tcW w:w="1120" w:type="dxa"/>
            <w:tcBorders>
              <w:top w:val="nil"/>
              <w:left w:val="nil"/>
              <w:bottom w:val="single" w:sz="8" w:space="0" w:color="000000"/>
              <w:right w:val="single" w:sz="8" w:space="0" w:color="000000"/>
            </w:tcBorders>
            <w:shd w:val="clear" w:color="auto" w:fill="auto"/>
            <w:noWrap/>
            <w:vAlign w:val="bottom"/>
            <w:hideMark/>
          </w:tcPr>
          <w:p w14:paraId="21A41DCA" w14:textId="77777777" w:rsidR="00D81D66" w:rsidRPr="00F036AC" w:rsidRDefault="00D81D66" w:rsidP="00BB4F8B">
            <w:pPr>
              <w:jc w:val="center"/>
              <w:rPr>
                <w:color w:val="000000"/>
                <w:sz w:val="20"/>
                <w:szCs w:val="20"/>
              </w:rPr>
            </w:pPr>
            <w:r w:rsidRPr="00F036AC">
              <w:rPr>
                <w:color w:val="000000"/>
                <w:sz w:val="20"/>
                <w:szCs w:val="20"/>
              </w:rPr>
              <w:t>0.1</w:t>
            </w:r>
          </w:p>
        </w:tc>
        <w:tc>
          <w:tcPr>
            <w:tcW w:w="1060" w:type="dxa"/>
            <w:tcBorders>
              <w:top w:val="nil"/>
              <w:left w:val="nil"/>
              <w:bottom w:val="single" w:sz="8" w:space="0" w:color="000000"/>
              <w:right w:val="single" w:sz="8" w:space="0" w:color="000000"/>
            </w:tcBorders>
            <w:shd w:val="clear" w:color="auto" w:fill="auto"/>
            <w:noWrap/>
            <w:vAlign w:val="bottom"/>
            <w:hideMark/>
          </w:tcPr>
          <w:p w14:paraId="301796EA" w14:textId="77777777" w:rsidR="00D81D66" w:rsidRPr="00F036AC" w:rsidRDefault="00D81D66" w:rsidP="00BB4F8B">
            <w:pPr>
              <w:jc w:val="center"/>
              <w:rPr>
                <w:color w:val="000000"/>
                <w:sz w:val="20"/>
                <w:szCs w:val="20"/>
              </w:rPr>
            </w:pPr>
            <w:r w:rsidRPr="00F036AC">
              <w:rPr>
                <w:color w:val="000000"/>
                <w:sz w:val="20"/>
                <w:szCs w:val="20"/>
              </w:rPr>
              <w:t>0.1</w:t>
            </w:r>
          </w:p>
        </w:tc>
        <w:tc>
          <w:tcPr>
            <w:tcW w:w="1060" w:type="dxa"/>
            <w:tcBorders>
              <w:top w:val="nil"/>
              <w:left w:val="nil"/>
              <w:bottom w:val="single" w:sz="8" w:space="0" w:color="000000"/>
              <w:right w:val="double" w:sz="6" w:space="0" w:color="auto"/>
            </w:tcBorders>
            <w:shd w:val="clear" w:color="auto" w:fill="auto"/>
            <w:noWrap/>
            <w:vAlign w:val="bottom"/>
            <w:hideMark/>
          </w:tcPr>
          <w:p w14:paraId="14056242" w14:textId="77777777" w:rsidR="00D81D66" w:rsidRPr="00F036AC" w:rsidRDefault="00D81D66" w:rsidP="00BB4F8B">
            <w:pPr>
              <w:jc w:val="center"/>
              <w:rPr>
                <w:color w:val="000000"/>
                <w:sz w:val="20"/>
                <w:szCs w:val="20"/>
              </w:rPr>
            </w:pPr>
            <w:r w:rsidRPr="00F036AC">
              <w:rPr>
                <w:color w:val="000000"/>
                <w:sz w:val="20"/>
                <w:szCs w:val="20"/>
              </w:rPr>
              <w:t>0.2</w:t>
            </w:r>
          </w:p>
        </w:tc>
      </w:tr>
      <w:tr w:rsidR="00D81D66" w:rsidRPr="00F036AC" w14:paraId="1B2587D9" w14:textId="77777777" w:rsidTr="00BB4F8B">
        <w:trPr>
          <w:trHeight w:val="270"/>
          <w:jc w:val="center"/>
        </w:trPr>
        <w:tc>
          <w:tcPr>
            <w:tcW w:w="5160" w:type="dxa"/>
            <w:tcBorders>
              <w:top w:val="nil"/>
              <w:left w:val="double" w:sz="6" w:space="0" w:color="auto"/>
              <w:bottom w:val="double" w:sz="6" w:space="0" w:color="auto"/>
              <w:right w:val="single" w:sz="8" w:space="0" w:color="000000"/>
            </w:tcBorders>
            <w:shd w:val="clear" w:color="auto" w:fill="auto"/>
            <w:noWrap/>
            <w:vAlign w:val="bottom"/>
            <w:hideMark/>
          </w:tcPr>
          <w:p w14:paraId="1B2EADE0" w14:textId="77777777" w:rsidR="00D81D66" w:rsidRPr="00F036AC" w:rsidRDefault="00D81D66" w:rsidP="00BB4F8B">
            <w:pPr>
              <w:rPr>
                <w:b/>
                <w:bCs/>
                <w:color w:val="000000"/>
                <w:sz w:val="20"/>
                <w:szCs w:val="20"/>
              </w:rPr>
            </w:pPr>
            <w:r w:rsidRPr="00F036AC">
              <w:rPr>
                <w:b/>
                <w:bCs/>
                <w:color w:val="000000"/>
                <w:sz w:val="20"/>
                <w:szCs w:val="20"/>
              </w:rPr>
              <w:t>Total expenditure</w:t>
            </w:r>
          </w:p>
        </w:tc>
        <w:tc>
          <w:tcPr>
            <w:tcW w:w="1120" w:type="dxa"/>
            <w:tcBorders>
              <w:top w:val="nil"/>
              <w:left w:val="nil"/>
              <w:bottom w:val="double" w:sz="6" w:space="0" w:color="auto"/>
              <w:right w:val="single" w:sz="8" w:space="0" w:color="000000"/>
            </w:tcBorders>
            <w:shd w:val="clear" w:color="auto" w:fill="auto"/>
            <w:noWrap/>
            <w:vAlign w:val="bottom"/>
            <w:hideMark/>
          </w:tcPr>
          <w:p w14:paraId="68D13DFE" w14:textId="77777777" w:rsidR="00D81D66" w:rsidRPr="00F036AC" w:rsidRDefault="00D81D66" w:rsidP="00BB4F8B">
            <w:pPr>
              <w:jc w:val="center"/>
              <w:rPr>
                <w:b/>
                <w:bCs/>
                <w:color w:val="000000"/>
                <w:sz w:val="20"/>
                <w:szCs w:val="20"/>
              </w:rPr>
            </w:pPr>
            <w:r>
              <w:rPr>
                <w:b/>
                <w:bCs/>
                <w:color w:val="000000"/>
                <w:sz w:val="20"/>
                <w:szCs w:val="20"/>
              </w:rPr>
              <w:t>17.4</w:t>
            </w:r>
          </w:p>
        </w:tc>
        <w:tc>
          <w:tcPr>
            <w:tcW w:w="1060" w:type="dxa"/>
            <w:tcBorders>
              <w:top w:val="nil"/>
              <w:left w:val="nil"/>
              <w:bottom w:val="double" w:sz="6" w:space="0" w:color="auto"/>
              <w:right w:val="single" w:sz="8" w:space="0" w:color="000000"/>
            </w:tcBorders>
            <w:shd w:val="clear" w:color="auto" w:fill="auto"/>
            <w:noWrap/>
            <w:vAlign w:val="bottom"/>
            <w:hideMark/>
          </w:tcPr>
          <w:p w14:paraId="3E442E63" w14:textId="77777777" w:rsidR="00D81D66" w:rsidRPr="00F036AC" w:rsidRDefault="00D81D66" w:rsidP="00BB4F8B">
            <w:pPr>
              <w:jc w:val="center"/>
              <w:rPr>
                <w:b/>
                <w:bCs/>
                <w:color w:val="000000"/>
                <w:sz w:val="20"/>
                <w:szCs w:val="20"/>
              </w:rPr>
            </w:pPr>
            <w:r w:rsidRPr="00F036AC">
              <w:rPr>
                <w:b/>
                <w:bCs/>
                <w:color w:val="000000"/>
                <w:sz w:val="20"/>
                <w:szCs w:val="20"/>
              </w:rPr>
              <w:t>16.0</w:t>
            </w:r>
          </w:p>
        </w:tc>
        <w:tc>
          <w:tcPr>
            <w:tcW w:w="1060" w:type="dxa"/>
            <w:tcBorders>
              <w:top w:val="nil"/>
              <w:left w:val="nil"/>
              <w:bottom w:val="double" w:sz="6" w:space="0" w:color="auto"/>
              <w:right w:val="double" w:sz="6" w:space="0" w:color="auto"/>
            </w:tcBorders>
            <w:shd w:val="clear" w:color="auto" w:fill="auto"/>
            <w:noWrap/>
            <w:vAlign w:val="bottom"/>
            <w:hideMark/>
          </w:tcPr>
          <w:p w14:paraId="58B46222" w14:textId="77777777" w:rsidR="00D81D66" w:rsidRPr="00F036AC" w:rsidRDefault="00D81D66" w:rsidP="00BB4F8B">
            <w:pPr>
              <w:jc w:val="center"/>
              <w:rPr>
                <w:b/>
                <w:bCs/>
                <w:color w:val="000000"/>
                <w:sz w:val="20"/>
                <w:szCs w:val="20"/>
              </w:rPr>
            </w:pPr>
            <w:r w:rsidRPr="00F036AC">
              <w:rPr>
                <w:b/>
                <w:bCs/>
                <w:color w:val="000000"/>
                <w:sz w:val="20"/>
                <w:szCs w:val="20"/>
              </w:rPr>
              <w:t>19.6</w:t>
            </w:r>
          </w:p>
        </w:tc>
      </w:tr>
    </w:tbl>
    <w:p w14:paraId="09D94CFA" w14:textId="77777777" w:rsidR="00D81D66" w:rsidRDefault="00D81D66" w:rsidP="00D81D66">
      <w:pPr>
        <w:pStyle w:val="NormalWeb"/>
        <w:autoSpaceDE w:val="0"/>
        <w:autoSpaceDN w:val="0"/>
        <w:adjustRightInd w:val="0"/>
        <w:spacing w:before="0" w:beforeAutospacing="0" w:after="0" w:afterAutospacing="0"/>
        <w:contextualSpacing/>
        <w:jc w:val="both"/>
        <w:rPr>
          <w:sz w:val="20"/>
          <w:szCs w:val="20"/>
        </w:rPr>
      </w:pPr>
      <w:r>
        <w:rPr>
          <w:i/>
          <w:sz w:val="20"/>
          <w:szCs w:val="20"/>
        </w:rPr>
        <w:t xml:space="preserve">          </w:t>
      </w:r>
      <w:r w:rsidRPr="00EE024A">
        <w:rPr>
          <w:i/>
          <w:sz w:val="20"/>
          <w:szCs w:val="20"/>
        </w:rPr>
        <w:t>Source:</w:t>
      </w:r>
      <w:r w:rsidRPr="00606798">
        <w:rPr>
          <w:sz w:val="20"/>
          <w:szCs w:val="20"/>
        </w:rPr>
        <w:t xml:space="preserve"> DBM</w:t>
      </w:r>
      <w:r>
        <w:rPr>
          <w:sz w:val="20"/>
          <w:szCs w:val="20"/>
        </w:rPr>
        <w:t xml:space="preserve"> Fiscal Statistics Handbook</w:t>
      </w:r>
    </w:p>
    <w:p w14:paraId="706ACEAF" w14:textId="77777777" w:rsidR="00D81D66" w:rsidRDefault="00D81D66" w:rsidP="00D81D66">
      <w:pPr>
        <w:pStyle w:val="NormalWeb"/>
        <w:autoSpaceDE w:val="0"/>
        <w:autoSpaceDN w:val="0"/>
        <w:adjustRightInd w:val="0"/>
        <w:spacing w:before="0" w:beforeAutospacing="0" w:after="0" w:afterAutospacing="0"/>
        <w:contextualSpacing/>
        <w:jc w:val="both"/>
        <w:rPr>
          <w:i/>
          <w:sz w:val="20"/>
          <w:szCs w:val="20"/>
        </w:rPr>
      </w:pPr>
      <w:r>
        <w:rPr>
          <w:i/>
          <w:sz w:val="20"/>
          <w:szCs w:val="20"/>
        </w:rPr>
        <w:t xml:space="preserve">         Notes: *denotes programmed expenditures. Numbers may not add up due to rounding.</w:t>
      </w:r>
    </w:p>
    <w:p w14:paraId="669DC1C8" w14:textId="77777777" w:rsidR="00D81D66" w:rsidRPr="005A497D" w:rsidRDefault="00D81D66" w:rsidP="00FA09A4">
      <w:pPr>
        <w:pStyle w:val="NormalWeb"/>
        <w:autoSpaceDE w:val="0"/>
        <w:autoSpaceDN w:val="0"/>
        <w:adjustRightInd w:val="0"/>
        <w:spacing w:before="0" w:beforeAutospacing="0" w:after="0" w:afterAutospacing="0"/>
        <w:contextualSpacing/>
        <w:jc w:val="both"/>
        <w:rPr>
          <w:bCs/>
        </w:rPr>
      </w:pPr>
    </w:p>
    <w:p w14:paraId="5F89F98B" w14:textId="5DFB72B7" w:rsidR="001762EE" w:rsidRDefault="001762EE" w:rsidP="00411651">
      <w:pPr>
        <w:pStyle w:val="Heading3"/>
      </w:pPr>
      <w:bookmarkStart w:id="44" w:name="_Toc454811640"/>
      <w:bookmarkStart w:id="45" w:name="_Toc454888785"/>
      <w:r w:rsidRPr="00855CA5">
        <w:t>2.3 Legal and regulatory arrangements for PFM</w:t>
      </w:r>
      <w:bookmarkEnd w:id="44"/>
      <w:bookmarkEnd w:id="45"/>
    </w:p>
    <w:p w14:paraId="3F22CECF" w14:textId="77777777" w:rsidR="001762EE" w:rsidRDefault="001762EE" w:rsidP="001D16CD">
      <w:pPr>
        <w:pStyle w:val="ListParagraph"/>
        <w:tabs>
          <w:tab w:val="left" w:pos="720"/>
        </w:tabs>
        <w:autoSpaceDE w:val="0"/>
        <w:autoSpaceDN w:val="0"/>
        <w:adjustRightInd w:val="0"/>
        <w:spacing w:after="0" w:line="240" w:lineRule="auto"/>
        <w:ind w:left="0" w:firstLine="0"/>
        <w:jc w:val="both"/>
      </w:pPr>
    </w:p>
    <w:p w14:paraId="3A65CE14" w14:textId="37A50C9B" w:rsidR="001762EE" w:rsidRDefault="001762EE" w:rsidP="005A03CD">
      <w:pPr>
        <w:pStyle w:val="ListParagraph"/>
        <w:numPr>
          <w:ilvl w:val="0"/>
          <w:numId w:val="10"/>
        </w:numPr>
        <w:tabs>
          <w:tab w:val="left" w:pos="720"/>
        </w:tabs>
        <w:autoSpaceDE w:val="0"/>
        <w:autoSpaceDN w:val="0"/>
        <w:adjustRightInd w:val="0"/>
        <w:spacing w:after="0" w:line="240" w:lineRule="auto"/>
        <w:ind w:left="0" w:firstLine="0"/>
        <w:jc w:val="both"/>
      </w:pPr>
      <w:r>
        <w:t xml:space="preserve">Under its 1987 Constitution, the Republic of the Philippines has provincial and municipal local governments with local revenue collection and spending autonomy as well as autonomous regions, all under the general supervision of the President. The Constitution provides a strong statutory basis for PFM and the economic management of the country. Various sections of Article II, </w:t>
      </w:r>
      <w:r w:rsidRPr="00EE024A">
        <w:rPr>
          <w:i/>
        </w:rPr>
        <w:t>Declaration of Principles and State Policies</w:t>
      </w:r>
      <w:r>
        <w:t>,</w:t>
      </w:r>
      <w:r w:rsidRPr="00D715BE">
        <w:t xml:space="preserve"> </w:t>
      </w:r>
      <w:r>
        <w:t>establish requirements that the PFM system must meet. Section</w:t>
      </w:r>
      <w:r w:rsidRPr="00662900">
        <w:t xml:space="preserve"> 9 </w:t>
      </w:r>
      <w:r>
        <w:t>provides that t</w:t>
      </w:r>
      <w:r w:rsidRPr="00662900">
        <w:t xml:space="preserve">he </w:t>
      </w:r>
      <w:r>
        <w:t>s</w:t>
      </w:r>
      <w:r w:rsidRPr="00662900">
        <w:t>tate shall promote a just and dynamic social order that will ensure the prosperity and independence of the nation and free the people from poverty through policies that provide adequate social services</w:t>
      </w:r>
      <w:r>
        <w:t>;</w:t>
      </w:r>
      <w:r w:rsidRPr="00662900">
        <w:t xml:space="preserve"> </w:t>
      </w:r>
      <w:r>
        <w:t xml:space="preserve">and </w:t>
      </w:r>
      <w:r w:rsidRPr="00662900">
        <w:t xml:space="preserve">promote full employment, a rising standard of living, and an improved quality of life for all. </w:t>
      </w:r>
      <w:r>
        <w:t>Section</w:t>
      </w:r>
      <w:r w:rsidRPr="00734D59">
        <w:t xml:space="preserve"> 25</w:t>
      </w:r>
      <w:r>
        <w:t xml:space="preserve"> provides that t</w:t>
      </w:r>
      <w:r w:rsidRPr="00734D59">
        <w:t xml:space="preserve">he </w:t>
      </w:r>
      <w:r>
        <w:t>s</w:t>
      </w:r>
      <w:r w:rsidRPr="00734D59">
        <w:t xml:space="preserve">tate shall ensure the autonomy of local governments. </w:t>
      </w:r>
      <w:r>
        <w:t>Section</w:t>
      </w:r>
      <w:r w:rsidRPr="00734D59">
        <w:t xml:space="preserve"> 27</w:t>
      </w:r>
      <w:r>
        <w:t xml:space="preserve"> provides that t</w:t>
      </w:r>
      <w:r w:rsidRPr="00734D59">
        <w:t xml:space="preserve">he </w:t>
      </w:r>
      <w:r>
        <w:t>s</w:t>
      </w:r>
      <w:r w:rsidRPr="00734D59">
        <w:t xml:space="preserve">tate shall maintain honesty and integrity in the public service and take positive and effective measures against graft and corruption. </w:t>
      </w:r>
      <w:r>
        <w:t xml:space="preserve">Section 28 covers taxation, including </w:t>
      </w:r>
      <w:r w:rsidRPr="005A497D">
        <w:t>that Congress is to evolve a progressive taxation system</w:t>
      </w:r>
      <w:r>
        <w:t xml:space="preserve">. Article VI sets out the legislative arrangements for the Congress; it includes sections for appropriation and revenue bills, preparation and management of the budget, disbursement of discretionary funds, and taxation. Article VII vests executive power in the President; it includes sections on public debt, and the submission to the Congress </w:t>
      </w:r>
      <w:r w:rsidRPr="006972AD">
        <w:t xml:space="preserve">within </w:t>
      </w:r>
      <w:r>
        <w:t>30</w:t>
      </w:r>
      <w:r w:rsidRPr="006972AD">
        <w:t xml:space="preserve"> days from the opening of every regular session, as the basis of the general appropriations bill, a budget of expenditures and sources</w:t>
      </w:r>
      <w:bookmarkStart w:id="46" w:name="article-viii"/>
      <w:bookmarkEnd w:id="46"/>
      <w:r>
        <w:t xml:space="preserve"> </w:t>
      </w:r>
      <w:r w:rsidRPr="006972AD">
        <w:t>of financing, including receipts from existing and proposed r</w:t>
      </w:r>
      <w:r>
        <w:t xml:space="preserve">evenue measures. Article IX establishes constitutional commissions, including establishing the Commission on Audit with </w:t>
      </w:r>
      <w:r w:rsidRPr="004540C9">
        <w:t xml:space="preserve">the </w:t>
      </w:r>
      <w:r>
        <w:t>dual roles of keeping the general accounts of the Government, and of auditing those accounts as well as providing</w:t>
      </w:r>
      <w:r w:rsidRPr="00B600DF">
        <w:t xml:space="preserve"> the President and the Congress</w:t>
      </w:r>
      <w:r>
        <w:t xml:space="preserve"> with</w:t>
      </w:r>
      <w:r w:rsidRPr="00B600DF">
        <w:t xml:space="preserve"> an annual report </w:t>
      </w:r>
      <w:r>
        <w:t>on</w:t>
      </w:r>
      <w:r w:rsidRPr="00B600DF">
        <w:t xml:space="preserve"> the financial condition and operation of the Government</w:t>
      </w:r>
      <w:r>
        <w:t xml:space="preserve"> and its agencies</w:t>
      </w:r>
      <w:r w:rsidRPr="00B600DF">
        <w:t xml:space="preserve">, </w:t>
      </w:r>
      <w:r>
        <w:t>and</w:t>
      </w:r>
      <w:bookmarkStart w:id="47" w:name="article-x"/>
      <w:bookmarkEnd w:id="47"/>
      <w:r w:rsidRPr="00B600DF">
        <w:t xml:space="preserve"> recommend</w:t>
      </w:r>
      <w:r>
        <w:t>ations for</w:t>
      </w:r>
      <w:r w:rsidRPr="00B600DF">
        <w:t xml:space="preserve"> measures to improve effectiveness and efficiency</w:t>
      </w:r>
      <w:r>
        <w:t xml:space="preserve">. Article XI establishes a strong basis for internal control over PFM through its provisions on the accountability of public officers and includes establishing anti-graft and ombudsman bodies. Article XII covering the national economy includes arrangements for a planning body and a central bank, and for establishing government companies. The National Economic and Development Authority (NEDA) </w:t>
      </w:r>
      <w:r w:rsidRPr="00D1721D">
        <w:t>is the country’s premier social and economic development planning and policy coordinating body</w:t>
      </w:r>
      <w:r>
        <w:t xml:space="preserve">. It is chaired by the President and supported by </w:t>
      </w:r>
      <w:r w:rsidRPr="00D1721D">
        <w:t>seven cabinet-level interagency committees</w:t>
      </w:r>
      <w:r>
        <w:t xml:space="preserve"> dealing with functional areas.</w:t>
      </w:r>
    </w:p>
    <w:p w14:paraId="087470EA" w14:textId="77777777" w:rsidR="001762EE" w:rsidRDefault="001762EE" w:rsidP="00015E0E">
      <w:pPr>
        <w:pStyle w:val="ListParagraph"/>
        <w:tabs>
          <w:tab w:val="left" w:pos="720"/>
        </w:tabs>
        <w:autoSpaceDE w:val="0"/>
        <w:autoSpaceDN w:val="0"/>
        <w:adjustRightInd w:val="0"/>
        <w:spacing w:after="0" w:line="240" w:lineRule="auto"/>
        <w:ind w:left="0" w:firstLine="0"/>
        <w:jc w:val="both"/>
      </w:pPr>
    </w:p>
    <w:p w14:paraId="6E9FA630" w14:textId="6ED86D3C" w:rsidR="001762EE" w:rsidRPr="00FC747F" w:rsidRDefault="001762EE" w:rsidP="005A03CD">
      <w:pPr>
        <w:pStyle w:val="ListParagraph"/>
        <w:numPr>
          <w:ilvl w:val="0"/>
          <w:numId w:val="10"/>
        </w:numPr>
        <w:tabs>
          <w:tab w:val="left" w:pos="720"/>
        </w:tabs>
        <w:autoSpaceDE w:val="0"/>
        <w:autoSpaceDN w:val="0"/>
        <w:adjustRightInd w:val="0"/>
        <w:spacing w:after="0" w:line="240" w:lineRule="auto"/>
        <w:ind w:left="0" w:firstLine="0"/>
        <w:jc w:val="both"/>
      </w:pPr>
      <w:r w:rsidRPr="00EE024A">
        <w:rPr>
          <w:b/>
        </w:rPr>
        <w:t>The Constitution’s budgetary provisions provide some detailed prescriptions of relevance to PFM.</w:t>
      </w:r>
      <w:r w:rsidRPr="00FC747F">
        <w:t xml:space="preserve"> Article VI Section 25 provides that the Congress may not increase the appropriations recommended by the President for the operation of the Government as specified in the budget</w:t>
      </w:r>
      <w:r>
        <w:t>;</w:t>
      </w:r>
      <w:r w:rsidRPr="00FC747F">
        <w:t xml:space="preserve"> that budget provisions must relate to particular appropriations</w:t>
      </w:r>
      <w:r>
        <w:t>;</w:t>
      </w:r>
      <w:r w:rsidRPr="00FC747F">
        <w:t xml:space="preserve"> and that the form, content, and manner of preparation of the budget shall be prescribed by law. Other provisions cover special appropriations for specific purposes and carry over of </w:t>
      </w:r>
      <w:r w:rsidR="00514B4B">
        <w:t xml:space="preserve">previous year’s </w:t>
      </w:r>
      <w:r w:rsidRPr="00FC747F">
        <w:t>appropriations</w:t>
      </w:r>
      <w:r w:rsidR="00514B4B">
        <w:t xml:space="preserve"> </w:t>
      </w:r>
      <w:r w:rsidR="00514B4B" w:rsidRPr="00514B4B">
        <w:t>in case Congress i</w:t>
      </w:r>
      <w:r w:rsidR="00514B4B">
        <w:t>s</w:t>
      </w:r>
      <w:r w:rsidR="00514B4B" w:rsidRPr="00514B4B">
        <w:t xml:space="preserve"> unable to pass the budget on time</w:t>
      </w:r>
      <w:r w:rsidRPr="00FC747F">
        <w:t xml:space="preserve">. Article VI Section 29 provides that no money shall be paid out of the Treasury except in pursuance of an appropriation made by law and that money collected on any tax levied for a special purpose shall be treated as a special fund and paid out for such purpose only. </w:t>
      </w:r>
    </w:p>
    <w:p w14:paraId="7DB75FDE" w14:textId="77777777" w:rsidR="001762EE" w:rsidRPr="005A497D" w:rsidRDefault="001762EE" w:rsidP="00015E0E">
      <w:pPr>
        <w:pStyle w:val="ListParagraph"/>
        <w:tabs>
          <w:tab w:val="left" w:pos="720"/>
        </w:tabs>
        <w:autoSpaceDE w:val="0"/>
        <w:autoSpaceDN w:val="0"/>
        <w:adjustRightInd w:val="0"/>
        <w:spacing w:after="0" w:line="240" w:lineRule="auto"/>
        <w:ind w:left="0" w:firstLine="0"/>
        <w:jc w:val="both"/>
      </w:pPr>
    </w:p>
    <w:p w14:paraId="7EE5BF28" w14:textId="5CC31BD2" w:rsidR="001762EE" w:rsidRPr="000B4372" w:rsidRDefault="001762EE" w:rsidP="005A03CD">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EE024A">
        <w:rPr>
          <w:b/>
        </w:rPr>
        <w:t xml:space="preserve">The administrative arrangements for the legislative and regulatory framework for PFM established by the Constitution are given effect at a general level the Administrative Code of 1987. </w:t>
      </w:r>
      <w:r>
        <w:t>This act</w:t>
      </w:r>
      <w:r w:rsidRPr="00015E0E">
        <w:t xml:space="preserve"> incorporates in a unified document the major structural, functional</w:t>
      </w:r>
      <w:r>
        <w:t>,</w:t>
      </w:r>
      <w:r w:rsidRPr="00015E0E">
        <w:t xml:space="preserve"> and procedural principles and rules of governance desired by the </w:t>
      </w:r>
      <w:r>
        <w:t>Government of the Philippines</w:t>
      </w:r>
      <w:r w:rsidRPr="00015E0E">
        <w:t xml:space="preserve">. The Code includes separate sections covering finance, budget and management, local government, and the Commission on Audit, which includes accounting as well as audit. A Department of Finance </w:t>
      </w:r>
      <w:r>
        <w:t>is</w:t>
      </w:r>
      <w:r w:rsidRPr="00015E0E">
        <w:t xml:space="preserve"> primarily responsible for the sound and efficient management of the financial resources of the Government, its subdivisions, agencies</w:t>
      </w:r>
      <w:r>
        <w:t>,</w:t>
      </w:r>
      <w:r w:rsidRPr="00015E0E">
        <w:t xml:space="preserve"> and instrumentalities. The </w:t>
      </w:r>
      <w:r w:rsidR="00F448CD">
        <w:t xml:space="preserve">national </w:t>
      </w:r>
      <w:r w:rsidRPr="00015E0E">
        <w:t>budget is formulated within the context of a regionalized governmental structure and within the totality of revenues and other receipts, expenditures</w:t>
      </w:r>
      <w:r>
        <w:t>,</w:t>
      </w:r>
      <w:r w:rsidRPr="00015E0E">
        <w:t xml:space="preserve"> and borrowings of all levels of government and of government corporations. The Code includes skeleton provisions covering budget policy, preparation, authorization, execution, and accountability. It also includes some detailed provisions relating to various forms of expenditure and contracting. The</w:t>
      </w:r>
      <w:r>
        <w:t xml:space="preserve"> President submits a</w:t>
      </w:r>
      <w:r w:rsidRPr="00015E0E">
        <w:t xml:space="preserve"> budget covering estimated receipts and estimated expenditures to the Congress. All appropriations, revenue or tariff bills </w:t>
      </w:r>
      <w:r>
        <w:t>(</w:t>
      </w:r>
      <w:r w:rsidRPr="00015E0E">
        <w:t>bills authorizing increase of the public debt</w:t>
      </w:r>
      <w:r>
        <w:t>)</w:t>
      </w:r>
      <w:r w:rsidRPr="00015E0E">
        <w:t xml:space="preserve"> shall originate exclusively in the House of Representatives</w:t>
      </w:r>
      <w:r>
        <w:t>,</w:t>
      </w:r>
      <w:r w:rsidRPr="00015E0E">
        <w:t xml:space="preserve"> but the Senate may propose or concur with amendments. The decentralized local government structure </w:t>
      </w:r>
      <w:r>
        <w:t>is</w:t>
      </w:r>
      <w:r w:rsidRPr="00015E0E">
        <w:t xml:space="preserve"> guaranteed </w:t>
      </w:r>
      <w:r w:rsidR="001610D9">
        <w:t>it’s</w:t>
      </w:r>
      <w:r w:rsidRPr="00015E0E">
        <w:t xml:space="preserve"> just share in national taxes and wide latitude for resources generation. The annual budget preparation process is organized based on a circular issued each year by DBM, which also issues circulars on budget execution and reporting guidance</w:t>
      </w:r>
      <w:r>
        <w:t>:</w:t>
      </w:r>
      <w:r w:rsidRPr="00015E0E">
        <w:t xml:space="preserve"> the Budget Execution Documents (BEDs) and the Budget and Financial Accountability Reports. </w:t>
      </w:r>
      <w:r>
        <w:t>At the operational level t</w:t>
      </w:r>
      <w:r w:rsidRPr="00015E0E">
        <w:t>he Administrative Code provides for planning services in each department</w:t>
      </w:r>
      <w:r>
        <w:t xml:space="preserve"> to</w:t>
      </w:r>
      <w:r w:rsidRPr="00015E0E">
        <w:t xml:space="preserve"> </w:t>
      </w:r>
      <w:r w:rsidRPr="000B4372">
        <w:t>provide the department with economical, efficient</w:t>
      </w:r>
      <w:r>
        <w:t>,</w:t>
      </w:r>
      <w:r w:rsidRPr="000B4372">
        <w:t xml:space="preserve"> and effective services relating to planning, programming, and project development.</w:t>
      </w:r>
    </w:p>
    <w:p w14:paraId="4EE356F1" w14:textId="77777777" w:rsidR="001762EE" w:rsidRPr="000B4372" w:rsidRDefault="001762EE" w:rsidP="00015E0E">
      <w:pPr>
        <w:pStyle w:val="ListParagraph"/>
        <w:rPr>
          <w:bCs/>
        </w:rPr>
      </w:pPr>
    </w:p>
    <w:p w14:paraId="028B4DAC" w14:textId="4FDAD172" w:rsidR="001762EE" w:rsidRPr="00621C32" w:rsidRDefault="001762EE" w:rsidP="005A03CD">
      <w:pPr>
        <w:pStyle w:val="ListParagraph"/>
        <w:numPr>
          <w:ilvl w:val="0"/>
          <w:numId w:val="10"/>
        </w:numPr>
        <w:tabs>
          <w:tab w:val="left" w:pos="720"/>
        </w:tabs>
        <w:autoSpaceDE w:val="0"/>
        <w:autoSpaceDN w:val="0"/>
        <w:adjustRightInd w:val="0"/>
        <w:spacing w:after="0" w:line="240" w:lineRule="auto"/>
        <w:ind w:left="0" w:firstLine="0"/>
        <w:jc w:val="both"/>
      </w:pPr>
      <w:r>
        <w:rPr>
          <w:b/>
          <w:bCs/>
        </w:rPr>
        <w:t>The</w:t>
      </w:r>
      <w:r w:rsidRPr="00EE024A">
        <w:rPr>
          <w:b/>
          <w:bCs/>
        </w:rPr>
        <w:t xml:space="preserve"> Administrative Code’s </w:t>
      </w:r>
      <w:r>
        <w:rPr>
          <w:b/>
          <w:bCs/>
        </w:rPr>
        <w:t>chapter</w:t>
      </w:r>
      <w:r w:rsidRPr="00EE024A">
        <w:rPr>
          <w:b/>
          <w:bCs/>
        </w:rPr>
        <w:t xml:space="preserve"> on the Commission on Audit</w:t>
      </w:r>
      <w:r>
        <w:rPr>
          <w:b/>
          <w:bCs/>
        </w:rPr>
        <w:t xml:space="preserve"> provides support for internal control and accounting</w:t>
      </w:r>
      <w:r w:rsidRPr="00EE024A">
        <w:rPr>
          <w:b/>
          <w:bCs/>
        </w:rPr>
        <w:t>.</w:t>
      </w:r>
      <w:r w:rsidRPr="00621C32">
        <w:rPr>
          <w:bCs/>
        </w:rPr>
        <w:t xml:space="preserve"> All </w:t>
      </w:r>
      <w:r>
        <w:rPr>
          <w:bCs/>
        </w:rPr>
        <w:t xml:space="preserve">government </w:t>
      </w:r>
      <w:r w:rsidRPr="00621C32">
        <w:rPr>
          <w:bCs/>
        </w:rPr>
        <w:t xml:space="preserve">resources </w:t>
      </w:r>
      <w:r>
        <w:rPr>
          <w:bCs/>
        </w:rPr>
        <w:t>are</w:t>
      </w:r>
      <w:r w:rsidRPr="00621C32">
        <w:rPr>
          <w:bCs/>
        </w:rPr>
        <w:t xml:space="preserve"> managed, expended</w:t>
      </w:r>
      <w:r>
        <w:rPr>
          <w:bCs/>
        </w:rPr>
        <w:t>,</w:t>
      </w:r>
      <w:r w:rsidRPr="00621C32">
        <w:rPr>
          <w:bCs/>
        </w:rPr>
        <w:t xml:space="preserve"> or utilized in accordance with law and regulations and safeguarded against loss or wastage through illegal or improper disposition to ensure efficiency, economy</w:t>
      </w:r>
      <w:r>
        <w:rPr>
          <w:bCs/>
        </w:rPr>
        <w:t>,</w:t>
      </w:r>
      <w:r w:rsidRPr="00621C32">
        <w:rPr>
          <w:bCs/>
        </w:rPr>
        <w:t xml:space="preserve"> and effectiveness in the operations of government. The</w:t>
      </w:r>
      <w:r w:rsidRPr="000B4372">
        <w:rPr>
          <w:bCs/>
        </w:rPr>
        <w:t xml:space="preserve"> respo</w:t>
      </w:r>
      <w:r w:rsidRPr="00621C32">
        <w:rPr>
          <w:bCs/>
        </w:rPr>
        <w:t>nsibility to take care that this</w:t>
      </w:r>
      <w:r w:rsidRPr="000B4372">
        <w:rPr>
          <w:bCs/>
        </w:rPr>
        <w:t xml:space="preserve"> policy is faithfully adhered to rests directly with the chief or head of the government agency concerned. </w:t>
      </w:r>
      <w:r w:rsidRPr="00621C32">
        <w:rPr>
          <w:bCs/>
        </w:rPr>
        <w:t xml:space="preserve">Accounting provisions </w:t>
      </w:r>
      <w:r>
        <w:rPr>
          <w:bCs/>
        </w:rPr>
        <w:t>state</w:t>
      </w:r>
      <w:r w:rsidRPr="00621C32">
        <w:rPr>
          <w:bCs/>
        </w:rPr>
        <w:t xml:space="preserve"> that a</w:t>
      </w:r>
      <w:r w:rsidRPr="000B4372">
        <w:rPr>
          <w:bCs/>
        </w:rPr>
        <w:t xml:space="preserve">ll moneys and property officially received by a public officer must be accounted for as government funds and government property, revenue funds shall not be paid out except in pursuance of an appropriation law or other specific statutory authority, </w:t>
      </w:r>
      <w:r w:rsidRPr="00621C32">
        <w:rPr>
          <w:bCs/>
        </w:rPr>
        <w:t>and e</w:t>
      </w:r>
      <w:r w:rsidRPr="000B4372">
        <w:rPr>
          <w:bCs/>
        </w:rPr>
        <w:t xml:space="preserve">very officer whose duties permit or require the possession or custody </w:t>
      </w:r>
      <w:r w:rsidRPr="00621C32">
        <w:rPr>
          <w:bCs/>
        </w:rPr>
        <w:t xml:space="preserve">of </w:t>
      </w:r>
      <w:r w:rsidRPr="000B4372">
        <w:rPr>
          <w:bCs/>
        </w:rPr>
        <w:t xml:space="preserve">government funds shall be </w:t>
      </w:r>
      <w:r w:rsidRPr="00621C32">
        <w:rPr>
          <w:bCs/>
        </w:rPr>
        <w:t xml:space="preserve">held </w:t>
      </w:r>
      <w:r w:rsidRPr="000B4372">
        <w:rPr>
          <w:bCs/>
        </w:rPr>
        <w:t>accountable</w:t>
      </w:r>
      <w:r w:rsidRPr="00621C32">
        <w:rPr>
          <w:bCs/>
        </w:rPr>
        <w:t xml:space="preserve">. </w:t>
      </w:r>
      <w:r w:rsidRPr="000B4372">
        <w:rPr>
          <w:bCs/>
        </w:rPr>
        <w:t>Government auditing is defined as the analytical and systematic examination and verification of financial transactions, operations, accounts</w:t>
      </w:r>
      <w:r>
        <w:rPr>
          <w:bCs/>
        </w:rPr>
        <w:t>,</w:t>
      </w:r>
      <w:r w:rsidRPr="000B4372">
        <w:rPr>
          <w:bCs/>
        </w:rPr>
        <w:t xml:space="preserve"> and reports of any government agency for the purpose of determining their accuracy, integrity</w:t>
      </w:r>
      <w:r>
        <w:rPr>
          <w:bCs/>
        </w:rPr>
        <w:t>,</w:t>
      </w:r>
      <w:r w:rsidRPr="000B4372">
        <w:rPr>
          <w:bCs/>
        </w:rPr>
        <w:t xml:space="preserve"> and authenticity</w:t>
      </w:r>
      <w:r>
        <w:rPr>
          <w:bCs/>
        </w:rPr>
        <w:t>;</w:t>
      </w:r>
      <w:r w:rsidRPr="000B4372">
        <w:rPr>
          <w:bCs/>
        </w:rPr>
        <w:t xml:space="preserve"> and satisfying the requirements of law, rules</w:t>
      </w:r>
      <w:r>
        <w:rPr>
          <w:bCs/>
        </w:rPr>
        <w:t>,</w:t>
      </w:r>
      <w:r w:rsidRPr="000B4372">
        <w:rPr>
          <w:bCs/>
        </w:rPr>
        <w:t xml:space="preserve"> and regulations. </w:t>
      </w:r>
    </w:p>
    <w:p w14:paraId="352F6519" w14:textId="77777777" w:rsidR="001762EE" w:rsidRPr="005A497D" w:rsidRDefault="001762EE" w:rsidP="00015E0E">
      <w:pPr>
        <w:pStyle w:val="ListParagraph"/>
        <w:tabs>
          <w:tab w:val="left" w:pos="720"/>
        </w:tabs>
        <w:autoSpaceDE w:val="0"/>
        <w:autoSpaceDN w:val="0"/>
        <w:adjustRightInd w:val="0"/>
        <w:spacing w:after="0" w:line="240" w:lineRule="auto"/>
        <w:ind w:left="0" w:firstLine="0"/>
        <w:jc w:val="both"/>
      </w:pPr>
    </w:p>
    <w:p w14:paraId="5BF92D43" w14:textId="01F80E7D" w:rsidR="001762EE" w:rsidRPr="0057095F" w:rsidRDefault="001762EE" w:rsidP="0075513D">
      <w:pPr>
        <w:pStyle w:val="ListParagraph"/>
        <w:numPr>
          <w:ilvl w:val="0"/>
          <w:numId w:val="10"/>
        </w:numPr>
        <w:tabs>
          <w:tab w:val="left" w:pos="720"/>
        </w:tabs>
        <w:autoSpaceDE w:val="0"/>
        <w:autoSpaceDN w:val="0"/>
        <w:adjustRightInd w:val="0"/>
        <w:spacing w:after="0" w:line="240" w:lineRule="auto"/>
        <w:ind w:left="0" w:firstLine="0"/>
        <w:contextualSpacing w:val="0"/>
        <w:jc w:val="both"/>
      </w:pPr>
      <w:r>
        <w:rPr>
          <w:b/>
          <w:bCs/>
        </w:rPr>
        <w:t xml:space="preserve">There are sets of laws, presidential orders, and agency circulars and memoranda that provide the </w:t>
      </w:r>
      <w:r w:rsidRPr="00EE024A">
        <w:rPr>
          <w:b/>
          <w:bCs/>
        </w:rPr>
        <w:t>detailed rules and regulations for the administration of these arrangements in the Administrative Code</w:t>
      </w:r>
      <w:r w:rsidRPr="00EE024A">
        <w:rPr>
          <w:b/>
        </w:rPr>
        <w:t>.</w:t>
      </w:r>
      <w:r w:rsidRPr="0057095F">
        <w:t xml:space="preserve"> </w:t>
      </w:r>
      <w:r>
        <w:t xml:space="preserve">The </w:t>
      </w:r>
      <w:r w:rsidRPr="0057095F">
        <w:t>DBM issued Circular No. 2008-8 on the National Guidelines on Internal Control Systems (NGICS)</w:t>
      </w:r>
      <w:r w:rsidRPr="005A497D">
        <w:rPr>
          <w:rStyle w:val="EndnoteReference"/>
        </w:rPr>
        <w:endnoteReference w:id="2"/>
      </w:r>
      <w:r w:rsidRPr="0057095F">
        <w:t xml:space="preserve"> </w:t>
      </w:r>
      <w:r>
        <w:t>and</w:t>
      </w:r>
      <w:r w:rsidRPr="0057095F">
        <w:t xml:space="preserve"> Circular 2011-5</w:t>
      </w:r>
      <w:r>
        <w:t xml:space="preserve"> on</w:t>
      </w:r>
      <w:r w:rsidRPr="0057095F">
        <w:t xml:space="preserve"> the Philippine Government Internal Audit Manual</w:t>
      </w:r>
      <w:r>
        <w:t>. They are</w:t>
      </w:r>
      <w:r w:rsidRPr="00D9777E">
        <w:t xml:space="preserve"> applicable to all departments, government companies and local government units</w:t>
      </w:r>
      <w:r>
        <w:t xml:space="preserve">. </w:t>
      </w:r>
      <w:r w:rsidRPr="0057095F">
        <w:t>The</w:t>
      </w:r>
      <w:r>
        <w:t>se regulations contain substantial</w:t>
      </w:r>
      <w:r w:rsidRPr="0057095F">
        <w:t xml:space="preserve"> arrangements for the internal control system</w:t>
      </w:r>
      <w:r>
        <w:t>s</w:t>
      </w:r>
      <w:r w:rsidRPr="0057095F">
        <w:t xml:space="preserve"> that </w:t>
      </w:r>
      <w:r>
        <w:t>are required</w:t>
      </w:r>
      <w:r w:rsidRPr="0057095F">
        <w:t xml:space="preserve"> by the Constitution. </w:t>
      </w:r>
      <w:r w:rsidR="0025506C" w:rsidRPr="000D0E8D">
        <w:t>T</w:t>
      </w:r>
      <w:r w:rsidR="00C72BB7" w:rsidRPr="000D0E8D">
        <w:t>he DBM is mandated to promulgate the necessary rules, regulations or circulars for the strengthening of internal control systems of government agencies concerned</w:t>
      </w:r>
      <w:r w:rsidR="0025506C" w:rsidRPr="000D0E8D">
        <w:rPr>
          <w:rStyle w:val="FootnoteReference"/>
        </w:rPr>
        <w:footnoteReference w:id="3"/>
      </w:r>
      <w:r w:rsidR="00C72BB7" w:rsidRPr="000D0E8D">
        <w:t xml:space="preserve">. In the development and implementation of policies, plans and programs as regards strengthening of internal control systems and internal audit in government, the DBM is coordinating with the Office of the President-Internal Audit Office, COA and other departments/agencies concerned. </w:t>
      </w:r>
      <w:r w:rsidRPr="0057095F">
        <w:t>The Office of the President</w:t>
      </w:r>
      <w:r w:rsidR="009B0551">
        <w:t>-</w:t>
      </w:r>
      <w:r w:rsidRPr="0057095F">
        <w:t>Internal Audit Office has a coordinating role</w:t>
      </w:r>
      <w:r>
        <w:t xml:space="preserve"> and,</w:t>
      </w:r>
      <w:r w:rsidRPr="0057095F">
        <w:t xml:space="preserve"> </w:t>
      </w:r>
      <w:r>
        <w:t>in concert</w:t>
      </w:r>
      <w:r w:rsidRPr="0057095F">
        <w:t xml:space="preserve"> with DBM and the </w:t>
      </w:r>
      <w:r>
        <w:t>Commission on Audit,</w:t>
      </w:r>
      <w:r w:rsidRPr="0057095F">
        <w:t xml:space="preserve"> has the responsibility for regularly reviewing the manuals to ensure that they are updated, relevant</w:t>
      </w:r>
      <w:r>
        <w:t>,</w:t>
      </w:r>
      <w:r w:rsidRPr="0057095F">
        <w:t xml:space="preserve"> and attuned to the developments in the bureaucracy and best international practices such as those of INTOSAI. </w:t>
      </w:r>
      <w:r>
        <w:t>Since 1978 t</w:t>
      </w:r>
      <w:r w:rsidRPr="0057095F">
        <w:t xml:space="preserve">he </w:t>
      </w:r>
      <w:r>
        <w:t>Government of the Philippines</w:t>
      </w:r>
      <w:r w:rsidRPr="0057095F">
        <w:t xml:space="preserve"> has required that agency heads have responsibility to install, implement</w:t>
      </w:r>
      <w:r>
        <w:t>,</w:t>
      </w:r>
      <w:r w:rsidRPr="0057095F">
        <w:t xml:space="preserve"> and monitor a sound system of internal control. The Internal Audit Service</w:t>
      </w:r>
      <w:r>
        <w:t xml:space="preserve"> is</w:t>
      </w:r>
      <w:r w:rsidRPr="0057095F">
        <w:t xml:space="preserve"> required to operate in all government agencies </w:t>
      </w:r>
      <w:r>
        <w:t xml:space="preserve">and </w:t>
      </w:r>
      <w:r w:rsidRPr="0057095F">
        <w:t>is regulated by the DBM</w:t>
      </w:r>
      <w:r>
        <w:t>.</w:t>
      </w:r>
      <w:r w:rsidRPr="0057095F">
        <w:t xml:space="preserve"> </w:t>
      </w:r>
    </w:p>
    <w:p w14:paraId="014A5C95" w14:textId="77777777" w:rsidR="001762EE" w:rsidRPr="005A497D" w:rsidRDefault="001762EE" w:rsidP="00015E0E">
      <w:pPr>
        <w:pStyle w:val="ListParagraph"/>
        <w:tabs>
          <w:tab w:val="left" w:pos="720"/>
        </w:tabs>
        <w:autoSpaceDE w:val="0"/>
        <w:autoSpaceDN w:val="0"/>
        <w:adjustRightInd w:val="0"/>
        <w:spacing w:after="0" w:line="240" w:lineRule="auto"/>
        <w:ind w:left="0" w:firstLine="0"/>
        <w:contextualSpacing w:val="0"/>
        <w:jc w:val="both"/>
      </w:pPr>
    </w:p>
    <w:p w14:paraId="1CCE6033" w14:textId="41C45618" w:rsidR="001762EE" w:rsidRPr="005A497D" w:rsidRDefault="001762EE" w:rsidP="005A03CD">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EE024A">
        <w:rPr>
          <w:b/>
        </w:rPr>
        <w:t>The NGICS contains the fundamental principles, policies, and standards to guide each government agency in developing its detailed and comprehensive system of internal controls.</w:t>
      </w:r>
      <w:r w:rsidRPr="0050451B">
        <w:t xml:space="preserve"> Agency characteristics such as mandate, functions, nature of activities, operating environment, </w:t>
      </w:r>
      <w:r w:rsidR="00F448CD">
        <w:t>hu</w:t>
      </w:r>
      <w:r w:rsidRPr="0050451B">
        <w:t>man</w:t>
      </w:r>
      <w:r w:rsidR="00F448CD">
        <w:t xml:space="preserve"> resource</w:t>
      </w:r>
      <w:r w:rsidRPr="0050451B">
        <w:t xml:space="preserve"> profile, size a</w:t>
      </w:r>
      <w:r>
        <w:t>nd organizational structure are</w:t>
      </w:r>
      <w:r w:rsidRPr="0050451B">
        <w:t xml:space="preserve"> to be considered in developing or improving the individual controls. </w:t>
      </w:r>
      <w:r w:rsidR="009B0551" w:rsidRPr="000D0E8D">
        <w:t>A strong and responsive internal control system is an essential component of an organization’s internal and external processes, and can significantly enhance the integrity of operations and improve organizational outcomes and results.</w:t>
      </w:r>
      <w:r w:rsidR="009B0551" w:rsidRPr="009B0551">
        <w:rPr>
          <w:b/>
        </w:rPr>
        <w:t xml:space="preserve"> </w:t>
      </w:r>
      <w:r w:rsidRPr="0050451B">
        <w:t xml:space="preserve">Fiscal transparency is </w:t>
      </w:r>
      <w:r>
        <w:t>supported by</w:t>
      </w:r>
      <w:r w:rsidRPr="0050451B">
        <w:t xml:space="preserve"> Article </w:t>
      </w:r>
      <w:r>
        <w:t xml:space="preserve">II </w:t>
      </w:r>
      <w:r w:rsidRPr="0050451B">
        <w:t xml:space="preserve">Section </w:t>
      </w:r>
      <w:r>
        <w:t xml:space="preserve">28 </w:t>
      </w:r>
      <w:r w:rsidRPr="0050451B">
        <w:t xml:space="preserve">of the Constitution </w:t>
      </w:r>
      <w:r>
        <w:t>that states “</w:t>
      </w:r>
      <w:r w:rsidRPr="00BF5649">
        <w:t>Subject to reasonable conditions prescribed by law, the State adopts and implements a policy of full public disclosure of all its transactions involving public interest</w:t>
      </w:r>
      <w:r>
        <w:t>”</w:t>
      </w:r>
      <w:r w:rsidRPr="0050451B">
        <w:t>.</w:t>
      </w:r>
      <w:r>
        <w:t xml:space="preserve"> </w:t>
      </w:r>
    </w:p>
    <w:p w14:paraId="344D547A" w14:textId="77777777" w:rsidR="001762EE" w:rsidRPr="005A497D" w:rsidRDefault="001762EE" w:rsidP="00015E0E">
      <w:pPr>
        <w:pStyle w:val="ListParagraph"/>
        <w:tabs>
          <w:tab w:val="left" w:pos="720"/>
        </w:tabs>
        <w:autoSpaceDE w:val="0"/>
        <w:autoSpaceDN w:val="0"/>
        <w:adjustRightInd w:val="0"/>
        <w:spacing w:after="0" w:line="240" w:lineRule="auto"/>
        <w:ind w:left="0" w:firstLine="0"/>
        <w:contextualSpacing w:val="0"/>
        <w:jc w:val="both"/>
      </w:pPr>
    </w:p>
    <w:p w14:paraId="15AEAA65" w14:textId="433B83A6" w:rsidR="001762EE" w:rsidRPr="005A497D" w:rsidRDefault="001762EE" w:rsidP="005A03CD">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EE024A">
        <w:rPr>
          <w:b/>
        </w:rPr>
        <w:t>There is no separate law for accounting.</w:t>
      </w:r>
      <w:r w:rsidRPr="005A497D">
        <w:t xml:space="preserve"> </w:t>
      </w:r>
      <w:r>
        <w:t>Provisions for accounting are</w:t>
      </w:r>
      <w:r w:rsidRPr="005A497D">
        <w:t xml:space="preserve"> instead promulgated by </w:t>
      </w:r>
      <w:r>
        <w:t>the Commission on Audit</w:t>
      </w:r>
      <w:r w:rsidRPr="005A497D">
        <w:t xml:space="preserve"> with Circular No. 2001-</w:t>
      </w:r>
      <w:r w:rsidR="00F448CD">
        <w:t>00</w:t>
      </w:r>
      <w:r w:rsidRPr="005A497D">
        <w:t xml:space="preserve">4 that prescribes the New Government Accounting System (NGAS) for all </w:t>
      </w:r>
      <w:r>
        <w:t>national government agencies.</w:t>
      </w:r>
      <w:r w:rsidRPr="005A497D">
        <w:rPr>
          <w:rStyle w:val="EndnoteReference"/>
        </w:rPr>
        <w:endnoteReference w:id="3"/>
      </w:r>
      <w:r w:rsidRPr="005A497D">
        <w:t xml:space="preserve"> </w:t>
      </w:r>
      <w:r>
        <w:t>The</w:t>
      </w:r>
      <w:r w:rsidRPr="005A497D">
        <w:t xml:space="preserve"> NGAS </w:t>
      </w:r>
      <w:r>
        <w:t>M</w:t>
      </w:r>
      <w:r w:rsidRPr="005A497D">
        <w:t xml:space="preserve">anual is based on </w:t>
      </w:r>
      <w:r>
        <w:t>CoA</w:t>
      </w:r>
      <w:r w:rsidRPr="005A497D">
        <w:t xml:space="preserve"> Circular No. 2002-</w:t>
      </w:r>
      <w:r w:rsidR="00F448CD">
        <w:t>00</w:t>
      </w:r>
      <w:r w:rsidRPr="005A497D">
        <w:t xml:space="preserve">2. </w:t>
      </w:r>
      <w:r>
        <w:t xml:space="preserve"> </w:t>
      </w:r>
      <w:r w:rsidR="00F448CD" w:rsidRPr="00F448CD">
        <w:t xml:space="preserve">With the adoption of the Philippine Public Sector Accounting Standards (PPSAS) effective January 1, 2014, </w:t>
      </w:r>
      <w:r w:rsidR="00F448CD" w:rsidRPr="00F448CD">
        <w:br/>
        <w:t xml:space="preserve">CoA revised the NGAS Manual and prescribed the Government Accounting Manual for National Government Agencies to be used effective January 1, 2016 through COA Circular No. 2015-007.  </w:t>
      </w:r>
      <w:r>
        <w:t>The Co A</w:t>
      </w:r>
      <w:r w:rsidRPr="005A497D">
        <w:t xml:space="preserve"> annually issues a number of circulars that provide further guidance on specific accounting aspects. This includes Circular No. 2013-1 on the Unified Accounts Code Structure (UACS), which was issued jointly with </w:t>
      </w:r>
      <w:r>
        <w:t>t</w:t>
      </w:r>
      <w:r w:rsidRPr="005A497D">
        <w:t>he</w:t>
      </w:r>
      <w:r w:rsidR="00F448CD">
        <w:t xml:space="preserve"> DBM</w:t>
      </w:r>
      <w:r w:rsidRPr="005A497D">
        <w:t xml:space="preserve"> and the Department of Finance (DoF).</w:t>
      </w:r>
    </w:p>
    <w:p w14:paraId="68C2A6E3" w14:textId="77777777" w:rsidR="001762EE" w:rsidRPr="005A497D" w:rsidRDefault="001762EE" w:rsidP="00015E0E"/>
    <w:p w14:paraId="511999D7" w14:textId="4884E4BE" w:rsidR="001762EE" w:rsidRPr="005A497D" w:rsidRDefault="001762EE" w:rsidP="00717ADC">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EE024A">
        <w:rPr>
          <w:b/>
        </w:rPr>
        <w:t xml:space="preserve">The legislative and regulatory </w:t>
      </w:r>
      <w:r>
        <w:rPr>
          <w:b/>
        </w:rPr>
        <w:t xml:space="preserve">PFM </w:t>
      </w:r>
      <w:r w:rsidRPr="00EE024A">
        <w:rPr>
          <w:b/>
        </w:rPr>
        <w:t>framework is fragmented with many elements having extensive provisions.</w:t>
      </w:r>
      <w:r>
        <w:t xml:space="preserve"> </w:t>
      </w:r>
      <w:r w:rsidRPr="00EE024A">
        <w:t xml:space="preserve">An </w:t>
      </w:r>
      <w:r w:rsidRPr="00BE337A">
        <w:t>overview regarding the legislative and regulatory PFM framework is provided in Table 2.5.</w:t>
      </w:r>
      <w:r>
        <w:t xml:space="preserve">  </w:t>
      </w:r>
    </w:p>
    <w:p w14:paraId="0E8935D3" w14:textId="0DF0271F" w:rsidR="001762EE" w:rsidRPr="005A497D" w:rsidRDefault="001762EE" w:rsidP="00EE024A">
      <w:pPr>
        <w:pStyle w:val="ListParagraph"/>
        <w:tabs>
          <w:tab w:val="left" w:pos="720"/>
        </w:tabs>
        <w:autoSpaceDE w:val="0"/>
        <w:autoSpaceDN w:val="0"/>
        <w:adjustRightInd w:val="0"/>
        <w:spacing w:after="0" w:line="240" w:lineRule="auto"/>
        <w:ind w:left="0" w:firstLine="0"/>
        <w:contextualSpacing w:val="0"/>
        <w:jc w:val="both"/>
      </w:pPr>
    </w:p>
    <w:p w14:paraId="7FD70E53" w14:textId="77777777" w:rsidR="001762EE" w:rsidRPr="005A497D" w:rsidRDefault="001762EE" w:rsidP="001D16CD">
      <w:pPr>
        <w:pStyle w:val="ListParagraph"/>
        <w:tabs>
          <w:tab w:val="left" w:pos="720"/>
        </w:tabs>
        <w:autoSpaceDE w:val="0"/>
        <w:autoSpaceDN w:val="0"/>
        <w:adjustRightInd w:val="0"/>
        <w:spacing w:after="0" w:line="240" w:lineRule="auto"/>
        <w:ind w:left="0" w:firstLine="0"/>
        <w:contextualSpacing w:val="0"/>
        <w:jc w:val="both"/>
      </w:pPr>
    </w:p>
    <w:p w14:paraId="784D6FE0" w14:textId="5D365FE7" w:rsidR="001762EE" w:rsidRPr="005A497D" w:rsidRDefault="001762EE" w:rsidP="001112A1">
      <w:pPr>
        <w:pStyle w:val="PEFATable"/>
        <w:spacing w:after="40"/>
        <w:jc w:val="both"/>
        <w:rPr>
          <w:sz w:val="24"/>
          <w:szCs w:val="24"/>
        </w:rPr>
      </w:pPr>
      <w:bookmarkStart w:id="48" w:name="_Toc454889239"/>
      <w:r>
        <w:rPr>
          <w:sz w:val="24"/>
          <w:szCs w:val="24"/>
        </w:rPr>
        <w:t>Table 2.</w:t>
      </w:r>
      <w:r w:rsidR="00D81D66">
        <w:rPr>
          <w:sz w:val="24"/>
          <w:szCs w:val="24"/>
        </w:rPr>
        <w:t>7</w:t>
      </w:r>
      <w:r w:rsidRPr="005A497D">
        <w:rPr>
          <w:sz w:val="24"/>
          <w:szCs w:val="24"/>
        </w:rPr>
        <w:t>: Legislative and Regulatory Framework for PFM</w:t>
      </w:r>
      <w:bookmarkEnd w:id="48"/>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8"/>
        <w:gridCol w:w="2156"/>
        <w:gridCol w:w="3514"/>
        <w:gridCol w:w="1932"/>
      </w:tblGrid>
      <w:tr w:rsidR="00D75474" w:rsidRPr="005A497D" w14:paraId="4C8C0312" w14:textId="77777777" w:rsidTr="00CE1F67">
        <w:trPr>
          <w:trHeight w:val="397"/>
          <w:tblHeader/>
        </w:trPr>
        <w:tc>
          <w:tcPr>
            <w:tcW w:w="1728" w:type="dxa"/>
            <w:tcBorders>
              <w:top w:val="double" w:sz="4" w:space="0" w:color="auto"/>
              <w:bottom w:val="double" w:sz="4" w:space="0" w:color="auto"/>
            </w:tcBorders>
            <w:shd w:val="clear" w:color="auto" w:fill="D9D9D9" w:themeFill="background1" w:themeFillShade="D9"/>
            <w:vAlign w:val="center"/>
          </w:tcPr>
          <w:p w14:paraId="4DC9C99A" w14:textId="77777777" w:rsidR="00D75474" w:rsidRPr="005A497D" w:rsidRDefault="00D75474" w:rsidP="00CF29C4">
            <w:pPr>
              <w:spacing w:before="40" w:after="40"/>
              <w:jc w:val="center"/>
              <w:rPr>
                <w:b/>
                <w:sz w:val="20"/>
                <w:szCs w:val="20"/>
              </w:rPr>
            </w:pPr>
          </w:p>
        </w:tc>
        <w:tc>
          <w:tcPr>
            <w:tcW w:w="2156" w:type="dxa"/>
            <w:tcBorders>
              <w:top w:val="double" w:sz="4" w:space="0" w:color="auto"/>
              <w:bottom w:val="double" w:sz="4" w:space="0" w:color="auto"/>
            </w:tcBorders>
            <w:shd w:val="clear" w:color="auto" w:fill="D9D9D9" w:themeFill="background1" w:themeFillShade="D9"/>
            <w:vAlign w:val="center"/>
          </w:tcPr>
          <w:p w14:paraId="51480212" w14:textId="77777777" w:rsidR="00D75474" w:rsidRPr="00EE024A" w:rsidRDefault="00D75474" w:rsidP="00CF29C4">
            <w:pPr>
              <w:spacing w:before="40" w:after="40"/>
              <w:jc w:val="center"/>
              <w:rPr>
                <w:b/>
                <w:i/>
                <w:sz w:val="20"/>
                <w:szCs w:val="20"/>
              </w:rPr>
            </w:pPr>
            <w:r w:rsidRPr="00EE024A">
              <w:rPr>
                <w:b/>
                <w:i/>
                <w:sz w:val="20"/>
                <w:szCs w:val="20"/>
              </w:rPr>
              <w:t>Constitution</w:t>
            </w:r>
          </w:p>
        </w:tc>
        <w:tc>
          <w:tcPr>
            <w:tcW w:w="3514" w:type="dxa"/>
            <w:tcBorders>
              <w:top w:val="double" w:sz="4" w:space="0" w:color="auto"/>
              <w:bottom w:val="double" w:sz="4" w:space="0" w:color="auto"/>
            </w:tcBorders>
            <w:shd w:val="clear" w:color="auto" w:fill="D9D9D9" w:themeFill="background1" w:themeFillShade="D9"/>
            <w:vAlign w:val="center"/>
          </w:tcPr>
          <w:p w14:paraId="36A3F363" w14:textId="5EDC4E3B" w:rsidR="00D75474" w:rsidRPr="00EE024A" w:rsidRDefault="00D75474" w:rsidP="00CF29C4">
            <w:pPr>
              <w:spacing w:before="40" w:after="40"/>
              <w:jc w:val="center"/>
              <w:rPr>
                <w:b/>
                <w:i/>
                <w:sz w:val="20"/>
                <w:szCs w:val="20"/>
              </w:rPr>
            </w:pPr>
            <w:r w:rsidRPr="00EE024A">
              <w:rPr>
                <w:b/>
                <w:i/>
                <w:sz w:val="20"/>
                <w:szCs w:val="20"/>
              </w:rPr>
              <w:t>Laws</w:t>
            </w:r>
          </w:p>
        </w:tc>
        <w:tc>
          <w:tcPr>
            <w:tcW w:w="1932" w:type="dxa"/>
            <w:tcBorders>
              <w:top w:val="double" w:sz="4" w:space="0" w:color="auto"/>
              <w:bottom w:val="double" w:sz="4" w:space="0" w:color="auto"/>
            </w:tcBorders>
            <w:shd w:val="clear" w:color="auto" w:fill="D9D9D9" w:themeFill="background1" w:themeFillShade="D9"/>
            <w:vAlign w:val="center"/>
          </w:tcPr>
          <w:p w14:paraId="4ABCEAE4" w14:textId="057A2C5F" w:rsidR="00D75474" w:rsidRPr="00EE024A" w:rsidRDefault="008416A3" w:rsidP="00CF29C4">
            <w:pPr>
              <w:spacing w:before="40" w:after="40"/>
              <w:jc w:val="center"/>
              <w:rPr>
                <w:b/>
                <w:i/>
                <w:sz w:val="20"/>
                <w:szCs w:val="20"/>
              </w:rPr>
            </w:pPr>
            <w:r>
              <w:rPr>
                <w:b/>
                <w:i/>
                <w:sz w:val="20"/>
                <w:szCs w:val="20"/>
              </w:rPr>
              <w:t xml:space="preserve">Rules and </w:t>
            </w:r>
            <w:r w:rsidR="00D75474" w:rsidRPr="00EE024A">
              <w:rPr>
                <w:b/>
                <w:i/>
                <w:sz w:val="20"/>
                <w:szCs w:val="20"/>
              </w:rPr>
              <w:t>Regulations</w:t>
            </w:r>
            <w:r w:rsidR="00783B7F">
              <w:rPr>
                <w:rStyle w:val="FootnoteReference"/>
                <w:b/>
                <w:i/>
                <w:sz w:val="20"/>
                <w:szCs w:val="20"/>
              </w:rPr>
              <w:footnoteReference w:id="4"/>
            </w:r>
          </w:p>
        </w:tc>
      </w:tr>
      <w:tr w:rsidR="008416A3" w:rsidRPr="005A497D" w14:paraId="11DD9789" w14:textId="77777777" w:rsidTr="00CE1F67">
        <w:trPr>
          <w:trHeight w:val="227"/>
        </w:trPr>
        <w:tc>
          <w:tcPr>
            <w:tcW w:w="1728" w:type="dxa"/>
            <w:tcBorders>
              <w:top w:val="double" w:sz="4" w:space="0" w:color="auto"/>
            </w:tcBorders>
            <w:vAlign w:val="center"/>
          </w:tcPr>
          <w:p w14:paraId="325EA600" w14:textId="77777777" w:rsidR="008416A3" w:rsidRPr="005A497D" w:rsidRDefault="008416A3" w:rsidP="00015E0E">
            <w:pPr>
              <w:spacing w:before="40" w:after="40"/>
              <w:rPr>
                <w:sz w:val="20"/>
                <w:szCs w:val="20"/>
              </w:rPr>
            </w:pPr>
            <w:r w:rsidRPr="005A497D">
              <w:rPr>
                <w:sz w:val="20"/>
                <w:szCs w:val="20"/>
              </w:rPr>
              <w:t>Planning</w:t>
            </w:r>
          </w:p>
        </w:tc>
        <w:tc>
          <w:tcPr>
            <w:tcW w:w="2156" w:type="dxa"/>
            <w:tcBorders>
              <w:top w:val="double" w:sz="4" w:space="0" w:color="auto"/>
            </w:tcBorders>
            <w:vAlign w:val="center"/>
          </w:tcPr>
          <w:p w14:paraId="6E30C6B4" w14:textId="77777777" w:rsidR="008416A3" w:rsidRPr="005A497D" w:rsidRDefault="008416A3" w:rsidP="00015E0E">
            <w:pPr>
              <w:pStyle w:val="ListParagraph"/>
              <w:tabs>
                <w:tab w:val="left" w:pos="720"/>
              </w:tabs>
              <w:autoSpaceDE w:val="0"/>
              <w:autoSpaceDN w:val="0"/>
              <w:adjustRightInd w:val="0"/>
              <w:spacing w:before="40" w:after="40" w:line="240" w:lineRule="auto"/>
              <w:ind w:left="-28" w:right="-57" w:firstLine="0"/>
              <w:contextualSpacing w:val="0"/>
              <w:rPr>
                <w:sz w:val="20"/>
                <w:szCs w:val="20"/>
              </w:rPr>
            </w:pPr>
            <w:r w:rsidRPr="005A497D">
              <w:rPr>
                <w:sz w:val="20"/>
                <w:szCs w:val="20"/>
              </w:rPr>
              <w:t xml:space="preserve">Article </w:t>
            </w:r>
            <w:r>
              <w:rPr>
                <w:sz w:val="20"/>
                <w:szCs w:val="20"/>
              </w:rPr>
              <w:t>XII, Section 9 and 10</w:t>
            </w:r>
          </w:p>
          <w:p w14:paraId="74132D62" w14:textId="77777777" w:rsidR="008416A3" w:rsidRPr="005A497D" w:rsidRDefault="008416A3" w:rsidP="00015E0E">
            <w:pPr>
              <w:spacing w:before="40" w:after="40"/>
              <w:ind w:left="-28" w:right="-57"/>
              <w:rPr>
                <w:sz w:val="20"/>
                <w:szCs w:val="20"/>
              </w:rPr>
            </w:pPr>
          </w:p>
        </w:tc>
        <w:tc>
          <w:tcPr>
            <w:tcW w:w="3514" w:type="dxa"/>
            <w:tcBorders>
              <w:top w:val="double" w:sz="4" w:space="0" w:color="auto"/>
            </w:tcBorders>
            <w:vAlign w:val="center"/>
          </w:tcPr>
          <w:p w14:paraId="0AF45892" w14:textId="1F7BEE26" w:rsidR="008416A3" w:rsidRDefault="008416A3" w:rsidP="00015E0E">
            <w:pPr>
              <w:spacing w:before="40" w:after="40"/>
              <w:ind w:left="-28" w:right="-57"/>
              <w:rPr>
                <w:sz w:val="20"/>
                <w:szCs w:val="20"/>
              </w:rPr>
            </w:pPr>
            <w:r>
              <w:rPr>
                <w:sz w:val="20"/>
                <w:szCs w:val="20"/>
              </w:rPr>
              <w:t>Book II, Section 29. EO292</w:t>
            </w:r>
          </w:p>
          <w:p w14:paraId="6A0C2B97" w14:textId="5AF684F2" w:rsidR="008416A3" w:rsidRPr="005A497D" w:rsidRDefault="008416A3" w:rsidP="00015E0E">
            <w:pPr>
              <w:spacing w:before="40" w:after="40"/>
              <w:ind w:left="-28" w:right="-57"/>
              <w:rPr>
                <w:sz w:val="20"/>
                <w:szCs w:val="20"/>
              </w:rPr>
            </w:pPr>
            <w:r>
              <w:rPr>
                <w:sz w:val="20"/>
                <w:szCs w:val="20"/>
              </w:rPr>
              <w:t>Book IV Chapter 3 Section 12 EO292</w:t>
            </w:r>
            <w:r>
              <w:rPr>
                <w:rStyle w:val="FootnoteReference"/>
                <w:sz w:val="20"/>
                <w:szCs w:val="20"/>
              </w:rPr>
              <w:footnoteReference w:id="5"/>
            </w:r>
          </w:p>
        </w:tc>
        <w:tc>
          <w:tcPr>
            <w:tcW w:w="1932" w:type="dxa"/>
            <w:tcBorders>
              <w:top w:val="double" w:sz="4" w:space="0" w:color="auto"/>
            </w:tcBorders>
            <w:vAlign w:val="center"/>
          </w:tcPr>
          <w:p w14:paraId="55DE98AF" w14:textId="77777777" w:rsidR="008416A3" w:rsidRDefault="008416A3" w:rsidP="00015E0E">
            <w:pPr>
              <w:spacing w:before="40" w:after="40"/>
              <w:ind w:left="-28" w:right="-57"/>
              <w:rPr>
                <w:sz w:val="20"/>
                <w:szCs w:val="20"/>
              </w:rPr>
            </w:pPr>
            <w:r>
              <w:rPr>
                <w:sz w:val="20"/>
                <w:szCs w:val="20"/>
              </w:rPr>
              <w:t>Executive Order  230</w:t>
            </w:r>
          </w:p>
          <w:p w14:paraId="6FF129CD" w14:textId="57945959" w:rsidR="008416A3" w:rsidRPr="005A497D" w:rsidRDefault="008416A3" w:rsidP="00015E0E">
            <w:pPr>
              <w:spacing w:before="40" w:after="40"/>
              <w:ind w:left="-28" w:right="-57"/>
              <w:rPr>
                <w:sz w:val="20"/>
                <w:szCs w:val="20"/>
              </w:rPr>
            </w:pPr>
            <w:r w:rsidRPr="00D1721D">
              <w:rPr>
                <w:sz w:val="20"/>
                <w:szCs w:val="20"/>
              </w:rPr>
              <w:t>Memorandum Order No. 222 </w:t>
            </w:r>
          </w:p>
        </w:tc>
      </w:tr>
      <w:tr w:rsidR="008416A3" w:rsidRPr="005A497D" w14:paraId="6C5577C3" w14:textId="77777777" w:rsidTr="00CE1F67">
        <w:trPr>
          <w:trHeight w:val="227"/>
        </w:trPr>
        <w:tc>
          <w:tcPr>
            <w:tcW w:w="1728" w:type="dxa"/>
            <w:vAlign w:val="center"/>
          </w:tcPr>
          <w:p w14:paraId="7D0B1232" w14:textId="77777777" w:rsidR="008416A3" w:rsidRPr="005A497D" w:rsidRDefault="008416A3" w:rsidP="00CF29C4">
            <w:pPr>
              <w:spacing w:before="40" w:after="40"/>
              <w:rPr>
                <w:sz w:val="20"/>
                <w:szCs w:val="20"/>
              </w:rPr>
            </w:pPr>
            <w:r w:rsidRPr="005A497D">
              <w:rPr>
                <w:sz w:val="20"/>
                <w:szCs w:val="20"/>
              </w:rPr>
              <w:t>Budgeting</w:t>
            </w:r>
          </w:p>
        </w:tc>
        <w:tc>
          <w:tcPr>
            <w:tcW w:w="2156" w:type="dxa"/>
            <w:vAlign w:val="center"/>
          </w:tcPr>
          <w:p w14:paraId="2CC6078B" w14:textId="77777777" w:rsidR="008416A3" w:rsidRPr="005A497D" w:rsidRDefault="008416A3" w:rsidP="00CF29C4">
            <w:pPr>
              <w:pStyle w:val="ListParagraph"/>
              <w:tabs>
                <w:tab w:val="left" w:pos="720"/>
              </w:tabs>
              <w:autoSpaceDE w:val="0"/>
              <w:autoSpaceDN w:val="0"/>
              <w:adjustRightInd w:val="0"/>
              <w:spacing w:before="40" w:after="40" w:line="240" w:lineRule="auto"/>
              <w:ind w:left="-28" w:right="-57" w:firstLine="0"/>
              <w:contextualSpacing w:val="0"/>
              <w:rPr>
                <w:sz w:val="20"/>
                <w:szCs w:val="20"/>
              </w:rPr>
            </w:pPr>
            <w:r w:rsidRPr="005A497D">
              <w:rPr>
                <w:sz w:val="20"/>
                <w:szCs w:val="20"/>
              </w:rPr>
              <w:t>Article VII, Section 22</w:t>
            </w:r>
          </w:p>
          <w:p w14:paraId="441C313E" w14:textId="77777777" w:rsidR="008416A3" w:rsidRPr="005A497D" w:rsidRDefault="008416A3" w:rsidP="00CF29C4">
            <w:pPr>
              <w:pStyle w:val="ListParagraph"/>
              <w:tabs>
                <w:tab w:val="left" w:pos="720"/>
              </w:tabs>
              <w:autoSpaceDE w:val="0"/>
              <w:autoSpaceDN w:val="0"/>
              <w:adjustRightInd w:val="0"/>
              <w:spacing w:before="40" w:after="40" w:line="240" w:lineRule="auto"/>
              <w:ind w:left="-28" w:right="-57" w:firstLine="0"/>
              <w:contextualSpacing w:val="0"/>
              <w:rPr>
                <w:sz w:val="20"/>
                <w:szCs w:val="20"/>
              </w:rPr>
            </w:pPr>
            <w:r w:rsidRPr="005A497D">
              <w:rPr>
                <w:sz w:val="20"/>
                <w:szCs w:val="20"/>
              </w:rPr>
              <w:t>Article VI, Section 25, paras 1 and 7</w:t>
            </w:r>
          </w:p>
          <w:p w14:paraId="0899F7E3" w14:textId="77777777" w:rsidR="008416A3" w:rsidRPr="005A497D" w:rsidRDefault="008416A3" w:rsidP="00CF29C4">
            <w:pPr>
              <w:pStyle w:val="ListParagraph"/>
              <w:tabs>
                <w:tab w:val="left" w:pos="720"/>
              </w:tabs>
              <w:autoSpaceDE w:val="0"/>
              <w:autoSpaceDN w:val="0"/>
              <w:adjustRightInd w:val="0"/>
              <w:spacing w:before="40" w:after="40" w:line="240" w:lineRule="auto"/>
              <w:ind w:left="-28" w:right="-57" w:firstLine="0"/>
              <w:contextualSpacing w:val="0"/>
              <w:rPr>
                <w:sz w:val="20"/>
                <w:szCs w:val="20"/>
              </w:rPr>
            </w:pPr>
            <w:r w:rsidRPr="005A497D">
              <w:rPr>
                <w:sz w:val="20"/>
                <w:szCs w:val="20"/>
              </w:rPr>
              <w:t>Article VI, Section 27, para 2</w:t>
            </w:r>
          </w:p>
        </w:tc>
        <w:tc>
          <w:tcPr>
            <w:tcW w:w="3514" w:type="dxa"/>
            <w:vAlign w:val="center"/>
          </w:tcPr>
          <w:p w14:paraId="3836123C" w14:textId="706BE026" w:rsidR="008416A3" w:rsidRPr="005A497D" w:rsidRDefault="008416A3" w:rsidP="00CF29C4">
            <w:pPr>
              <w:spacing w:before="40" w:after="40"/>
              <w:ind w:left="-28" w:right="-57"/>
              <w:rPr>
                <w:sz w:val="20"/>
                <w:szCs w:val="20"/>
              </w:rPr>
            </w:pPr>
            <w:r w:rsidRPr="005A497D">
              <w:rPr>
                <w:sz w:val="20"/>
                <w:szCs w:val="20"/>
              </w:rPr>
              <w:t>Book VI, Chapter 2, Sections 4-8</w:t>
            </w:r>
            <w:r>
              <w:rPr>
                <w:sz w:val="20"/>
                <w:szCs w:val="20"/>
              </w:rPr>
              <w:t>. EO292</w:t>
            </w:r>
          </w:p>
          <w:p w14:paraId="0D666B74" w14:textId="7583026B" w:rsidR="008416A3" w:rsidRPr="005A497D" w:rsidRDefault="008416A3" w:rsidP="00CF29C4">
            <w:pPr>
              <w:spacing w:before="40" w:after="40"/>
              <w:ind w:left="-28" w:right="-57"/>
              <w:rPr>
                <w:sz w:val="20"/>
                <w:szCs w:val="20"/>
              </w:rPr>
            </w:pPr>
            <w:r w:rsidRPr="005A497D">
              <w:rPr>
                <w:sz w:val="20"/>
                <w:szCs w:val="20"/>
              </w:rPr>
              <w:t>Book VI, Chapter 3</w:t>
            </w:r>
            <w:r>
              <w:rPr>
                <w:sz w:val="20"/>
                <w:szCs w:val="20"/>
              </w:rPr>
              <w:t>. EO292</w:t>
            </w:r>
          </w:p>
          <w:p w14:paraId="66F1BC87" w14:textId="77777777" w:rsidR="008416A3" w:rsidRPr="005A497D" w:rsidRDefault="008416A3" w:rsidP="00CF29C4">
            <w:pPr>
              <w:spacing w:before="40" w:after="40"/>
              <w:ind w:left="-28" w:right="-57"/>
              <w:rPr>
                <w:sz w:val="20"/>
                <w:szCs w:val="20"/>
              </w:rPr>
            </w:pPr>
            <w:r w:rsidRPr="005A497D">
              <w:rPr>
                <w:sz w:val="20"/>
                <w:szCs w:val="20"/>
              </w:rPr>
              <w:t>Book VI, Chapter 4</w:t>
            </w:r>
            <w:r>
              <w:rPr>
                <w:sz w:val="20"/>
                <w:szCs w:val="20"/>
              </w:rPr>
              <w:t>. EO292</w:t>
            </w:r>
          </w:p>
          <w:p w14:paraId="68E7F7B9" w14:textId="2D350AF2" w:rsidR="008416A3" w:rsidRPr="005A497D" w:rsidRDefault="008416A3" w:rsidP="00EE024A">
            <w:pPr>
              <w:spacing w:before="40" w:after="40"/>
              <w:ind w:left="-28" w:right="-57"/>
              <w:jc w:val="center"/>
              <w:rPr>
                <w:sz w:val="20"/>
                <w:szCs w:val="20"/>
              </w:rPr>
            </w:pPr>
            <w:r w:rsidRPr="005A497D">
              <w:rPr>
                <w:sz w:val="20"/>
                <w:szCs w:val="20"/>
              </w:rPr>
              <w:t>-</w:t>
            </w:r>
          </w:p>
        </w:tc>
        <w:tc>
          <w:tcPr>
            <w:tcW w:w="1932" w:type="dxa"/>
            <w:vAlign w:val="center"/>
          </w:tcPr>
          <w:p w14:paraId="261770F7" w14:textId="77777777" w:rsidR="008416A3" w:rsidRPr="005A497D" w:rsidRDefault="008416A3" w:rsidP="00CF29C4">
            <w:pPr>
              <w:spacing w:before="40" w:after="40"/>
              <w:ind w:left="-28" w:right="-57"/>
              <w:rPr>
                <w:sz w:val="20"/>
                <w:szCs w:val="20"/>
              </w:rPr>
            </w:pPr>
            <w:r w:rsidRPr="005A497D">
              <w:rPr>
                <w:sz w:val="20"/>
                <w:szCs w:val="20"/>
              </w:rPr>
              <w:t>DBM annual circulars</w:t>
            </w:r>
          </w:p>
        </w:tc>
      </w:tr>
      <w:tr w:rsidR="008416A3" w:rsidRPr="005A497D" w14:paraId="4618E5ED" w14:textId="77777777" w:rsidTr="00CE1F67">
        <w:trPr>
          <w:trHeight w:val="227"/>
        </w:trPr>
        <w:tc>
          <w:tcPr>
            <w:tcW w:w="1728" w:type="dxa"/>
            <w:vAlign w:val="center"/>
          </w:tcPr>
          <w:p w14:paraId="25E07159" w14:textId="77777777" w:rsidR="008416A3" w:rsidRPr="005A497D" w:rsidRDefault="008416A3" w:rsidP="00015E0E">
            <w:pPr>
              <w:spacing w:before="40" w:after="40"/>
              <w:rPr>
                <w:sz w:val="20"/>
                <w:szCs w:val="20"/>
              </w:rPr>
            </w:pPr>
            <w:r w:rsidRPr="005A497D">
              <w:rPr>
                <w:sz w:val="20"/>
                <w:szCs w:val="20"/>
              </w:rPr>
              <w:t>Inter-governmental fiscal relations</w:t>
            </w:r>
          </w:p>
        </w:tc>
        <w:tc>
          <w:tcPr>
            <w:tcW w:w="2156" w:type="dxa"/>
            <w:vAlign w:val="center"/>
          </w:tcPr>
          <w:p w14:paraId="2E692066" w14:textId="22978170" w:rsidR="008416A3" w:rsidRPr="005A497D" w:rsidRDefault="008416A3" w:rsidP="00015E0E">
            <w:pPr>
              <w:spacing w:before="40" w:after="40"/>
              <w:ind w:left="-28" w:right="-57"/>
              <w:rPr>
                <w:sz w:val="20"/>
                <w:szCs w:val="20"/>
              </w:rPr>
            </w:pPr>
            <w:r>
              <w:rPr>
                <w:sz w:val="20"/>
                <w:szCs w:val="20"/>
              </w:rPr>
              <w:t>Article X Sections 6 and 7</w:t>
            </w:r>
          </w:p>
        </w:tc>
        <w:tc>
          <w:tcPr>
            <w:tcW w:w="3514" w:type="dxa"/>
            <w:vAlign w:val="center"/>
          </w:tcPr>
          <w:p w14:paraId="3A6E3273" w14:textId="77777777" w:rsidR="008416A3" w:rsidRDefault="008416A3" w:rsidP="00015E0E">
            <w:pPr>
              <w:spacing w:before="40" w:after="40"/>
              <w:ind w:left="-28" w:right="-57"/>
              <w:rPr>
                <w:sz w:val="20"/>
                <w:szCs w:val="20"/>
              </w:rPr>
            </w:pPr>
            <w:r>
              <w:rPr>
                <w:sz w:val="20"/>
                <w:szCs w:val="20"/>
              </w:rPr>
              <w:t>Book II, Chapter 4, Section 36. EO292</w:t>
            </w:r>
          </w:p>
          <w:p w14:paraId="0ED43A69" w14:textId="3092276A" w:rsidR="008416A3" w:rsidRPr="005A497D" w:rsidRDefault="008416A3" w:rsidP="00184094">
            <w:pPr>
              <w:spacing w:before="40" w:after="40"/>
              <w:ind w:left="-28" w:right="-57"/>
              <w:rPr>
                <w:sz w:val="20"/>
                <w:szCs w:val="20"/>
              </w:rPr>
            </w:pPr>
            <w:r w:rsidRPr="005A497D">
              <w:rPr>
                <w:sz w:val="20"/>
                <w:szCs w:val="20"/>
              </w:rPr>
              <w:t>RA 7160 (</w:t>
            </w:r>
            <w:r>
              <w:rPr>
                <w:sz w:val="20"/>
                <w:szCs w:val="20"/>
              </w:rPr>
              <w:t>Local Government Code</w:t>
            </w:r>
            <w:r w:rsidRPr="005A497D">
              <w:rPr>
                <w:sz w:val="20"/>
                <w:szCs w:val="20"/>
              </w:rPr>
              <w:t>), Title III</w:t>
            </w:r>
          </w:p>
        </w:tc>
        <w:tc>
          <w:tcPr>
            <w:tcW w:w="1932" w:type="dxa"/>
            <w:vAlign w:val="center"/>
          </w:tcPr>
          <w:p w14:paraId="7ED17F98" w14:textId="77777777" w:rsidR="008416A3" w:rsidRPr="005A497D" w:rsidRDefault="008416A3" w:rsidP="00015E0E">
            <w:pPr>
              <w:spacing w:before="40" w:after="40"/>
              <w:ind w:left="-28" w:right="-57"/>
              <w:rPr>
                <w:sz w:val="20"/>
                <w:szCs w:val="20"/>
              </w:rPr>
            </w:pPr>
          </w:p>
        </w:tc>
      </w:tr>
      <w:tr w:rsidR="008416A3" w:rsidRPr="005A497D" w14:paraId="7AA55052" w14:textId="77777777" w:rsidTr="00CE1F67">
        <w:trPr>
          <w:trHeight w:val="227"/>
        </w:trPr>
        <w:tc>
          <w:tcPr>
            <w:tcW w:w="1728" w:type="dxa"/>
            <w:vAlign w:val="center"/>
          </w:tcPr>
          <w:p w14:paraId="44398ABE" w14:textId="77777777" w:rsidR="008416A3" w:rsidRPr="005A497D" w:rsidRDefault="008416A3" w:rsidP="00CF29C4">
            <w:pPr>
              <w:spacing w:before="40" w:after="40"/>
              <w:rPr>
                <w:sz w:val="20"/>
                <w:szCs w:val="20"/>
              </w:rPr>
            </w:pPr>
            <w:r w:rsidRPr="005A497D">
              <w:rPr>
                <w:sz w:val="20"/>
                <w:szCs w:val="20"/>
              </w:rPr>
              <w:t>Revenue functions</w:t>
            </w:r>
          </w:p>
        </w:tc>
        <w:tc>
          <w:tcPr>
            <w:tcW w:w="2156" w:type="dxa"/>
            <w:vAlign w:val="center"/>
          </w:tcPr>
          <w:p w14:paraId="6E8C6619" w14:textId="77777777" w:rsidR="008416A3" w:rsidRPr="005A497D" w:rsidRDefault="008416A3" w:rsidP="00CF29C4">
            <w:pPr>
              <w:spacing w:before="40" w:after="40"/>
              <w:ind w:left="-28" w:right="-57"/>
              <w:rPr>
                <w:sz w:val="20"/>
                <w:szCs w:val="20"/>
              </w:rPr>
            </w:pPr>
            <w:r w:rsidRPr="005A497D">
              <w:rPr>
                <w:sz w:val="20"/>
                <w:szCs w:val="20"/>
              </w:rPr>
              <w:t>Article VI, Section 28, paras 1 and 2</w:t>
            </w:r>
          </w:p>
        </w:tc>
        <w:tc>
          <w:tcPr>
            <w:tcW w:w="3514" w:type="dxa"/>
            <w:vAlign w:val="center"/>
          </w:tcPr>
          <w:p w14:paraId="7A16FB01" w14:textId="6E4BCD30" w:rsidR="008416A3" w:rsidRPr="005A497D" w:rsidRDefault="008416A3" w:rsidP="00CF29C4">
            <w:pPr>
              <w:spacing w:before="40" w:after="40"/>
              <w:ind w:left="-28" w:right="-57"/>
              <w:rPr>
                <w:sz w:val="20"/>
                <w:szCs w:val="20"/>
              </w:rPr>
            </w:pPr>
            <w:r w:rsidRPr="005A497D">
              <w:rPr>
                <w:sz w:val="20"/>
                <w:szCs w:val="20"/>
              </w:rPr>
              <w:t>Book VI, Chapter 3, Section 20</w:t>
            </w:r>
            <w:r>
              <w:rPr>
                <w:sz w:val="20"/>
                <w:szCs w:val="20"/>
              </w:rPr>
              <w:t>. EO292</w:t>
            </w:r>
          </w:p>
        </w:tc>
        <w:tc>
          <w:tcPr>
            <w:tcW w:w="1932" w:type="dxa"/>
            <w:vAlign w:val="center"/>
          </w:tcPr>
          <w:p w14:paraId="5EA853D7" w14:textId="77777777" w:rsidR="008416A3" w:rsidRPr="005A497D" w:rsidRDefault="008416A3" w:rsidP="00CF29C4">
            <w:pPr>
              <w:spacing w:before="40" w:after="40"/>
              <w:ind w:left="-28" w:right="-57"/>
              <w:rPr>
                <w:sz w:val="20"/>
                <w:szCs w:val="20"/>
              </w:rPr>
            </w:pPr>
          </w:p>
        </w:tc>
      </w:tr>
      <w:tr w:rsidR="008416A3" w:rsidRPr="005A497D" w14:paraId="608016CE" w14:textId="77777777" w:rsidTr="00CE1F67">
        <w:trPr>
          <w:trHeight w:val="227"/>
        </w:trPr>
        <w:tc>
          <w:tcPr>
            <w:tcW w:w="1728" w:type="dxa"/>
            <w:vAlign w:val="center"/>
          </w:tcPr>
          <w:p w14:paraId="3307453D" w14:textId="4A76A723" w:rsidR="008416A3" w:rsidRPr="005A497D" w:rsidRDefault="008416A3" w:rsidP="00C814E8">
            <w:pPr>
              <w:spacing w:before="40" w:after="40"/>
              <w:rPr>
                <w:sz w:val="20"/>
                <w:szCs w:val="20"/>
              </w:rPr>
            </w:pPr>
            <w:r w:rsidRPr="005A497D">
              <w:rPr>
                <w:sz w:val="20"/>
                <w:szCs w:val="20"/>
              </w:rPr>
              <w:t xml:space="preserve">Budget </w:t>
            </w:r>
            <w:r>
              <w:rPr>
                <w:sz w:val="20"/>
                <w:szCs w:val="20"/>
              </w:rPr>
              <w:t>e</w:t>
            </w:r>
            <w:r w:rsidRPr="005A497D">
              <w:rPr>
                <w:sz w:val="20"/>
                <w:szCs w:val="20"/>
              </w:rPr>
              <w:t>xecution</w:t>
            </w:r>
          </w:p>
        </w:tc>
        <w:tc>
          <w:tcPr>
            <w:tcW w:w="2156" w:type="dxa"/>
            <w:vAlign w:val="center"/>
          </w:tcPr>
          <w:p w14:paraId="38F7FAEB" w14:textId="77777777" w:rsidR="008416A3" w:rsidRPr="005A497D" w:rsidRDefault="008416A3" w:rsidP="00EE024A">
            <w:pPr>
              <w:spacing w:before="40" w:after="40"/>
              <w:ind w:left="-28" w:right="-57"/>
              <w:jc w:val="center"/>
              <w:rPr>
                <w:sz w:val="20"/>
                <w:szCs w:val="20"/>
              </w:rPr>
            </w:pPr>
            <w:r w:rsidRPr="005A497D">
              <w:rPr>
                <w:sz w:val="20"/>
                <w:szCs w:val="20"/>
              </w:rPr>
              <w:t>-</w:t>
            </w:r>
          </w:p>
        </w:tc>
        <w:tc>
          <w:tcPr>
            <w:tcW w:w="3514" w:type="dxa"/>
            <w:vAlign w:val="center"/>
          </w:tcPr>
          <w:p w14:paraId="72F4792C" w14:textId="4BC387AA" w:rsidR="008416A3" w:rsidRPr="005A497D" w:rsidRDefault="008416A3" w:rsidP="00CF29C4">
            <w:pPr>
              <w:spacing w:before="40" w:after="40"/>
              <w:ind w:left="-28" w:right="-57"/>
              <w:rPr>
                <w:sz w:val="20"/>
                <w:szCs w:val="20"/>
              </w:rPr>
            </w:pPr>
            <w:r w:rsidRPr="005A497D">
              <w:rPr>
                <w:sz w:val="20"/>
                <w:szCs w:val="20"/>
              </w:rPr>
              <w:t>Book VI, Chapter 5</w:t>
            </w:r>
            <w:r>
              <w:rPr>
                <w:sz w:val="20"/>
                <w:szCs w:val="20"/>
              </w:rPr>
              <w:t>. EO292</w:t>
            </w:r>
          </w:p>
        </w:tc>
        <w:tc>
          <w:tcPr>
            <w:tcW w:w="1932" w:type="dxa"/>
            <w:vAlign w:val="center"/>
          </w:tcPr>
          <w:p w14:paraId="27D99043" w14:textId="77777777" w:rsidR="008416A3" w:rsidRPr="005A497D" w:rsidRDefault="008416A3" w:rsidP="00CF29C4">
            <w:pPr>
              <w:spacing w:before="40" w:after="40"/>
              <w:ind w:left="-28" w:right="-57"/>
              <w:rPr>
                <w:sz w:val="20"/>
                <w:szCs w:val="20"/>
              </w:rPr>
            </w:pPr>
          </w:p>
        </w:tc>
      </w:tr>
      <w:tr w:rsidR="00F448CD" w:rsidRPr="005A497D" w14:paraId="5637C8FB" w14:textId="77777777" w:rsidTr="00CE1F67">
        <w:trPr>
          <w:trHeight w:val="227"/>
        </w:trPr>
        <w:tc>
          <w:tcPr>
            <w:tcW w:w="1728" w:type="dxa"/>
            <w:vAlign w:val="center"/>
          </w:tcPr>
          <w:p w14:paraId="5A32E58C" w14:textId="35262086" w:rsidR="00F448CD" w:rsidRPr="005A497D" w:rsidRDefault="00F448CD" w:rsidP="00F448CD">
            <w:pPr>
              <w:spacing w:before="40" w:after="40"/>
              <w:rPr>
                <w:sz w:val="20"/>
                <w:szCs w:val="20"/>
              </w:rPr>
            </w:pPr>
            <w:r>
              <w:rPr>
                <w:sz w:val="20"/>
                <w:szCs w:val="20"/>
              </w:rPr>
              <w:t>Accounting</w:t>
            </w:r>
          </w:p>
        </w:tc>
        <w:tc>
          <w:tcPr>
            <w:tcW w:w="2156" w:type="dxa"/>
            <w:vAlign w:val="center"/>
          </w:tcPr>
          <w:p w14:paraId="6D9D0EFD" w14:textId="2FE59B84" w:rsidR="00F448CD" w:rsidRPr="00EE024A" w:rsidRDefault="00F448CD" w:rsidP="00F448CD">
            <w:pPr>
              <w:spacing w:before="40" w:after="40"/>
              <w:ind w:left="-28" w:right="-57"/>
              <w:rPr>
                <w:rFonts w:eastAsia="Calibri"/>
                <w:sz w:val="20"/>
                <w:szCs w:val="20"/>
              </w:rPr>
            </w:pPr>
            <w:r w:rsidRPr="00EE024A">
              <w:rPr>
                <w:rFonts w:eastAsia="Calibri"/>
                <w:sz w:val="20"/>
                <w:szCs w:val="20"/>
              </w:rPr>
              <w:t>Article IX, Part D, Section 2 (</w:t>
            </w:r>
            <w:r>
              <w:rPr>
                <w:rFonts w:eastAsia="Calibri"/>
                <w:sz w:val="20"/>
                <w:szCs w:val="20"/>
              </w:rPr>
              <w:t>2</w:t>
            </w:r>
            <w:r w:rsidRPr="00EE024A">
              <w:rPr>
                <w:rFonts w:eastAsia="Calibri"/>
                <w:sz w:val="20"/>
                <w:szCs w:val="20"/>
              </w:rPr>
              <w:t>)</w:t>
            </w:r>
          </w:p>
        </w:tc>
        <w:tc>
          <w:tcPr>
            <w:tcW w:w="3514" w:type="dxa"/>
            <w:vAlign w:val="center"/>
          </w:tcPr>
          <w:p w14:paraId="67A0ABC1" w14:textId="77777777" w:rsidR="00F448CD" w:rsidRDefault="00F448CD" w:rsidP="00F448CD">
            <w:pPr>
              <w:spacing w:before="40" w:after="40"/>
              <w:ind w:left="-28" w:right="-57"/>
              <w:rPr>
                <w:sz w:val="20"/>
                <w:szCs w:val="20"/>
              </w:rPr>
            </w:pPr>
            <w:r w:rsidRPr="005A497D">
              <w:rPr>
                <w:sz w:val="20"/>
                <w:szCs w:val="20"/>
              </w:rPr>
              <w:t>Book V, Subtitle B, Chapter 6-8</w:t>
            </w:r>
            <w:r>
              <w:rPr>
                <w:sz w:val="20"/>
                <w:szCs w:val="20"/>
              </w:rPr>
              <w:t>.</w:t>
            </w:r>
          </w:p>
          <w:p w14:paraId="3D54E5AA" w14:textId="5FA1F81F" w:rsidR="00F448CD" w:rsidRPr="005A497D" w:rsidRDefault="00775465" w:rsidP="00F448CD">
            <w:pPr>
              <w:spacing w:before="40" w:after="40"/>
              <w:ind w:left="-28" w:right="-57"/>
              <w:rPr>
                <w:sz w:val="20"/>
                <w:szCs w:val="20"/>
              </w:rPr>
            </w:pPr>
            <w:r>
              <w:rPr>
                <w:sz w:val="20"/>
                <w:szCs w:val="20"/>
              </w:rPr>
              <w:t>PD 1445 (Government Auditing Code of the Philippines), Sections 25, 33, 63, 86, 109-122</w:t>
            </w:r>
          </w:p>
        </w:tc>
        <w:tc>
          <w:tcPr>
            <w:tcW w:w="1932" w:type="dxa"/>
            <w:vAlign w:val="center"/>
          </w:tcPr>
          <w:p w14:paraId="463CFB7E" w14:textId="77777777" w:rsidR="00775465" w:rsidRPr="00775465" w:rsidRDefault="00775465" w:rsidP="00775465">
            <w:pPr>
              <w:spacing w:before="40" w:after="40"/>
              <w:ind w:left="-28" w:right="-57"/>
              <w:rPr>
                <w:sz w:val="20"/>
                <w:szCs w:val="20"/>
              </w:rPr>
            </w:pPr>
            <w:r w:rsidRPr="00775465">
              <w:rPr>
                <w:sz w:val="20"/>
                <w:szCs w:val="20"/>
              </w:rPr>
              <w:t>CoA Circulars No. 2001-004 and 2002-002 (NGAS), and 2015-007 (Government Accounting Manual for National Government Agencies)</w:t>
            </w:r>
          </w:p>
          <w:p w14:paraId="2C88EE6F" w14:textId="77777777" w:rsidR="00775465" w:rsidRPr="00775465" w:rsidRDefault="00775465" w:rsidP="00775465">
            <w:pPr>
              <w:spacing w:before="40" w:after="40"/>
              <w:ind w:left="-28" w:right="-57"/>
              <w:rPr>
                <w:sz w:val="20"/>
                <w:szCs w:val="20"/>
              </w:rPr>
            </w:pPr>
            <w:r w:rsidRPr="00775465">
              <w:rPr>
                <w:sz w:val="20"/>
                <w:szCs w:val="20"/>
              </w:rPr>
              <w:t>COA Resolution No. 2014-003 (PPSAS Adoption)</w:t>
            </w:r>
          </w:p>
          <w:p w14:paraId="7CFB7801" w14:textId="1C2FF41D" w:rsidR="00F448CD" w:rsidRDefault="00775465" w:rsidP="00775465">
            <w:pPr>
              <w:spacing w:before="40" w:after="40"/>
              <w:ind w:left="-28" w:right="-57"/>
              <w:rPr>
                <w:sz w:val="20"/>
                <w:szCs w:val="20"/>
              </w:rPr>
            </w:pPr>
            <w:r w:rsidRPr="00775465">
              <w:rPr>
                <w:sz w:val="20"/>
                <w:szCs w:val="20"/>
              </w:rPr>
              <w:t>Joint Circular No. 2013-1 (UACS)</w:t>
            </w:r>
          </w:p>
        </w:tc>
      </w:tr>
      <w:tr w:rsidR="008416A3" w:rsidRPr="005A497D" w14:paraId="35BCD4CF" w14:textId="77777777" w:rsidTr="00CE1F67">
        <w:trPr>
          <w:trHeight w:val="227"/>
        </w:trPr>
        <w:tc>
          <w:tcPr>
            <w:tcW w:w="1728" w:type="dxa"/>
            <w:vAlign w:val="center"/>
          </w:tcPr>
          <w:p w14:paraId="2CF7CD14" w14:textId="0A0A10A4" w:rsidR="008416A3" w:rsidRPr="005A497D" w:rsidRDefault="00F448CD" w:rsidP="00015E0E">
            <w:pPr>
              <w:spacing w:before="40" w:after="40"/>
              <w:rPr>
                <w:sz w:val="20"/>
                <w:szCs w:val="20"/>
              </w:rPr>
            </w:pPr>
            <w:r>
              <w:rPr>
                <w:sz w:val="20"/>
                <w:szCs w:val="20"/>
              </w:rPr>
              <w:t>I</w:t>
            </w:r>
            <w:r w:rsidR="008416A3" w:rsidRPr="005A497D">
              <w:rPr>
                <w:sz w:val="20"/>
                <w:szCs w:val="20"/>
              </w:rPr>
              <w:t>nternal control</w:t>
            </w:r>
          </w:p>
        </w:tc>
        <w:tc>
          <w:tcPr>
            <w:tcW w:w="2156" w:type="dxa"/>
            <w:vAlign w:val="center"/>
          </w:tcPr>
          <w:p w14:paraId="398355DA" w14:textId="201692B9" w:rsidR="008416A3" w:rsidRPr="00717ADC" w:rsidRDefault="008416A3" w:rsidP="00015E0E">
            <w:pPr>
              <w:spacing w:before="40" w:after="40"/>
              <w:ind w:left="-28" w:right="-57"/>
              <w:rPr>
                <w:sz w:val="20"/>
                <w:szCs w:val="20"/>
              </w:rPr>
            </w:pPr>
            <w:r w:rsidRPr="00EE024A">
              <w:rPr>
                <w:rFonts w:eastAsia="Calibri"/>
                <w:sz w:val="20"/>
                <w:szCs w:val="20"/>
              </w:rPr>
              <w:t>Article IX, Part D, Section 2 (1)</w:t>
            </w:r>
          </w:p>
        </w:tc>
        <w:tc>
          <w:tcPr>
            <w:tcW w:w="3514" w:type="dxa"/>
            <w:vAlign w:val="center"/>
          </w:tcPr>
          <w:p w14:paraId="57DDF029" w14:textId="3F2D1063" w:rsidR="008416A3" w:rsidRDefault="008416A3" w:rsidP="00F448CD">
            <w:pPr>
              <w:spacing w:before="40" w:after="40"/>
              <w:ind w:left="-28" w:right="-57"/>
              <w:rPr>
                <w:sz w:val="20"/>
                <w:szCs w:val="20"/>
              </w:rPr>
            </w:pPr>
            <w:r w:rsidRPr="005A497D">
              <w:rPr>
                <w:sz w:val="20"/>
                <w:szCs w:val="20"/>
              </w:rPr>
              <w:t xml:space="preserve">Book V, Subtitle B, Chapter </w:t>
            </w:r>
            <w:r w:rsidR="00F448CD">
              <w:rPr>
                <w:sz w:val="20"/>
                <w:szCs w:val="20"/>
              </w:rPr>
              <w:t>4</w:t>
            </w:r>
            <w:r>
              <w:rPr>
                <w:sz w:val="20"/>
                <w:szCs w:val="20"/>
              </w:rPr>
              <w:t>. EO292</w:t>
            </w:r>
            <w:r w:rsidR="00F448CD">
              <w:rPr>
                <w:sz w:val="20"/>
                <w:szCs w:val="20"/>
              </w:rPr>
              <w:t>.</w:t>
            </w:r>
          </w:p>
          <w:p w14:paraId="4473A19B" w14:textId="5C5D4DF4" w:rsidR="00F448CD" w:rsidRPr="005A497D" w:rsidRDefault="00F448CD" w:rsidP="00F448CD">
            <w:pPr>
              <w:spacing w:before="40" w:after="40"/>
              <w:ind w:left="-28" w:right="-57"/>
              <w:rPr>
                <w:sz w:val="20"/>
                <w:szCs w:val="20"/>
              </w:rPr>
            </w:pPr>
            <w:r>
              <w:rPr>
                <w:sz w:val="20"/>
                <w:szCs w:val="20"/>
              </w:rPr>
              <w:t>PD 1445 (Government Auditing Code of the Philippines), Sections 123 and 124.</w:t>
            </w:r>
          </w:p>
        </w:tc>
        <w:tc>
          <w:tcPr>
            <w:tcW w:w="1932" w:type="dxa"/>
            <w:vAlign w:val="center"/>
          </w:tcPr>
          <w:p w14:paraId="3A1A820F" w14:textId="77777777" w:rsidR="00775465" w:rsidRDefault="00775465" w:rsidP="00775465">
            <w:pPr>
              <w:spacing w:before="40" w:after="40"/>
              <w:ind w:left="-28" w:right="-57"/>
              <w:rPr>
                <w:sz w:val="20"/>
                <w:szCs w:val="20"/>
              </w:rPr>
            </w:pPr>
            <w:r>
              <w:rPr>
                <w:sz w:val="20"/>
                <w:szCs w:val="20"/>
              </w:rPr>
              <w:t>Administrative Order No. 119 dated March 29, 1989</w:t>
            </w:r>
          </w:p>
          <w:p w14:paraId="25FC42BB" w14:textId="77777777" w:rsidR="00775465" w:rsidRDefault="00775465" w:rsidP="00775465">
            <w:pPr>
              <w:spacing w:before="40" w:after="40"/>
              <w:ind w:left="-28" w:right="-57"/>
              <w:rPr>
                <w:sz w:val="20"/>
                <w:szCs w:val="20"/>
              </w:rPr>
            </w:pPr>
            <w:r>
              <w:rPr>
                <w:sz w:val="20"/>
                <w:szCs w:val="20"/>
              </w:rPr>
              <w:t>Memorandum Order No. 277 dated January 19, 1990</w:t>
            </w:r>
          </w:p>
          <w:p w14:paraId="76222D04" w14:textId="77777777" w:rsidR="008416A3" w:rsidRDefault="008416A3" w:rsidP="00015E0E">
            <w:pPr>
              <w:spacing w:before="40" w:after="40"/>
              <w:ind w:left="-28" w:right="-57"/>
              <w:rPr>
                <w:sz w:val="20"/>
                <w:szCs w:val="20"/>
              </w:rPr>
            </w:pPr>
            <w:r w:rsidRPr="005A497D">
              <w:rPr>
                <w:sz w:val="20"/>
                <w:szCs w:val="20"/>
              </w:rPr>
              <w:t>DBM Circular No. 2008-8 (NGICS)</w:t>
            </w:r>
          </w:p>
          <w:p w14:paraId="47D44737" w14:textId="77777777" w:rsidR="008416A3" w:rsidRPr="005A497D" w:rsidRDefault="008416A3" w:rsidP="00015E0E">
            <w:pPr>
              <w:spacing w:before="40" w:after="40"/>
              <w:ind w:left="-28" w:right="-57"/>
              <w:rPr>
                <w:sz w:val="20"/>
                <w:szCs w:val="20"/>
              </w:rPr>
            </w:pPr>
          </w:p>
        </w:tc>
      </w:tr>
      <w:tr w:rsidR="008416A3" w:rsidRPr="005A497D" w14:paraId="2A8171DF" w14:textId="77777777" w:rsidTr="00CE1F67">
        <w:trPr>
          <w:trHeight w:val="227"/>
        </w:trPr>
        <w:tc>
          <w:tcPr>
            <w:tcW w:w="1728" w:type="dxa"/>
            <w:vAlign w:val="center"/>
          </w:tcPr>
          <w:p w14:paraId="283CDC26" w14:textId="78533493" w:rsidR="008416A3" w:rsidRPr="005A497D" w:rsidRDefault="008416A3" w:rsidP="00015E0E">
            <w:pPr>
              <w:spacing w:before="40" w:after="40"/>
              <w:rPr>
                <w:sz w:val="20"/>
                <w:szCs w:val="20"/>
              </w:rPr>
            </w:pPr>
            <w:r w:rsidRPr="005A497D">
              <w:rPr>
                <w:sz w:val="20"/>
                <w:szCs w:val="20"/>
              </w:rPr>
              <w:t>Internal audit</w:t>
            </w:r>
          </w:p>
        </w:tc>
        <w:tc>
          <w:tcPr>
            <w:tcW w:w="2156" w:type="dxa"/>
            <w:vAlign w:val="center"/>
          </w:tcPr>
          <w:p w14:paraId="41D65434" w14:textId="0B8D2FCD" w:rsidR="008416A3" w:rsidRPr="005A497D" w:rsidRDefault="008416A3" w:rsidP="00EE024A">
            <w:pPr>
              <w:spacing w:before="40" w:after="40"/>
              <w:ind w:left="-28" w:right="-57"/>
              <w:jc w:val="center"/>
              <w:rPr>
                <w:sz w:val="20"/>
                <w:szCs w:val="20"/>
              </w:rPr>
            </w:pPr>
            <w:r w:rsidRPr="005A497D">
              <w:rPr>
                <w:sz w:val="20"/>
                <w:szCs w:val="20"/>
              </w:rPr>
              <w:t>-</w:t>
            </w:r>
          </w:p>
        </w:tc>
        <w:tc>
          <w:tcPr>
            <w:tcW w:w="3514" w:type="dxa"/>
            <w:vAlign w:val="center"/>
          </w:tcPr>
          <w:p w14:paraId="7C3E119E" w14:textId="726C3038" w:rsidR="008416A3" w:rsidRDefault="00514B4B" w:rsidP="00015E0E">
            <w:pPr>
              <w:spacing w:before="40" w:after="40"/>
              <w:ind w:left="-28" w:right="-57"/>
              <w:rPr>
                <w:sz w:val="20"/>
                <w:szCs w:val="20"/>
              </w:rPr>
            </w:pPr>
            <w:r>
              <w:rPr>
                <w:sz w:val="20"/>
                <w:szCs w:val="20"/>
              </w:rPr>
              <w:t>Book IV, C</w:t>
            </w:r>
            <w:r w:rsidRPr="00514B4B">
              <w:rPr>
                <w:sz w:val="20"/>
                <w:szCs w:val="20"/>
              </w:rPr>
              <w:t>hapter 2, section 8</w:t>
            </w:r>
            <w:r w:rsidR="008416A3">
              <w:rPr>
                <w:sz w:val="20"/>
                <w:szCs w:val="20"/>
              </w:rPr>
              <w:t>. EO292</w:t>
            </w:r>
          </w:p>
          <w:p w14:paraId="1A8EA825" w14:textId="7436CA57" w:rsidR="008416A3" w:rsidRPr="005A497D" w:rsidRDefault="008416A3" w:rsidP="00015E0E">
            <w:pPr>
              <w:spacing w:before="40" w:after="40"/>
              <w:ind w:left="-28" w:right="-57"/>
              <w:rPr>
                <w:sz w:val="20"/>
                <w:szCs w:val="20"/>
              </w:rPr>
            </w:pPr>
            <w:r w:rsidRPr="005A497D">
              <w:rPr>
                <w:sz w:val="20"/>
                <w:szCs w:val="20"/>
              </w:rPr>
              <w:t>RA 3456 as amended by RA 4177</w:t>
            </w:r>
          </w:p>
        </w:tc>
        <w:tc>
          <w:tcPr>
            <w:tcW w:w="1932" w:type="dxa"/>
            <w:vAlign w:val="center"/>
          </w:tcPr>
          <w:p w14:paraId="6DD549E9" w14:textId="1ED592F4" w:rsidR="008416A3" w:rsidRPr="005A497D" w:rsidRDefault="008416A3" w:rsidP="00015E0E">
            <w:pPr>
              <w:spacing w:before="40" w:after="40"/>
              <w:ind w:left="-28" w:right="-57"/>
              <w:rPr>
                <w:sz w:val="20"/>
                <w:szCs w:val="20"/>
              </w:rPr>
            </w:pPr>
            <w:r w:rsidRPr="005A497D">
              <w:rPr>
                <w:sz w:val="20"/>
                <w:szCs w:val="20"/>
              </w:rPr>
              <w:t>DBM Circular No. 2011-5 (PGIAM)</w:t>
            </w:r>
          </w:p>
        </w:tc>
      </w:tr>
      <w:tr w:rsidR="008416A3" w:rsidRPr="005A497D" w14:paraId="11110E6C" w14:textId="77777777" w:rsidTr="00CE1F67">
        <w:trPr>
          <w:trHeight w:val="227"/>
        </w:trPr>
        <w:tc>
          <w:tcPr>
            <w:tcW w:w="1728" w:type="dxa"/>
            <w:vAlign w:val="center"/>
          </w:tcPr>
          <w:p w14:paraId="42FA4629" w14:textId="65047918" w:rsidR="008416A3" w:rsidRPr="005A497D" w:rsidRDefault="008416A3" w:rsidP="00015E0E">
            <w:pPr>
              <w:spacing w:before="40" w:after="40"/>
              <w:rPr>
                <w:sz w:val="20"/>
                <w:szCs w:val="20"/>
              </w:rPr>
            </w:pPr>
            <w:r w:rsidRPr="005A497D">
              <w:rPr>
                <w:sz w:val="20"/>
                <w:szCs w:val="20"/>
              </w:rPr>
              <w:t>Budget reporting and monitoring (accountability)</w:t>
            </w:r>
          </w:p>
        </w:tc>
        <w:tc>
          <w:tcPr>
            <w:tcW w:w="2156" w:type="dxa"/>
            <w:vAlign w:val="center"/>
          </w:tcPr>
          <w:p w14:paraId="16627E0B" w14:textId="606616F0" w:rsidR="008416A3" w:rsidRPr="005A497D" w:rsidRDefault="008416A3" w:rsidP="00015E0E">
            <w:pPr>
              <w:spacing w:before="40" w:after="40"/>
              <w:ind w:left="-28" w:right="-57"/>
              <w:rPr>
                <w:sz w:val="20"/>
                <w:szCs w:val="20"/>
              </w:rPr>
            </w:pPr>
            <w:r>
              <w:rPr>
                <w:sz w:val="20"/>
                <w:szCs w:val="20"/>
              </w:rPr>
              <w:t xml:space="preserve"> Article IX, Part D, Section 4</w:t>
            </w:r>
          </w:p>
        </w:tc>
        <w:tc>
          <w:tcPr>
            <w:tcW w:w="3514" w:type="dxa"/>
            <w:vAlign w:val="center"/>
          </w:tcPr>
          <w:p w14:paraId="6130453A" w14:textId="26F60CF8" w:rsidR="008416A3" w:rsidRPr="005A497D" w:rsidRDefault="008416A3" w:rsidP="00015E0E">
            <w:pPr>
              <w:spacing w:before="40" w:after="40"/>
              <w:ind w:left="-28" w:right="-57"/>
              <w:rPr>
                <w:sz w:val="20"/>
                <w:szCs w:val="20"/>
              </w:rPr>
            </w:pPr>
            <w:r w:rsidRPr="005A497D">
              <w:rPr>
                <w:sz w:val="20"/>
                <w:szCs w:val="20"/>
              </w:rPr>
              <w:t>Book VI, Chapter 6, Section 52-57</w:t>
            </w:r>
            <w:r>
              <w:rPr>
                <w:sz w:val="20"/>
                <w:szCs w:val="20"/>
              </w:rPr>
              <w:t>. EO292</w:t>
            </w:r>
          </w:p>
        </w:tc>
        <w:tc>
          <w:tcPr>
            <w:tcW w:w="1932" w:type="dxa"/>
            <w:vAlign w:val="center"/>
          </w:tcPr>
          <w:p w14:paraId="55DC2A23" w14:textId="77777777" w:rsidR="008416A3" w:rsidRDefault="008416A3" w:rsidP="00015E0E">
            <w:pPr>
              <w:spacing w:before="40" w:after="40"/>
              <w:ind w:left="-28" w:right="-57"/>
              <w:rPr>
                <w:sz w:val="20"/>
                <w:szCs w:val="20"/>
              </w:rPr>
            </w:pPr>
            <w:r w:rsidRPr="005A497D">
              <w:rPr>
                <w:sz w:val="20"/>
                <w:szCs w:val="20"/>
              </w:rPr>
              <w:t>DBM Circular No. 2012-543</w:t>
            </w:r>
          </w:p>
          <w:p w14:paraId="13DC9A1D" w14:textId="7A496F3B" w:rsidR="00775465" w:rsidRPr="005A497D" w:rsidRDefault="00775465" w:rsidP="00015E0E">
            <w:pPr>
              <w:spacing w:before="40" w:after="40"/>
              <w:ind w:left="-28" w:right="-57"/>
              <w:rPr>
                <w:sz w:val="20"/>
                <w:szCs w:val="20"/>
              </w:rPr>
            </w:pPr>
            <w:r>
              <w:rPr>
                <w:sz w:val="20"/>
                <w:szCs w:val="20"/>
              </w:rPr>
              <w:t>CoA-DBM Joint Circular No. 2014-1</w:t>
            </w:r>
          </w:p>
        </w:tc>
      </w:tr>
      <w:tr w:rsidR="008416A3" w:rsidRPr="005A497D" w14:paraId="4B2DA85D" w14:textId="77777777" w:rsidTr="00CE1F67">
        <w:trPr>
          <w:trHeight w:val="227"/>
        </w:trPr>
        <w:tc>
          <w:tcPr>
            <w:tcW w:w="1728" w:type="dxa"/>
            <w:vAlign w:val="center"/>
          </w:tcPr>
          <w:p w14:paraId="56630E70" w14:textId="77777777" w:rsidR="008416A3" w:rsidRPr="005A497D" w:rsidRDefault="008416A3" w:rsidP="00CF29C4">
            <w:pPr>
              <w:spacing w:before="40" w:after="40"/>
              <w:rPr>
                <w:sz w:val="20"/>
                <w:szCs w:val="20"/>
              </w:rPr>
            </w:pPr>
            <w:r w:rsidRPr="005A497D">
              <w:rPr>
                <w:sz w:val="20"/>
                <w:szCs w:val="20"/>
              </w:rPr>
              <w:t>Procurement</w:t>
            </w:r>
          </w:p>
        </w:tc>
        <w:tc>
          <w:tcPr>
            <w:tcW w:w="2156" w:type="dxa"/>
            <w:vAlign w:val="center"/>
          </w:tcPr>
          <w:p w14:paraId="312DCA49" w14:textId="77777777" w:rsidR="008416A3" w:rsidRPr="005A497D" w:rsidRDefault="008416A3" w:rsidP="00EE024A">
            <w:pPr>
              <w:spacing w:before="40" w:after="40"/>
              <w:ind w:left="-28" w:right="-57"/>
              <w:jc w:val="center"/>
              <w:rPr>
                <w:sz w:val="20"/>
                <w:szCs w:val="20"/>
              </w:rPr>
            </w:pPr>
            <w:r w:rsidRPr="005A497D">
              <w:rPr>
                <w:sz w:val="20"/>
                <w:szCs w:val="20"/>
              </w:rPr>
              <w:t>-</w:t>
            </w:r>
          </w:p>
        </w:tc>
        <w:tc>
          <w:tcPr>
            <w:tcW w:w="3514" w:type="dxa"/>
            <w:vAlign w:val="center"/>
          </w:tcPr>
          <w:p w14:paraId="1ADF21F6" w14:textId="77777777" w:rsidR="008416A3" w:rsidRPr="005A497D" w:rsidRDefault="008416A3" w:rsidP="00CF29C4">
            <w:pPr>
              <w:spacing w:before="40" w:after="40"/>
              <w:ind w:left="-28" w:right="-57"/>
              <w:rPr>
                <w:sz w:val="20"/>
                <w:szCs w:val="20"/>
              </w:rPr>
            </w:pPr>
            <w:r w:rsidRPr="005A497D">
              <w:rPr>
                <w:sz w:val="20"/>
                <w:szCs w:val="20"/>
              </w:rPr>
              <w:t>RA 9184 (GPRA)</w:t>
            </w:r>
          </w:p>
        </w:tc>
        <w:tc>
          <w:tcPr>
            <w:tcW w:w="1932" w:type="dxa"/>
            <w:vAlign w:val="center"/>
          </w:tcPr>
          <w:p w14:paraId="7D268E4A" w14:textId="2D48242B" w:rsidR="008416A3" w:rsidRPr="005A497D" w:rsidRDefault="008416A3" w:rsidP="00CF29C4">
            <w:pPr>
              <w:spacing w:before="40" w:after="40"/>
              <w:ind w:left="-28" w:right="-57"/>
              <w:rPr>
                <w:sz w:val="20"/>
                <w:szCs w:val="20"/>
              </w:rPr>
            </w:pPr>
            <w:r w:rsidRPr="005A497D">
              <w:rPr>
                <w:sz w:val="20"/>
                <w:szCs w:val="20"/>
              </w:rPr>
              <w:t xml:space="preserve">Revised </w:t>
            </w:r>
            <w:r>
              <w:rPr>
                <w:sz w:val="20"/>
                <w:szCs w:val="20"/>
              </w:rPr>
              <w:t>Implementing rules and regulations</w:t>
            </w:r>
          </w:p>
        </w:tc>
      </w:tr>
      <w:tr w:rsidR="008416A3" w:rsidRPr="005A497D" w14:paraId="4A3D85BD" w14:textId="77777777" w:rsidTr="00CE1F67">
        <w:trPr>
          <w:trHeight w:val="227"/>
        </w:trPr>
        <w:tc>
          <w:tcPr>
            <w:tcW w:w="1728" w:type="dxa"/>
            <w:vAlign w:val="center"/>
          </w:tcPr>
          <w:p w14:paraId="31A0DED0" w14:textId="77777777" w:rsidR="008416A3" w:rsidRPr="005A497D" w:rsidRDefault="008416A3" w:rsidP="00CF29C4">
            <w:pPr>
              <w:spacing w:before="40" w:after="40"/>
              <w:rPr>
                <w:sz w:val="20"/>
                <w:szCs w:val="20"/>
              </w:rPr>
            </w:pPr>
            <w:r w:rsidRPr="005A497D">
              <w:rPr>
                <w:sz w:val="20"/>
                <w:szCs w:val="20"/>
              </w:rPr>
              <w:t>Debt management</w:t>
            </w:r>
          </w:p>
        </w:tc>
        <w:tc>
          <w:tcPr>
            <w:tcW w:w="2156" w:type="dxa"/>
            <w:vAlign w:val="center"/>
          </w:tcPr>
          <w:p w14:paraId="0390A20A" w14:textId="77777777" w:rsidR="008416A3" w:rsidRPr="005A497D" w:rsidRDefault="008416A3" w:rsidP="00EE024A">
            <w:pPr>
              <w:spacing w:before="40" w:after="40"/>
              <w:ind w:left="-28" w:right="-57"/>
              <w:jc w:val="center"/>
              <w:rPr>
                <w:sz w:val="20"/>
                <w:szCs w:val="20"/>
              </w:rPr>
            </w:pPr>
            <w:r w:rsidRPr="005A497D">
              <w:rPr>
                <w:sz w:val="20"/>
                <w:szCs w:val="20"/>
              </w:rPr>
              <w:t>-</w:t>
            </w:r>
          </w:p>
        </w:tc>
        <w:tc>
          <w:tcPr>
            <w:tcW w:w="3514" w:type="dxa"/>
            <w:vAlign w:val="center"/>
          </w:tcPr>
          <w:p w14:paraId="7D6D7769" w14:textId="2DB6ED6E" w:rsidR="008416A3" w:rsidRPr="005A497D" w:rsidRDefault="008416A3" w:rsidP="008416A3">
            <w:pPr>
              <w:spacing w:before="40" w:after="40"/>
              <w:ind w:left="-28" w:right="-57"/>
              <w:jc w:val="center"/>
              <w:rPr>
                <w:sz w:val="20"/>
                <w:szCs w:val="20"/>
              </w:rPr>
            </w:pPr>
            <w:r w:rsidRPr="005A497D">
              <w:rPr>
                <w:sz w:val="20"/>
                <w:szCs w:val="20"/>
              </w:rPr>
              <w:t xml:space="preserve">- </w:t>
            </w:r>
            <w:r w:rsidRPr="00EE024A">
              <w:rPr>
                <w:sz w:val="20"/>
                <w:szCs w:val="20"/>
                <w:vertAlign w:val="superscript"/>
              </w:rPr>
              <w:t>/a</w:t>
            </w:r>
          </w:p>
        </w:tc>
        <w:tc>
          <w:tcPr>
            <w:tcW w:w="1932" w:type="dxa"/>
            <w:vAlign w:val="center"/>
          </w:tcPr>
          <w:p w14:paraId="6B8AE344" w14:textId="77777777" w:rsidR="008416A3" w:rsidRPr="005A497D" w:rsidRDefault="008416A3" w:rsidP="00CF29C4">
            <w:pPr>
              <w:spacing w:before="40" w:after="40"/>
              <w:ind w:left="-28" w:right="-57"/>
              <w:rPr>
                <w:sz w:val="20"/>
                <w:szCs w:val="20"/>
              </w:rPr>
            </w:pPr>
          </w:p>
        </w:tc>
      </w:tr>
      <w:tr w:rsidR="008416A3" w:rsidRPr="005A497D" w14:paraId="2B3CEA74" w14:textId="77777777" w:rsidTr="00CE1F67">
        <w:trPr>
          <w:trHeight w:val="227"/>
        </w:trPr>
        <w:tc>
          <w:tcPr>
            <w:tcW w:w="1728" w:type="dxa"/>
            <w:vAlign w:val="center"/>
          </w:tcPr>
          <w:p w14:paraId="35407C00" w14:textId="77777777" w:rsidR="008416A3" w:rsidRPr="005A497D" w:rsidRDefault="008416A3" w:rsidP="00CF29C4">
            <w:pPr>
              <w:spacing w:before="40" w:after="40"/>
              <w:rPr>
                <w:sz w:val="20"/>
                <w:szCs w:val="20"/>
              </w:rPr>
            </w:pPr>
            <w:r w:rsidRPr="005A497D">
              <w:rPr>
                <w:sz w:val="20"/>
                <w:szCs w:val="20"/>
              </w:rPr>
              <w:t>Asset management</w:t>
            </w:r>
          </w:p>
        </w:tc>
        <w:tc>
          <w:tcPr>
            <w:tcW w:w="2156" w:type="dxa"/>
            <w:vAlign w:val="center"/>
          </w:tcPr>
          <w:p w14:paraId="05E1EBC3" w14:textId="77777777" w:rsidR="008416A3" w:rsidRPr="005A497D" w:rsidRDefault="008416A3" w:rsidP="00EE024A">
            <w:pPr>
              <w:spacing w:before="40" w:after="40"/>
              <w:ind w:left="-28" w:right="-57"/>
              <w:jc w:val="center"/>
              <w:rPr>
                <w:sz w:val="20"/>
                <w:szCs w:val="20"/>
              </w:rPr>
            </w:pPr>
            <w:r w:rsidRPr="005A497D">
              <w:rPr>
                <w:sz w:val="20"/>
                <w:szCs w:val="20"/>
              </w:rPr>
              <w:t>-</w:t>
            </w:r>
          </w:p>
        </w:tc>
        <w:tc>
          <w:tcPr>
            <w:tcW w:w="3514" w:type="dxa"/>
            <w:vAlign w:val="center"/>
          </w:tcPr>
          <w:p w14:paraId="71056B0B" w14:textId="3C132344" w:rsidR="008416A3" w:rsidRPr="005A497D" w:rsidRDefault="008416A3" w:rsidP="008416A3">
            <w:pPr>
              <w:spacing w:before="40" w:after="40"/>
              <w:ind w:left="-28" w:right="-57"/>
              <w:jc w:val="center"/>
              <w:rPr>
                <w:sz w:val="20"/>
                <w:szCs w:val="20"/>
              </w:rPr>
            </w:pPr>
            <w:r w:rsidRPr="005A497D">
              <w:rPr>
                <w:sz w:val="20"/>
                <w:szCs w:val="20"/>
              </w:rPr>
              <w:t xml:space="preserve">- </w:t>
            </w:r>
            <w:r w:rsidRPr="00EE024A">
              <w:rPr>
                <w:sz w:val="20"/>
                <w:szCs w:val="20"/>
                <w:vertAlign w:val="superscript"/>
              </w:rPr>
              <w:t>/b</w:t>
            </w:r>
          </w:p>
        </w:tc>
        <w:tc>
          <w:tcPr>
            <w:tcW w:w="1932" w:type="dxa"/>
            <w:vAlign w:val="center"/>
          </w:tcPr>
          <w:p w14:paraId="77E870D1" w14:textId="77777777" w:rsidR="008416A3" w:rsidRPr="005A497D" w:rsidRDefault="008416A3" w:rsidP="00CF29C4">
            <w:pPr>
              <w:spacing w:before="40" w:after="40"/>
              <w:ind w:left="-28" w:right="-57"/>
              <w:rPr>
                <w:sz w:val="20"/>
                <w:szCs w:val="20"/>
              </w:rPr>
            </w:pPr>
          </w:p>
        </w:tc>
      </w:tr>
      <w:tr w:rsidR="008416A3" w:rsidRPr="005A497D" w14:paraId="6BD8F1FB" w14:textId="77777777" w:rsidTr="00CE1F67">
        <w:trPr>
          <w:trHeight w:val="227"/>
        </w:trPr>
        <w:tc>
          <w:tcPr>
            <w:tcW w:w="1728" w:type="dxa"/>
            <w:vAlign w:val="center"/>
          </w:tcPr>
          <w:p w14:paraId="5AFB269A" w14:textId="77777777" w:rsidR="008416A3" w:rsidRPr="005A497D" w:rsidRDefault="008416A3" w:rsidP="00CF29C4">
            <w:pPr>
              <w:spacing w:before="40" w:after="40"/>
              <w:rPr>
                <w:sz w:val="20"/>
                <w:szCs w:val="20"/>
              </w:rPr>
            </w:pPr>
            <w:r w:rsidRPr="005A497D">
              <w:rPr>
                <w:sz w:val="20"/>
                <w:szCs w:val="20"/>
              </w:rPr>
              <w:t>Treasury functions</w:t>
            </w:r>
          </w:p>
        </w:tc>
        <w:tc>
          <w:tcPr>
            <w:tcW w:w="2156" w:type="dxa"/>
            <w:vAlign w:val="center"/>
          </w:tcPr>
          <w:p w14:paraId="7004C034" w14:textId="77777777" w:rsidR="008416A3" w:rsidRPr="005A497D" w:rsidRDefault="008416A3" w:rsidP="00CF29C4">
            <w:pPr>
              <w:spacing w:before="40" w:after="40"/>
              <w:ind w:left="-28" w:right="-57"/>
              <w:rPr>
                <w:sz w:val="20"/>
                <w:szCs w:val="20"/>
              </w:rPr>
            </w:pPr>
            <w:r w:rsidRPr="005A497D">
              <w:rPr>
                <w:sz w:val="20"/>
                <w:szCs w:val="20"/>
              </w:rPr>
              <w:t>Article VI, Section 28, para 1</w:t>
            </w:r>
          </w:p>
          <w:p w14:paraId="014E7811" w14:textId="77777777" w:rsidR="008416A3" w:rsidRPr="005A497D" w:rsidRDefault="008416A3" w:rsidP="00CF29C4">
            <w:pPr>
              <w:spacing w:before="40" w:after="40"/>
              <w:ind w:left="-28" w:right="-57"/>
              <w:rPr>
                <w:sz w:val="20"/>
                <w:szCs w:val="20"/>
              </w:rPr>
            </w:pPr>
            <w:r w:rsidRPr="005A497D">
              <w:rPr>
                <w:sz w:val="20"/>
                <w:szCs w:val="20"/>
              </w:rPr>
              <w:t>Article VI, Section 29, para 1</w:t>
            </w:r>
          </w:p>
        </w:tc>
        <w:tc>
          <w:tcPr>
            <w:tcW w:w="3514" w:type="dxa"/>
            <w:vAlign w:val="center"/>
          </w:tcPr>
          <w:p w14:paraId="2E3E4A5D" w14:textId="645E441F" w:rsidR="008416A3" w:rsidRPr="005A497D" w:rsidRDefault="00775465" w:rsidP="00CF29C4">
            <w:pPr>
              <w:spacing w:before="40" w:after="40"/>
              <w:ind w:left="-28" w:right="-57"/>
              <w:rPr>
                <w:sz w:val="20"/>
                <w:szCs w:val="20"/>
              </w:rPr>
            </w:pPr>
            <w:r>
              <w:rPr>
                <w:sz w:val="20"/>
                <w:szCs w:val="20"/>
              </w:rPr>
              <w:t>Book IV, Title II, Chapter 4, Section 29, EO 292</w:t>
            </w:r>
          </w:p>
        </w:tc>
        <w:tc>
          <w:tcPr>
            <w:tcW w:w="1932" w:type="dxa"/>
            <w:vAlign w:val="center"/>
          </w:tcPr>
          <w:p w14:paraId="26B794EC" w14:textId="77777777" w:rsidR="008416A3" w:rsidRPr="005A497D" w:rsidRDefault="008416A3" w:rsidP="00CF29C4">
            <w:pPr>
              <w:spacing w:before="40" w:after="40"/>
              <w:ind w:left="-28" w:right="-57"/>
              <w:rPr>
                <w:sz w:val="20"/>
                <w:szCs w:val="20"/>
              </w:rPr>
            </w:pPr>
          </w:p>
        </w:tc>
      </w:tr>
      <w:tr w:rsidR="008416A3" w:rsidRPr="005A497D" w14:paraId="0C76147E" w14:textId="77777777" w:rsidTr="00CE1F67">
        <w:trPr>
          <w:trHeight w:val="227"/>
        </w:trPr>
        <w:tc>
          <w:tcPr>
            <w:tcW w:w="1728" w:type="dxa"/>
            <w:vAlign w:val="center"/>
          </w:tcPr>
          <w:p w14:paraId="7CC818A0" w14:textId="77777777" w:rsidR="008416A3" w:rsidRPr="005A497D" w:rsidRDefault="008416A3" w:rsidP="00CF29C4">
            <w:pPr>
              <w:spacing w:before="40" w:after="40"/>
              <w:rPr>
                <w:sz w:val="20"/>
                <w:szCs w:val="20"/>
              </w:rPr>
            </w:pPr>
            <w:r w:rsidRPr="005A497D">
              <w:rPr>
                <w:sz w:val="20"/>
                <w:szCs w:val="20"/>
              </w:rPr>
              <w:t>Performance monitoring</w:t>
            </w:r>
          </w:p>
        </w:tc>
        <w:tc>
          <w:tcPr>
            <w:tcW w:w="2156" w:type="dxa"/>
            <w:vAlign w:val="center"/>
          </w:tcPr>
          <w:p w14:paraId="2365A870" w14:textId="77777777" w:rsidR="008416A3" w:rsidRPr="005A497D" w:rsidRDefault="008416A3" w:rsidP="00EE024A">
            <w:pPr>
              <w:spacing w:before="40" w:after="40"/>
              <w:ind w:left="-28" w:right="-57"/>
              <w:jc w:val="center"/>
              <w:rPr>
                <w:sz w:val="20"/>
                <w:szCs w:val="20"/>
              </w:rPr>
            </w:pPr>
            <w:r w:rsidRPr="005A497D">
              <w:rPr>
                <w:sz w:val="20"/>
                <w:szCs w:val="20"/>
              </w:rPr>
              <w:t>-</w:t>
            </w:r>
          </w:p>
        </w:tc>
        <w:tc>
          <w:tcPr>
            <w:tcW w:w="3514" w:type="dxa"/>
            <w:vAlign w:val="center"/>
          </w:tcPr>
          <w:p w14:paraId="25DD3577" w14:textId="1758273A" w:rsidR="008416A3" w:rsidRPr="005A497D" w:rsidRDefault="008416A3" w:rsidP="00CF29C4">
            <w:pPr>
              <w:spacing w:before="40" w:after="40"/>
              <w:ind w:left="-28" w:right="-57"/>
              <w:rPr>
                <w:sz w:val="20"/>
                <w:szCs w:val="20"/>
              </w:rPr>
            </w:pPr>
            <w:r w:rsidRPr="005A497D">
              <w:rPr>
                <w:sz w:val="20"/>
                <w:szCs w:val="20"/>
              </w:rPr>
              <w:t>Book VI, Chapter 2, Section 9</w:t>
            </w:r>
            <w:r>
              <w:rPr>
                <w:sz w:val="20"/>
                <w:szCs w:val="20"/>
              </w:rPr>
              <w:t>. EO292</w:t>
            </w:r>
          </w:p>
          <w:p w14:paraId="20A4665E" w14:textId="2BE58715" w:rsidR="008416A3" w:rsidRPr="005A497D" w:rsidRDefault="008416A3" w:rsidP="00CF29C4">
            <w:pPr>
              <w:spacing w:before="40" w:after="40"/>
              <w:ind w:left="-28" w:right="-57"/>
              <w:rPr>
                <w:sz w:val="20"/>
                <w:szCs w:val="20"/>
              </w:rPr>
            </w:pPr>
            <w:r w:rsidRPr="005A497D">
              <w:rPr>
                <w:sz w:val="20"/>
                <w:szCs w:val="20"/>
              </w:rPr>
              <w:t>Book VI, Chapter 6, Section 51</w:t>
            </w:r>
            <w:r>
              <w:rPr>
                <w:sz w:val="20"/>
                <w:szCs w:val="20"/>
              </w:rPr>
              <w:t>. EO292</w:t>
            </w:r>
          </w:p>
        </w:tc>
        <w:tc>
          <w:tcPr>
            <w:tcW w:w="1932" w:type="dxa"/>
            <w:vAlign w:val="center"/>
          </w:tcPr>
          <w:p w14:paraId="5DF7F4C5" w14:textId="77777777" w:rsidR="008416A3" w:rsidRPr="005A497D" w:rsidRDefault="008416A3" w:rsidP="00CF29C4">
            <w:pPr>
              <w:spacing w:before="40" w:after="40"/>
              <w:ind w:left="-28" w:right="-57"/>
              <w:rPr>
                <w:sz w:val="20"/>
                <w:szCs w:val="20"/>
              </w:rPr>
            </w:pPr>
          </w:p>
        </w:tc>
      </w:tr>
      <w:tr w:rsidR="008416A3" w:rsidRPr="005A497D" w14:paraId="09A1009F" w14:textId="77777777" w:rsidTr="00CE1F67">
        <w:trPr>
          <w:trHeight w:val="227"/>
        </w:trPr>
        <w:tc>
          <w:tcPr>
            <w:tcW w:w="1728" w:type="dxa"/>
            <w:tcBorders>
              <w:bottom w:val="single" w:sz="4" w:space="0" w:color="auto"/>
            </w:tcBorders>
            <w:vAlign w:val="center"/>
          </w:tcPr>
          <w:p w14:paraId="28FCE0F8" w14:textId="77777777" w:rsidR="008416A3" w:rsidRPr="005A497D" w:rsidRDefault="008416A3" w:rsidP="00CF29C4">
            <w:pPr>
              <w:spacing w:before="40" w:after="40"/>
              <w:rPr>
                <w:sz w:val="20"/>
                <w:szCs w:val="20"/>
              </w:rPr>
            </w:pPr>
            <w:r w:rsidRPr="005A497D">
              <w:rPr>
                <w:sz w:val="20"/>
                <w:szCs w:val="20"/>
              </w:rPr>
              <w:t>External audit</w:t>
            </w:r>
          </w:p>
        </w:tc>
        <w:tc>
          <w:tcPr>
            <w:tcW w:w="2156" w:type="dxa"/>
            <w:tcBorders>
              <w:bottom w:val="single" w:sz="4" w:space="0" w:color="auto"/>
            </w:tcBorders>
            <w:vAlign w:val="center"/>
          </w:tcPr>
          <w:p w14:paraId="084F509B" w14:textId="3B82D033" w:rsidR="008416A3" w:rsidRPr="005A497D" w:rsidRDefault="00775465" w:rsidP="00EE024A">
            <w:pPr>
              <w:spacing w:before="40" w:after="40"/>
              <w:ind w:left="-28" w:right="-57"/>
              <w:jc w:val="center"/>
              <w:rPr>
                <w:sz w:val="20"/>
                <w:szCs w:val="20"/>
              </w:rPr>
            </w:pPr>
            <w:r>
              <w:rPr>
                <w:sz w:val="20"/>
                <w:szCs w:val="20"/>
              </w:rPr>
              <w:t xml:space="preserve"> Article IX, Part D</w:t>
            </w:r>
          </w:p>
        </w:tc>
        <w:tc>
          <w:tcPr>
            <w:tcW w:w="3514" w:type="dxa"/>
            <w:tcBorders>
              <w:bottom w:val="single" w:sz="4" w:space="0" w:color="auto"/>
            </w:tcBorders>
            <w:vAlign w:val="center"/>
          </w:tcPr>
          <w:p w14:paraId="09FDC8A1" w14:textId="77777777" w:rsidR="008416A3" w:rsidRDefault="008416A3" w:rsidP="00CF29C4">
            <w:pPr>
              <w:spacing w:before="40" w:after="40"/>
              <w:ind w:left="-28" w:right="-57"/>
              <w:rPr>
                <w:sz w:val="20"/>
                <w:szCs w:val="20"/>
              </w:rPr>
            </w:pPr>
            <w:r w:rsidRPr="005A497D">
              <w:rPr>
                <w:sz w:val="20"/>
                <w:szCs w:val="20"/>
              </w:rPr>
              <w:t>Book V, Subtitle B, Chapter 6</w:t>
            </w:r>
            <w:r>
              <w:rPr>
                <w:sz w:val="20"/>
                <w:szCs w:val="20"/>
              </w:rPr>
              <w:t>. EO292</w:t>
            </w:r>
          </w:p>
          <w:p w14:paraId="104BBEBD" w14:textId="47BFDC86" w:rsidR="008416A3" w:rsidRPr="005A497D" w:rsidRDefault="008416A3" w:rsidP="00CF29C4">
            <w:pPr>
              <w:spacing w:before="40" w:after="40"/>
              <w:ind w:left="-28" w:right="-57"/>
              <w:rPr>
                <w:sz w:val="20"/>
                <w:szCs w:val="20"/>
              </w:rPr>
            </w:pPr>
            <w:r>
              <w:rPr>
                <w:sz w:val="20"/>
                <w:szCs w:val="20"/>
              </w:rPr>
              <w:t>PD 1445 – State Audit Code</w:t>
            </w:r>
          </w:p>
        </w:tc>
        <w:tc>
          <w:tcPr>
            <w:tcW w:w="1932" w:type="dxa"/>
            <w:tcBorders>
              <w:bottom w:val="single" w:sz="4" w:space="0" w:color="auto"/>
            </w:tcBorders>
            <w:vAlign w:val="center"/>
          </w:tcPr>
          <w:p w14:paraId="44E112F4" w14:textId="77777777" w:rsidR="008416A3" w:rsidRPr="005A497D" w:rsidRDefault="008416A3" w:rsidP="00CF29C4">
            <w:pPr>
              <w:spacing w:before="40" w:after="40"/>
              <w:ind w:left="-28" w:right="-57"/>
              <w:rPr>
                <w:sz w:val="20"/>
                <w:szCs w:val="20"/>
              </w:rPr>
            </w:pPr>
          </w:p>
        </w:tc>
      </w:tr>
      <w:tr w:rsidR="001762EE" w:rsidRPr="005A497D" w14:paraId="1F4B340B" w14:textId="77777777" w:rsidTr="00EE024A">
        <w:trPr>
          <w:trHeight w:val="227"/>
        </w:trPr>
        <w:tc>
          <w:tcPr>
            <w:tcW w:w="9330" w:type="dxa"/>
            <w:gridSpan w:val="4"/>
            <w:tcBorders>
              <w:top w:val="single" w:sz="4" w:space="0" w:color="auto"/>
              <w:left w:val="nil"/>
              <w:bottom w:val="nil"/>
              <w:right w:val="nil"/>
            </w:tcBorders>
            <w:vAlign w:val="center"/>
          </w:tcPr>
          <w:p w14:paraId="018638B8" w14:textId="11D5BE31" w:rsidR="001762EE" w:rsidRDefault="001762EE" w:rsidP="00CF29C4">
            <w:pPr>
              <w:spacing w:before="40" w:after="40"/>
              <w:ind w:left="-28" w:right="-57"/>
              <w:rPr>
                <w:sz w:val="19"/>
                <w:szCs w:val="19"/>
              </w:rPr>
            </w:pPr>
            <w:r w:rsidRPr="00EE024A">
              <w:rPr>
                <w:sz w:val="20"/>
                <w:szCs w:val="20"/>
                <w:vertAlign w:val="superscript"/>
              </w:rPr>
              <w:t>/a</w:t>
            </w:r>
            <w:r>
              <w:rPr>
                <w:sz w:val="20"/>
                <w:szCs w:val="20"/>
                <w:vertAlign w:val="superscript"/>
              </w:rPr>
              <w:t xml:space="preserve">  </w:t>
            </w:r>
            <w:r w:rsidRPr="00835656">
              <w:rPr>
                <w:sz w:val="19"/>
                <w:szCs w:val="19"/>
              </w:rPr>
              <w:t xml:space="preserve">Debt management is stated as a task of the Bureau of </w:t>
            </w:r>
            <w:r w:rsidR="00775465">
              <w:rPr>
                <w:sz w:val="19"/>
                <w:szCs w:val="19"/>
              </w:rPr>
              <w:t xml:space="preserve">the </w:t>
            </w:r>
            <w:r w:rsidRPr="00835656">
              <w:rPr>
                <w:sz w:val="19"/>
                <w:szCs w:val="19"/>
              </w:rPr>
              <w:t>Treasury (BTr), but is not otherwise specified.</w:t>
            </w:r>
          </w:p>
          <w:p w14:paraId="420D9CF5" w14:textId="18A1D8CF" w:rsidR="001762EE" w:rsidRPr="00EE024A" w:rsidRDefault="001762EE" w:rsidP="00906A21">
            <w:pPr>
              <w:keepNext/>
              <w:keepLines/>
              <w:spacing w:before="40" w:after="40"/>
              <w:ind w:left="-28" w:right="-57"/>
              <w:outlineLvl w:val="7"/>
              <w:rPr>
                <w:sz w:val="20"/>
                <w:szCs w:val="20"/>
                <w:vertAlign w:val="superscript"/>
              </w:rPr>
            </w:pPr>
            <w:r w:rsidRPr="00EE024A">
              <w:rPr>
                <w:sz w:val="20"/>
                <w:szCs w:val="20"/>
                <w:vertAlign w:val="superscript"/>
              </w:rPr>
              <w:t>/b</w:t>
            </w:r>
            <w:r>
              <w:rPr>
                <w:sz w:val="20"/>
                <w:szCs w:val="20"/>
                <w:vertAlign w:val="superscript"/>
              </w:rPr>
              <w:t xml:space="preserve"> </w:t>
            </w:r>
            <w:r w:rsidRPr="00EE024A">
              <w:rPr>
                <w:sz w:val="20"/>
                <w:szCs w:val="20"/>
              </w:rPr>
              <w:t xml:space="preserve"> </w:t>
            </w:r>
            <w:r w:rsidRPr="00835656">
              <w:rPr>
                <w:sz w:val="19"/>
                <w:szCs w:val="19"/>
              </w:rPr>
              <w:t xml:space="preserve">A requirement to review and appraise asset management systems is stated for two departments (Agrarian </w:t>
            </w:r>
            <w:r>
              <w:rPr>
                <w:sz w:val="19"/>
                <w:szCs w:val="19"/>
              </w:rPr>
              <w:t>R</w:t>
            </w:r>
            <w:r w:rsidRPr="00835656">
              <w:rPr>
                <w:sz w:val="19"/>
                <w:szCs w:val="19"/>
              </w:rPr>
              <w:t xml:space="preserve">eform, and Public Works and Highways), but not across </w:t>
            </w:r>
            <w:r>
              <w:rPr>
                <w:sz w:val="19"/>
                <w:szCs w:val="19"/>
              </w:rPr>
              <w:t>national government agencies</w:t>
            </w:r>
            <w:r w:rsidRPr="00835656">
              <w:rPr>
                <w:sz w:val="19"/>
                <w:szCs w:val="19"/>
              </w:rPr>
              <w:t xml:space="preserve"> or as an oversight function.</w:t>
            </w:r>
          </w:p>
        </w:tc>
      </w:tr>
    </w:tbl>
    <w:p w14:paraId="20FDDADB" w14:textId="77777777" w:rsidR="001762EE" w:rsidRPr="005A497D" w:rsidRDefault="001762EE" w:rsidP="001D16CD">
      <w:pPr>
        <w:pStyle w:val="ListParagraph"/>
        <w:tabs>
          <w:tab w:val="left" w:pos="720"/>
        </w:tabs>
        <w:autoSpaceDE w:val="0"/>
        <w:autoSpaceDN w:val="0"/>
        <w:adjustRightInd w:val="0"/>
        <w:spacing w:after="0" w:line="240" w:lineRule="auto"/>
        <w:ind w:left="0" w:firstLine="0"/>
        <w:contextualSpacing w:val="0"/>
        <w:jc w:val="both"/>
      </w:pPr>
    </w:p>
    <w:p w14:paraId="45C1B95B" w14:textId="24149440" w:rsidR="001762EE" w:rsidRPr="00015E0E" w:rsidRDefault="001762EE" w:rsidP="00EE024A">
      <w:pPr>
        <w:pStyle w:val="ListParagraph"/>
        <w:numPr>
          <w:ilvl w:val="0"/>
          <w:numId w:val="10"/>
        </w:numPr>
        <w:tabs>
          <w:tab w:val="left" w:pos="720"/>
        </w:tabs>
        <w:autoSpaceDE w:val="0"/>
        <w:autoSpaceDN w:val="0"/>
        <w:adjustRightInd w:val="0"/>
        <w:spacing w:after="0" w:line="240" w:lineRule="auto"/>
        <w:ind w:left="0" w:firstLine="0"/>
        <w:jc w:val="both"/>
      </w:pPr>
      <w:r w:rsidRPr="00EE024A">
        <w:rPr>
          <w:b/>
        </w:rPr>
        <w:t>In 2015, two bills were separately submitted to the House of Representatives and the Senate, respectively, to enforce greater accountability in PFM by strengthening Congressional power of the purse, instituting an integrated PFM system, and increasing budget transparency and participation.</w:t>
      </w:r>
      <w:r w:rsidRPr="005A497D">
        <w:t xml:space="preserve"> The</w:t>
      </w:r>
      <w:r>
        <w:t xml:space="preserve">se bills (HB 6117 submitted September 8, 2015; and SB 2719 submitted on April 14, 2015) were intended to fill the deficiency of a PFM Framework Law and </w:t>
      </w:r>
      <w:r w:rsidRPr="005A497D">
        <w:t xml:space="preserve">seek to institutionalize the various budget cycle reforms introduced in recent years, harmonize and standardize the current mix of laws and regulations, and address the budget weaknesses identified by the Supreme Court in its July 2014 ruling on the Disbursement Acceleration Program. The law </w:t>
      </w:r>
      <w:r>
        <w:t>also included provisions to establish the Office of the Comptroller General in DBM and the position of Comptroller in each national government agencies. Still under deliberation since 2009, a</w:t>
      </w:r>
      <w:r w:rsidRPr="00015E0E">
        <w:t xml:space="preserve"> Freedom of Information Bill </w:t>
      </w:r>
      <w:r>
        <w:t xml:space="preserve">would </w:t>
      </w:r>
      <w:r w:rsidRPr="00015E0E">
        <w:t>give substance to the public information prescriptions of the Constitution</w:t>
      </w:r>
      <w:r>
        <w:t xml:space="preserve"> when issued into law.</w:t>
      </w:r>
    </w:p>
    <w:p w14:paraId="2D95D492" w14:textId="77777777" w:rsidR="001762EE" w:rsidRPr="00D46430" w:rsidRDefault="001762EE" w:rsidP="00EE024A">
      <w:pPr>
        <w:pStyle w:val="ListParagraph"/>
        <w:tabs>
          <w:tab w:val="left" w:pos="720"/>
        </w:tabs>
        <w:autoSpaceDE w:val="0"/>
        <w:autoSpaceDN w:val="0"/>
        <w:adjustRightInd w:val="0"/>
        <w:spacing w:after="0" w:line="240" w:lineRule="auto"/>
        <w:ind w:left="0" w:firstLine="0"/>
        <w:jc w:val="both"/>
        <w:rPr>
          <w:bCs/>
        </w:rPr>
      </w:pPr>
    </w:p>
    <w:bookmarkEnd w:id="24"/>
    <w:p w14:paraId="08A688E7" w14:textId="77777777" w:rsidR="001762EE" w:rsidRDefault="001762EE" w:rsidP="00411651">
      <w:pPr>
        <w:pStyle w:val="Heading3"/>
      </w:pPr>
    </w:p>
    <w:p w14:paraId="6808B86F" w14:textId="51217C57" w:rsidR="001762EE" w:rsidRDefault="001762EE" w:rsidP="00411651">
      <w:pPr>
        <w:pStyle w:val="Heading3"/>
      </w:pPr>
      <w:bookmarkStart w:id="49" w:name="_Toc454811641"/>
      <w:bookmarkStart w:id="50" w:name="_Toc454888786"/>
      <w:r w:rsidRPr="005A497D">
        <w:t xml:space="preserve">2.4 </w:t>
      </w:r>
      <w:r>
        <w:t xml:space="preserve">Institutional arrangements </w:t>
      </w:r>
      <w:r w:rsidRPr="005A497D">
        <w:t>for PFM</w:t>
      </w:r>
      <w:bookmarkEnd w:id="49"/>
      <w:bookmarkEnd w:id="50"/>
    </w:p>
    <w:p w14:paraId="08A6BBF6" w14:textId="77777777" w:rsidR="001762EE" w:rsidRPr="005A497D" w:rsidRDefault="001762EE" w:rsidP="00FD05D3">
      <w:pPr>
        <w:tabs>
          <w:tab w:val="left" w:pos="720"/>
        </w:tabs>
        <w:autoSpaceDE w:val="0"/>
        <w:autoSpaceDN w:val="0"/>
        <w:adjustRightInd w:val="0"/>
        <w:jc w:val="both"/>
        <w:rPr>
          <w:u w:val="single"/>
        </w:rPr>
      </w:pPr>
    </w:p>
    <w:p w14:paraId="602391C5" w14:textId="790B9B21" w:rsidR="001762EE" w:rsidRPr="005A497D" w:rsidRDefault="001762EE" w:rsidP="005A03CD">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900FE2">
        <w:rPr>
          <w:lang w:val="en"/>
        </w:rPr>
        <w:t>Executive Order No. 55 signed by President Benigno S. Aquino on September 6, 2011</w:t>
      </w:r>
      <w:r>
        <w:rPr>
          <w:lang w:val="en"/>
        </w:rPr>
        <w:t>,</w:t>
      </w:r>
      <w:r w:rsidRPr="00900FE2">
        <w:rPr>
          <w:lang w:val="en"/>
        </w:rPr>
        <w:t xml:space="preserve"> </w:t>
      </w:r>
      <w:r w:rsidR="00811A05">
        <w:rPr>
          <w:lang w:val="en"/>
        </w:rPr>
        <w:t xml:space="preserve">established </w:t>
      </w:r>
      <w:r>
        <w:rPr>
          <w:lang w:val="en"/>
        </w:rPr>
        <w:t>a</w:t>
      </w:r>
      <w:r w:rsidRPr="00900FE2">
        <w:rPr>
          <w:lang w:val="en"/>
        </w:rPr>
        <w:t xml:space="preserve"> PFM Committee composed of the Commission on Audit, Department of Budget and Management, Department of Finance</w:t>
      </w:r>
      <w:r>
        <w:rPr>
          <w:lang w:val="en"/>
        </w:rPr>
        <w:t>,</w:t>
      </w:r>
      <w:r w:rsidRPr="00900FE2">
        <w:rPr>
          <w:lang w:val="en"/>
        </w:rPr>
        <w:t xml:space="preserve"> and Bureau of Treasury </w:t>
      </w:r>
      <w:r w:rsidR="00811A05">
        <w:rPr>
          <w:lang w:val="en"/>
        </w:rPr>
        <w:t xml:space="preserve">and authorized it </w:t>
      </w:r>
      <w:r w:rsidRPr="00900FE2">
        <w:rPr>
          <w:lang w:val="en"/>
        </w:rPr>
        <w:t xml:space="preserve">to oversee </w:t>
      </w:r>
      <w:r w:rsidR="00811A05">
        <w:rPr>
          <w:lang w:val="en"/>
        </w:rPr>
        <w:t xml:space="preserve">the implementation of </w:t>
      </w:r>
      <w:r w:rsidRPr="004C3014">
        <w:rPr>
          <w:lang w:val="en"/>
        </w:rPr>
        <w:t xml:space="preserve">the </w:t>
      </w:r>
      <w:r w:rsidRPr="004C3014">
        <w:rPr>
          <w:i/>
          <w:iCs/>
          <w:lang w:val="en"/>
        </w:rPr>
        <w:t>Philippine PFM Reform Roadmap: Towards Improved Accountability and Transparency (2011-2016</w:t>
      </w:r>
      <w:r>
        <w:rPr>
          <w:lang w:val="en"/>
        </w:rPr>
        <w:t>)</w:t>
      </w:r>
      <w:r w:rsidR="00811A05">
        <w:rPr>
          <w:lang w:val="en"/>
        </w:rPr>
        <w:t xml:space="preserve"> especially the </w:t>
      </w:r>
      <w:r w:rsidR="00811A05" w:rsidRPr="00900FE2">
        <w:rPr>
          <w:lang w:val="en"/>
        </w:rPr>
        <w:t>integration and automation of government finan</w:t>
      </w:r>
      <w:r w:rsidR="00811A05">
        <w:rPr>
          <w:lang w:val="en"/>
        </w:rPr>
        <w:t>cial systems</w:t>
      </w:r>
      <w:r w:rsidRPr="00900FE2">
        <w:rPr>
          <w:lang w:val="en"/>
        </w:rPr>
        <w:t>.</w:t>
      </w:r>
      <w:r w:rsidRPr="00900FE2">
        <w:t xml:space="preserve"> </w:t>
      </w:r>
      <w:r w:rsidRPr="005A497D">
        <w:t xml:space="preserve">The </w:t>
      </w:r>
      <w:r>
        <w:t xml:space="preserve">roles played by these </w:t>
      </w:r>
      <w:r w:rsidRPr="005A497D">
        <w:t xml:space="preserve">key </w:t>
      </w:r>
      <w:r>
        <w:t xml:space="preserve">Government </w:t>
      </w:r>
      <w:r w:rsidRPr="005A497D">
        <w:t xml:space="preserve">agencies </w:t>
      </w:r>
      <w:r>
        <w:t>in PFM are described as follows</w:t>
      </w:r>
      <w:r w:rsidRPr="005A497D">
        <w:t>:</w:t>
      </w:r>
    </w:p>
    <w:p w14:paraId="4F9C1339" w14:textId="77777777" w:rsidR="001762EE" w:rsidRPr="005A497D" w:rsidRDefault="001762EE" w:rsidP="00FD05D3">
      <w:pPr>
        <w:tabs>
          <w:tab w:val="left" w:pos="720"/>
        </w:tabs>
        <w:autoSpaceDE w:val="0"/>
        <w:autoSpaceDN w:val="0"/>
        <w:adjustRightInd w:val="0"/>
        <w:jc w:val="both"/>
      </w:pPr>
    </w:p>
    <w:p w14:paraId="319A57B0" w14:textId="311C09BA" w:rsidR="001762EE" w:rsidRDefault="001762EE" w:rsidP="005A03CD">
      <w:pPr>
        <w:pStyle w:val="ListParagraph"/>
        <w:numPr>
          <w:ilvl w:val="0"/>
          <w:numId w:val="13"/>
        </w:numPr>
        <w:tabs>
          <w:tab w:val="left" w:pos="720"/>
        </w:tabs>
        <w:autoSpaceDE w:val="0"/>
        <w:autoSpaceDN w:val="0"/>
        <w:adjustRightInd w:val="0"/>
        <w:spacing w:after="0" w:line="240" w:lineRule="auto"/>
        <w:ind w:left="357" w:hanging="357"/>
        <w:contextualSpacing w:val="0"/>
        <w:jc w:val="both"/>
      </w:pPr>
      <w:r w:rsidRPr="00EE024A">
        <w:rPr>
          <w:b/>
          <w:i/>
        </w:rPr>
        <w:t>Department of Budget and Management</w:t>
      </w:r>
      <w:r>
        <w:rPr>
          <w:b/>
          <w:i/>
        </w:rPr>
        <w:t>.</w:t>
      </w:r>
      <w:r w:rsidRPr="009B40D9">
        <w:t xml:space="preserve"> </w:t>
      </w:r>
      <w:r>
        <w:t>The</w:t>
      </w:r>
      <w:r w:rsidRPr="005A497D">
        <w:t xml:space="preserve"> main </w:t>
      </w:r>
      <w:r>
        <w:t xml:space="preserve">DBM </w:t>
      </w:r>
      <w:r w:rsidRPr="005A497D">
        <w:t xml:space="preserve">functions include </w:t>
      </w:r>
      <w:r>
        <w:t>budget policy, prepar</w:t>
      </w:r>
      <w:r w:rsidRPr="005A497D">
        <w:t xml:space="preserve">ing the annual national budget and medium-term expenditure plan, administering and controlling budget execution through the </w:t>
      </w:r>
      <w:r>
        <w:t xml:space="preserve">national accounting system, exercising the </w:t>
      </w:r>
      <w:r w:rsidRPr="005A497D">
        <w:t>authority to release allotments and cash allocations to spending units</w:t>
      </w:r>
      <w:r w:rsidR="00983D13">
        <w:t xml:space="preserve"> through Notice of Cash allocation</w:t>
      </w:r>
      <w:r w:rsidRPr="005A497D">
        <w:t xml:space="preserve">, overseeing the </w:t>
      </w:r>
      <w:r>
        <w:t>government</w:t>
      </w:r>
      <w:r w:rsidRPr="005A497D">
        <w:t xml:space="preserve"> compensation and position classification plan, and monitoring </w:t>
      </w:r>
      <w:r w:rsidR="00151BA0">
        <w:t xml:space="preserve">of LGU and GOCC </w:t>
      </w:r>
      <w:r w:rsidRPr="005A497D">
        <w:t xml:space="preserve">physical and financial operations. </w:t>
      </w:r>
      <w:r>
        <w:t xml:space="preserve">The Department also </w:t>
      </w:r>
      <w:r w:rsidRPr="00707B0B">
        <w:t>promulgate</w:t>
      </w:r>
      <w:r>
        <w:t>s rules, regulations, and</w:t>
      </w:r>
      <w:r w:rsidRPr="00707B0B">
        <w:t xml:space="preserve"> circulars for strengthening the internal control systems of government</w:t>
      </w:r>
      <w:r>
        <w:t xml:space="preserve"> and the organization of the Internal Audit Service.</w:t>
      </w:r>
      <w:r w:rsidRPr="005A497D">
        <w:t xml:space="preserve"> </w:t>
      </w:r>
      <w:r>
        <w:t>The</w:t>
      </w:r>
      <w:r w:rsidRPr="005A497D">
        <w:t xml:space="preserve"> Government Procurement Policy Board </w:t>
      </w:r>
      <w:r>
        <w:t xml:space="preserve">(GPPB) </w:t>
      </w:r>
      <w:r w:rsidRPr="005A497D">
        <w:t>Technical Support Office is</w:t>
      </w:r>
      <w:r>
        <w:t xml:space="preserve"> an</w:t>
      </w:r>
      <w:r w:rsidRPr="005A497D">
        <w:t xml:space="preserve"> attached agency under </w:t>
      </w:r>
      <w:r>
        <w:t>the Department</w:t>
      </w:r>
      <w:r w:rsidRPr="005A497D">
        <w:t>.</w:t>
      </w:r>
    </w:p>
    <w:p w14:paraId="4C3E2F3B" w14:textId="77777777" w:rsidR="001762EE" w:rsidRPr="005A497D" w:rsidRDefault="001762EE" w:rsidP="001D16CD">
      <w:pPr>
        <w:pStyle w:val="ListParagraph"/>
        <w:tabs>
          <w:tab w:val="left" w:pos="720"/>
        </w:tabs>
        <w:autoSpaceDE w:val="0"/>
        <w:autoSpaceDN w:val="0"/>
        <w:adjustRightInd w:val="0"/>
        <w:spacing w:after="0" w:line="240" w:lineRule="auto"/>
        <w:ind w:left="357" w:firstLine="0"/>
        <w:contextualSpacing w:val="0"/>
        <w:jc w:val="both"/>
      </w:pPr>
    </w:p>
    <w:p w14:paraId="0922B696" w14:textId="269C5A70" w:rsidR="001762EE" w:rsidRDefault="001762EE" w:rsidP="005A03CD">
      <w:pPr>
        <w:pStyle w:val="ListParagraph"/>
        <w:numPr>
          <w:ilvl w:val="0"/>
          <w:numId w:val="13"/>
        </w:numPr>
        <w:tabs>
          <w:tab w:val="left" w:pos="720"/>
        </w:tabs>
        <w:autoSpaceDE w:val="0"/>
        <w:autoSpaceDN w:val="0"/>
        <w:adjustRightInd w:val="0"/>
        <w:spacing w:after="0" w:line="240" w:lineRule="auto"/>
        <w:ind w:left="357" w:hanging="357"/>
        <w:contextualSpacing w:val="0"/>
        <w:jc w:val="both"/>
      </w:pPr>
      <w:r w:rsidRPr="00EE024A">
        <w:rPr>
          <w:b/>
          <w:i/>
        </w:rPr>
        <w:t>Department of Finance.</w:t>
      </w:r>
      <w:r w:rsidRPr="005A497D">
        <w:t xml:space="preserve"> </w:t>
      </w:r>
      <w:r>
        <w:t>The Department of Finance</w:t>
      </w:r>
      <w:r w:rsidRPr="005A497D">
        <w:t xml:space="preserve"> is in charge of the </w:t>
      </w:r>
      <w:r>
        <w:t>Government’s</w:t>
      </w:r>
      <w:r w:rsidRPr="005A497D">
        <w:t xml:space="preserve"> fiscal policies, oversees the Bureau of Internal Revenues (BIR) and Bureau of Customs (BoC), and manages cash resources and public debt through the Bureau of Treasury (BTr). </w:t>
      </w:r>
      <w:r>
        <w:t>W</w:t>
      </w:r>
      <w:r w:rsidRPr="005A497D">
        <w:t xml:space="preserve">ith </w:t>
      </w:r>
      <w:r>
        <w:t>the Department of Budget and Management,</w:t>
      </w:r>
      <w:r w:rsidRPr="005A497D">
        <w:t xml:space="preserve"> </w:t>
      </w:r>
      <w:r>
        <w:t>the Bureau of Treasury</w:t>
      </w:r>
      <w:r w:rsidRPr="005A497D">
        <w:t xml:space="preserve"> coordinates the allowable cash disbursements to </w:t>
      </w:r>
      <w:r>
        <w:t>national government agencies</w:t>
      </w:r>
      <w:r w:rsidRPr="005A497D">
        <w:t xml:space="preserve"> for budget execution. Also, </w:t>
      </w:r>
      <w:r>
        <w:t xml:space="preserve">the </w:t>
      </w:r>
      <w:r w:rsidRPr="005A497D">
        <w:t xml:space="preserve">DoF Corporate Affairs Group supervises selected GOCCs and oversees fiscal and financial affairs of </w:t>
      </w:r>
      <w:r>
        <w:t>local government units</w:t>
      </w:r>
      <w:r w:rsidRPr="005A497D">
        <w:t xml:space="preserve"> through the Bureau of Local Government Finance (BLGF).</w:t>
      </w:r>
    </w:p>
    <w:p w14:paraId="5D7E2AD6" w14:textId="77777777" w:rsidR="001762EE" w:rsidRPr="005A497D" w:rsidRDefault="001762EE" w:rsidP="001D16CD">
      <w:pPr>
        <w:pStyle w:val="ListParagraph"/>
        <w:tabs>
          <w:tab w:val="left" w:pos="720"/>
        </w:tabs>
        <w:autoSpaceDE w:val="0"/>
        <w:autoSpaceDN w:val="0"/>
        <w:adjustRightInd w:val="0"/>
        <w:spacing w:after="0" w:line="240" w:lineRule="auto"/>
        <w:ind w:left="357" w:firstLine="0"/>
        <w:contextualSpacing w:val="0"/>
        <w:jc w:val="both"/>
      </w:pPr>
    </w:p>
    <w:p w14:paraId="06428059" w14:textId="7F289CB0" w:rsidR="001762EE" w:rsidRPr="001D16CD" w:rsidRDefault="001762EE" w:rsidP="005A03CD">
      <w:pPr>
        <w:pStyle w:val="ListParagraph"/>
        <w:numPr>
          <w:ilvl w:val="0"/>
          <w:numId w:val="13"/>
        </w:numPr>
        <w:tabs>
          <w:tab w:val="left" w:pos="720"/>
        </w:tabs>
        <w:autoSpaceDE w:val="0"/>
        <w:autoSpaceDN w:val="0"/>
        <w:adjustRightInd w:val="0"/>
        <w:spacing w:after="0" w:line="240" w:lineRule="auto"/>
        <w:ind w:left="357" w:hanging="357"/>
        <w:contextualSpacing w:val="0"/>
        <w:jc w:val="both"/>
      </w:pPr>
      <w:r w:rsidRPr="00EE024A">
        <w:rPr>
          <w:b/>
          <w:i/>
        </w:rPr>
        <w:t>Commission on Audit.</w:t>
      </w:r>
      <w:r w:rsidRPr="005A497D">
        <w:t xml:space="preserve"> </w:t>
      </w:r>
      <w:r>
        <w:t xml:space="preserve">The Commission on Audit </w:t>
      </w:r>
      <w:r w:rsidRPr="005A497D">
        <w:t>is a constitutional body charged with the external audit of all state entities</w:t>
      </w:r>
      <w:r>
        <w:t>’ accounts</w:t>
      </w:r>
      <w:r w:rsidRPr="005A497D">
        <w:t xml:space="preserve"> </w:t>
      </w:r>
      <w:r>
        <w:t>and with</w:t>
      </w:r>
      <w:r w:rsidRPr="002F3609">
        <w:t xml:space="preserve"> </w:t>
      </w:r>
      <w:r>
        <w:t>promulgating</w:t>
      </w:r>
      <w:r w:rsidRPr="005A497D">
        <w:t xml:space="preserve"> accounting and auditing rules and regulations</w:t>
      </w:r>
      <w:r>
        <w:t xml:space="preserve">. It </w:t>
      </w:r>
      <w:r w:rsidRPr="002F3609">
        <w:t>keeps the general accounts of the Government and</w:t>
      </w:r>
      <w:r w:rsidRPr="005A497D">
        <w:t xml:space="preserve"> submit</w:t>
      </w:r>
      <w:r>
        <w:t>s</w:t>
      </w:r>
      <w:r w:rsidRPr="005A497D">
        <w:t xml:space="preserve"> an </w:t>
      </w:r>
      <w:r>
        <w:t>Annual Financial Report</w:t>
      </w:r>
      <w:r w:rsidRPr="002F3609">
        <w:t xml:space="preserve"> </w:t>
      </w:r>
      <w:r w:rsidRPr="005A497D">
        <w:t>to the President and Congress.</w:t>
      </w:r>
      <w:r w:rsidRPr="005A497D">
        <w:rPr>
          <w:rStyle w:val="EndnoteReference"/>
        </w:rPr>
        <w:endnoteReference w:id="4"/>
      </w:r>
      <w:r w:rsidRPr="005A497D">
        <w:t xml:space="preserve"> </w:t>
      </w:r>
    </w:p>
    <w:p w14:paraId="44F3F155" w14:textId="77777777" w:rsidR="001762EE" w:rsidRPr="005A497D" w:rsidRDefault="001762EE" w:rsidP="001D16CD">
      <w:pPr>
        <w:pStyle w:val="ListParagraph"/>
        <w:tabs>
          <w:tab w:val="left" w:pos="720"/>
        </w:tabs>
        <w:autoSpaceDE w:val="0"/>
        <w:autoSpaceDN w:val="0"/>
        <w:adjustRightInd w:val="0"/>
        <w:spacing w:after="0" w:line="240" w:lineRule="auto"/>
        <w:ind w:left="357" w:firstLine="0"/>
        <w:contextualSpacing w:val="0"/>
        <w:jc w:val="both"/>
      </w:pPr>
    </w:p>
    <w:p w14:paraId="43E4D62F" w14:textId="7F588860" w:rsidR="001762EE" w:rsidRPr="005A497D" w:rsidRDefault="001762EE" w:rsidP="005A03CD">
      <w:pPr>
        <w:pStyle w:val="ListParagraph"/>
        <w:numPr>
          <w:ilvl w:val="0"/>
          <w:numId w:val="13"/>
        </w:numPr>
        <w:tabs>
          <w:tab w:val="left" w:pos="720"/>
        </w:tabs>
        <w:autoSpaceDE w:val="0"/>
        <w:autoSpaceDN w:val="0"/>
        <w:adjustRightInd w:val="0"/>
        <w:spacing w:after="0" w:line="240" w:lineRule="auto"/>
        <w:ind w:left="357" w:hanging="357"/>
        <w:contextualSpacing w:val="0"/>
        <w:jc w:val="both"/>
      </w:pPr>
      <w:r w:rsidRPr="00EE024A">
        <w:rPr>
          <w:b/>
          <w:i/>
        </w:rPr>
        <w:t>National Economic and Development Authority</w:t>
      </w:r>
      <w:r>
        <w:t>.</w:t>
      </w:r>
      <w:r w:rsidRPr="005A497D">
        <w:t xml:space="preserve"> </w:t>
      </w:r>
      <w:r>
        <w:t xml:space="preserve"> The Authority</w:t>
      </w:r>
      <w:r w:rsidRPr="005A497D">
        <w:t xml:space="preserve"> formulates the medium-term Philippine Development Plan and Public Investment Programs and related annual plans</w:t>
      </w:r>
      <w:r>
        <w:t xml:space="preserve"> and </w:t>
      </w:r>
      <w:r w:rsidRPr="005A497D">
        <w:t xml:space="preserve">programs, and coordinates programming of official development assistance. </w:t>
      </w:r>
      <w:r>
        <w:t xml:space="preserve">The </w:t>
      </w:r>
      <w:r w:rsidRPr="005A497D">
        <w:t xml:space="preserve">NEDA Board, which is chaired by the President and has most secretaries as members, approves projects costing more than </w:t>
      </w:r>
      <w:r w:rsidR="00E812CC">
        <w:t>Php 1 billion (</w:t>
      </w:r>
      <w:r w:rsidRPr="005A497D">
        <w:t>about US$</w:t>
      </w:r>
      <w:r w:rsidR="00E812CC">
        <w:t xml:space="preserve"> 21.4</w:t>
      </w:r>
      <w:r w:rsidRPr="005A497D">
        <w:t xml:space="preserve"> million</w:t>
      </w:r>
      <w:r w:rsidR="00E812CC">
        <w:t>)</w:t>
      </w:r>
      <w:r w:rsidRPr="005A497D">
        <w:t xml:space="preserve"> </w:t>
      </w:r>
      <w:r w:rsidR="008D080C">
        <w:t>except if ICC approval is otherwise required by law e.g. projects requiring National Government borrowing or guarantee etc</w:t>
      </w:r>
      <w:r w:rsidRPr="005A497D">
        <w:t xml:space="preserve">. </w:t>
      </w:r>
      <w:r w:rsidR="005428F9">
        <w:t xml:space="preserve">Seven inter-agency committees assist the </w:t>
      </w:r>
      <w:r>
        <w:t xml:space="preserve">NEDA </w:t>
      </w:r>
      <w:r w:rsidRPr="005A497D">
        <w:t>Board</w:t>
      </w:r>
      <w:r>
        <w:t xml:space="preserve">: </w:t>
      </w:r>
      <w:r w:rsidRPr="00EE024A">
        <w:t>development budget coordination, infrastructure, investment coordination, social development, tariffs, regional development, and national land use</w:t>
      </w:r>
      <w:r w:rsidRPr="00835656">
        <w:rPr>
          <w:sz w:val="19"/>
          <w:szCs w:val="19"/>
        </w:rPr>
        <w:t>.</w:t>
      </w:r>
    </w:p>
    <w:p w14:paraId="3CF999C6" w14:textId="77777777" w:rsidR="001762EE" w:rsidRPr="005A497D" w:rsidRDefault="001762EE" w:rsidP="00FD05D3">
      <w:pPr>
        <w:pStyle w:val="ListParagraph"/>
        <w:tabs>
          <w:tab w:val="left" w:pos="720"/>
        </w:tabs>
        <w:autoSpaceDE w:val="0"/>
        <w:autoSpaceDN w:val="0"/>
        <w:adjustRightInd w:val="0"/>
        <w:spacing w:after="0" w:line="240" w:lineRule="auto"/>
        <w:ind w:left="0" w:firstLine="0"/>
        <w:jc w:val="both"/>
      </w:pPr>
    </w:p>
    <w:p w14:paraId="4E8D0C75" w14:textId="0274C4B6" w:rsidR="001762EE" w:rsidRPr="005A497D" w:rsidRDefault="001762EE" w:rsidP="005A03CD">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EE024A">
        <w:rPr>
          <w:b/>
        </w:rPr>
        <w:t xml:space="preserve">The institutional set-up for PFM has two unusual attributes. </w:t>
      </w:r>
      <w:r w:rsidRPr="005E7F65">
        <w:t>First</w:t>
      </w:r>
      <w:r w:rsidRPr="00645256">
        <w:t xml:space="preserve">, the dual external auditing and accounting roles of </w:t>
      </w:r>
      <w:r w:rsidRPr="003467AE">
        <w:t xml:space="preserve">the </w:t>
      </w:r>
      <w:r w:rsidRPr="008C7084">
        <w:t xml:space="preserve">Commission on Audit are considered conflicting </w:t>
      </w:r>
      <w:r w:rsidRPr="002425DA">
        <w:t>under international standards</w:t>
      </w:r>
      <w:r w:rsidRPr="00B73428">
        <w:t>;</w:t>
      </w:r>
      <w:r w:rsidRPr="00015E0E">
        <w:t xml:space="preserve"> the preferred arrangement is for </w:t>
      </w:r>
      <w:r>
        <w:t xml:space="preserve">an </w:t>
      </w:r>
      <w:r w:rsidRPr="00015E0E">
        <w:t xml:space="preserve">audit to be independent of any administrative role in government. Second, the division of tasks between </w:t>
      </w:r>
      <w:r>
        <w:t>the Department of Budget and Management</w:t>
      </w:r>
      <w:r w:rsidRPr="00015E0E">
        <w:t xml:space="preserve"> and </w:t>
      </w:r>
      <w:r>
        <w:t xml:space="preserve">Department of Finance is also </w:t>
      </w:r>
      <w:r w:rsidR="00983D13">
        <w:t>overlapping</w:t>
      </w:r>
      <w:r>
        <w:t>;</w:t>
      </w:r>
      <w:r w:rsidRPr="00015E0E">
        <w:t xml:space="preserve"> in many jurisdictions, though not all, fiscal, budgetary</w:t>
      </w:r>
      <w:r w:rsidRPr="005A497D">
        <w:t>, cash</w:t>
      </w:r>
      <w:r>
        <w:t>,</w:t>
      </w:r>
      <w:r w:rsidRPr="005A497D">
        <w:t xml:space="preserve"> and debt management tasks are placed within the same entity. W</w:t>
      </w:r>
      <w:r>
        <w:t xml:space="preserve">ith </w:t>
      </w:r>
      <w:r w:rsidRPr="005A497D">
        <w:t xml:space="preserve">the </w:t>
      </w:r>
      <w:r>
        <w:t xml:space="preserve">current </w:t>
      </w:r>
      <w:r w:rsidRPr="005A497D">
        <w:t>institutional framework involv</w:t>
      </w:r>
      <w:r>
        <w:t>ing</w:t>
      </w:r>
      <w:r w:rsidRPr="005A497D">
        <w:t xml:space="preserve"> more than one oversight agency in different aspects of the PFM cycle</w:t>
      </w:r>
      <w:r>
        <w:t>,</w:t>
      </w:r>
      <w:r w:rsidRPr="005A497D">
        <w:t xml:space="preserve"> close coordination </w:t>
      </w:r>
      <w:r>
        <w:t>is a necessity and an obvious challenge</w:t>
      </w:r>
      <w:r w:rsidRPr="005A497D">
        <w:t>.</w:t>
      </w:r>
    </w:p>
    <w:p w14:paraId="1423C1F1" w14:textId="77777777" w:rsidR="001762EE" w:rsidRPr="005A497D" w:rsidRDefault="001762EE" w:rsidP="00FD05D3">
      <w:pPr>
        <w:pStyle w:val="ListParagraph"/>
        <w:tabs>
          <w:tab w:val="left" w:pos="720"/>
        </w:tabs>
        <w:autoSpaceDE w:val="0"/>
        <w:autoSpaceDN w:val="0"/>
        <w:adjustRightInd w:val="0"/>
        <w:spacing w:after="0" w:line="240" w:lineRule="auto"/>
        <w:ind w:left="0" w:firstLine="0"/>
        <w:contextualSpacing w:val="0"/>
        <w:jc w:val="both"/>
      </w:pPr>
    </w:p>
    <w:p w14:paraId="3AD4016F" w14:textId="77777777" w:rsidR="001762EE" w:rsidRDefault="001762EE" w:rsidP="00FD05D3">
      <w:pPr>
        <w:pStyle w:val="ListParagraph"/>
        <w:tabs>
          <w:tab w:val="left" w:pos="720"/>
        </w:tabs>
        <w:autoSpaceDE w:val="0"/>
        <w:autoSpaceDN w:val="0"/>
        <w:adjustRightInd w:val="0"/>
        <w:spacing w:after="0" w:line="240" w:lineRule="auto"/>
        <w:ind w:left="0" w:firstLine="0"/>
        <w:jc w:val="both"/>
        <w:rPr>
          <w:b/>
          <w:i/>
        </w:rPr>
      </w:pPr>
      <w:r w:rsidRPr="00350834">
        <w:rPr>
          <w:b/>
          <w:i/>
        </w:rPr>
        <w:t>Key Features of the PFM system</w:t>
      </w:r>
    </w:p>
    <w:p w14:paraId="7597DAE0" w14:textId="77777777" w:rsidR="001762EE" w:rsidRPr="00350834" w:rsidRDefault="001762EE" w:rsidP="00FD05D3">
      <w:pPr>
        <w:pStyle w:val="ListParagraph"/>
        <w:tabs>
          <w:tab w:val="left" w:pos="720"/>
        </w:tabs>
        <w:autoSpaceDE w:val="0"/>
        <w:autoSpaceDN w:val="0"/>
        <w:adjustRightInd w:val="0"/>
        <w:spacing w:after="0" w:line="240" w:lineRule="auto"/>
        <w:ind w:left="0" w:firstLine="0"/>
        <w:jc w:val="both"/>
      </w:pPr>
    </w:p>
    <w:p w14:paraId="0D3857FC" w14:textId="3927CD83" w:rsidR="001762EE" w:rsidRDefault="001762EE" w:rsidP="0043657F">
      <w:pPr>
        <w:pStyle w:val="ListParagraph"/>
        <w:numPr>
          <w:ilvl w:val="0"/>
          <w:numId w:val="10"/>
        </w:numPr>
        <w:tabs>
          <w:tab w:val="left" w:pos="720"/>
        </w:tabs>
        <w:autoSpaceDE w:val="0"/>
        <w:autoSpaceDN w:val="0"/>
        <w:adjustRightInd w:val="0"/>
        <w:spacing w:after="0" w:line="240" w:lineRule="auto"/>
        <w:ind w:left="0" w:firstLine="0"/>
        <w:contextualSpacing w:val="0"/>
        <w:jc w:val="both"/>
      </w:pPr>
      <w:r w:rsidRPr="005A497D">
        <w:t xml:space="preserve">As </w:t>
      </w:r>
      <w:r>
        <w:t xml:space="preserve">previously </w:t>
      </w:r>
      <w:r w:rsidRPr="005A497D">
        <w:t xml:space="preserve">described, the </w:t>
      </w:r>
      <w:r>
        <w:t>Government’s</w:t>
      </w:r>
      <w:r w:rsidRPr="005A497D">
        <w:t xml:space="preserve"> PFM system is characterized by tasks being distributed </w:t>
      </w:r>
      <w:r>
        <w:t>among</w:t>
      </w:r>
      <w:r w:rsidRPr="005A497D">
        <w:t xml:space="preserve"> several oversight agencies in a manner that is somewhat unusual by international standards. At the same time</w:t>
      </w:r>
      <w:r>
        <w:t>,</w:t>
      </w:r>
      <w:r w:rsidRPr="005A497D">
        <w:t xml:space="preserve"> the legislative and regulatory framework is fragmented with </w:t>
      </w:r>
      <w:r>
        <w:t>many</w:t>
      </w:r>
      <w:r w:rsidRPr="005A497D">
        <w:t xml:space="preserve"> legislative and regulatory sources. Together this makes governance in the PFM sector challenging.</w:t>
      </w:r>
      <w:r>
        <w:t xml:space="preserve"> </w:t>
      </w:r>
      <w:r w:rsidRPr="005A497D">
        <w:t>Other characteristic</w:t>
      </w:r>
      <w:r>
        <w:t>s</w:t>
      </w:r>
      <w:r w:rsidRPr="005A497D">
        <w:t xml:space="preserve"> of the PFM system include the relatively strong executive control over the budget, which includes both discretionary powers (the right to veto line items), to disburse appropriated funds and reallocate unspent balances as “savings”,</w:t>
      </w:r>
      <w:r w:rsidRPr="0043657F">
        <w:rPr>
          <w:vertAlign w:val="superscript"/>
        </w:rPr>
        <w:endnoteReference w:id="5"/>
      </w:r>
      <w:r w:rsidRPr="005A497D">
        <w:t xml:space="preserve"> and </w:t>
      </w:r>
      <w:r>
        <w:t>the use of substantial</w:t>
      </w:r>
      <w:r w:rsidRPr="005A497D">
        <w:t xml:space="preserve"> discretionary funds </w:t>
      </w:r>
      <w:r>
        <w:t xml:space="preserve">(17 percent of the 2015 budget) </w:t>
      </w:r>
      <w:r w:rsidRPr="005A497D">
        <w:t>in the form of Special Purpose Funds.</w:t>
      </w:r>
      <w:r w:rsidRPr="0043657F">
        <w:rPr>
          <w:vertAlign w:val="superscript"/>
        </w:rPr>
        <w:endnoteReference w:id="6"/>
      </w:r>
      <w:r w:rsidRPr="0043657F">
        <w:rPr>
          <w:vertAlign w:val="superscript"/>
        </w:rPr>
        <w:t xml:space="preserve"> </w:t>
      </w:r>
      <w:r>
        <w:t>The highly decentralized nature of government administration through local government units and the substantial assets held through GOCCs are shown in Tables 2.6, 2.7, and 2.8.</w:t>
      </w:r>
    </w:p>
    <w:p w14:paraId="709ECACD" w14:textId="77777777" w:rsidR="001762EE" w:rsidRDefault="001762EE" w:rsidP="00FD05D3">
      <w:pPr>
        <w:pStyle w:val="ListParagraph"/>
        <w:tabs>
          <w:tab w:val="left" w:pos="720"/>
        </w:tabs>
        <w:autoSpaceDE w:val="0"/>
        <w:autoSpaceDN w:val="0"/>
        <w:adjustRightInd w:val="0"/>
        <w:spacing w:after="0" w:line="240" w:lineRule="auto"/>
        <w:ind w:left="0" w:firstLine="0"/>
        <w:contextualSpacing w:val="0"/>
        <w:jc w:val="both"/>
      </w:pPr>
    </w:p>
    <w:p w14:paraId="78C7FD39" w14:textId="54AB3B14" w:rsidR="001762EE" w:rsidRDefault="001762EE" w:rsidP="001D16CD">
      <w:pPr>
        <w:pStyle w:val="PEFATable"/>
        <w:spacing w:after="40"/>
        <w:jc w:val="both"/>
        <w:rPr>
          <w:sz w:val="24"/>
          <w:szCs w:val="24"/>
        </w:rPr>
      </w:pPr>
      <w:bookmarkStart w:id="51" w:name="_Toc454889240"/>
      <w:bookmarkStart w:id="52" w:name="_Toc429682015"/>
      <w:r>
        <w:rPr>
          <w:sz w:val="24"/>
          <w:szCs w:val="24"/>
        </w:rPr>
        <w:t>Table 2.</w:t>
      </w:r>
      <w:r w:rsidR="00D81D66">
        <w:rPr>
          <w:sz w:val="24"/>
          <w:szCs w:val="24"/>
        </w:rPr>
        <w:t>8</w:t>
      </w:r>
      <w:r w:rsidRPr="005A497D">
        <w:rPr>
          <w:sz w:val="24"/>
          <w:szCs w:val="24"/>
        </w:rPr>
        <w:t>: Structure of the Public Sector</w:t>
      </w:r>
      <w:bookmarkEnd w:id="51"/>
      <w:r w:rsidRPr="005A497D">
        <w:rPr>
          <w:sz w:val="24"/>
          <w:szCs w:val="24"/>
        </w:rPr>
        <w:t xml:space="preserve"> </w:t>
      </w:r>
      <w:bookmarkEnd w:id="52"/>
    </w:p>
    <w:p w14:paraId="44741758" w14:textId="77777777" w:rsidR="00D018CF" w:rsidRPr="005A497D" w:rsidRDefault="00D018CF" w:rsidP="001D16CD">
      <w:pPr>
        <w:pStyle w:val="PEFATable"/>
        <w:spacing w:after="40"/>
        <w:jc w:val="both"/>
        <w:rPr>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38"/>
        <w:gridCol w:w="1260"/>
        <w:gridCol w:w="1260"/>
        <w:gridCol w:w="1170"/>
        <w:gridCol w:w="2160"/>
        <w:gridCol w:w="2088"/>
      </w:tblGrid>
      <w:tr w:rsidR="001762EE" w:rsidRPr="005A497D" w14:paraId="245ABFB9" w14:textId="77777777" w:rsidTr="00811248">
        <w:tc>
          <w:tcPr>
            <w:tcW w:w="1638" w:type="dxa"/>
            <w:vMerge w:val="restart"/>
            <w:shd w:val="clear" w:color="auto" w:fill="D9D9D9" w:themeFill="background1" w:themeFillShade="D9"/>
            <w:vAlign w:val="center"/>
          </w:tcPr>
          <w:p w14:paraId="04E7DFD8" w14:textId="13D51555" w:rsidR="001762EE" w:rsidRPr="00C06157" w:rsidRDefault="001762EE" w:rsidP="009008FE">
            <w:pPr>
              <w:pStyle w:val="NormalWeb"/>
              <w:autoSpaceDE w:val="0"/>
              <w:autoSpaceDN w:val="0"/>
              <w:adjustRightInd w:val="0"/>
              <w:spacing w:before="40" w:after="40"/>
              <w:jc w:val="center"/>
              <w:rPr>
                <w:b/>
                <w:sz w:val="22"/>
                <w:szCs w:val="22"/>
              </w:rPr>
            </w:pPr>
            <w:r w:rsidRPr="00C06157">
              <w:rPr>
                <w:b/>
                <w:sz w:val="22"/>
                <w:szCs w:val="22"/>
              </w:rPr>
              <w:t>2014</w:t>
            </w:r>
          </w:p>
        </w:tc>
        <w:tc>
          <w:tcPr>
            <w:tcW w:w="7938" w:type="dxa"/>
            <w:gridSpan w:val="5"/>
            <w:shd w:val="clear" w:color="auto" w:fill="D9D9D9" w:themeFill="background1" w:themeFillShade="D9"/>
            <w:vAlign w:val="center"/>
          </w:tcPr>
          <w:p w14:paraId="4AA12D7C" w14:textId="4CB63D0F" w:rsidR="001762EE" w:rsidRPr="00C06157" w:rsidRDefault="001762EE" w:rsidP="009008FE">
            <w:pPr>
              <w:pStyle w:val="NormalWeb"/>
              <w:keepNext/>
              <w:keepLines/>
              <w:autoSpaceDE w:val="0"/>
              <w:autoSpaceDN w:val="0"/>
              <w:adjustRightInd w:val="0"/>
              <w:spacing w:before="40" w:beforeAutospacing="0" w:after="40" w:afterAutospacing="0"/>
              <w:jc w:val="center"/>
              <w:outlineLvl w:val="7"/>
              <w:rPr>
                <w:b/>
                <w:sz w:val="22"/>
                <w:szCs w:val="22"/>
              </w:rPr>
            </w:pPr>
            <w:r w:rsidRPr="00C06157">
              <w:rPr>
                <w:b/>
                <w:sz w:val="22"/>
                <w:szCs w:val="22"/>
              </w:rPr>
              <w:t>(Number of entities and financial turnover)</w:t>
            </w:r>
          </w:p>
        </w:tc>
      </w:tr>
      <w:tr w:rsidR="001762EE" w:rsidRPr="005A497D" w14:paraId="5984330C" w14:textId="77777777" w:rsidTr="00811248">
        <w:tc>
          <w:tcPr>
            <w:tcW w:w="1638" w:type="dxa"/>
            <w:vMerge/>
            <w:shd w:val="clear" w:color="auto" w:fill="D9D9D9" w:themeFill="background1" w:themeFillShade="D9"/>
            <w:vAlign w:val="center"/>
          </w:tcPr>
          <w:p w14:paraId="7859B29C" w14:textId="7120D695"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2520" w:type="dxa"/>
            <w:gridSpan w:val="2"/>
            <w:shd w:val="clear" w:color="auto" w:fill="D9D9D9" w:themeFill="background1" w:themeFillShade="D9"/>
            <w:vAlign w:val="center"/>
          </w:tcPr>
          <w:p w14:paraId="2425F23A" w14:textId="77777777" w:rsidR="001762EE" w:rsidRPr="00C06157" w:rsidRDefault="001762EE" w:rsidP="009008FE">
            <w:pPr>
              <w:pStyle w:val="Annexaa"/>
              <w:spacing w:before="40" w:after="40"/>
              <w:rPr>
                <w:sz w:val="22"/>
                <w:szCs w:val="22"/>
              </w:rPr>
            </w:pPr>
            <w:r w:rsidRPr="00C06157">
              <w:rPr>
                <w:sz w:val="22"/>
                <w:szCs w:val="22"/>
              </w:rPr>
              <w:t>Government Sub-Sector</w:t>
            </w:r>
          </w:p>
        </w:tc>
        <w:tc>
          <w:tcPr>
            <w:tcW w:w="1170" w:type="dxa"/>
            <w:vMerge w:val="restart"/>
            <w:shd w:val="clear" w:color="auto" w:fill="D9D9D9" w:themeFill="background1" w:themeFillShade="D9"/>
            <w:vAlign w:val="center"/>
          </w:tcPr>
          <w:p w14:paraId="5ECA4FBE"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r w:rsidRPr="00C06157">
              <w:rPr>
                <w:b/>
                <w:sz w:val="22"/>
                <w:szCs w:val="22"/>
              </w:rPr>
              <w:t>Social Security Funds</w:t>
            </w:r>
          </w:p>
        </w:tc>
        <w:tc>
          <w:tcPr>
            <w:tcW w:w="4248" w:type="dxa"/>
            <w:gridSpan w:val="2"/>
            <w:shd w:val="clear" w:color="auto" w:fill="D9D9D9" w:themeFill="background1" w:themeFillShade="D9"/>
            <w:vAlign w:val="center"/>
          </w:tcPr>
          <w:p w14:paraId="12622077"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r w:rsidRPr="00C06157">
              <w:rPr>
                <w:b/>
                <w:sz w:val="22"/>
                <w:szCs w:val="22"/>
              </w:rPr>
              <w:t>Public Corporation Sub-Sector</w:t>
            </w:r>
          </w:p>
        </w:tc>
      </w:tr>
      <w:tr w:rsidR="001762EE" w:rsidRPr="005A497D" w14:paraId="484A96B7" w14:textId="77777777" w:rsidTr="00811248">
        <w:tc>
          <w:tcPr>
            <w:tcW w:w="1638" w:type="dxa"/>
            <w:vMerge/>
            <w:tcBorders>
              <w:bottom w:val="double" w:sz="4" w:space="0" w:color="auto"/>
            </w:tcBorders>
            <w:shd w:val="clear" w:color="auto" w:fill="D9D9D9" w:themeFill="background1" w:themeFillShade="D9"/>
            <w:vAlign w:val="center"/>
          </w:tcPr>
          <w:p w14:paraId="3FA72794"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1260" w:type="dxa"/>
            <w:tcBorders>
              <w:bottom w:val="double" w:sz="4" w:space="0" w:color="auto"/>
            </w:tcBorders>
            <w:shd w:val="clear" w:color="auto" w:fill="D9D9D9" w:themeFill="background1" w:themeFillShade="D9"/>
            <w:vAlign w:val="center"/>
          </w:tcPr>
          <w:p w14:paraId="0AA638E7" w14:textId="3CAA7B2E" w:rsidR="001762EE" w:rsidRPr="00C06157" w:rsidRDefault="001762EE" w:rsidP="005E7F65">
            <w:pPr>
              <w:pStyle w:val="NormalWeb"/>
              <w:autoSpaceDE w:val="0"/>
              <w:autoSpaceDN w:val="0"/>
              <w:adjustRightInd w:val="0"/>
              <w:spacing w:before="40" w:beforeAutospacing="0" w:after="40" w:afterAutospacing="0"/>
              <w:jc w:val="center"/>
              <w:rPr>
                <w:b/>
                <w:sz w:val="22"/>
                <w:szCs w:val="22"/>
              </w:rPr>
            </w:pPr>
            <w:r w:rsidRPr="00C06157">
              <w:rPr>
                <w:b/>
                <w:sz w:val="22"/>
                <w:szCs w:val="22"/>
              </w:rPr>
              <w:t>Budgetary units</w:t>
            </w:r>
          </w:p>
        </w:tc>
        <w:tc>
          <w:tcPr>
            <w:tcW w:w="1260" w:type="dxa"/>
            <w:tcBorders>
              <w:bottom w:val="double" w:sz="4" w:space="0" w:color="auto"/>
            </w:tcBorders>
            <w:shd w:val="clear" w:color="auto" w:fill="D9D9D9" w:themeFill="background1" w:themeFillShade="D9"/>
            <w:vAlign w:val="center"/>
          </w:tcPr>
          <w:p w14:paraId="25E1AB1E" w14:textId="2117C3D2" w:rsidR="001762EE" w:rsidRPr="00C06157" w:rsidRDefault="001762EE" w:rsidP="00C04A04">
            <w:pPr>
              <w:pStyle w:val="NormalWeb"/>
              <w:autoSpaceDE w:val="0"/>
              <w:autoSpaceDN w:val="0"/>
              <w:adjustRightInd w:val="0"/>
              <w:spacing w:before="40" w:beforeAutospacing="0" w:after="40" w:afterAutospacing="0"/>
              <w:jc w:val="center"/>
              <w:rPr>
                <w:b/>
                <w:sz w:val="22"/>
                <w:szCs w:val="22"/>
              </w:rPr>
            </w:pPr>
            <w:r w:rsidRPr="00C06157">
              <w:rPr>
                <w:b/>
                <w:sz w:val="22"/>
                <w:szCs w:val="22"/>
              </w:rPr>
              <w:t>Extra-budgetary units</w:t>
            </w:r>
          </w:p>
        </w:tc>
        <w:tc>
          <w:tcPr>
            <w:tcW w:w="1170" w:type="dxa"/>
            <w:vMerge/>
            <w:tcBorders>
              <w:bottom w:val="double" w:sz="4" w:space="0" w:color="auto"/>
            </w:tcBorders>
            <w:shd w:val="clear" w:color="auto" w:fill="D9D9D9" w:themeFill="background1" w:themeFillShade="D9"/>
            <w:vAlign w:val="center"/>
          </w:tcPr>
          <w:p w14:paraId="5D6E7663"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2160" w:type="dxa"/>
            <w:tcBorders>
              <w:bottom w:val="double" w:sz="4" w:space="0" w:color="auto"/>
            </w:tcBorders>
            <w:shd w:val="clear" w:color="auto" w:fill="D9D9D9" w:themeFill="background1" w:themeFillShade="D9"/>
            <w:vAlign w:val="center"/>
          </w:tcPr>
          <w:p w14:paraId="71C0A1A8" w14:textId="7FE622C6" w:rsidR="001762EE" w:rsidRPr="00C06157" w:rsidRDefault="001762EE" w:rsidP="00BE337A">
            <w:pPr>
              <w:pStyle w:val="NormalWeb"/>
              <w:autoSpaceDE w:val="0"/>
              <w:autoSpaceDN w:val="0"/>
              <w:adjustRightInd w:val="0"/>
              <w:spacing w:before="40" w:beforeAutospacing="0" w:after="40" w:afterAutospacing="0"/>
              <w:jc w:val="center"/>
              <w:rPr>
                <w:b/>
                <w:sz w:val="22"/>
                <w:szCs w:val="22"/>
              </w:rPr>
            </w:pPr>
            <w:r w:rsidRPr="00C06157">
              <w:rPr>
                <w:b/>
                <w:sz w:val="22"/>
                <w:szCs w:val="22"/>
              </w:rPr>
              <w:t>Non-financial public corporations</w:t>
            </w:r>
            <w:r w:rsidRPr="00C06157">
              <w:rPr>
                <w:sz w:val="22"/>
                <w:szCs w:val="22"/>
                <w:vertAlign w:val="superscript"/>
              </w:rPr>
              <w:t>/a</w:t>
            </w:r>
          </w:p>
        </w:tc>
        <w:tc>
          <w:tcPr>
            <w:tcW w:w="2088" w:type="dxa"/>
            <w:tcBorders>
              <w:bottom w:val="double" w:sz="4" w:space="0" w:color="auto"/>
            </w:tcBorders>
            <w:shd w:val="clear" w:color="auto" w:fill="D9D9D9" w:themeFill="background1" w:themeFillShade="D9"/>
            <w:vAlign w:val="center"/>
          </w:tcPr>
          <w:p w14:paraId="0606A73E" w14:textId="51EDF91B" w:rsidR="001762EE" w:rsidRPr="00C06157" w:rsidRDefault="001762EE" w:rsidP="00C04A04">
            <w:pPr>
              <w:pStyle w:val="NormalWeb"/>
              <w:autoSpaceDE w:val="0"/>
              <w:autoSpaceDN w:val="0"/>
              <w:adjustRightInd w:val="0"/>
              <w:spacing w:before="40" w:beforeAutospacing="0" w:after="40" w:afterAutospacing="0"/>
              <w:jc w:val="center"/>
              <w:rPr>
                <w:b/>
                <w:sz w:val="22"/>
                <w:szCs w:val="22"/>
              </w:rPr>
            </w:pPr>
            <w:r w:rsidRPr="00C06157">
              <w:rPr>
                <w:b/>
                <w:sz w:val="22"/>
                <w:szCs w:val="22"/>
              </w:rPr>
              <w:t>Financial public corporations</w:t>
            </w:r>
          </w:p>
        </w:tc>
      </w:tr>
      <w:tr w:rsidR="001762EE" w:rsidRPr="005A497D" w14:paraId="4DE9F068" w14:textId="77777777" w:rsidTr="00EE024A">
        <w:trPr>
          <w:trHeight w:val="397"/>
        </w:trPr>
        <w:tc>
          <w:tcPr>
            <w:tcW w:w="1638" w:type="dxa"/>
            <w:tcBorders>
              <w:top w:val="double" w:sz="4" w:space="0" w:color="auto"/>
              <w:bottom w:val="double" w:sz="4" w:space="0" w:color="auto"/>
            </w:tcBorders>
            <w:vAlign w:val="center"/>
          </w:tcPr>
          <w:p w14:paraId="7084D63A" w14:textId="3BED8E17" w:rsidR="001762EE" w:rsidRPr="005A497D" w:rsidRDefault="001762EE" w:rsidP="009008FE">
            <w:pPr>
              <w:pStyle w:val="NormalWeb"/>
              <w:autoSpaceDE w:val="0"/>
              <w:autoSpaceDN w:val="0"/>
              <w:adjustRightInd w:val="0"/>
              <w:spacing w:before="40" w:beforeAutospacing="0" w:after="0" w:afterAutospacing="0"/>
              <w:rPr>
                <w:sz w:val="22"/>
                <w:szCs w:val="22"/>
              </w:rPr>
            </w:pPr>
            <w:r>
              <w:rPr>
                <w:sz w:val="22"/>
                <w:szCs w:val="22"/>
              </w:rPr>
              <w:t>Government</w:t>
            </w:r>
          </w:p>
        </w:tc>
        <w:tc>
          <w:tcPr>
            <w:tcW w:w="1260" w:type="dxa"/>
            <w:tcBorders>
              <w:top w:val="double" w:sz="4" w:space="0" w:color="auto"/>
              <w:bottom w:val="double" w:sz="4" w:space="0" w:color="auto"/>
            </w:tcBorders>
            <w:vAlign w:val="center"/>
          </w:tcPr>
          <w:p w14:paraId="331B508E"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sidRPr="005A497D">
              <w:rPr>
                <w:sz w:val="22"/>
                <w:szCs w:val="22"/>
              </w:rPr>
              <w:t>1</w:t>
            </w:r>
          </w:p>
        </w:tc>
        <w:tc>
          <w:tcPr>
            <w:tcW w:w="1260" w:type="dxa"/>
            <w:tcBorders>
              <w:top w:val="double" w:sz="4" w:space="0" w:color="auto"/>
              <w:bottom w:val="double" w:sz="4" w:space="0" w:color="auto"/>
            </w:tcBorders>
            <w:vAlign w:val="center"/>
          </w:tcPr>
          <w:p w14:paraId="39EE1733"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95</w:t>
            </w:r>
          </w:p>
        </w:tc>
        <w:tc>
          <w:tcPr>
            <w:tcW w:w="1170" w:type="dxa"/>
            <w:tcBorders>
              <w:top w:val="double" w:sz="4" w:space="0" w:color="auto"/>
              <w:bottom w:val="double" w:sz="4" w:space="0" w:color="auto"/>
            </w:tcBorders>
            <w:vAlign w:val="center"/>
          </w:tcPr>
          <w:p w14:paraId="7DFCE188"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3</w:t>
            </w:r>
          </w:p>
        </w:tc>
        <w:tc>
          <w:tcPr>
            <w:tcW w:w="2160" w:type="dxa"/>
            <w:tcBorders>
              <w:top w:val="double" w:sz="4" w:space="0" w:color="auto"/>
              <w:bottom w:val="double" w:sz="4" w:space="0" w:color="auto"/>
            </w:tcBorders>
            <w:vAlign w:val="center"/>
          </w:tcPr>
          <w:p w14:paraId="69650EB9"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639</w:t>
            </w:r>
          </w:p>
        </w:tc>
        <w:tc>
          <w:tcPr>
            <w:tcW w:w="2088" w:type="dxa"/>
            <w:tcBorders>
              <w:top w:val="double" w:sz="4" w:space="0" w:color="auto"/>
              <w:bottom w:val="double" w:sz="4" w:space="0" w:color="auto"/>
            </w:tcBorders>
            <w:vAlign w:val="center"/>
          </w:tcPr>
          <w:p w14:paraId="64F2B3D5"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21</w:t>
            </w:r>
          </w:p>
        </w:tc>
      </w:tr>
      <w:tr w:rsidR="001762EE" w:rsidRPr="005A497D" w14:paraId="16B677DD" w14:textId="77777777" w:rsidTr="00EE024A">
        <w:trPr>
          <w:trHeight w:val="397"/>
        </w:trPr>
        <w:tc>
          <w:tcPr>
            <w:tcW w:w="1638" w:type="dxa"/>
            <w:tcBorders>
              <w:top w:val="double" w:sz="4" w:space="0" w:color="auto"/>
              <w:bottom w:val="single" w:sz="4" w:space="0" w:color="auto"/>
            </w:tcBorders>
            <w:vAlign w:val="center"/>
          </w:tcPr>
          <w:p w14:paraId="22B8B38E" w14:textId="12FBC385" w:rsidR="001762EE" w:rsidRPr="005A497D" w:rsidRDefault="001762EE" w:rsidP="00BE337A">
            <w:pPr>
              <w:pStyle w:val="NormalWeb"/>
              <w:autoSpaceDE w:val="0"/>
              <w:autoSpaceDN w:val="0"/>
              <w:adjustRightInd w:val="0"/>
              <w:spacing w:before="40" w:beforeAutospacing="0" w:after="0" w:afterAutospacing="0"/>
              <w:rPr>
                <w:sz w:val="22"/>
                <w:szCs w:val="22"/>
              </w:rPr>
            </w:pPr>
            <w:r w:rsidRPr="005A497D">
              <w:rPr>
                <w:sz w:val="22"/>
                <w:szCs w:val="22"/>
              </w:rPr>
              <w:t>Provinces</w:t>
            </w:r>
          </w:p>
        </w:tc>
        <w:tc>
          <w:tcPr>
            <w:tcW w:w="1260" w:type="dxa"/>
            <w:tcBorders>
              <w:top w:val="double" w:sz="4" w:space="0" w:color="auto"/>
              <w:bottom w:val="single" w:sz="4" w:space="0" w:color="auto"/>
            </w:tcBorders>
            <w:vAlign w:val="center"/>
          </w:tcPr>
          <w:p w14:paraId="22CD0609" w14:textId="5F888E5F"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81</w:t>
            </w:r>
          </w:p>
        </w:tc>
        <w:tc>
          <w:tcPr>
            <w:tcW w:w="1260" w:type="dxa"/>
            <w:tcBorders>
              <w:top w:val="double" w:sz="4" w:space="0" w:color="auto"/>
              <w:bottom w:val="single" w:sz="4" w:space="0" w:color="auto"/>
            </w:tcBorders>
            <w:vAlign w:val="center"/>
          </w:tcPr>
          <w:p w14:paraId="2E6D4AA2"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1170" w:type="dxa"/>
            <w:tcBorders>
              <w:top w:val="double" w:sz="4" w:space="0" w:color="auto"/>
              <w:bottom w:val="single" w:sz="4" w:space="0" w:color="auto"/>
            </w:tcBorders>
            <w:vAlign w:val="center"/>
          </w:tcPr>
          <w:p w14:paraId="31D4E7A5"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160" w:type="dxa"/>
            <w:tcBorders>
              <w:top w:val="double" w:sz="4" w:space="0" w:color="auto"/>
              <w:bottom w:val="single" w:sz="4" w:space="0" w:color="auto"/>
            </w:tcBorders>
            <w:vAlign w:val="center"/>
          </w:tcPr>
          <w:p w14:paraId="4FC760A9"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088" w:type="dxa"/>
            <w:tcBorders>
              <w:top w:val="double" w:sz="4" w:space="0" w:color="auto"/>
              <w:bottom w:val="single" w:sz="4" w:space="0" w:color="auto"/>
            </w:tcBorders>
            <w:vAlign w:val="center"/>
          </w:tcPr>
          <w:p w14:paraId="2ED40452"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r>
      <w:tr w:rsidR="001762EE" w:rsidRPr="005A497D" w14:paraId="5DDFBCBC" w14:textId="77777777" w:rsidTr="00EE024A">
        <w:trPr>
          <w:trHeight w:val="397"/>
        </w:trPr>
        <w:tc>
          <w:tcPr>
            <w:tcW w:w="1638" w:type="dxa"/>
            <w:tcBorders>
              <w:top w:val="single" w:sz="4" w:space="0" w:color="auto"/>
              <w:bottom w:val="single" w:sz="4" w:space="0" w:color="auto"/>
            </w:tcBorders>
            <w:vAlign w:val="center"/>
          </w:tcPr>
          <w:p w14:paraId="712103FE" w14:textId="14CAB02D" w:rsidR="001762EE" w:rsidRPr="005A497D" w:rsidRDefault="001762EE" w:rsidP="00BE337A">
            <w:pPr>
              <w:pStyle w:val="NormalWeb"/>
              <w:autoSpaceDE w:val="0"/>
              <w:autoSpaceDN w:val="0"/>
              <w:adjustRightInd w:val="0"/>
              <w:spacing w:before="40" w:beforeAutospacing="0" w:after="0" w:afterAutospacing="0"/>
              <w:rPr>
                <w:sz w:val="22"/>
                <w:szCs w:val="22"/>
              </w:rPr>
            </w:pPr>
            <w:r w:rsidRPr="005A497D">
              <w:rPr>
                <w:sz w:val="22"/>
                <w:szCs w:val="22"/>
              </w:rPr>
              <w:t>Cities</w:t>
            </w:r>
          </w:p>
        </w:tc>
        <w:tc>
          <w:tcPr>
            <w:tcW w:w="1260" w:type="dxa"/>
            <w:tcBorders>
              <w:top w:val="single" w:sz="4" w:space="0" w:color="auto"/>
              <w:bottom w:val="single" w:sz="4" w:space="0" w:color="auto"/>
            </w:tcBorders>
            <w:vAlign w:val="center"/>
          </w:tcPr>
          <w:p w14:paraId="1AA315A5" w14:textId="76C22ECF"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sidRPr="005A497D">
              <w:rPr>
                <w:sz w:val="22"/>
                <w:szCs w:val="22"/>
              </w:rPr>
              <w:t>14</w:t>
            </w:r>
            <w:r w:rsidR="00A93220">
              <w:rPr>
                <w:sz w:val="22"/>
                <w:szCs w:val="22"/>
              </w:rPr>
              <w:t>4</w:t>
            </w:r>
          </w:p>
        </w:tc>
        <w:tc>
          <w:tcPr>
            <w:tcW w:w="1260" w:type="dxa"/>
            <w:tcBorders>
              <w:top w:val="single" w:sz="4" w:space="0" w:color="auto"/>
              <w:bottom w:val="single" w:sz="4" w:space="0" w:color="auto"/>
            </w:tcBorders>
            <w:vAlign w:val="center"/>
          </w:tcPr>
          <w:p w14:paraId="7D8223D8"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1170" w:type="dxa"/>
            <w:tcBorders>
              <w:top w:val="single" w:sz="4" w:space="0" w:color="auto"/>
              <w:bottom w:val="single" w:sz="4" w:space="0" w:color="auto"/>
            </w:tcBorders>
            <w:vAlign w:val="center"/>
          </w:tcPr>
          <w:p w14:paraId="04A60B8F"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160" w:type="dxa"/>
            <w:tcBorders>
              <w:top w:val="single" w:sz="4" w:space="0" w:color="auto"/>
              <w:bottom w:val="single" w:sz="4" w:space="0" w:color="auto"/>
            </w:tcBorders>
            <w:vAlign w:val="center"/>
          </w:tcPr>
          <w:p w14:paraId="71162A9D"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088" w:type="dxa"/>
            <w:tcBorders>
              <w:top w:val="single" w:sz="4" w:space="0" w:color="auto"/>
              <w:bottom w:val="single" w:sz="4" w:space="0" w:color="auto"/>
            </w:tcBorders>
            <w:vAlign w:val="center"/>
          </w:tcPr>
          <w:p w14:paraId="7A6DB5AE"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r>
      <w:tr w:rsidR="001762EE" w:rsidRPr="005A497D" w14:paraId="0C631F3A" w14:textId="77777777" w:rsidTr="00EE024A">
        <w:trPr>
          <w:trHeight w:val="397"/>
        </w:trPr>
        <w:tc>
          <w:tcPr>
            <w:tcW w:w="1638" w:type="dxa"/>
            <w:tcBorders>
              <w:top w:val="single" w:sz="4" w:space="0" w:color="auto"/>
              <w:bottom w:val="single" w:sz="4" w:space="0" w:color="auto"/>
            </w:tcBorders>
            <w:vAlign w:val="center"/>
          </w:tcPr>
          <w:p w14:paraId="6B58611F" w14:textId="1B6169F7" w:rsidR="001762EE" w:rsidRPr="005A497D" w:rsidRDefault="001762EE" w:rsidP="00BE337A">
            <w:pPr>
              <w:pStyle w:val="NormalWeb"/>
              <w:autoSpaceDE w:val="0"/>
              <w:autoSpaceDN w:val="0"/>
              <w:adjustRightInd w:val="0"/>
              <w:spacing w:before="40" w:beforeAutospacing="0" w:after="0" w:afterAutospacing="0"/>
              <w:rPr>
                <w:sz w:val="22"/>
                <w:szCs w:val="22"/>
              </w:rPr>
            </w:pPr>
            <w:r w:rsidRPr="005A497D">
              <w:rPr>
                <w:sz w:val="22"/>
                <w:szCs w:val="22"/>
              </w:rPr>
              <w:t>Municipalities</w:t>
            </w:r>
          </w:p>
        </w:tc>
        <w:tc>
          <w:tcPr>
            <w:tcW w:w="1260" w:type="dxa"/>
            <w:tcBorders>
              <w:top w:val="single" w:sz="4" w:space="0" w:color="auto"/>
              <w:bottom w:val="single" w:sz="4" w:space="0" w:color="auto"/>
            </w:tcBorders>
            <w:vAlign w:val="center"/>
          </w:tcPr>
          <w:p w14:paraId="3892C086" w14:textId="461A7422" w:rsidR="001762EE" w:rsidRPr="005A497D" w:rsidRDefault="001762EE" w:rsidP="00C02EA7">
            <w:pPr>
              <w:pStyle w:val="NormalWeb"/>
              <w:autoSpaceDE w:val="0"/>
              <w:autoSpaceDN w:val="0"/>
              <w:adjustRightInd w:val="0"/>
              <w:spacing w:before="40" w:beforeAutospacing="0" w:after="0" w:afterAutospacing="0"/>
              <w:jc w:val="center"/>
              <w:rPr>
                <w:sz w:val="22"/>
                <w:szCs w:val="22"/>
              </w:rPr>
            </w:pPr>
            <w:r w:rsidRPr="005A497D">
              <w:rPr>
                <w:sz w:val="22"/>
                <w:szCs w:val="22"/>
              </w:rPr>
              <w:t>1,4</w:t>
            </w:r>
            <w:r w:rsidR="00A93220">
              <w:rPr>
                <w:sz w:val="22"/>
                <w:szCs w:val="22"/>
              </w:rPr>
              <w:t>90</w:t>
            </w:r>
          </w:p>
        </w:tc>
        <w:tc>
          <w:tcPr>
            <w:tcW w:w="1260" w:type="dxa"/>
            <w:tcBorders>
              <w:top w:val="single" w:sz="4" w:space="0" w:color="auto"/>
              <w:bottom w:val="single" w:sz="4" w:space="0" w:color="auto"/>
            </w:tcBorders>
            <w:vAlign w:val="center"/>
          </w:tcPr>
          <w:p w14:paraId="70F09BA2"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1170" w:type="dxa"/>
            <w:tcBorders>
              <w:top w:val="single" w:sz="4" w:space="0" w:color="auto"/>
              <w:bottom w:val="single" w:sz="4" w:space="0" w:color="auto"/>
            </w:tcBorders>
            <w:vAlign w:val="center"/>
          </w:tcPr>
          <w:p w14:paraId="598F9694"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160" w:type="dxa"/>
            <w:tcBorders>
              <w:top w:val="single" w:sz="4" w:space="0" w:color="auto"/>
              <w:bottom w:val="single" w:sz="4" w:space="0" w:color="auto"/>
            </w:tcBorders>
            <w:vAlign w:val="center"/>
          </w:tcPr>
          <w:p w14:paraId="74908800"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088" w:type="dxa"/>
            <w:tcBorders>
              <w:top w:val="single" w:sz="4" w:space="0" w:color="auto"/>
              <w:bottom w:val="single" w:sz="4" w:space="0" w:color="auto"/>
            </w:tcBorders>
            <w:vAlign w:val="center"/>
          </w:tcPr>
          <w:p w14:paraId="67BE58D7"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r>
      <w:tr w:rsidR="001762EE" w:rsidRPr="005A497D" w14:paraId="6E85826B" w14:textId="77777777" w:rsidTr="00EE024A">
        <w:trPr>
          <w:trHeight w:val="397"/>
        </w:trPr>
        <w:tc>
          <w:tcPr>
            <w:tcW w:w="1638" w:type="dxa"/>
            <w:tcBorders>
              <w:top w:val="single" w:sz="4" w:space="0" w:color="auto"/>
              <w:bottom w:val="double" w:sz="4" w:space="0" w:color="auto"/>
            </w:tcBorders>
            <w:vAlign w:val="center"/>
          </w:tcPr>
          <w:p w14:paraId="51B1B5DB" w14:textId="1F6E21FF" w:rsidR="001762EE" w:rsidRPr="005A497D" w:rsidRDefault="001762EE" w:rsidP="00BE337A">
            <w:pPr>
              <w:pStyle w:val="NormalWeb"/>
              <w:autoSpaceDE w:val="0"/>
              <w:autoSpaceDN w:val="0"/>
              <w:adjustRightInd w:val="0"/>
              <w:spacing w:before="40" w:beforeAutospacing="0" w:after="0" w:afterAutospacing="0"/>
              <w:rPr>
                <w:sz w:val="22"/>
                <w:szCs w:val="22"/>
              </w:rPr>
            </w:pPr>
            <w:r w:rsidRPr="005A497D">
              <w:rPr>
                <w:sz w:val="22"/>
                <w:szCs w:val="22"/>
              </w:rPr>
              <w:t>Barangays</w:t>
            </w:r>
          </w:p>
        </w:tc>
        <w:tc>
          <w:tcPr>
            <w:tcW w:w="1260" w:type="dxa"/>
            <w:tcBorders>
              <w:top w:val="single" w:sz="4" w:space="0" w:color="auto"/>
              <w:bottom w:val="double" w:sz="4" w:space="0" w:color="auto"/>
            </w:tcBorders>
            <w:vAlign w:val="center"/>
          </w:tcPr>
          <w:p w14:paraId="299A7ED5" w14:textId="5F1AF08E" w:rsidR="001762EE" w:rsidRPr="005A497D" w:rsidRDefault="001762EE" w:rsidP="00C02EA7">
            <w:pPr>
              <w:pStyle w:val="NormalWeb"/>
              <w:autoSpaceDE w:val="0"/>
              <w:autoSpaceDN w:val="0"/>
              <w:adjustRightInd w:val="0"/>
              <w:spacing w:before="40" w:beforeAutospacing="0" w:after="0" w:afterAutospacing="0"/>
              <w:jc w:val="center"/>
              <w:rPr>
                <w:sz w:val="22"/>
                <w:szCs w:val="22"/>
              </w:rPr>
            </w:pPr>
            <w:r w:rsidRPr="005A497D">
              <w:rPr>
                <w:sz w:val="22"/>
                <w:szCs w:val="22"/>
              </w:rPr>
              <w:t>42,0</w:t>
            </w:r>
            <w:r>
              <w:rPr>
                <w:sz w:val="22"/>
                <w:szCs w:val="22"/>
              </w:rPr>
              <w:t>29</w:t>
            </w:r>
          </w:p>
        </w:tc>
        <w:tc>
          <w:tcPr>
            <w:tcW w:w="1260" w:type="dxa"/>
            <w:tcBorders>
              <w:top w:val="single" w:sz="4" w:space="0" w:color="auto"/>
              <w:bottom w:val="double" w:sz="4" w:space="0" w:color="auto"/>
            </w:tcBorders>
            <w:vAlign w:val="center"/>
          </w:tcPr>
          <w:p w14:paraId="270076EA"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1170" w:type="dxa"/>
            <w:tcBorders>
              <w:top w:val="single" w:sz="4" w:space="0" w:color="auto"/>
              <w:bottom w:val="double" w:sz="4" w:space="0" w:color="auto"/>
            </w:tcBorders>
            <w:vAlign w:val="center"/>
          </w:tcPr>
          <w:p w14:paraId="57DEB810"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160" w:type="dxa"/>
            <w:tcBorders>
              <w:top w:val="single" w:sz="4" w:space="0" w:color="auto"/>
              <w:bottom w:val="double" w:sz="4" w:space="0" w:color="auto"/>
            </w:tcBorders>
            <w:vAlign w:val="center"/>
          </w:tcPr>
          <w:p w14:paraId="16481B7A"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c>
          <w:tcPr>
            <w:tcW w:w="2088" w:type="dxa"/>
            <w:tcBorders>
              <w:top w:val="single" w:sz="4" w:space="0" w:color="auto"/>
              <w:bottom w:val="double" w:sz="4" w:space="0" w:color="auto"/>
            </w:tcBorders>
            <w:vAlign w:val="center"/>
          </w:tcPr>
          <w:p w14:paraId="6752CCBE" w14:textId="77777777" w:rsidR="001762EE" w:rsidRPr="005A497D" w:rsidRDefault="001762EE" w:rsidP="009008FE">
            <w:pPr>
              <w:pStyle w:val="NormalWeb"/>
              <w:autoSpaceDE w:val="0"/>
              <w:autoSpaceDN w:val="0"/>
              <w:adjustRightInd w:val="0"/>
              <w:spacing w:before="40" w:beforeAutospacing="0" w:after="0" w:afterAutospacing="0"/>
              <w:jc w:val="center"/>
              <w:rPr>
                <w:sz w:val="22"/>
                <w:szCs w:val="22"/>
              </w:rPr>
            </w:pPr>
            <w:r>
              <w:rPr>
                <w:sz w:val="22"/>
                <w:szCs w:val="22"/>
              </w:rPr>
              <w:t>-</w:t>
            </w:r>
          </w:p>
        </w:tc>
      </w:tr>
    </w:tbl>
    <w:p w14:paraId="292E648B" w14:textId="05546898" w:rsidR="001762EE" w:rsidRDefault="001762EE" w:rsidP="00EC21A9">
      <w:pPr>
        <w:pStyle w:val="NormalWeb"/>
        <w:autoSpaceDE w:val="0"/>
        <w:autoSpaceDN w:val="0"/>
        <w:adjustRightInd w:val="0"/>
        <w:spacing w:before="40" w:beforeAutospacing="0" w:after="0" w:afterAutospacing="0"/>
        <w:jc w:val="both"/>
        <w:rPr>
          <w:sz w:val="20"/>
          <w:szCs w:val="20"/>
        </w:rPr>
      </w:pPr>
      <w:r w:rsidRPr="00EE024A">
        <w:rPr>
          <w:i/>
          <w:sz w:val="20"/>
          <w:szCs w:val="20"/>
        </w:rPr>
        <w:t>Source</w:t>
      </w:r>
      <w:r w:rsidRPr="0043657F">
        <w:rPr>
          <w:i/>
          <w:sz w:val="20"/>
          <w:szCs w:val="20"/>
        </w:rPr>
        <w:t>s</w:t>
      </w:r>
      <w:r w:rsidRPr="005A497D">
        <w:rPr>
          <w:sz w:val="20"/>
          <w:szCs w:val="20"/>
        </w:rPr>
        <w:t>: PSA</w:t>
      </w:r>
      <w:r>
        <w:rPr>
          <w:sz w:val="20"/>
          <w:szCs w:val="20"/>
        </w:rPr>
        <w:t>, CoA, DBM, and DoF</w:t>
      </w:r>
      <w:r w:rsidRPr="005A497D">
        <w:rPr>
          <w:sz w:val="20"/>
          <w:szCs w:val="20"/>
        </w:rPr>
        <w:t>.</w:t>
      </w:r>
    </w:p>
    <w:p w14:paraId="3AD47F16" w14:textId="123D4E9C" w:rsidR="001762EE" w:rsidRPr="005A497D" w:rsidRDefault="001762EE" w:rsidP="00EC21A9">
      <w:pPr>
        <w:pStyle w:val="NormalWeb"/>
        <w:autoSpaceDE w:val="0"/>
        <w:autoSpaceDN w:val="0"/>
        <w:adjustRightInd w:val="0"/>
        <w:spacing w:before="40" w:beforeAutospacing="0" w:after="0" w:afterAutospacing="0"/>
        <w:jc w:val="both"/>
        <w:rPr>
          <w:sz w:val="20"/>
          <w:szCs w:val="20"/>
        </w:rPr>
      </w:pPr>
      <w:r w:rsidRPr="0043657F">
        <w:rPr>
          <w:sz w:val="20"/>
          <w:szCs w:val="20"/>
          <w:vertAlign w:val="superscript"/>
        </w:rPr>
        <w:t>/</w:t>
      </w:r>
      <w:r>
        <w:rPr>
          <w:sz w:val="20"/>
          <w:szCs w:val="20"/>
          <w:vertAlign w:val="superscript"/>
        </w:rPr>
        <w:t>a</w:t>
      </w:r>
      <w:r>
        <w:rPr>
          <w:sz w:val="20"/>
          <w:szCs w:val="20"/>
        </w:rPr>
        <w:t xml:space="preserve"> Includes 14 major non-financial government corporations and 464 water districts.</w:t>
      </w:r>
    </w:p>
    <w:p w14:paraId="1465B7AB" w14:textId="77777777" w:rsidR="001762EE" w:rsidRDefault="001762EE" w:rsidP="001D16CD">
      <w:pPr>
        <w:pStyle w:val="NormalWeb"/>
        <w:autoSpaceDE w:val="0"/>
        <w:autoSpaceDN w:val="0"/>
        <w:adjustRightInd w:val="0"/>
        <w:spacing w:before="0" w:beforeAutospacing="0" w:after="0" w:afterAutospacing="0"/>
        <w:contextualSpacing/>
        <w:jc w:val="both"/>
        <w:rPr>
          <w:bCs/>
        </w:rPr>
      </w:pPr>
    </w:p>
    <w:p w14:paraId="6B2BBC0E" w14:textId="77777777" w:rsidR="00401133" w:rsidRPr="005A497D" w:rsidRDefault="00401133" w:rsidP="001D16CD">
      <w:pPr>
        <w:pStyle w:val="NormalWeb"/>
        <w:autoSpaceDE w:val="0"/>
        <w:autoSpaceDN w:val="0"/>
        <w:adjustRightInd w:val="0"/>
        <w:spacing w:before="0" w:beforeAutospacing="0" w:after="0" w:afterAutospacing="0"/>
        <w:contextualSpacing/>
        <w:jc w:val="both"/>
        <w:rPr>
          <w:bCs/>
        </w:rPr>
      </w:pPr>
    </w:p>
    <w:p w14:paraId="1640CE81" w14:textId="77777777" w:rsidR="00D018CF" w:rsidRDefault="00D018CF" w:rsidP="0043657F">
      <w:pPr>
        <w:pStyle w:val="PEFATable"/>
        <w:spacing w:after="40"/>
        <w:jc w:val="both"/>
        <w:rPr>
          <w:sz w:val="24"/>
          <w:szCs w:val="24"/>
        </w:rPr>
      </w:pPr>
      <w:bookmarkStart w:id="53" w:name="_Toc429682016"/>
    </w:p>
    <w:p w14:paraId="4F3EF09F" w14:textId="77777777" w:rsidR="00D018CF" w:rsidRDefault="00D018CF" w:rsidP="0043657F">
      <w:pPr>
        <w:pStyle w:val="PEFATable"/>
        <w:spacing w:after="40"/>
        <w:jc w:val="both"/>
        <w:rPr>
          <w:sz w:val="24"/>
          <w:szCs w:val="24"/>
        </w:rPr>
      </w:pPr>
    </w:p>
    <w:p w14:paraId="1D43D68B" w14:textId="2C8B909C" w:rsidR="001762EE" w:rsidRPr="00EC21A9" w:rsidRDefault="001762EE" w:rsidP="0043657F">
      <w:pPr>
        <w:pStyle w:val="PEFATable"/>
        <w:spacing w:after="40"/>
        <w:jc w:val="both"/>
        <w:rPr>
          <w:b w:val="0"/>
          <w:sz w:val="20"/>
          <w:szCs w:val="24"/>
        </w:rPr>
      </w:pPr>
      <w:bookmarkStart w:id="54" w:name="_Toc454889241"/>
      <w:r>
        <w:rPr>
          <w:sz w:val="24"/>
          <w:szCs w:val="24"/>
        </w:rPr>
        <w:t>Table 2.</w:t>
      </w:r>
      <w:r w:rsidR="00D81D66">
        <w:rPr>
          <w:sz w:val="24"/>
          <w:szCs w:val="24"/>
        </w:rPr>
        <w:t>9</w:t>
      </w:r>
      <w:r w:rsidRPr="005A497D">
        <w:rPr>
          <w:sz w:val="24"/>
          <w:szCs w:val="24"/>
        </w:rPr>
        <w:t>: Financial Structure of the National Government</w:t>
      </w:r>
      <w:r>
        <w:rPr>
          <w:sz w:val="24"/>
          <w:szCs w:val="24"/>
        </w:rPr>
        <w:t xml:space="preserve"> – Budget estimates</w:t>
      </w:r>
      <w:bookmarkEnd w:id="54"/>
      <w:r>
        <w:rPr>
          <w:sz w:val="24"/>
          <w:szCs w:val="24"/>
        </w:rPr>
        <w:t xml:space="preserve"> </w:t>
      </w:r>
      <w:bookmarkEnd w:id="53"/>
    </w:p>
    <w:tbl>
      <w:tblPr>
        <w:tblStyle w:val="TableGrid"/>
        <w:tblW w:w="958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58"/>
        <w:gridCol w:w="1530"/>
        <w:gridCol w:w="1323"/>
        <w:gridCol w:w="1456"/>
        <w:gridCol w:w="1457"/>
        <w:gridCol w:w="1457"/>
      </w:tblGrid>
      <w:tr w:rsidR="001762EE" w:rsidRPr="005A497D" w14:paraId="76EE4E0A" w14:textId="77777777" w:rsidTr="00811248">
        <w:tc>
          <w:tcPr>
            <w:tcW w:w="2358" w:type="dxa"/>
            <w:vMerge w:val="restart"/>
            <w:shd w:val="clear" w:color="auto" w:fill="D9D9D9" w:themeFill="background1" w:themeFillShade="D9"/>
            <w:vAlign w:val="center"/>
          </w:tcPr>
          <w:p w14:paraId="3EE69F05" w14:textId="43A71616" w:rsidR="001762EE" w:rsidRPr="00C06157" w:rsidRDefault="001762EE" w:rsidP="009008FE">
            <w:pPr>
              <w:pStyle w:val="NormalWeb"/>
              <w:autoSpaceDE w:val="0"/>
              <w:autoSpaceDN w:val="0"/>
              <w:adjustRightInd w:val="0"/>
              <w:spacing w:before="40" w:after="40"/>
              <w:jc w:val="center"/>
              <w:rPr>
                <w:b/>
                <w:sz w:val="22"/>
                <w:szCs w:val="22"/>
              </w:rPr>
            </w:pPr>
            <w:r w:rsidRPr="00C06157">
              <w:rPr>
                <w:b/>
                <w:sz w:val="22"/>
                <w:szCs w:val="22"/>
              </w:rPr>
              <w:t>2014</w:t>
            </w:r>
          </w:p>
        </w:tc>
        <w:tc>
          <w:tcPr>
            <w:tcW w:w="7223" w:type="dxa"/>
            <w:gridSpan w:val="5"/>
            <w:shd w:val="clear" w:color="auto" w:fill="D9D9D9" w:themeFill="background1" w:themeFillShade="D9"/>
            <w:vAlign w:val="center"/>
          </w:tcPr>
          <w:p w14:paraId="34ECAE7A" w14:textId="06BEB69B" w:rsidR="001762EE" w:rsidRPr="00C06157" w:rsidRDefault="001762EE" w:rsidP="005E7F65">
            <w:pPr>
              <w:pStyle w:val="NormalWeb"/>
              <w:keepNext/>
              <w:keepLines/>
              <w:autoSpaceDE w:val="0"/>
              <w:autoSpaceDN w:val="0"/>
              <w:adjustRightInd w:val="0"/>
              <w:spacing w:before="40" w:beforeAutospacing="0" w:after="40" w:afterAutospacing="0"/>
              <w:jc w:val="center"/>
              <w:outlineLvl w:val="7"/>
              <w:rPr>
                <w:b/>
                <w:i/>
                <w:sz w:val="22"/>
                <w:szCs w:val="22"/>
              </w:rPr>
            </w:pPr>
            <w:r w:rsidRPr="00C06157">
              <w:rPr>
                <w:b/>
                <w:i/>
                <w:sz w:val="22"/>
                <w:szCs w:val="22"/>
              </w:rPr>
              <w:t>(PhP millions)</w:t>
            </w:r>
          </w:p>
        </w:tc>
      </w:tr>
      <w:tr w:rsidR="001762EE" w:rsidRPr="005A497D" w14:paraId="30007D9A" w14:textId="77777777" w:rsidTr="00811248">
        <w:tc>
          <w:tcPr>
            <w:tcW w:w="2358" w:type="dxa"/>
            <w:vMerge/>
            <w:shd w:val="clear" w:color="auto" w:fill="D9D9D9" w:themeFill="background1" w:themeFillShade="D9"/>
            <w:vAlign w:val="center"/>
          </w:tcPr>
          <w:p w14:paraId="10A3DDE4" w14:textId="7F8C47B0"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2853" w:type="dxa"/>
            <w:gridSpan w:val="2"/>
            <w:shd w:val="clear" w:color="auto" w:fill="D9D9D9" w:themeFill="background1" w:themeFillShade="D9"/>
            <w:vAlign w:val="center"/>
          </w:tcPr>
          <w:p w14:paraId="79841B2A" w14:textId="77777777" w:rsidR="001762EE" w:rsidRPr="00C06157" w:rsidRDefault="001762EE" w:rsidP="009008FE">
            <w:pPr>
              <w:pStyle w:val="Annexaa"/>
              <w:spacing w:before="40" w:after="40"/>
              <w:rPr>
                <w:sz w:val="22"/>
                <w:szCs w:val="22"/>
              </w:rPr>
            </w:pPr>
            <w:r w:rsidRPr="00C06157">
              <w:rPr>
                <w:sz w:val="22"/>
                <w:szCs w:val="22"/>
              </w:rPr>
              <w:t>Budgetary Units</w:t>
            </w:r>
          </w:p>
        </w:tc>
        <w:tc>
          <w:tcPr>
            <w:tcW w:w="1456" w:type="dxa"/>
            <w:vMerge w:val="restart"/>
            <w:shd w:val="clear" w:color="auto" w:fill="D9D9D9" w:themeFill="background1" w:themeFillShade="D9"/>
            <w:vAlign w:val="center"/>
          </w:tcPr>
          <w:p w14:paraId="5C1301F5" w14:textId="793D114B" w:rsidR="001762EE" w:rsidRPr="00C06157" w:rsidRDefault="001762EE" w:rsidP="005E7F65">
            <w:pPr>
              <w:pStyle w:val="NormalWeb"/>
              <w:autoSpaceDE w:val="0"/>
              <w:autoSpaceDN w:val="0"/>
              <w:adjustRightInd w:val="0"/>
              <w:spacing w:before="40" w:beforeAutospacing="0" w:after="40" w:afterAutospacing="0"/>
              <w:jc w:val="center"/>
              <w:rPr>
                <w:b/>
                <w:sz w:val="22"/>
                <w:szCs w:val="22"/>
              </w:rPr>
            </w:pPr>
            <w:r w:rsidRPr="00C06157">
              <w:rPr>
                <w:b/>
                <w:sz w:val="22"/>
                <w:szCs w:val="22"/>
              </w:rPr>
              <w:t>Budgetary units</w:t>
            </w:r>
          </w:p>
        </w:tc>
        <w:tc>
          <w:tcPr>
            <w:tcW w:w="1457" w:type="dxa"/>
            <w:vMerge w:val="restart"/>
            <w:shd w:val="clear" w:color="auto" w:fill="D9D9D9" w:themeFill="background1" w:themeFillShade="D9"/>
            <w:vAlign w:val="center"/>
          </w:tcPr>
          <w:p w14:paraId="603EFCD4"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r w:rsidRPr="00C06157">
              <w:rPr>
                <w:b/>
                <w:sz w:val="22"/>
                <w:szCs w:val="22"/>
              </w:rPr>
              <w:t>Social Security Funds</w:t>
            </w:r>
          </w:p>
        </w:tc>
        <w:tc>
          <w:tcPr>
            <w:tcW w:w="1457" w:type="dxa"/>
            <w:vMerge w:val="restart"/>
            <w:shd w:val="clear" w:color="auto" w:fill="D9D9D9" w:themeFill="background1" w:themeFillShade="D9"/>
            <w:vAlign w:val="center"/>
          </w:tcPr>
          <w:p w14:paraId="6B762F46" w14:textId="36CD52EC" w:rsidR="001762EE" w:rsidRPr="00C06157" w:rsidRDefault="001762EE" w:rsidP="005E7F65">
            <w:pPr>
              <w:pStyle w:val="NormalWeb"/>
              <w:autoSpaceDE w:val="0"/>
              <w:autoSpaceDN w:val="0"/>
              <w:adjustRightInd w:val="0"/>
              <w:spacing w:before="40" w:beforeAutospacing="0" w:after="40" w:afterAutospacing="0"/>
              <w:jc w:val="center"/>
              <w:rPr>
                <w:b/>
                <w:sz w:val="22"/>
                <w:szCs w:val="22"/>
              </w:rPr>
            </w:pPr>
            <w:r w:rsidRPr="00C06157">
              <w:rPr>
                <w:b/>
                <w:sz w:val="22"/>
                <w:szCs w:val="22"/>
              </w:rPr>
              <w:t>Total aggregated</w:t>
            </w:r>
          </w:p>
        </w:tc>
      </w:tr>
      <w:tr w:rsidR="001762EE" w:rsidRPr="005A497D" w14:paraId="3B253662" w14:textId="77777777" w:rsidTr="00811248">
        <w:tc>
          <w:tcPr>
            <w:tcW w:w="2358" w:type="dxa"/>
            <w:vMerge/>
            <w:tcBorders>
              <w:bottom w:val="double" w:sz="4" w:space="0" w:color="auto"/>
            </w:tcBorders>
            <w:shd w:val="clear" w:color="auto" w:fill="D9D9D9" w:themeFill="background1" w:themeFillShade="D9"/>
            <w:vAlign w:val="center"/>
          </w:tcPr>
          <w:p w14:paraId="1DDF4973" w14:textId="77777777" w:rsidR="001762EE" w:rsidRPr="005A497D" w:rsidRDefault="001762EE" w:rsidP="009008FE">
            <w:pPr>
              <w:pStyle w:val="NormalWeb"/>
              <w:autoSpaceDE w:val="0"/>
              <w:autoSpaceDN w:val="0"/>
              <w:adjustRightInd w:val="0"/>
              <w:spacing w:before="40" w:beforeAutospacing="0" w:after="40" w:afterAutospacing="0"/>
              <w:jc w:val="center"/>
              <w:rPr>
                <w:b/>
                <w:sz w:val="22"/>
                <w:szCs w:val="22"/>
              </w:rPr>
            </w:pPr>
          </w:p>
        </w:tc>
        <w:tc>
          <w:tcPr>
            <w:tcW w:w="1530" w:type="dxa"/>
            <w:tcBorders>
              <w:bottom w:val="double" w:sz="4" w:space="0" w:color="auto"/>
            </w:tcBorders>
            <w:shd w:val="clear" w:color="auto" w:fill="D9D9D9" w:themeFill="background1" w:themeFillShade="D9"/>
            <w:vAlign w:val="center"/>
          </w:tcPr>
          <w:p w14:paraId="1A1185B7" w14:textId="7DF2F821" w:rsidR="001762EE" w:rsidRPr="00C06157" w:rsidRDefault="001762EE" w:rsidP="005E7F65">
            <w:pPr>
              <w:pStyle w:val="NormalWeb"/>
              <w:autoSpaceDE w:val="0"/>
              <w:autoSpaceDN w:val="0"/>
              <w:adjustRightInd w:val="0"/>
              <w:spacing w:before="40" w:beforeAutospacing="0" w:after="40" w:afterAutospacing="0"/>
              <w:jc w:val="center"/>
              <w:rPr>
                <w:b/>
                <w:sz w:val="22"/>
                <w:szCs w:val="22"/>
              </w:rPr>
            </w:pPr>
            <w:r w:rsidRPr="00C06157">
              <w:rPr>
                <w:b/>
                <w:sz w:val="22"/>
                <w:szCs w:val="22"/>
              </w:rPr>
              <w:t>Budgetary operations</w:t>
            </w:r>
          </w:p>
        </w:tc>
        <w:tc>
          <w:tcPr>
            <w:tcW w:w="1323" w:type="dxa"/>
            <w:tcBorders>
              <w:top w:val="single" w:sz="4" w:space="0" w:color="auto"/>
              <w:bottom w:val="double" w:sz="4" w:space="0" w:color="auto"/>
            </w:tcBorders>
            <w:shd w:val="clear" w:color="auto" w:fill="D9D9D9" w:themeFill="background1" w:themeFillShade="D9"/>
            <w:vAlign w:val="center"/>
          </w:tcPr>
          <w:p w14:paraId="2D437527" w14:textId="66CF3211" w:rsidR="001762EE" w:rsidRPr="00C06157" w:rsidRDefault="001762EE" w:rsidP="00C04A04">
            <w:pPr>
              <w:pStyle w:val="NormalWeb"/>
              <w:autoSpaceDE w:val="0"/>
              <w:autoSpaceDN w:val="0"/>
              <w:adjustRightInd w:val="0"/>
              <w:spacing w:before="40" w:beforeAutospacing="0" w:after="40" w:afterAutospacing="0"/>
              <w:jc w:val="center"/>
              <w:rPr>
                <w:b/>
                <w:sz w:val="22"/>
                <w:szCs w:val="22"/>
              </w:rPr>
            </w:pPr>
            <w:r w:rsidRPr="00C06157">
              <w:rPr>
                <w:b/>
                <w:sz w:val="22"/>
                <w:szCs w:val="22"/>
              </w:rPr>
              <w:t>Extra-budgetary operations</w:t>
            </w:r>
          </w:p>
        </w:tc>
        <w:tc>
          <w:tcPr>
            <w:tcW w:w="1456" w:type="dxa"/>
            <w:vMerge/>
            <w:tcBorders>
              <w:bottom w:val="double" w:sz="4" w:space="0" w:color="auto"/>
            </w:tcBorders>
            <w:shd w:val="clear" w:color="auto" w:fill="D9D9D9" w:themeFill="background1" w:themeFillShade="D9"/>
            <w:vAlign w:val="center"/>
          </w:tcPr>
          <w:p w14:paraId="0FF23170" w14:textId="77777777" w:rsidR="001762EE" w:rsidRPr="005A497D" w:rsidRDefault="001762EE" w:rsidP="009008FE">
            <w:pPr>
              <w:pStyle w:val="NormalWeb"/>
              <w:autoSpaceDE w:val="0"/>
              <w:autoSpaceDN w:val="0"/>
              <w:adjustRightInd w:val="0"/>
              <w:spacing w:before="40" w:beforeAutospacing="0" w:after="40" w:afterAutospacing="0"/>
              <w:jc w:val="center"/>
              <w:rPr>
                <w:b/>
                <w:sz w:val="22"/>
                <w:szCs w:val="22"/>
              </w:rPr>
            </w:pPr>
          </w:p>
        </w:tc>
        <w:tc>
          <w:tcPr>
            <w:tcW w:w="1457" w:type="dxa"/>
            <w:vMerge/>
            <w:tcBorders>
              <w:bottom w:val="double" w:sz="4" w:space="0" w:color="auto"/>
            </w:tcBorders>
            <w:shd w:val="clear" w:color="auto" w:fill="D9D9D9" w:themeFill="background1" w:themeFillShade="D9"/>
            <w:vAlign w:val="center"/>
          </w:tcPr>
          <w:p w14:paraId="595F481D" w14:textId="77777777" w:rsidR="001762EE" w:rsidRPr="005A497D" w:rsidRDefault="001762EE" w:rsidP="009008FE">
            <w:pPr>
              <w:pStyle w:val="NormalWeb"/>
              <w:autoSpaceDE w:val="0"/>
              <w:autoSpaceDN w:val="0"/>
              <w:adjustRightInd w:val="0"/>
              <w:spacing w:before="40" w:beforeAutospacing="0" w:after="40" w:afterAutospacing="0"/>
              <w:jc w:val="center"/>
              <w:rPr>
                <w:b/>
                <w:sz w:val="22"/>
                <w:szCs w:val="22"/>
              </w:rPr>
            </w:pPr>
          </w:p>
        </w:tc>
        <w:tc>
          <w:tcPr>
            <w:tcW w:w="1457" w:type="dxa"/>
            <w:vMerge/>
            <w:tcBorders>
              <w:bottom w:val="double" w:sz="4" w:space="0" w:color="auto"/>
            </w:tcBorders>
            <w:shd w:val="clear" w:color="auto" w:fill="D9D9D9" w:themeFill="background1" w:themeFillShade="D9"/>
            <w:vAlign w:val="center"/>
          </w:tcPr>
          <w:p w14:paraId="375E63BE" w14:textId="77777777" w:rsidR="001762EE" w:rsidRPr="005A497D" w:rsidRDefault="001762EE" w:rsidP="009008FE">
            <w:pPr>
              <w:pStyle w:val="NormalWeb"/>
              <w:autoSpaceDE w:val="0"/>
              <w:autoSpaceDN w:val="0"/>
              <w:adjustRightInd w:val="0"/>
              <w:spacing w:before="40" w:beforeAutospacing="0" w:after="40" w:afterAutospacing="0"/>
              <w:jc w:val="center"/>
              <w:rPr>
                <w:b/>
                <w:sz w:val="22"/>
                <w:szCs w:val="22"/>
              </w:rPr>
            </w:pPr>
          </w:p>
        </w:tc>
      </w:tr>
      <w:tr w:rsidR="001762EE" w:rsidRPr="005A497D" w14:paraId="50D147D3" w14:textId="77777777" w:rsidTr="008C063C">
        <w:tc>
          <w:tcPr>
            <w:tcW w:w="2358" w:type="dxa"/>
            <w:tcBorders>
              <w:top w:val="double" w:sz="4" w:space="0" w:color="auto"/>
              <w:bottom w:val="single" w:sz="4" w:space="0" w:color="auto"/>
            </w:tcBorders>
            <w:vAlign w:val="center"/>
          </w:tcPr>
          <w:p w14:paraId="1DA41696" w14:textId="77777777" w:rsidR="001762EE" w:rsidRPr="005A497D" w:rsidRDefault="001762EE" w:rsidP="009008FE">
            <w:pPr>
              <w:pStyle w:val="NormalWeb"/>
              <w:autoSpaceDE w:val="0"/>
              <w:autoSpaceDN w:val="0"/>
              <w:adjustRightInd w:val="0"/>
              <w:spacing w:before="40"/>
              <w:rPr>
                <w:sz w:val="22"/>
                <w:szCs w:val="22"/>
              </w:rPr>
            </w:pPr>
            <w:r w:rsidRPr="005A497D">
              <w:rPr>
                <w:sz w:val="22"/>
                <w:szCs w:val="22"/>
              </w:rPr>
              <w:t>Revenue</w:t>
            </w:r>
          </w:p>
        </w:tc>
        <w:tc>
          <w:tcPr>
            <w:tcW w:w="1530" w:type="dxa"/>
            <w:tcBorders>
              <w:top w:val="double" w:sz="4" w:space="0" w:color="auto"/>
              <w:bottom w:val="single" w:sz="4" w:space="0" w:color="auto"/>
            </w:tcBorders>
            <w:vAlign w:val="center"/>
          </w:tcPr>
          <w:p w14:paraId="3B0328D2" w14:textId="3FB8FD8D" w:rsidR="001762EE" w:rsidRPr="007C1E2D" w:rsidRDefault="001762EE" w:rsidP="005E7F65">
            <w:pPr>
              <w:pStyle w:val="NormalWeb"/>
              <w:autoSpaceDE w:val="0"/>
              <w:autoSpaceDN w:val="0"/>
              <w:adjustRightInd w:val="0"/>
              <w:spacing w:before="40" w:beforeAutospacing="0" w:after="0" w:afterAutospacing="0"/>
              <w:jc w:val="right"/>
              <w:rPr>
                <w:sz w:val="22"/>
                <w:szCs w:val="22"/>
              </w:rPr>
            </w:pPr>
            <w:r w:rsidRPr="007C1E2D">
              <w:rPr>
                <w:sz w:val="22"/>
                <w:szCs w:val="22"/>
              </w:rPr>
              <w:t>2,018,050</w:t>
            </w:r>
            <w:r w:rsidRPr="00EE024A">
              <w:rPr>
                <w:sz w:val="22"/>
                <w:szCs w:val="22"/>
                <w:vertAlign w:val="superscript"/>
              </w:rPr>
              <w:t>/a</w:t>
            </w:r>
          </w:p>
        </w:tc>
        <w:tc>
          <w:tcPr>
            <w:tcW w:w="1323" w:type="dxa"/>
            <w:tcBorders>
              <w:top w:val="double" w:sz="4" w:space="0" w:color="auto"/>
              <w:bottom w:val="single" w:sz="4" w:space="0" w:color="auto"/>
            </w:tcBorders>
            <w:vAlign w:val="center"/>
          </w:tcPr>
          <w:p w14:paraId="0341E034" w14:textId="753E5A40" w:rsidR="001762EE" w:rsidRPr="007C1E2D" w:rsidRDefault="001762EE" w:rsidP="00E9248B">
            <w:pPr>
              <w:pStyle w:val="NormalWeb"/>
              <w:autoSpaceDE w:val="0"/>
              <w:autoSpaceDN w:val="0"/>
              <w:adjustRightInd w:val="0"/>
              <w:spacing w:before="40" w:beforeAutospacing="0" w:after="0" w:afterAutospacing="0"/>
              <w:jc w:val="right"/>
              <w:rPr>
                <w:sz w:val="22"/>
                <w:szCs w:val="22"/>
              </w:rPr>
            </w:pPr>
            <w:r w:rsidRPr="007C1E2D">
              <w:rPr>
                <w:sz w:val="22"/>
                <w:szCs w:val="22"/>
              </w:rPr>
              <w:t>72,36</w:t>
            </w:r>
            <w:r w:rsidR="00E9248B">
              <w:rPr>
                <w:sz w:val="22"/>
                <w:szCs w:val="22"/>
              </w:rPr>
              <w:t>4</w:t>
            </w:r>
          </w:p>
        </w:tc>
        <w:tc>
          <w:tcPr>
            <w:tcW w:w="1456" w:type="dxa"/>
            <w:tcBorders>
              <w:top w:val="double" w:sz="4" w:space="0" w:color="auto"/>
              <w:bottom w:val="single" w:sz="4" w:space="0" w:color="auto"/>
            </w:tcBorders>
            <w:vAlign w:val="center"/>
          </w:tcPr>
          <w:p w14:paraId="1142CB30"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double" w:sz="4" w:space="0" w:color="auto"/>
              <w:bottom w:val="single" w:sz="4" w:space="0" w:color="auto"/>
            </w:tcBorders>
            <w:vAlign w:val="center"/>
          </w:tcPr>
          <w:p w14:paraId="4A79AEEE" w14:textId="75AD6C9E" w:rsidR="001762EE" w:rsidRPr="005A497D" w:rsidRDefault="001762EE" w:rsidP="00E9248B">
            <w:pPr>
              <w:pStyle w:val="NormalWeb"/>
              <w:autoSpaceDE w:val="0"/>
              <w:autoSpaceDN w:val="0"/>
              <w:adjustRightInd w:val="0"/>
              <w:spacing w:before="40" w:beforeAutospacing="0" w:after="0" w:afterAutospacing="0"/>
              <w:jc w:val="right"/>
              <w:rPr>
                <w:sz w:val="22"/>
                <w:szCs w:val="22"/>
              </w:rPr>
            </w:pPr>
            <w:r>
              <w:rPr>
                <w:sz w:val="22"/>
                <w:szCs w:val="22"/>
              </w:rPr>
              <w:t>474,25</w:t>
            </w:r>
            <w:r w:rsidR="00E9248B">
              <w:rPr>
                <w:sz w:val="22"/>
                <w:szCs w:val="22"/>
              </w:rPr>
              <w:t>2</w:t>
            </w:r>
          </w:p>
        </w:tc>
        <w:tc>
          <w:tcPr>
            <w:tcW w:w="1457" w:type="dxa"/>
            <w:tcBorders>
              <w:top w:val="double" w:sz="4" w:space="0" w:color="auto"/>
              <w:bottom w:val="single" w:sz="4" w:space="0" w:color="auto"/>
            </w:tcBorders>
            <w:vAlign w:val="center"/>
          </w:tcPr>
          <w:p w14:paraId="3938BDAC"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1648B5A5" w14:textId="77777777" w:rsidTr="008C063C">
        <w:tc>
          <w:tcPr>
            <w:tcW w:w="2358" w:type="dxa"/>
            <w:tcBorders>
              <w:top w:val="single" w:sz="4" w:space="0" w:color="auto"/>
              <w:bottom w:val="single" w:sz="4" w:space="0" w:color="auto"/>
            </w:tcBorders>
            <w:vAlign w:val="center"/>
          </w:tcPr>
          <w:p w14:paraId="07BD496A" w14:textId="77777777" w:rsidR="001762EE" w:rsidRPr="005A497D" w:rsidRDefault="001762EE" w:rsidP="009008FE">
            <w:pPr>
              <w:pStyle w:val="NormalWeb"/>
              <w:autoSpaceDE w:val="0"/>
              <w:autoSpaceDN w:val="0"/>
              <w:adjustRightInd w:val="0"/>
              <w:spacing w:before="40"/>
              <w:rPr>
                <w:sz w:val="22"/>
                <w:szCs w:val="22"/>
              </w:rPr>
            </w:pPr>
            <w:r w:rsidRPr="005A497D">
              <w:rPr>
                <w:sz w:val="22"/>
                <w:szCs w:val="22"/>
              </w:rPr>
              <w:t>Expenditure</w:t>
            </w:r>
          </w:p>
        </w:tc>
        <w:tc>
          <w:tcPr>
            <w:tcW w:w="1530" w:type="dxa"/>
            <w:tcBorders>
              <w:top w:val="single" w:sz="4" w:space="0" w:color="auto"/>
              <w:bottom w:val="single" w:sz="4" w:space="0" w:color="auto"/>
            </w:tcBorders>
            <w:vAlign w:val="center"/>
          </w:tcPr>
          <w:p w14:paraId="03B6203C" w14:textId="766CA039" w:rsidR="001762EE" w:rsidRPr="007C1E2D" w:rsidRDefault="00A93220" w:rsidP="005E7F65">
            <w:pPr>
              <w:pStyle w:val="NormalWeb"/>
              <w:autoSpaceDE w:val="0"/>
              <w:autoSpaceDN w:val="0"/>
              <w:adjustRightInd w:val="0"/>
              <w:spacing w:before="40" w:beforeAutospacing="0" w:after="0" w:afterAutospacing="0"/>
              <w:jc w:val="right"/>
              <w:rPr>
                <w:sz w:val="22"/>
                <w:szCs w:val="22"/>
              </w:rPr>
            </w:pPr>
            <w:r>
              <w:rPr>
                <w:sz w:val="22"/>
                <w:szCs w:val="22"/>
              </w:rPr>
              <w:t>3,077,574</w:t>
            </w:r>
            <w:r w:rsidR="001762EE" w:rsidRPr="00EE024A">
              <w:rPr>
                <w:sz w:val="22"/>
                <w:szCs w:val="22"/>
                <w:vertAlign w:val="superscript"/>
              </w:rPr>
              <w:t>/b</w:t>
            </w:r>
          </w:p>
        </w:tc>
        <w:tc>
          <w:tcPr>
            <w:tcW w:w="1323" w:type="dxa"/>
            <w:tcBorders>
              <w:top w:val="single" w:sz="4" w:space="0" w:color="auto"/>
              <w:bottom w:val="single" w:sz="4" w:space="0" w:color="auto"/>
            </w:tcBorders>
            <w:vAlign w:val="center"/>
          </w:tcPr>
          <w:p w14:paraId="7CFF3E2A" w14:textId="091B1934" w:rsidR="001762EE" w:rsidRPr="007C1E2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38,301</w:t>
            </w:r>
          </w:p>
        </w:tc>
        <w:tc>
          <w:tcPr>
            <w:tcW w:w="1456" w:type="dxa"/>
            <w:tcBorders>
              <w:top w:val="single" w:sz="4" w:space="0" w:color="auto"/>
              <w:bottom w:val="single" w:sz="4" w:space="0" w:color="auto"/>
            </w:tcBorders>
            <w:vAlign w:val="center"/>
          </w:tcPr>
          <w:p w14:paraId="6700BD14"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226290CB" w14:textId="697DDC89" w:rsidR="001762EE" w:rsidRPr="005A497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284,781</w:t>
            </w:r>
          </w:p>
        </w:tc>
        <w:tc>
          <w:tcPr>
            <w:tcW w:w="1457" w:type="dxa"/>
            <w:tcBorders>
              <w:top w:val="single" w:sz="4" w:space="0" w:color="auto"/>
              <w:bottom w:val="single" w:sz="4" w:space="0" w:color="auto"/>
            </w:tcBorders>
            <w:vAlign w:val="center"/>
          </w:tcPr>
          <w:p w14:paraId="3A597E22"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1ECA4869" w14:textId="77777777" w:rsidTr="008C063C">
        <w:tc>
          <w:tcPr>
            <w:tcW w:w="2358" w:type="dxa"/>
            <w:tcBorders>
              <w:top w:val="single" w:sz="4" w:space="0" w:color="auto"/>
              <w:bottom w:val="single" w:sz="4" w:space="0" w:color="auto"/>
            </w:tcBorders>
            <w:vAlign w:val="center"/>
          </w:tcPr>
          <w:p w14:paraId="7E6D45DE" w14:textId="3E54764F" w:rsidR="001762EE" w:rsidRPr="005A497D" w:rsidRDefault="001762EE" w:rsidP="009008FE">
            <w:pPr>
              <w:pStyle w:val="NormalWeb"/>
              <w:autoSpaceDE w:val="0"/>
              <w:autoSpaceDN w:val="0"/>
              <w:adjustRightInd w:val="0"/>
              <w:spacing w:before="40"/>
              <w:rPr>
                <w:sz w:val="22"/>
                <w:szCs w:val="22"/>
              </w:rPr>
            </w:pPr>
            <w:r w:rsidRPr="005A497D">
              <w:rPr>
                <w:sz w:val="22"/>
                <w:szCs w:val="22"/>
              </w:rPr>
              <w:t xml:space="preserve">Transfers to/from other </w:t>
            </w:r>
            <w:r>
              <w:rPr>
                <w:sz w:val="22"/>
                <w:szCs w:val="22"/>
              </w:rPr>
              <w:t>Government</w:t>
            </w:r>
            <w:r w:rsidRPr="005A497D">
              <w:rPr>
                <w:sz w:val="22"/>
                <w:szCs w:val="22"/>
              </w:rPr>
              <w:t xml:space="preserve"> entities or LGUs</w:t>
            </w:r>
          </w:p>
        </w:tc>
        <w:tc>
          <w:tcPr>
            <w:tcW w:w="1530" w:type="dxa"/>
            <w:tcBorders>
              <w:top w:val="single" w:sz="4" w:space="0" w:color="auto"/>
              <w:bottom w:val="single" w:sz="4" w:space="0" w:color="auto"/>
            </w:tcBorders>
            <w:vAlign w:val="center"/>
          </w:tcPr>
          <w:p w14:paraId="411E4810" w14:textId="36E3E317" w:rsidR="001762EE" w:rsidRPr="007C1E2D" w:rsidRDefault="001762EE" w:rsidP="005E7F65">
            <w:pPr>
              <w:pStyle w:val="NormalWeb"/>
              <w:autoSpaceDE w:val="0"/>
              <w:autoSpaceDN w:val="0"/>
              <w:adjustRightInd w:val="0"/>
              <w:spacing w:before="40" w:beforeAutospacing="0" w:after="0" w:afterAutospacing="0"/>
              <w:jc w:val="right"/>
              <w:rPr>
                <w:sz w:val="22"/>
                <w:szCs w:val="22"/>
              </w:rPr>
            </w:pPr>
            <w:r w:rsidRPr="007C1E2D">
              <w:rPr>
                <w:sz w:val="22"/>
                <w:szCs w:val="22"/>
              </w:rPr>
              <w:t>328,527</w:t>
            </w:r>
            <w:r w:rsidRPr="00EE024A">
              <w:rPr>
                <w:sz w:val="22"/>
                <w:szCs w:val="22"/>
                <w:vertAlign w:val="superscript"/>
              </w:rPr>
              <w:t>/c</w:t>
            </w:r>
          </w:p>
        </w:tc>
        <w:tc>
          <w:tcPr>
            <w:tcW w:w="1323" w:type="dxa"/>
            <w:tcBorders>
              <w:top w:val="single" w:sz="4" w:space="0" w:color="auto"/>
              <w:bottom w:val="single" w:sz="4" w:space="0" w:color="auto"/>
            </w:tcBorders>
            <w:vAlign w:val="center"/>
          </w:tcPr>
          <w:p w14:paraId="41BF75BD" w14:textId="77777777" w:rsidR="001762EE" w:rsidRPr="007C1E2D" w:rsidRDefault="001762EE" w:rsidP="00EE024A">
            <w:pPr>
              <w:pStyle w:val="NormalWeb"/>
              <w:autoSpaceDE w:val="0"/>
              <w:autoSpaceDN w:val="0"/>
              <w:adjustRightInd w:val="0"/>
              <w:spacing w:before="40" w:beforeAutospacing="0" w:after="0" w:afterAutospacing="0"/>
              <w:jc w:val="center"/>
              <w:rPr>
                <w:sz w:val="22"/>
                <w:szCs w:val="22"/>
              </w:rPr>
            </w:pPr>
            <w:r w:rsidRPr="007C1E2D">
              <w:rPr>
                <w:sz w:val="22"/>
                <w:szCs w:val="22"/>
              </w:rPr>
              <w:t>-</w:t>
            </w:r>
          </w:p>
        </w:tc>
        <w:tc>
          <w:tcPr>
            <w:tcW w:w="1456" w:type="dxa"/>
            <w:tcBorders>
              <w:top w:val="single" w:sz="4" w:space="0" w:color="auto"/>
              <w:bottom w:val="single" w:sz="4" w:space="0" w:color="auto"/>
            </w:tcBorders>
            <w:vAlign w:val="center"/>
          </w:tcPr>
          <w:p w14:paraId="6914AB06"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58F1FD70"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56949FFB"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0EEB2739" w14:textId="77777777" w:rsidTr="008C063C">
        <w:tc>
          <w:tcPr>
            <w:tcW w:w="2358" w:type="dxa"/>
            <w:tcBorders>
              <w:top w:val="single" w:sz="4" w:space="0" w:color="auto"/>
              <w:bottom w:val="single" w:sz="4" w:space="0" w:color="auto"/>
            </w:tcBorders>
            <w:vAlign w:val="center"/>
          </w:tcPr>
          <w:p w14:paraId="5148B105" w14:textId="6ABA6DE8" w:rsidR="001762EE" w:rsidRPr="005A497D" w:rsidRDefault="001762EE" w:rsidP="009008FE">
            <w:pPr>
              <w:pStyle w:val="NormalWeb"/>
              <w:autoSpaceDE w:val="0"/>
              <w:autoSpaceDN w:val="0"/>
              <w:adjustRightInd w:val="0"/>
              <w:rPr>
                <w:sz w:val="22"/>
                <w:szCs w:val="22"/>
              </w:rPr>
            </w:pPr>
            <w:r w:rsidRPr="005A497D">
              <w:rPr>
                <w:sz w:val="22"/>
                <w:szCs w:val="22"/>
              </w:rPr>
              <w:t>Liabilities</w:t>
            </w:r>
            <w:r w:rsidR="00401133" w:rsidRPr="00401133">
              <w:rPr>
                <w:sz w:val="22"/>
                <w:szCs w:val="22"/>
                <w:vertAlign w:val="superscript"/>
              </w:rPr>
              <w:t>/e</w:t>
            </w:r>
          </w:p>
        </w:tc>
        <w:tc>
          <w:tcPr>
            <w:tcW w:w="1530" w:type="dxa"/>
            <w:tcBorders>
              <w:top w:val="single" w:sz="4" w:space="0" w:color="auto"/>
              <w:bottom w:val="single" w:sz="4" w:space="0" w:color="auto"/>
            </w:tcBorders>
            <w:vAlign w:val="center"/>
          </w:tcPr>
          <w:p w14:paraId="6CBBF497" w14:textId="1A99AF69" w:rsidR="001762EE" w:rsidRPr="007C1E2D" w:rsidRDefault="00983D13" w:rsidP="00A93220">
            <w:pPr>
              <w:pStyle w:val="NormalWeb"/>
              <w:autoSpaceDE w:val="0"/>
              <w:autoSpaceDN w:val="0"/>
              <w:adjustRightInd w:val="0"/>
              <w:spacing w:before="40" w:beforeAutospacing="0" w:after="0" w:afterAutospacing="0"/>
              <w:jc w:val="right"/>
              <w:rPr>
                <w:sz w:val="22"/>
                <w:szCs w:val="22"/>
              </w:rPr>
            </w:pPr>
            <w:r w:rsidRPr="00983D13">
              <w:rPr>
                <w:sz w:val="22"/>
                <w:szCs w:val="22"/>
              </w:rPr>
              <w:t>6,322,072</w:t>
            </w:r>
            <w:r w:rsidR="001762EE" w:rsidRPr="00EE024A">
              <w:rPr>
                <w:sz w:val="22"/>
                <w:szCs w:val="22"/>
                <w:vertAlign w:val="superscript"/>
              </w:rPr>
              <w:t>/d</w:t>
            </w:r>
          </w:p>
        </w:tc>
        <w:tc>
          <w:tcPr>
            <w:tcW w:w="1323" w:type="dxa"/>
            <w:tcBorders>
              <w:top w:val="single" w:sz="4" w:space="0" w:color="auto"/>
              <w:bottom w:val="single" w:sz="4" w:space="0" w:color="auto"/>
            </w:tcBorders>
            <w:vAlign w:val="center"/>
          </w:tcPr>
          <w:p w14:paraId="01A334A7" w14:textId="77777777" w:rsidR="001762EE" w:rsidRPr="007C1E2D" w:rsidRDefault="001762EE" w:rsidP="00EE024A">
            <w:pPr>
              <w:pStyle w:val="NormalWeb"/>
              <w:autoSpaceDE w:val="0"/>
              <w:autoSpaceDN w:val="0"/>
              <w:adjustRightInd w:val="0"/>
              <w:spacing w:before="40" w:beforeAutospacing="0" w:after="0" w:afterAutospacing="0"/>
              <w:jc w:val="center"/>
              <w:rPr>
                <w:sz w:val="22"/>
                <w:szCs w:val="22"/>
              </w:rPr>
            </w:pPr>
            <w:r w:rsidRPr="007C1E2D">
              <w:rPr>
                <w:sz w:val="22"/>
                <w:szCs w:val="22"/>
              </w:rPr>
              <w:t>-</w:t>
            </w:r>
          </w:p>
        </w:tc>
        <w:tc>
          <w:tcPr>
            <w:tcW w:w="1456" w:type="dxa"/>
            <w:tcBorders>
              <w:top w:val="single" w:sz="4" w:space="0" w:color="auto"/>
              <w:bottom w:val="single" w:sz="4" w:space="0" w:color="auto"/>
            </w:tcBorders>
            <w:vAlign w:val="center"/>
          </w:tcPr>
          <w:p w14:paraId="6D279E71"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23F64299" w14:textId="07AA16DC" w:rsidR="001762EE" w:rsidRPr="005A497D" w:rsidRDefault="001762EE" w:rsidP="00E9248B">
            <w:pPr>
              <w:pStyle w:val="NormalWeb"/>
              <w:autoSpaceDE w:val="0"/>
              <w:autoSpaceDN w:val="0"/>
              <w:adjustRightInd w:val="0"/>
              <w:spacing w:before="40" w:beforeAutospacing="0" w:after="0" w:afterAutospacing="0"/>
              <w:jc w:val="right"/>
              <w:rPr>
                <w:sz w:val="22"/>
                <w:szCs w:val="22"/>
              </w:rPr>
            </w:pPr>
            <w:r>
              <w:rPr>
                <w:sz w:val="22"/>
                <w:szCs w:val="22"/>
              </w:rPr>
              <w:t>55,54</w:t>
            </w:r>
            <w:r w:rsidR="00E9248B">
              <w:rPr>
                <w:sz w:val="22"/>
                <w:szCs w:val="22"/>
              </w:rPr>
              <w:t>3</w:t>
            </w:r>
          </w:p>
        </w:tc>
        <w:tc>
          <w:tcPr>
            <w:tcW w:w="1457" w:type="dxa"/>
            <w:tcBorders>
              <w:top w:val="single" w:sz="4" w:space="0" w:color="auto"/>
              <w:bottom w:val="single" w:sz="4" w:space="0" w:color="auto"/>
            </w:tcBorders>
            <w:vAlign w:val="center"/>
          </w:tcPr>
          <w:p w14:paraId="3965BC07"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1918E457" w14:textId="77777777" w:rsidTr="008C063C">
        <w:tc>
          <w:tcPr>
            <w:tcW w:w="2358" w:type="dxa"/>
            <w:tcBorders>
              <w:top w:val="single" w:sz="4" w:space="0" w:color="auto"/>
              <w:bottom w:val="single" w:sz="4" w:space="0" w:color="auto"/>
            </w:tcBorders>
            <w:vAlign w:val="center"/>
          </w:tcPr>
          <w:p w14:paraId="6E4C5E8A" w14:textId="0D174702" w:rsidR="001762EE" w:rsidRPr="005A497D" w:rsidRDefault="001762EE" w:rsidP="009008FE">
            <w:pPr>
              <w:pStyle w:val="NormalWeb"/>
              <w:autoSpaceDE w:val="0"/>
              <w:autoSpaceDN w:val="0"/>
              <w:adjustRightInd w:val="0"/>
              <w:rPr>
                <w:sz w:val="22"/>
                <w:szCs w:val="22"/>
              </w:rPr>
            </w:pPr>
            <w:r>
              <w:rPr>
                <w:sz w:val="22"/>
                <w:szCs w:val="22"/>
              </w:rPr>
              <w:t>Financial assets</w:t>
            </w:r>
            <w:r w:rsidR="00401133" w:rsidRPr="00401133">
              <w:rPr>
                <w:sz w:val="22"/>
                <w:szCs w:val="22"/>
                <w:vertAlign w:val="superscript"/>
              </w:rPr>
              <w:t>/e</w:t>
            </w:r>
          </w:p>
        </w:tc>
        <w:tc>
          <w:tcPr>
            <w:tcW w:w="1530" w:type="dxa"/>
            <w:tcBorders>
              <w:top w:val="single" w:sz="4" w:space="0" w:color="auto"/>
              <w:bottom w:val="single" w:sz="4" w:space="0" w:color="auto"/>
            </w:tcBorders>
            <w:vAlign w:val="center"/>
          </w:tcPr>
          <w:p w14:paraId="02D3D41D" w14:textId="77777777" w:rsidR="001762EE" w:rsidRPr="00EC21A9" w:rsidRDefault="001762EE" w:rsidP="009008FE">
            <w:pPr>
              <w:pStyle w:val="NormalWeb"/>
              <w:autoSpaceDE w:val="0"/>
              <w:autoSpaceDN w:val="0"/>
              <w:adjustRightInd w:val="0"/>
              <w:spacing w:before="40" w:beforeAutospacing="0" w:after="0" w:afterAutospacing="0"/>
              <w:jc w:val="right"/>
              <w:rPr>
                <w:sz w:val="22"/>
                <w:szCs w:val="22"/>
              </w:rPr>
            </w:pPr>
            <w:r w:rsidRPr="00EC21A9">
              <w:rPr>
                <w:sz w:val="22"/>
                <w:szCs w:val="22"/>
              </w:rPr>
              <w:t>3,095,642</w:t>
            </w:r>
          </w:p>
        </w:tc>
        <w:tc>
          <w:tcPr>
            <w:tcW w:w="1323" w:type="dxa"/>
            <w:tcBorders>
              <w:top w:val="single" w:sz="4" w:space="0" w:color="auto"/>
              <w:bottom w:val="single" w:sz="4" w:space="0" w:color="auto"/>
            </w:tcBorders>
            <w:vAlign w:val="center"/>
          </w:tcPr>
          <w:p w14:paraId="137D194E" w14:textId="77777777" w:rsidR="001762EE" w:rsidRPr="007C1E2D" w:rsidRDefault="001762EE" w:rsidP="00EE024A">
            <w:pPr>
              <w:pStyle w:val="NormalWeb"/>
              <w:autoSpaceDE w:val="0"/>
              <w:autoSpaceDN w:val="0"/>
              <w:adjustRightInd w:val="0"/>
              <w:spacing w:before="40" w:beforeAutospacing="0" w:after="0" w:afterAutospacing="0"/>
              <w:jc w:val="center"/>
              <w:rPr>
                <w:sz w:val="22"/>
                <w:szCs w:val="22"/>
              </w:rPr>
            </w:pPr>
            <w:r w:rsidRPr="007C1E2D">
              <w:rPr>
                <w:sz w:val="22"/>
                <w:szCs w:val="22"/>
              </w:rPr>
              <w:t>-</w:t>
            </w:r>
          </w:p>
        </w:tc>
        <w:tc>
          <w:tcPr>
            <w:tcW w:w="1456" w:type="dxa"/>
            <w:tcBorders>
              <w:top w:val="single" w:sz="4" w:space="0" w:color="auto"/>
              <w:bottom w:val="single" w:sz="4" w:space="0" w:color="auto"/>
            </w:tcBorders>
            <w:vAlign w:val="center"/>
          </w:tcPr>
          <w:p w14:paraId="414084BA"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6330B7AC" w14:textId="6EBE810F" w:rsidR="001762EE" w:rsidRPr="005A497D" w:rsidRDefault="001762EE" w:rsidP="00E9248B">
            <w:pPr>
              <w:pStyle w:val="NormalWeb"/>
              <w:autoSpaceDE w:val="0"/>
              <w:autoSpaceDN w:val="0"/>
              <w:adjustRightInd w:val="0"/>
              <w:spacing w:before="40" w:beforeAutospacing="0" w:after="0" w:afterAutospacing="0"/>
              <w:jc w:val="right"/>
              <w:rPr>
                <w:sz w:val="22"/>
                <w:szCs w:val="22"/>
              </w:rPr>
            </w:pPr>
            <w:r>
              <w:rPr>
                <w:sz w:val="22"/>
                <w:szCs w:val="22"/>
              </w:rPr>
              <w:t>996,99</w:t>
            </w:r>
            <w:r w:rsidR="00E9248B">
              <w:rPr>
                <w:sz w:val="22"/>
                <w:szCs w:val="22"/>
              </w:rPr>
              <w:t>5</w:t>
            </w:r>
          </w:p>
        </w:tc>
        <w:tc>
          <w:tcPr>
            <w:tcW w:w="1457" w:type="dxa"/>
            <w:tcBorders>
              <w:top w:val="single" w:sz="4" w:space="0" w:color="auto"/>
              <w:bottom w:val="single" w:sz="4" w:space="0" w:color="auto"/>
            </w:tcBorders>
            <w:vAlign w:val="center"/>
          </w:tcPr>
          <w:p w14:paraId="5F033519"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1B091648" w14:textId="77777777" w:rsidTr="008C063C">
        <w:tc>
          <w:tcPr>
            <w:tcW w:w="2358" w:type="dxa"/>
            <w:tcBorders>
              <w:top w:val="single" w:sz="4" w:space="0" w:color="auto"/>
              <w:bottom w:val="single" w:sz="4" w:space="0" w:color="auto"/>
            </w:tcBorders>
            <w:vAlign w:val="center"/>
          </w:tcPr>
          <w:p w14:paraId="6AFC926D" w14:textId="510BD684" w:rsidR="001762EE" w:rsidRPr="005A497D" w:rsidRDefault="001762EE" w:rsidP="00401133">
            <w:pPr>
              <w:pStyle w:val="NormalWeb"/>
              <w:autoSpaceDE w:val="0"/>
              <w:autoSpaceDN w:val="0"/>
              <w:adjustRightInd w:val="0"/>
              <w:rPr>
                <w:sz w:val="22"/>
                <w:szCs w:val="22"/>
              </w:rPr>
            </w:pPr>
            <w:r w:rsidRPr="005A497D">
              <w:rPr>
                <w:sz w:val="22"/>
                <w:szCs w:val="22"/>
              </w:rPr>
              <w:t>Non-financial assets</w:t>
            </w:r>
            <w:r w:rsidR="00401133" w:rsidRPr="00401133">
              <w:rPr>
                <w:sz w:val="22"/>
                <w:szCs w:val="22"/>
                <w:vertAlign w:val="superscript"/>
              </w:rPr>
              <w:t>/e</w:t>
            </w:r>
          </w:p>
        </w:tc>
        <w:tc>
          <w:tcPr>
            <w:tcW w:w="1530" w:type="dxa"/>
            <w:tcBorders>
              <w:top w:val="single" w:sz="4" w:space="0" w:color="auto"/>
              <w:bottom w:val="single" w:sz="4" w:space="0" w:color="auto"/>
            </w:tcBorders>
            <w:vAlign w:val="center"/>
          </w:tcPr>
          <w:p w14:paraId="768A61F8" w14:textId="77777777" w:rsidR="001762EE" w:rsidRPr="00EC21A9" w:rsidRDefault="001762EE" w:rsidP="009008FE">
            <w:pPr>
              <w:pStyle w:val="NormalWeb"/>
              <w:autoSpaceDE w:val="0"/>
              <w:autoSpaceDN w:val="0"/>
              <w:adjustRightInd w:val="0"/>
              <w:spacing w:before="40" w:beforeAutospacing="0" w:after="0" w:afterAutospacing="0"/>
              <w:jc w:val="right"/>
              <w:rPr>
                <w:sz w:val="22"/>
                <w:szCs w:val="22"/>
              </w:rPr>
            </w:pPr>
            <w:r w:rsidRPr="00EC21A9">
              <w:rPr>
                <w:sz w:val="22"/>
                <w:szCs w:val="22"/>
              </w:rPr>
              <w:t>1,178,964</w:t>
            </w:r>
          </w:p>
        </w:tc>
        <w:tc>
          <w:tcPr>
            <w:tcW w:w="1323" w:type="dxa"/>
            <w:tcBorders>
              <w:top w:val="single" w:sz="4" w:space="0" w:color="auto"/>
              <w:bottom w:val="single" w:sz="4" w:space="0" w:color="auto"/>
            </w:tcBorders>
            <w:vAlign w:val="center"/>
          </w:tcPr>
          <w:p w14:paraId="35DD6965"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6" w:type="dxa"/>
            <w:tcBorders>
              <w:top w:val="single" w:sz="4" w:space="0" w:color="auto"/>
              <w:bottom w:val="single" w:sz="4" w:space="0" w:color="auto"/>
            </w:tcBorders>
            <w:vAlign w:val="center"/>
          </w:tcPr>
          <w:p w14:paraId="0A211CBD"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3358385B" w14:textId="683ACD63" w:rsidR="001762EE" w:rsidRPr="005A497D" w:rsidRDefault="001762EE" w:rsidP="00E9248B">
            <w:pPr>
              <w:pStyle w:val="NormalWeb"/>
              <w:autoSpaceDE w:val="0"/>
              <w:autoSpaceDN w:val="0"/>
              <w:adjustRightInd w:val="0"/>
              <w:spacing w:before="40" w:beforeAutospacing="0" w:after="0" w:afterAutospacing="0"/>
              <w:jc w:val="right"/>
              <w:rPr>
                <w:sz w:val="22"/>
                <w:szCs w:val="22"/>
              </w:rPr>
            </w:pPr>
            <w:r>
              <w:rPr>
                <w:sz w:val="22"/>
                <w:szCs w:val="22"/>
              </w:rPr>
              <w:t>484,75</w:t>
            </w:r>
            <w:r w:rsidR="00E9248B">
              <w:rPr>
                <w:sz w:val="22"/>
                <w:szCs w:val="22"/>
              </w:rPr>
              <w:t>4</w:t>
            </w:r>
          </w:p>
        </w:tc>
        <w:tc>
          <w:tcPr>
            <w:tcW w:w="1457" w:type="dxa"/>
            <w:tcBorders>
              <w:top w:val="single" w:sz="4" w:space="0" w:color="auto"/>
              <w:bottom w:val="single" w:sz="4" w:space="0" w:color="auto"/>
            </w:tcBorders>
            <w:vAlign w:val="center"/>
          </w:tcPr>
          <w:p w14:paraId="5A76CFA7"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4A5369BE" w14:textId="77777777" w:rsidTr="00401133">
        <w:trPr>
          <w:trHeight w:val="432"/>
        </w:trPr>
        <w:tc>
          <w:tcPr>
            <w:tcW w:w="9581" w:type="dxa"/>
            <w:gridSpan w:val="6"/>
            <w:tcBorders>
              <w:top w:val="single" w:sz="4" w:space="0" w:color="auto"/>
              <w:left w:val="nil"/>
              <w:bottom w:val="nil"/>
              <w:right w:val="nil"/>
            </w:tcBorders>
            <w:vAlign w:val="center"/>
          </w:tcPr>
          <w:p w14:paraId="68EB59DB" w14:textId="6C64CCDE" w:rsidR="001762EE" w:rsidRPr="00401133" w:rsidRDefault="001762EE" w:rsidP="00811248">
            <w:pPr>
              <w:pStyle w:val="NormalWeb"/>
              <w:autoSpaceDE w:val="0"/>
              <w:autoSpaceDN w:val="0"/>
              <w:adjustRightInd w:val="0"/>
              <w:spacing w:before="40" w:beforeAutospacing="0" w:after="0" w:afterAutospacing="0"/>
              <w:jc w:val="both"/>
              <w:rPr>
                <w:sz w:val="18"/>
                <w:szCs w:val="18"/>
              </w:rPr>
            </w:pPr>
            <w:r w:rsidRPr="00401133">
              <w:rPr>
                <w:i/>
                <w:sz w:val="18"/>
                <w:szCs w:val="18"/>
              </w:rPr>
              <w:t xml:space="preserve">Sources: </w:t>
            </w:r>
            <w:r w:rsidRPr="00401133">
              <w:rPr>
                <w:sz w:val="18"/>
                <w:szCs w:val="18"/>
              </w:rPr>
              <w:t>BTr, CoA, DBM</w:t>
            </w:r>
          </w:p>
          <w:p w14:paraId="0C0693C7" w14:textId="2F9FD6A5" w:rsidR="001762EE" w:rsidRDefault="001762EE" w:rsidP="00811248">
            <w:pPr>
              <w:pStyle w:val="NormalWeb"/>
              <w:autoSpaceDE w:val="0"/>
              <w:autoSpaceDN w:val="0"/>
              <w:adjustRightInd w:val="0"/>
              <w:spacing w:before="40" w:beforeAutospacing="0" w:after="0" w:afterAutospacing="0"/>
              <w:jc w:val="both"/>
              <w:rPr>
                <w:sz w:val="18"/>
                <w:szCs w:val="18"/>
              </w:rPr>
            </w:pPr>
            <w:r w:rsidRPr="00EE024A">
              <w:rPr>
                <w:i/>
                <w:sz w:val="20"/>
                <w:szCs w:val="20"/>
                <w:vertAlign w:val="superscript"/>
              </w:rPr>
              <w:t>/a</w:t>
            </w:r>
            <w:r>
              <w:rPr>
                <w:i/>
                <w:sz w:val="20"/>
                <w:szCs w:val="20"/>
              </w:rPr>
              <w:t xml:space="preserve"> </w:t>
            </w:r>
            <w:r w:rsidRPr="00EE024A">
              <w:rPr>
                <w:sz w:val="18"/>
                <w:szCs w:val="18"/>
              </w:rPr>
              <w:t>2014 BESF Table C.1</w:t>
            </w:r>
          </w:p>
          <w:p w14:paraId="267966E6" w14:textId="5A74B621" w:rsidR="001762EE" w:rsidRDefault="001762EE" w:rsidP="00811248">
            <w:pPr>
              <w:pStyle w:val="NormalWeb"/>
              <w:autoSpaceDE w:val="0"/>
              <w:autoSpaceDN w:val="0"/>
              <w:adjustRightInd w:val="0"/>
              <w:spacing w:before="40" w:beforeAutospacing="0" w:after="0" w:afterAutospacing="0"/>
              <w:jc w:val="both"/>
              <w:rPr>
                <w:sz w:val="18"/>
                <w:szCs w:val="18"/>
              </w:rPr>
            </w:pPr>
            <w:r w:rsidRPr="00EE024A">
              <w:rPr>
                <w:sz w:val="18"/>
                <w:szCs w:val="18"/>
                <w:vertAlign w:val="superscript"/>
              </w:rPr>
              <w:t>/b</w:t>
            </w:r>
            <w:r>
              <w:rPr>
                <w:sz w:val="18"/>
                <w:szCs w:val="18"/>
              </w:rPr>
              <w:t xml:space="preserve"> </w:t>
            </w:r>
            <w:r w:rsidR="00A93220">
              <w:rPr>
                <w:sz w:val="18"/>
                <w:szCs w:val="18"/>
              </w:rPr>
              <w:t>GAA 2014</w:t>
            </w:r>
          </w:p>
          <w:p w14:paraId="2287D635" w14:textId="53F08819" w:rsidR="001762EE" w:rsidRDefault="001762EE" w:rsidP="00811248">
            <w:pPr>
              <w:pStyle w:val="NormalWeb"/>
              <w:autoSpaceDE w:val="0"/>
              <w:autoSpaceDN w:val="0"/>
              <w:adjustRightInd w:val="0"/>
              <w:spacing w:before="40" w:beforeAutospacing="0" w:after="0" w:afterAutospacing="0"/>
              <w:jc w:val="both"/>
              <w:rPr>
                <w:sz w:val="18"/>
                <w:szCs w:val="18"/>
              </w:rPr>
            </w:pPr>
            <w:r w:rsidRPr="00EE024A">
              <w:rPr>
                <w:sz w:val="18"/>
                <w:szCs w:val="18"/>
                <w:vertAlign w:val="superscript"/>
              </w:rPr>
              <w:t>/c</w:t>
            </w:r>
            <w:r>
              <w:t xml:space="preserve"> </w:t>
            </w:r>
            <w:r w:rsidRPr="00EE024A">
              <w:rPr>
                <w:sz w:val="18"/>
                <w:szCs w:val="18"/>
              </w:rPr>
              <w:t>2014 BESF Table B.26 (ALGU, Capital Transfers to LGUs, and Equity)</w:t>
            </w:r>
          </w:p>
          <w:p w14:paraId="21188F1B" w14:textId="14EB0D1D" w:rsidR="001762EE" w:rsidRDefault="001762EE" w:rsidP="00811248">
            <w:pPr>
              <w:pStyle w:val="FootnoteText"/>
              <w:rPr>
                <w:sz w:val="18"/>
                <w:szCs w:val="18"/>
              </w:rPr>
            </w:pPr>
            <w:r w:rsidRPr="00EE024A">
              <w:rPr>
                <w:sz w:val="18"/>
                <w:szCs w:val="18"/>
                <w:vertAlign w:val="superscript"/>
              </w:rPr>
              <w:t>/d</w:t>
            </w:r>
            <w:r>
              <w:rPr>
                <w:sz w:val="18"/>
                <w:szCs w:val="18"/>
              </w:rPr>
              <w:t xml:space="preserve"> </w:t>
            </w:r>
            <w:r w:rsidRPr="00EE024A">
              <w:rPr>
                <w:sz w:val="18"/>
                <w:szCs w:val="18"/>
              </w:rPr>
              <w:t>2014 BESF Table D.</w:t>
            </w:r>
            <w:r w:rsidR="00983D13">
              <w:rPr>
                <w:sz w:val="18"/>
                <w:szCs w:val="18"/>
              </w:rPr>
              <w:t>3</w:t>
            </w:r>
          </w:p>
          <w:p w14:paraId="75862F1D" w14:textId="5DF44EA2" w:rsidR="001762EE" w:rsidRPr="00EE024A" w:rsidRDefault="00401133" w:rsidP="00401133">
            <w:pPr>
              <w:pStyle w:val="FootnoteText"/>
              <w:rPr>
                <w:sz w:val="18"/>
                <w:szCs w:val="18"/>
              </w:rPr>
            </w:pPr>
            <w:r w:rsidRPr="00401133">
              <w:rPr>
                <w:sz w:val="18"/>
                <w:szCs w:val="18"/>
                <w:vertAlign w:val="superscript"/>
              </w:rPr>
              <w:t>/e</w:t>
            </w:r>
            <w:r>
              <w:rPr>
                <w:sz w:val="18"/>
                <w:szCs w:val="18"/>
              </w:rPr>
              <w:t xml:space="preserve"> Denotes 2014 data (latest available)</w:t>
            </w:r>
          </w:p>
          <w:p w14:paraId="38F5D75A"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bl>
    <w:p w14:paraId="00798502" w14:textId="77777777" w:rsidR="00401133" w:rsidRDefault="00401133" w:rsidP="0043657F">
      <w:pPr>
        <w:pStyle w:val="PEFATable"/>
        <w:spacing w:after="40"/>
        <w:jc w:val="both"/>
        <w:rPr>
          <w:sz w:val="24"/>
          <w:szCs w:val="24"/>
        </w:rPr>
      </w:pPr>
    </w:p>
    <w:p w14:paraId="11AD579F" w14:textId="19A8FB99" w:rsidR="001762EE" w:rsidRPr="00E8696B" w:rsidRDefault="001762EE" w:rsidP="0043657F">
      <w:pPr>
        <w:pStyle w:val="PEFATable"/>
        <w:spacing w:after="40"/>
        <w:jc w:val="both"/>
        <w:rPr>
          <w:b w:val="0"/>
          <w:sz w:val="24"/>
          <w:szCs w:val="24"/>
        </w:rPr>
      </w:pPr>
      <w:bookmarkStart w:id="55" w:name="_Toc454889242"/>
      <w:r w:rsidRPr="005A497D">
        <w:rPr>
          <w:sz w:val="24"/>
          <w:szCs w:val="24"/>
        </w:rPr>
        <w:t>Table 2.</w:t>
      </w:r>
      <w:r w:rsidR="00D81D66">
        <w:rPr>
          <w:sz w:val="24"/>
          <w:szCs w:val="24"/>
        </w:rPr>
        <w:t>10</w:t>
      </w:r>
      <w:r w:rsidRPr="005A497D">
        <w:rPr>
          <w:sz w:val="24"/>
          <w:szCs w:val="24"/>
        </w:rPr>
        <w:t>: Financial Structure of the National Government</w:t>
      </w:r>
      <w:r w:rsidR="00C06157">
        <w:rPr>
          <w:sz w:val="24"/>
          <w:szCs w:val="24"/>
        </w:rPr>
        <w:t xml:space="preserve"> – A</w:t>
      </w:r>
      <w:r>
        <w:rPr>
          <w:sz w:val="24"/>
          <w:szCs w:val="24"/>
        </w:rPr>
        <w:t>ctual expenditures</w:t>
      </w:r>
      <w:bookmarkEnd w:id="55"/>
      <w:r>
        <w:rPr>
          <w:sz w:val="24"/>
          <w:szCs w:val="24"/>
        </w:rPr>
        <w:t xml:space="preserve"> </w:t>
      </w:r>
    </w:p>
    <w:tbl>
      <w:tblPr>
        <w:tblStyle w:val="TableGrid"/>
        <w:tblW w:w="958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6"/>
        <w:gridCol w:w="1512"/>
        <w:gridCol w:w="1323"/>
        <w:gridCol w:w="1456"/>
        <w:gridCol w:w="1457"/>
        <w:gridCol w:w="1457"/>
      </w:tblGrid>
      <w:tr w:rsidR="001762EE" w:rsidRPr="00C06157" w14:paraId="73743213" w14:textId="77777777" w:rsidTr="00811248">
        <w:tc>
          <w:tcPr>
            <w:tcW w:w="2376" w:type="dxa"/>
            <w:vMerge w:val="restart"/>
            <w:shd w:val="clear" w:color="auto" w:fill="D9D9D9" w:themeFill="background1" w:themeFillShade="D9"/>
            <w:vAlign w:val="center"/>
          </w:tcPr>
          <w:p w14:paraId="4B0AE889" w14:textId="6EA72100" w:rsidR="001762EE" w:rsidRPr="00C06157" w:rsidRDefault="001762EE" w:rsidP="009008FE">
            <w:pPr>
              <w:pStyle w:val="NormalWeb"/>
              <w:autoSpaceDE w:val="0"/>
              <w:autoSpaceDN w:val="0"/>
              <w:adjustRightInd w:val="0"/>
              <w:spacing w:before="40" w:after="40"/>
              <w:jc w:val="center"/>
              <w:rPr>
                <w:b/>
                <w:sz w:val="22"/>
                <w:szCs w:val="22"/>
              </w:rPr>
            </w:pPr>
            <w:r w:rsidRPr="00C06157">
              <w:rPr>
                <w:b/>
                <w:sz w:val="22"/>
                <w:szCs w:val="22"/>
              </w:rPr>
              <w:t>2014</w:t>
            </w:r>
          </w:p>
        </w:tc>
        <w:tc>
          <w:tcPr>
            <w:tcW w:w="7205" w:type="dxa"/>
            <w:gridSpan w:val="5"/>
            <w:shd w:val="clear" w:color="auto" w:fill="D9D9D9" w:themeFill="background1" w:themeFillShade="D9"/>
            <w:vAlign w:val="center"/>
          </w:tcPr>
          <w:p w14:paraId="2995D0B3" w14:textId="2FD7004E" w:rsidR="001762EE" w:rsidRPr="00C06157" w:rsidRDefault="001762EE" w:rsidP="009008FE">
            <w:pPr>
              <w:pStyle w:val="NormalWeb"/>
              <w:keepNext/>
              <w:keepLines/>
              <w:autoSpaceDE w:val="0"/>
              <w:autoSpaceDN w:val="0"/>
              <w:adjustRightInd w:val="0"/>
              <w:spacing w:before="40" w:beforeAutospacing="0" w:after="40" w:afterAutospacing="0"/>
              <w:jc w:val="center"/>
              <w:outlineLvl w:val="7"/>
              <w:rPr>
                <w:b/>
                <w:i/>
                <w:sz w:val="22"/>
                <w:szCs w:val="22"/>
              </w:rPr>
            </w:pPr>
            <w:r w:rsidRPr="00C06157">
              <w:rPr>
                <w:b/>
                <w:i/>
                <w:sz w:val="22"/>
                <w:szCs w:val="22"/>
              </w:rPr>
              <w:t>(PhP millions)</w:t>
            </w:r>
          </w:p>
        </w:tc>
      </w:tr>
      <w:tr w:rsidR="001762EE" w:rsidRPr="00C06157" w14:paraId="5EA7A57D" w14:textId="77777777" w:rsidTr="009008FE">
        <w:tc>
          <w:tcPr>
            <w:tcW w:w="2376" w:type="dxa"/>
            <w:vMerge/>
            <w:shd w:val="clear" w:color="auto" w:fill="D9D9D9" w:themeFill="background1" w:themeFillShade="D9"/>
            <w:vAlign w:val="center"/>
          </w:tcPr>
          <w:p w14:paraId="5501D575" w14:textId="4F9DAA9D"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2835" w:type="dxa"/>
            <w:gridSpan w:val="2"/>
            <w:shd w:val="clear" w:color="auto" w:fill="D9D9D9" w:themeFill="background1" w:themeFillShade="D9"/>
            <w:vAlign w:val="center"/>
          </w:tcPr>
          <w:p w14:paraId="4266DE64" w14:textId="77E2B8B9" w:rsidR="001762EE" w:rsidRPr="00C06157" w:rsidRDefault="001762EE" w:rsidP="00D661D7">
            <w:pPr>
              <w:pStyle w:val="Annexaa"/>
              <w:spacing w:before="40" w:after="40"/>
              <w:rPr>
                <w:sz w:val="22"/>
                <w:szCs w:val="22"/>
              </w:rPr>
            </w:pPr>
            <w:r w:rsidRPr="00C06157">
              <w:rPr>
                <w:sz w:val="22"/>
                <w:szCs w:val="22"/>
              </w:rPr>
              <w:t>Budgetary units</w:t>
            </w:r>
          </w:p>
        </w:tc>
        <w:tc>
          <w:tcPr>
            <w:tcW w:w="1456" w:type="dxa"/>
            <w:vMerge w:val="restart"/>
            <w:shd w:val="clear" w:color="auto" w:fill="D9D9D9" w:themeFill="background1" w:themeFillShade="D9"/>
            <w:vAlign w:val="center"/>
          </w:tcPr>
          <w:p w14:paraId="7F6E89F3" w14:textId="4FD599F3" w:rsidR="001762EE" w:rsidRPr="00C06157" w:rsidRDefault="001762EE" w:rsidP="005323C0">
            <w:pPr>
              <w:pStyle w:val="NormalWeb"/>
              <w:autoSpaceDE w:val="0"/>
              <w:autoSpaceDN w:val="0"/>
              <w:adjustRightInd w:val="0"/>
              <w:spacing w:before="40" w:beforeAutospacing="0" w:after="40" w:afterAutospacing="0"/>
              <w:jc w:val="center"/>
              <w:rPr>
                <w:b/>
                <w:sz w:val="22"/>
                <w:szCs w:val="22"/>
              </w:rPr>
            </w:pPr>
            <w:r w:rsidRPr="00C06157">
              <w:rPr>
                <w:b/>
                <w:sz w:val="22"/>
                <w:szCs w:val="22"/>
              </w:rPr>
              <w:t>Budgetary units</w:t>
            </w:r>
          </w:p>
        </w:tc>
        <w:tc>
          <w:tcPr>
            <w:tcW w:w="1457" w:type="dxa"/>
            <w:vMerge w:val="restart"/>
            <w:shd w:val="clear" w:color="auto" w:fill="D9D9D9" w:themeFill="background1" w:themeFillShade="D9"/>
            <w:vAlign w:val="center"/>
          </w:tcPr>
          <w:p w14:paraId="4EAF377F" w14:textId="569344B8" w:rsidR="001762EE" w:rsidRPr="00C06157" w:rsidRDefault="001762EE" w:rsidP="009D76C2">
            <w:pPr>
              <w:pStyle w:val="NormalWeb"/>
              <w:autoSpaceDE w:val="0"/>
              <w:autoSpaceDN w:val="0"/>
              <w:adjustRightInd w:val="0"/>
              <w:spacing w:before="40" w:beforeAutospacing="0" w:after="40" w:afterAutospacing="0"/>
              <w:jc w:val="center"/>
              <w:rPr>
                <w:b/>
                <w:sz w:val="22"/>
                <w:szCs w:val="22"/>
              </w:rPr>
            </w:pPr>
            <w:r w:rsidRPr="00C06157">
              <w:rPr>
                <w:b/>
                <w:sz w:val="22"/>
                <w:szCs w:val="22"/>
              </w:rPr>
              <w:t>Social security funds</w:t>
            </w:r>
          </w:p>
        </w:tc>
        <w:tc>
          <w:tcPr>
            <w:tcW w:w="1457" w:type="dxa"/>
            <w:vMerge w:val="restart"/>
            <w:shd w:val="clear" w:color="auto" w:fill="D9D9D9" w:themeFill="background1" w:themeFillShade="D9"/>
            <w:vAlign w:val="center"/>
          </w:tcPr>
          <w:p w14:paraId="32F0E5AB" w14:textId="6AC03BA8" w:rsidR="001762EE" w:rsidRPr="00C06157" w:rsidRDefault="001762EE" w:rsidP="009D76C2">
            <w:pPr>
              <w:pStyle w:val="NormalWeb"/>
              <w:autoSpaceDE w:val="0"/>
              <w:autoSpaceDN w:val="0"/>
              <w:adjustRightInd w:val="0"/>
              <w:spacing w:before="40" w:beforeAutospacing="0" w:after="40" w:afterAutospacing="0"/>
              <w:jc w:val="center"/>
              <w:rPr>
                <w:b/>
                <w:sz w:val="22"/>
                <w:szCs w:val="22"/>
              </w:rPr>
            </w:pPr>
            <w:r w:rsidRPr="00C06157">
              <w:rPr>
                <w:b/>
                <w:sz w:val="22"/>
                <w:szCs w:val="22"/>
              </w:rPr>
              <w:t>Total aggregated</w:t>
            </w:r>
          </w:p>
        </w:tc>
      </w:tr>
      <w:tr w:rsidR="001762EE" w:rsidRPr="00C06157" w14:paraId="54FACE33" w14:textId="77777777" w:rsidTr="009008FE">
        <w:tc>
          <w:tcPr>
            <w:tcW w:w="2376" w:type="dxa"/>
            <w:vMerge/>
            <w:tcBorders>
              <w:bottom w:val="double" w:sz="4" w:space="0" w:color="auto"/>
            </w:tcBorders>
            <w:shd w:val="clear" w:color="auto" w:fill="D9D9D9" w:themeFill="background1" w:themeFillShade="D9"/>
            <w:vAlign w:val="center"/>
          </w:tcPr>
          <w:p w14:paraId="60849A7A"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1512" w:type="dxa"/>
            <w:tcBorders>
              <w:bottom w:val="double" w:sz="4" w:space="0" w:color="auto"/>
            </w:tcBorders>
            <w:shd w:val="clear" w:color="auto" w:fill="D9D9D9" w:themeFill="background1" w:themeFillShade="D9"/>
            <w:vAlign w:val="center"/>
          </w:tcPr>
          <w:p w14:paraId="5A273401" w14:textId="6BBD7CB0" w:rsidR="001762EE" w:rsidRPr="00C06157" w:rsidRDefault="001762EE" w:rsidP="00D661D7">
            <w:pPr>
              <w:pStyle w:val="NormalWeb"/>
              <w:autoSpaceDE w:val="0"/>
              <w:autoSpaceDN w:val="0"/>
              <w:adjustRightInd w:val="0"/>
              <w:spacing w:before="40" w:beforeAutospacing="0" w:after="40" w:afterAutospacing="0"/>
              <w:jc w:val="center"/>
              <w:rPr>
                <w:b/>
                <w:sz w:val="22"/>
                <w:szCs w:val="22"/>
              </w:rPr>
            </w:pPr>
            <w:r w:rsidRPr="00C06157">
              <w:rPr>
                <w:b/>
                <w:sz w:val="22"/>
                <w:szCs w:val="22"/>
              </w:rPr>
              <w:t>Budgetary operations</w:t>
            </w:r>
          </w:p>
        </w:tc>
        <w:tc>
          <w:tcPr>
            <w:tcW w:w="1323" w:type="dxa"/>
            <w:tcBorders>
              <w:top w:val="single" w:sz="4" w:space="0" w:color="auto"/>
              <w:bottom w:val="double" w:sz="4" w:space="0" w:color="auto"/>
            </w:tcBorders>
            <w:shd w:val="clear" w:color="auto" w:fill="D9D9D9" w:themeFill="background1" w:themeFillShade="D9"/>
            <w:vAlign w:val="center"/>
          </w:tcPr>
          <w:p w14:paraId="2D02E39B" w14:textId="3BE72347" w:rsidR="001762EE" w:rsidRPr="00C06157" w:rsidRDefault="001762EE" w:rsidP="005323C0">
            <w:pPr>
              <w:pStyle w:val="NormalWeb"/>
              <w:autoSpaceDE w:val="0"/>
              <w:autoSpaceDN w:val="0"/>
              <w:adjustRightInd w:val="0"/>
              <w:spacing w:before="40" w:beforeAutospacing="0" w:after="40" w:afterAutospacing="0"/>
              <w:jc w:val="center"/>
              <w:rPr>
                <w:b/>
                <w:sz w:val="22"/>
                <w:szCs w:val="22"/>
              </w:rPr>
            </w:pPr>
            <w:r w:rsidRPr="00C06157">
              <w:rPr>
                <w:b/>
                <w:sz w:val="22"/>
                <w:szCs w:val="22"/>
              </w:rPr>
              <w:t>Extra-budgetary operations</w:t>
            </w:r>
          </w:p>
        </w:tc>
        <w:tc>
          <w:tcPr>
            <w:tcW w:w="1456" w:type="dxa"/>
            <w:vMerge/>
            <w:tcBorders>
              <w:bottom w:val="double" w:sz="4" w:space="0" w:color="auto"/>
            </w:tcBorders>
            <w:shd w:val="clear" w:color="auto" w:fill="D9D9D9" w:themeFill="background1" w:themeFillShade="D9"/>
            <w:vAlign w:val="center"/>
          </w:tcPr>
          <w:p w14:paraId="62E27198"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1457" w:type="dxa"/>
            <w:vMerge/>
            <w:tcBorders>
              <w:bottom w:val="double" w:sz="4" w:space="0" w:color="auto"/>
            </w:tcBorders>
            <w:shd w:val="clear" w:color="auto" w:fill="D9D9D9" w:themeFill="background1" w:themeFillShade="D9"/>
            <w:vAlign w:val="center"/>
          </w:tcPr>
          <w:p w14:paraId="242CCE94"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c>
          <w:tcPr>
            <w:tcW w:w="1457" w:type="dxa"/>
            <w:vMerge/>
            <w:tcBorders>
              <w:bottom w:val="double" w:sz="4" w:space="0" w:color="auto"/>
            </w:tcBorders>
            <w:shd w:val="clear" w:color="auto" w:fill="D9D9D9" w:themeFill="background1" w:themeFillShade="D9"/>
            <w:vAlign w:val="center"/>
          </w:tcPr>
          <w:p w14:paraId="65FDCEFE" w14:textId="77777777" w:rsidR="001762EE" w:rsidRPr="00C06157" w:rsidRDefault="001762EE" w:rsidP="009008FE">
            <w:pPr>
              <w:pStyle w:val="NormalWeb"/>
              <w:autoSpaceDE w:val="0"/>
              <w:autoSpaceDN w:val="0"/>
              <w:adjustRightInd w:val="0"/>
              <w:spacing w:before="40" w:beforeAutospacing="0" w:after="40" w:afterAutospacing="0"/>
              <w:jc w:val="center"/>
              <w:rPr>
                <w:b/>
                <w:sz w:val="22"/>
                <w:szCs w:val="22"/>
              </w:rPr>
            </w:pPr>
          </w:p>
        </w:tc>
      </w:tr>
      <w:tr w:rsidR="001762EE" w:rsidRPr="005A497D" w14:paraId="06CDE055" w14:textId="77777777" w:rsidTr="009008FE">
        <w:tc>
          <w:tcPr>
            <w:tcW w:w="2376" w:type="dxa"/>
            <w:tcBorders>
              <w:top w:val="double" w:sz="4" w:space="0" w:color="auto"/>
              <w:bottom w:val="single" w:sz="4" w:space="0" w:color="auto"/>
            </w:tcBorders>
            <w:vAlign w:val="center"/>
          </w:tcPr>
          <w:p w14:paraId="34C551E5" w14:textId="77777777" w:rsidR="001762EE" w:rsidRPr="005A497D" w:rsidRDefault="001762EE" w:rsidP="009008FE">
            <w:pPr>
              <w:pStyle w:val="NormalWeb"/>
              <w:autoSpaceDE w:val="0"/>
              <w:autoSpaceDN w:val="0"/>
              <w:adjustRightInd w:val="0"/>
              <w:spacing w:before="40"/>
              <w:rPr>
                <w:sz w:val="22"/>
                <w:szCs w:val="22"/>
              </w:rPr>
            </w:pPr>
            <w:r w:rsidRPr="005A497D">
              <w:rPr>
                <w:sz w:val="22"/>
                <w:szCs w:val="22"/>
              </w:rPr>
              <w:t>Revenue</w:t>
            </w:r>
          </w:p>
        </w:tc>
        <w:tc>
          <w:tcPr>
            <w:tcW w:w="1512" w:type="dxa"/>
            <w:tcBorders>
              <w:top w:val="double" w:sz="4" w:space="0" w:color="auto"/>
              <w:bottom w:val="single" w:sz="4" w:space="0" w:color="auto"/>
            </w:tcBorders>
            <w:vAlign w:val="center"/>
          </w:tcPr>
          <w:p w14:paraId="10E39017" w14:textId="3E7081E4" w:rsidR="001762EE" w:rsidRPr="001D16CD" w:rsidRDefault="001762EE" w:rsidP="005E7F65">
            <w:pPr>
              <w:pStyle w:val="NormalWeb"/>
              <w:autoSpaceDE w:val="0"/>
              <w:autoSpaceDN w:val="0"/>
              <w:adjustRightInd w:val="0"/>
              <w:spacing w:before="40" w:beforeAutospacing="0" w:after="0" w:afterAutospacing="0"/>
              <w:jc w:val="right"/>
              <w:rPr>
                <w:sz w:val="22"/>
                <w:szCs w:val="22"/>
                <w:highlight w:val="yellow"/>
              </w:rPr>
            </w:pPr>
            <w:r w:rsidRPr="003533EC">
              <w:rPr>
                <w:sz w:val="22"/>
                <w:szCs w:val="22"/>
              </w:rPr>
              <w:t>1,908,527</w:t>
            </w:r>
            <w:r w:rsidRPr="00EE024A">
              <w:rPr>
                <w:sz w:val="22"/>
                <w:szCs w:val="22"/>
                <w:vertAlign w:val="superscript"/>
              </w:rPr>
              <w:t>/a</w:t>
            </w:r>
          </w:p>
        </w:tc>
        <w:tc>
          <w:tcPr>
            <w:tcW w:w="1323" w:type="dxa"/>
            <w:tcBorders>
              <w:top w:val="double" w:sz="4" w:space="0" w:color="auto"/>
              <w:bottom w:val="single" w:sz="4" w:space="0" w:color="auto"/>
            </w:tcBorders>
            <w:vAlign w:val="center"/>
          </w:tcPr>
          <w:p w14:paraId="051B8A4A" w14:textId="144BD60D" w:rsidR="001762EE" w:rsidRPr="005A497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57,961</w:t>
            </w:r>
          </w:p>
        </w:tc>
        <w:tc>
          <w:tcPr>
            <w:tcW w:w="1456" w:type="dxa"/>
            <w:tcBorders>
              <w:top w:val="double" w:sz="4" w:space="0" w:color="auto"/>
              <w:bottom w:val="single" w:sz="4" w:space="0" w:color="auto"/>
            </w:tcBorders>
            <w:vAlign w:val="center"/>
          </w:tcPr>
          <w:p w14:paraId="0C94FAC0"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double" w:sz="4" w:space="0" w:color="auto"/>
              <w:bottom w:val="single" w:sz="4" w:space="0" w:color="auto"/>
            </w:tcBorders>
            <w:vAlign w:val="center"/>
          </w:tcPr>
          <w:p w14:paraId="4A643E43" w14:textId="2A54D32F" w:rsidR="001762EE" w:rsidRPr="005A497D" w:rsidRDefault="001762EE" w:rsidP="00E9248B">
            <w:pPr>
              <w:pStyle w:val="NormalWeb"/>
              <w:autoSpaceDE w:val="0"/>
              <w:autoSpaceDN w:val="0"/>
              <w:adjustRightInd w:val="0"/>
              <w:spacing w:before="40" w:beforeAutospacing="0" w:after="0" w:afterAutospacing="0"/>
              <w:jc w:val="right"/>
              <w:rPr>
                <w:sz w:val="22"/>
                <w:szCs w:val="22"/>
              </w:rPr>
            </w:pPr>
            <w:r>
              <w:rPr>
                <w:sz w:val="22"/>
                <w:szCs w:val="22"/>
              </w:rPr>
              <w:t>474,25</w:t>
            </w:r>
            <w:r w:rsidR="00E9248B">
              <w:rPr>
                <w:sz w:val="22"/>
                <w:szCs w:val="22"/>
              </w:rPr>
              <w:t>2</w:t>
            </w:r>
          </w:p>
        </w:tc>
        <w:tc>
          <w:tcPr>
            <w:tcW w:w="1457" w:type="dxa"/>
            <w:tcBorders>
              <w:top w:val="double" w:sz="4" w:space="0" w:color="auto"/>
              <w:bottom w:val="single" w:sz="4" w:space="0" w:color="auto"/>
            </w:tcBorders>
            <w:vAlign w:val="center"/>
          </w:tcPr>
          <w:p w14:paraId="02B5781F"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367CABA4" w14:textId="77777777" w:rsidTr="009008FE">
        <w:tc>
          <w:tcPr>
            <w:tcW w:w="2376" w:type="dxa"/>
            <w:tcBorders>
              <w:top w:val="single" w:sz="4" w:space="0" w:color="auto"/>
              <w:bottom w:val="single" w:sz="4" w:space="0" w:color="auto"/>
            </w:tcBorders>
            <w:vAlign w:val="center"/>
          </w:tcPr>
          <w:p w14:paraId="2323D0A9" w14:textId="77777777" w:rsidR="001762EE" w:rsidRPr="005A497D" w:rsidRDefault="001762EE" w:rsidP="009008FE">
            <w:pPr>
              <w:pStyle w:val="NormalWeb"/>
              <w:autoSpaceDE w:val="0"/>
              <w:autoSpaceDN w:val="0"/>
              <w:adjustRightInd w:val="0"/>
              <w:spacing w:before="40"/>
              <w:rPr>
                <w:sz w:val="22"/>
                <w:szCs w:val="22"/>
              </w:rPr>
            </w:pPr>
            <w:r w:rsidRPr="005A497D">
              <w:rPr>
                <w:sz w:val="22"/>
                <w:szCs w:val="22"/>
              </w:rPr>
              <w:t>Expenditure</w:t>
            </w:r>
          </w:p>
        </w:tc>
        <w:tc>
          <w:tcPr>
            <w:tcW w:w="1512" w:type="dxa"/>
            <w:tcBorders>
              <w:top w:val="single" w:sz="4" w:space="0" w:color="auto"/>
              <w:bottom w:val="single" w:sz="4" w:space="0" w:color="auto"/>
            </w:tcBorders>
            <w:vAlign w:val="center"/>
          </w:tcPr>
          <w:p w14:paraId="30089B35" w14:textId="64E1CB5B" w:rsidR="001762EE" w:rsidRPr="007C1E2D" w:rsidRDefault="00A93220" w:rsidP="005E7F65">
            <w:pPr>
              <w:pStyle w:val="NormalWeb"/>
              <w:autoSpaceDE w:val="0"/>
              <w:autoSpaceDN w:val="0"/>
              <w:adjustRightInd w:val="0"/>
              <w:spacing w:before="40" w:beforeAutospacing="0" w:after="0" w:afterAutospacing="0"/>
              <w:jc w:val="right"/>
              <w:rPr>
                <w:sz w:val="22"/>
                <w:szCs w:val="22"/>
              </w:rPr>
            </w:pPr>
            <w:r>
              <w:rPr>
                <w:sz w:val="22"/>
                <w:szCs w:val="22"/>
              </w:rPr>
              <w:t>2,227,532</w:t>
            </w:r>
            <w:r w:rsidR="001762EE" w:rsidRPr="00EE024A">
              <w:rPr>
                <w:sz w:val="22"/>
                <w:szCs w:val="22"/>
                <w:vertAlign w:val="superscript"/>
              </w:rPr>
              <w:t>/b</w:t>
            </w:r>
          </w:p>
        </w:tc>
        <w:tc>
          <w:tcPr>
            <w:tcW w:w="1323" w:type="dxa"/>
            <w:tcBorders>
              <w:top w:val="single" w:sz="4" w:space="0" w:color="auto"/>
              <w:bottom w:val="single" w:sz="4" w:space="0" w:color="auto"/>
            </w:tcBorders>
            <w:vAlign w:val="center"/>
          </w:tcPr>
          <w:p w14:paraId="55371735" w14:textId="3331E316" w:rsidR="001762EE" w:rsidRPr="005A497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44,831</w:t>
            </w:r>
          </w:p>
        </w:tc>
        <w:tc>
          <w:tcPr>
            <w:tcW w:w="1456" w:type="dxa"/>
            <w:tcBorders>
              <w:top w:val="single" w:sz="4" w:space="0" w:color="auto"/>
              <w:bottom w:val="single" w:sz="4" w:space="0" w:color="auto"/>
            </w:tcBorders>
            <w:vAlign w:val="center"/>
          </w:tcPr>
          <w:p w14:paraId="3D82315F"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46ACD4E4" w14:textId="2B2FE962" w:rsidR="001762EE" w:rsidRPr="005A497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284,781</w:t>
            </w:r>
          </w:p>
        </w:tc>
        <w:tc>
          <w:tcPr>
            <w:tcW w:w="1457" w:type="dxa"/>
            <w:tcBorders>
              <w:top w:val="single" w:sz="4" w:space="0" w:color="auto"/>
              <w:bottom w:val="single" w:sz="4" w:space="0" w:color="auto"/>
            </w:tcBorders>
            <w:vAlign w:val="center"/>
          </w:tcPr>
          <w:p w14:paraId="6F6FFE53"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247BF013" w14:textId="77777777" w:rsidTr="009008FE">
        <w:tc>
          <w:tcPr>
            <w:tcW w:w="2376" w:type="dxa"/>
            <w:tcBorders>
              <w:top w:val="single" w:sz="4" w:space="0" w:color="auto"/>
              <w:bottom w:val="single" w:sz="4" w:space="0" w:color="auto"/>
            </w:tcBorders>
            <w:vAlign w:val="center"/>
          </w:tcPr>
          <w:p w14:paraId="67D18539" w14:textId="71520531" w:rsidR="001762EE" w:rsidRPr="005A497D" w:rsidRDefault="001762EE" w:rsidP="009008FE">
            <w:pPr>
              <w:pStyle w:val="NormalWeb"/>
              <w:autoSpaceDE w:val="0"/>
              <w:autoSpaceDN w:val="0"/>
              <w:adjustRightInd w:val="0"/>
              <w:spacing w:before="40"/>
              <w:rPr>
                <w:sz w:val="22"/>
                <w:szCs w:val="22"/>
              </w:rPr>
            </w:pPr>
            <w:r w:rsidRPr="005A497D">
              <w:rPr>
                <w:sz w:val="22"/>
                <w:szCs w:val="22"/>
              </w:rPr>
              <w:t xml:space="preserve">Transfers to/from other </w:t>
            </w:r>
            <w:r>
              <w:rPr>
                <w:sz w:val="22"/>
                <w:szCs w:val="22"/>
              </w:rPr>
              <w:t>Government</w:t>
            </w:r>
            <w:r w:rsidRPr="005A497D">
              <w:rPr>
                <w:sz w:val="22"/>
                <w:szCs w:val="22"/>
              </w:rPr>
              <w:t xml:space="preserve"> entities or LGUs</w:t>
            </w:r>
          </w:p>
        </w:tc>
        <w:tc>
          <w:tcPr>
            <w:tcW w:w="1512" w:type="dxa"/>
            <w:tcBorders>
              <w:top w:val="single" w:sz="4" w:space="0" w:color="auto"/>
              <w:bottom w:val="single" w:sz="4" w:space="0" w:color="auto"/>
            </w:tcBorders>
            <w:vAlign w:val="center"/>
          </w:tcPr>
          <w:p w14:paraId="6BF0C2F5" w14:textId="4A25F1A3" w:rsidR="001762EE" w:rsidRPr="007C1E2D" w:rsidRDefault="001762EE" w:rsidP="005E7F65">
            <w:pPr>
              <w:pStyle w:val="NormalWeb"/>
              <w:autoSpaceDE w:val="0"/>
              <w:autoSpaceDN w:val="0"/>
              <w:adjustRightInd w:val="0"/>
              <w:spacing w:before="40" w:beforeAutospacing="0" w:after="0" w:afterAutospacing="0"/>
              <w:jc w:val="right"/>
              <w:rPr>
                <w:sz w:val="22"/>
                <w:szCs w:val="22"/>
              </w:rPr>
            </w:pPr>
            <w:r w:rsidRPr="007C1E2D">
              <w:rPr>
                <w:sz w:val="22"/>
                <w:szCs w:val="22"/>
              </w:rPr>
              <w:t>429,190</w:t>
            </w:r>
            <w:r w:rsidRPr="00EE024A">
              <w:rPr>
                <w:sz w:val="22"/>
                <w:szCs w:val="22"/>
                <w:vertAlign w:val="superscript"/>
              </w:rPr>
              <w:t>/c</w:t>
            </w:r>
          </w:p>
        </w:tc>
        <w:tc>
          <w:tcPr>
            <w:tcW w:w="1323" w:type="dxa"/>
            <w:tcBorders>
              <w:top w:val="single" w:sz="4" w:space="0" w:color="auto"/>
              <w:bottom w:val="single" w:sz="4" w:space="0" w:color="auto"/>
            </w:tcBorders>
            <w:vAlign w:val="center"/>
          </w:tcPr>
          <w:p w14:paraId="0E741663"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6" w:type="dxa"/>
            <w:tcBorders>
              <w:top w:val="single" w:sz="4" w:space="0" w:color="auto"/>
              <w:bottom w:val="single" w:sz="4" w:space="0" w:color="auto"/>
            </w:tcBorders>
            <w:vAlign w:val="center"/>
          </w:tcPr>
          <w:p w14:paraId="168B7E4D"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00791B81"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4120DAF0"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20748825" w14:textId="77777777" w:rsidTr="009008FE">
        <w:tc>
          <w:tcPr>
            <w:tcW w:w="2376" w:type="dxa"/>
            <w:tcBorders>
              <w:top w:val="single" w:sz="4" w:space="0" w:color="auto"/>
              <w:bottom w:val="single" w:sz="4" w:space="0" w:color="auto"/>
            </w:tcBorders>
            <w:vAlign w:val="center"/>
          </w:tcPr>
          <w:p w14:paraId="41B5C166" w14:textId="5B8A31CF" w:rsidR="001762EE" w:rsidRPr="005A497D" w:rsidRDefault="001762EE" w:rsidP="00401133">
            <w:pPr>
              <w:pStyle w:val="NormalWeb"/>
              <w:autoSpaceDE w:val="0"/>
              <w:autoSpaceDN w:val="0"/>
              <w:adjustRightInd w:val="0"/>
              <w:rPr>
                <w:sz w:val="22"/>
                <w:szCs w:val="22"/>
              </w:rPr>
            </w:pPr>
            <w:r w:rsidRPr="005A497D">
              <w:rPr>
                <w:sz w:val="22"/>
                <w:szCs w:val="22"/>
              </w:rPr>
              <w:t>Liabilities</w:t>
            </w:r>
            <w:r w:rsidR="00401133" w:rsidRPr="00401133">
              <w:rPr>
                <w:sz w:val="22"/>
                <w:szCs w:val="22"/>
                <w:vertAlign w:val="superscript"/>
              </w:rPr>
              <w:t>/e</w:t>
            </w:r>
          </w:p>
        </w:tc>
        <w:tc>
          <w:tcPr>
            <w:tcW w:w="1512" w:type="dxa"/>
            <w:tcBorders>
              <w:top w:val="single" w:sz="4" w:space="0" w:color="auto"/>
              <w:bottom w:val="single" w:sz="4" w:space="0" w:color="auto"/>
            </w:tcBorders>
            <w:vAlign w:val="center"/>
          </w:tcPr>
          <w:p w14:paraId="74C93E3E" w14:textId="7753C31C" w:rsidR="001762EE" w:rsidRPr="007C1E2D" w:rsidRDefault="00983D13" w:rsidP="00A93220">
            <w:pPr>
              <w:pStyle w:val="NormalWeb"/>
              <w:autoSpaceDE w:val="0"/>
              <w:autoSpaceDN w:val="0"/>
              <w:adjustRightInd w:val="0"/>
              <w:spacing w:before="40" w:beforeAutospacing="0" w:after="0" w:afterAutospacing="0"/>
              <w:jc w:val="right"/>
              <w:rPr>
                <w:sz w:val="22"/>
                <w:szCs w:val="22"/>
              </w:rPr>
            </w:pPr>
            <w:r>
              <w:rPr>
                <w:sz w:val="22"/>
                <w:szCs w:val="22"/>
              </w:rPr>
              <w:t>5,735,242</w:t>
            </w:r>
            <w:r w:rsidR="001762EE" w:rsidRPr="00EE024A">
              <w:rPr>
                <w:sz w:val="22"/>
                <w:szCs w:val="22"/>
                <w:vertAlign w:val="superscript"/>
              </w:rPr>
              <w:t>/d</w:t>
            </w:r>
          </w:p>
        </w:tc>
        <w:tc>
          <w:tcPr>
            <w:tcW w:w="1323" w:type="dxa"/>
            <w:tcBorders>
              <w:top w:val="single" w:sz="4" w:space="0" w:color="auto"/>
              <w:bottom w:val="single" w:sz="4" w:space="0" w:color="auto"/>
            </w:tcBorders>
            <w:vAlign w:val="center"/>
          </w:tcPr>
          <w:p w14:paraId="6765C8B5"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6" w:type="dxa"/>
            <w:tcBorders>
              <w:top w:val="single" w:sz="4" w:space="0" w:color="auto"/>
              <w:bottom w:val="single" w:sz="4" w:space="0" w:color="auto"/>
            </w:tcBorders>
            <w:vAlign w:val="center"/>
          </w:tcPr>
          <w:p w14:paraId="46D1AF14"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75367E9C" w14:textId="6605185C" w:rsidR="001762EE" w:rsidRPr="005A497D" w:rsidRDefault="001762EE" w:rsidP="00E9248B">
            <w:pPr>
              <w:pStyle w:val="NormalWeb"/>
              <w:autoSpaceDE w:val="0"/>
              <w:autoSpaceDN w:val="0"/>
              <w:adjustRightInd w:val="0"/>
              <w:spacing w:before="40" w:beforeAutospacing="0" w:after="0" w:afterAutospacing="0"/>
              <w:jc w:val="right"/>
              <w:rPr>
                <w:sz w:val="22"/>
                <w:szCs w:val="22"/>
              </w:rPr>
            </w:pPr>
            <w:r>
              <w:rPr>
                <w:sz w:val="22"/>
                <w:szCs w:val="22"/>
              </w:rPr>
              <w:t>55,54</w:t>
            </w:r>
            <w:r w:rsidR="00E9248B">
              <w:rPr>
                <w:sz w:val="22"/>
                <w:szCs w:val="22"/>
              </w:rPr>
              <w:t>3</w:t>
            </w:r>
          </w:p>
        </w:tc>
        <w:tc>
          <w:tcPr>
            <w:tcW w:w="1457" w:type="dxa"/>
            <w:tcBorders>
              <w:top w:val="single" w:sz="4" w:space="0" w:color="auto"/>
              <w:bottom w:val="single" w:sz="4" w:space="0" w:color="auto"/>
            </w:tcBorders>
            <w:vAlign w:val="center"/>
          </w:tcPr>
          <w:p w14:paraId="46A41989"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5A6C1C35" w14:textId="77777777" w:rsidTr="009008FE">
        <w:tc>
          <w:tcPr>
            <w:tcW w:w="2376" w:type="dxa"/>
            <w:tcBorders>
              <w:top w:val="single" w:sz="4" w:space="0" w:color="auto"/>
              <w:bottom w:val="single" w:sz="4" w:space="0" w:color="auto"/>
            </w:tcBorders>
            <w:vAlign w:val="center"/>
          </w:tcPr>
          <w:p w14:paraId="3197B215" w14:textId="75E4BDD7" w:rsidR="001762EE" w:rsidRPr="005A497D" w:rsidRDefault="001762EE" w:rsidP="00401133">
            <w:pPr>
              <w:pStyle w:val="NormalWeb"/>
              <w:autoSpaceDE w:val="0"/>
              <w:autoSpaceDN w:val="0"/>
              <w:adjustRightInd w:val="0"/>
              <w:rPr>
                <w:sz w:val="22"/>
                <w:szCs w:val="22"/>
              </w:rPr>
            </w:pPr>
            <w:r>
              <w:rPr>
                <w:sz w:val="22"/>
                <w:szCs w:val="22"/>
              </w:rPr>
              <w:t>Financial assets</w:t>
            </w:r>
            <w:r w:rsidR="00401133" w:rsidRPr="00401133">
              <w:rPr>
                <w:sz w:val="22"/>
                <w:szCs w:val="22"/>
                <w:vertAlign w:val="superscript"/>
              </w:rPr>
              <w:t>/e</w:t>
            </w:r>
          </w:p>
        </w:tc>
        <w:tc>
          <w:tcPr>
            <w:tcW w:w="1512" w:type="dxa"/>
            <w:tcBorders>
              <w:top w:val="single" w:sz="4" w:space="0" w:color="auto"/>
              <w:bottom w:val="single" w:sz="4" w:space="0" w:color="auto"/>
            </w:tcBorders>
            <w:vAlign w:val="center"/>
          </w:tcPr>
          <w:p w14:paraId="2397A3C7" w14:textId="77777777" w:rsidR="001762EE" w:rsidRPr="00EC21A9" w:rsidRDefault="001762EE" w:rsidP="009008FE">
            <w:pPr>
              <w:pStyle w:val="NormalWeb"/>
              <w:autoSpaceDE w:val="0"/>
              <w:autoSpaceDN w:val="0"/>
              <w:adjustRightInd w:val="0"/>
              <w:spacing w:before="40" w:beforeAutospacing="0" w:after="0" w:afterAutospacing="0"/>
              <w:jc w:val="right"/>
              <w:rPr>
                <w:sz w:val="22"/>
                <w:szCs w:val="22"/>
              </w:rPr>
            </w:pPr>
            <w:r w:rsidRPr="00EC21A9">
              <w:rPr>
                <w:sz w:val="22"/>
                <w:szCs w:val="22"/>
              </w:rPr>
              <w:t>3,095,642</w:t>
            </w:r>
          </w:p>
        </w:tc>
        <w:tc>
          <w:tcPr>
            <w:tcW w:w="1323" w:type="dxa"/>
            <w:tcBorders>
              <w:top w:val="single" w:sz="4" w:space="0" w:color="auto"/>
              <w:bottom w:val="single" w:sz="4" w:space="0" w:color="auto"/>
            </w:tcBorders>
            <w:vAlign w:val="center"/>
          </w:tcPr>
          <w:p w14:paraId="0B72BC19"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6" w:type="dxa"/>
            <w:tcBorders>
              <w:top w:val="single" w:sz="4" w:space="0" w:color="auto"/>
              <w:bottom w:val="single" w:sz="4" w:space="0" w:color="auto"/>
            </w:tcBorders>
            <w:vAlign w:val="center"/>
          </w:tcPr>
          <w:p w14:paraId="4BA6C467"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single" w:sz="4" w:space="0" w:color="auto"/>
            </w:tcBorders>
            <w:vAlign w:val="center"/>
          </w:tcPr>
          <w:p w14:paraId="57C97B88" w14:textId="2DCA7E36" w:rsidR="001762EE" w:rsidRPr="005A497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996,995</w:t>
            </w:r>
          </w:p>
        </w:tc>
        <w:tc>
          <w:tcPr>
            <w:tcW w:w="1457" w:type="dxa"/>
            <w:tcBorders>
              <w:top w:val="single" w:sz="4" w:space="0" w:color="auto"/>
              <w:bottom w:val="single" w:sz="4" w:space="0" w:color="auto"/>
            </w:tcBorders>
            <w:vAlign w:val="center"/>
          </w:tcPr>
          <w:p w14:paraId="6795019F"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r w:rsidR="001762EE" w:rsidRPr="005A497D" w14:paraId="6158A7E1" w14:textId="77777777" w:rsidTr="009008FE">
        <w:tc>
          <w:tcPr>
            <w:tcW w:w="2376" w:type="dxa"/>
            <w:tcBorders>
              <w:top w:val="single" w:sz="4" w:space="0" w:color="auto"/>
              <w:bottom w:val="double" w:sz="4" w:space="0" w:color="auto"/>
            </w:tcBorders>
            <w:vAlign w:val="center"/>
          </w:tcPr>
          <w:p w14:paraId="0083093B" w14:textId="21766237" w:rsidR="001762EE" w:rsidRPr="005A497D" w:rsidRDefault="001762EE" w:rsidP="00401133">
            <w:pPr>
              <w:pStyle w:val="NormalWeb"/>
              <w:autoSpaceDE w:val="0"/>
              <w:autoSpaceDN w:val="0"/>
              <w:adjustRightInd w:val="0"/>
              <w:rPr>
                <w:sz w:val="22"/>
                <w:szCs w:val="22"/>
              </w:rPr>
            </w:pPr>
            <w:r w:rsidRPr="005A497D">
              <w:rPr>
                <w:sz w:val="22"/>
                <w:szCs w:val="22"/>
              </w:rPr>
              <w:t>Non-financial assets</w:t>
            </w:r>
            <w:r w:rsidR="00401133" w:rsidRPr="00401133">
              <w:rPr>
                <w:sz w:val="22"/>
                <w:szCs w:val="22"/>
                <w:vertAlign w:val="superscript"/>
              </w:rPr>
              <w:t>/e</w:t>
            </w:r>
          </w:p>
        </w:tc>
        <w:tc>
          <w:tcPr>
            <w:tcW w:w="1512" w:type="dxa"/>
            <w:tcBorders>
              <w:top w:val="single" w:sz="4" w:space="0" w:color="auto"/>
              <w:bottom w:val="double" w:sz="4" w:space="0" w:color="auto"/>
            </w:tcBorders>
            <w:vAlign w:val="center"/>
          </w:tcPr>
          <w:p w14:paraId="3E05C618" w14:textId="77777777" w:rsidR="001762EE" w:rsidRPr="00EC21A9" w:rsidRDefault="001762EE" w:rsidP="009008FE">
            <w:pPr>
              <w:pStyle w:val="NormalWeb"/>
              <w:autoSpaceDE w:val="0"/>
              <w:autoSpaceDN w:val="0"/>
              <w:adjustRightInd w:val="0"/>
              <w:spacing w:before="40" w:beforeAutospacing="0" w:after="0" w:afterAutospacing="0"/>
              <w:jc w:val="right"/>
              <w:rPr>
                <w:sz w:val="22"/>
                <w:szCs w:val="22"/>
              </w:rPr>
            </w:pPr>
            <w:r w:rsidRPr="00EC21A9">
              <w:rPr>
                <w:sz w:val="22"/>
                <w:szCs w:val="22"/>
              </w:rPr>
              <w:t>1,178,964</w:t>
            </w:r>
          </w:p>
        </w:tc>
        <w:tc>
          <w:tcPr>
            <w:tcW w:w="1323" w:type="dxa"/>
            <w:tcBorders>
              <w:top w:val="single" w:sz="4" w:space="0" w:color="auto"/>
              <w:bottom w:val="double" w:sz="4" w:space="0" w:color="auto"/>
            </w:tcBorders>
            <w:vAlign w:val="center"/>
          </w:tcPr>
          <w:p w14:paraId="7E8D6041"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6" w:type="dxa"/>
            <w:tcBorders>
              <w:top w:val="single" w:sz="4" w:space="0" w:color="auto"/>
              <w:bottom w:val="double" w:sz="4" w:space="0" w:color="auto"/>
            </w:tcBorders>
            <w:vAlign w:val="center"/>
          </w:tcPr>
          <w:p w14:paraId="10B2AB9B" w14:textId="77777777" w:rsidR="001762EE" w:rsidRPr="005A497D" w:rsidRDefault="001762EE" w:rsidP="00EE024A">
            <w:pPr>
              <w:pStyle w:val="NormalWeb"/>
              <w:autoSpaceDE w:val="0"/>
              <w:autoSpaceDN w:val="0"/>
              <w:adjustRightInd w:val="0"/>
              <w:spacing w:before="40" w:beforeAutospacing="0" w:after="0" w:afterAutospacing="0"/>
              <w:jc w:val="center"/>
              <w:rPr>
                <w:sz w:val="22"/>
                <w:szCs w:val="22"/>
              </w:rPr>
            </w:pPr>
            <w:r>
              <w:rPr>
                <w:sz w:val="22"/>
                <w:szCs w:val="22"/>
              </w:rPr>
              <w:t>-</w:t>
            </w:r>
          </w:p>
        </w:tc>
        <w:tc>
          <w:tcPr>
            <w:tcW w:w="1457" w:type="dxa"/>
            <w:tcBorders>
              <w:top w:val="single" w:sz="4" w:space="0" w:color="auto"/>
              <w:bottom w:val="double" w:sz="4" w:space="0" w:color="auto"/>
            </w:tcBorders>
            <w:vAlign w:val="center"/>
          </w:tcPr>
          <w:p w14:paraId="316E14E1" w14:textId="7ECE3FDA" w:rsidR="001762EE" w:rsidRPr="005A497D" w:rsidRDefault="00E9248B" w:rsidP="009008FE">
            <w:pPr>
              <w:pStyle w:val="NormalWeb"/>
              <w:autoSpaceDE w:val="0"/>
              <w:autoSpaceDN w:val="0"/>
              <w:adjustRightInd w:val="0"/>
              <w:spacing w:before="40" w:beforeAutospacing="0" w:after="0" w:afterAutospacing="0"/>
              <w:jc w:val="right"/>
              <w:rPr>
                <w:sz w:val="22"/>
                <w:szCs w:val="22"/>
              </w:rPr>
            </w:pPr>
            <w:r>
              <w:rPr>
                <w:sz w:val="22"/>
                <w:szCs w:val="22"/>
              </w:rPr>
              <w:t>484,754</w:t>
            </w:r>
          </w:p>
        </w:tc>
        <w:tc>
          <w:tcPr>
            <w:tcW w:w="1457" w:type="dxa"/>
            <w:tcBorders>
              <w:top w:val="single" w:sz="4" w:space="0" w:color="auto"/>
              <w:bottom w:val="double" w:sz="4" w:space="0" w:color="auto"/>
            </w:tcBorders>
            <w:vAlign w:val="center"/>
          </w:tcPr>
          <w:p w14:paraId="6723BEB9" w14:textId="77777777" w:rsidR="001762EE" w:rsidRPr="005A497D" w:rsidRDefault="001762EE" w:rsidP="009008FE">
            <w:pPr>
              <w:pStyle w:val="NormalWeb"/>
              <w:autoSpaceDE w:val="0"/>
              <w:autoSpaceDN w:val="0"/>
              <w:adjustRightInd w:val="0"/>
              <w:spacing w:before="40" w:beforeAutospacing="0" w:after="0" w:afterAutospacing="0"/>
              <w:jc w:val="right"/>
              <w:rPr>
                <w:sz w:val="22"/>
                <w:szCs w:val="22"/>
              </w:rPr>
            </w:pPr>
          </w:p>
        </w:tc>
      </w:tr>
    </w:tbl>
    <w:p w14:paraId="15CA1569" w14:textId="307B8E47" w:rsidR="001762EE" w:rsidRPr="00401133" w:rsidRDefault="001762EE" w:rsidP="00EC21A9">
      <w:pPr>
        <w:pStyle w:val="NormalWeb"/>
        <w:autoSpaceDE w:val="0"/>
        <w:autoSpaceDN w:val="0"/>
        <w:adjustRightInd w:val="0"/>
        <w:spacing w:before="40" w:beforeAutospacing="0" w:after="0" w:afterAutospacing="0"/>
        <w:jc w:val="both"/>
        <w:rPr>
          <w:sz w:val="18"/>
          <w:szCs w:val="18"/>
        </w:rPr>
      </w:pPr>
      <w:r w:rsidRPr="00401133">
        <w:rPr>
          <w:i/>
          <w:sz w:val="18"/>
          <w:szCs w:val="18"/>
        </w:rPr>
        <w:t>Sources:</w:t>
      </w:r>
      <w:r w:rsidRPr="00401133">
        <w:rPr>
          <w:sz w:val="18"/>
          <w:szCs w:val="18"/>
        </w:rPr>
        <w:t xml:space="preserve"> BTr, CoA, DBM, DOF.</w:t>
      </w:r>
    </w:p>
    <w:p w14:paraId="48283CFB" w14:textId="54F8FFF6" w:rsidR="001762EE" w:rsidRDefault="001762EE" w:rsidP="001D16CD">
      <w:pPr>
        <w:pStyle w:val="NormalWeb"/>
        <w:autoSpaceDE w:val="0"/>
        <w:autoSpaceDN w:val="0"/>
        <w:adjustRightInd w:val="0"/>
        <w:spacing w:before="40" w:beforeAutospacing="0" w:after="0" w:afterAutospacing="0"/>
        <w:jc w:val="both"/>
        <w:rPr>
          <w:sz w:val="20"/>
          <w:szCs w:val="20"/>
        </w:rPr>
      </w:pPr>
      <w:r w:rsidRPr="00EE024A">
        <w:rPr>
          <w:sz w:val="20"/>
          <w:szCs w:val="20"/>
          <w:vertAlign w:val="superscript"/>
        </w:rPr>
        <w:t>/a</w:t>
      </w:r>
      <w:r>
        <w:rPr>
          <w:sz w:val="20"/>
          <w:szCs w:val="20"/>
        </w:rPr>
        <w:t xml:space="preserve">  </w:t>
      </w:r>
      <w:r w:rsidRPr="00EE024A">
        <w:rPr>
          <w:sz w:val="18"/>
          <w:szCs w:val="18"/>
        </w:rPr>
        <w:t>2016 BESF Table C.1</w:t>
      </w:r>
    </w:p>
    <w:p w14:paraId="43934F07" w14:textId="1C5CD205" w:rsidR="001762EE" w:rsidRDefault="001762EE" w:rsidP="001D16CD">
      <w:pPr>
        <w:pStyle w:val="NormalWeb"/>
        <w:autoSpaceDE w:val="0"/>
        <w:autoSpaceDN w:val="0"/>
        <w:adjustRightInd w:val="0"/>
        <w:spacing w:before="40" w:beforeAutospacing="0" w:after="0" w:afterAutospacing="0"/>
        <w:jc w:val="both"/>
        <w:rPr>
          <w:sz w:val="20"/>
          <w:szCs w:val="20"/>
        </w:rPr>
      </w:pPr>
      <w:r w:rsidRPr="00EE024A">
        <w:rPr>
          <w:sz w:val="20"/>
          <w:szCs w:val="20"/>
          <w:vertAlign w:val="superscript"/>
        </w:rPr>
        <w:t>/b</w:t>
      </w:r>
      <w:r>
        <w:rPr>
          <w:sz w:val="20"/>
          <w:szCs w:val="20"/>
        </w:rPr>
        <w:t xml:space="preserve"> </w:t>
      </w:r>
      <w:r w:rsidR="00A93220">
        <w:rPr>
          <w:sz w:val="18"/>
          <w:szCs w:val="18"/>
        </w:rPr>
        <w:t>Annual Financial Report 2014</w:t>
      </w:r>
    </w:p>
    <w:p w14:paraId="3FE09AEE" w14:textId="06E887FB" w:rsidR="001762EE" w:rsidRDefault="001762EE" w:rsidP="001D16CD">
      <w:pPr>
        <w:pStyle w:val="NormalWeb"/>
        <w:autoSpaceDE w:val="0"/>
        <w:autoSpaceDN w:val="0"/>
        <w:adjustRightInd w:val="0"/>
        <w:spacing w:before="40" w:beforeAutospacing="0" w:after="0" w:afterAutospacing="0"/>
        <w:jc w:val="both"/>
      </w:pPr>
      <w:r w:rsidRPr="00EE024A">
        <w:rPr>
          <w:sz w:val="20"/>
          <w:szCs w:val="20"/>
          <w:vertAlign w:val="superscript"/>
        </w:rPr>
        <w:t>/c</w:t>
      </w:r>
      <w:r>
        <w:rPr>
          <w:sz w:val="20"/>
          <w:szCs w:val="20"/>
        </w:rPr>
        <w:t xml:space="preserve"> </w:t>
      </w:r>
      <w:r w:rsidRPr="00EE024A">
        <w:rPr>
          <w:sz w:val="18"/>
          <w:szCs w:val="18"/>
        </w:rPr>
        <w:t>2016 BESF Table B.26 (ALGU, Subsidy, Capital Transfers to LGUs, and Equity)</w:t>
      </w:r>
    </w:p>
    <w:p w14:paraId="7579446B" w14:textId="637113CA" w:rsidR="001762EE" w:rsidRDefault="001762EE" w:rsidP="008C063C">
      <w:pPr>
        <w:pStyle w:val="FootnoteText"/>
        <w:rPr>
          <w:sz w:val="18"/>
          <w:szCs w:val="18"/>
        </w:rPr>
      </w:pPr>
      <w:r w:rsidRPr="00EE024A">
        <w:rPr>
          <w:vertAlign w:val="superscript"/>
        </w:rPr>
        <w:t>/d</w:t>
      </w:r>
      <w:r>
        <w:t xml:space="preserve"> </w:t>
      </w:r>
      <w:r w:rsidR="00983D13">
        <w:rPr>
          <w:sz w:val="18"/>
          <w:szCs w:val="18"/>
        </w:rPr>
        <w:t xml:space="preserve">BTr Data for 2014 National Government Debt </w:t>
      </w:r>
    </w:p>
    <w:p w14:paraId="55A28948" w14:textId="57797CED" w:rsidR="00401133" w:rsidRDefault="00401133" w:rsidP="008C063C">
      <w:pPr>
        <w:pStyle w:val="FootnoteText"/>
      </w:pPr>
      <w:r w:rsidRPr="00401133">
        <w:rPr>
          <w:sz w:val="18"/>
          <w:szCs w:val="18"/>
          <w:vertAlign w:val="superscript"/>
        </w:rPr>
        <w:t>/e</w:t>
      </w:r>
      <w:r>
        <w:rPr>
          <w:sz w:val="18"/>
          <w:szCs w:val="18"/>
        </w:rPr>
        <w:t xml:space="preserve"> Denotes 2014 data (latest available)</w:t>
      </w:r>
    </w:p>
    <w:p w14:paraId="15D39D68" w14:textId="724A6EF4" w:rsidR="001762EE" w:rsidRPr="005A497D" w:rsidRDefault="001762EE" w:rsidP="001D16CD">
      <w:pPr>
        <w:pStyle w:val="NormalWeb"/>
        <w:autoSpaceDE w:val="0"/>
        <w:autoSpaceDN w:val="0"/>
        <w:adjustRightInd w:val="0"/>
        <w:spacing w:before="40" w:beforeAutospacing="0" w:after="0" w:afterAutospacing="0"/>
        <w:jc w:val="both"/>
        <w:rPr>
          <w:sz w:val="20"/>
          <w:szCs w:val="20"/>
        </w:rPr>
      </w:pPr>
    </w:p>
    <w:p w14:paraId="56EEDBE0" w14:textId="2BD295FF" w:rsidR="001762EE" w:rsidRPr="005A497D" w:rsidRDefault="001762EE" w:rsidP="009A012D">
      <w:pPr>
        <w:pStyle w:val="PEFAFigure"/>
        <w:spacing w:after="0"/>
        <w:jc w:val="left"/>
      </w:pPr>
      <w:r w:rsidRPr="005A497D">
        <w:br w:type="page"/>
      </w:r>
    </w:p>
    <w:p w14:paraId="24760AED" w14:textId="2D413B3A" w:rsidR="001762EE" w:rsidRPr="005A497D" w:rsidRDefault="001762EE" w:rsidP="009A012D">
      <w:pPr>
        <w:pStyle w:val="Heading2"/>
        <w:rPr>
          <w:rFonts w:ascii="Times New Roman" w:hAnsi="Times New Roman"/>
          <w:sz w:val="32"/>
          <w:szCs w:val="32"/>
        </w:rPr>
      </w:pPr>
      <w:bookmarkStart w:id="56" w:name="_Toc454811642"/>
      <w:bookmarkStart w:id="57" w:name="_Toc454888787"/>
      <w:r w:rsidRPr="005A497D">
        <w:rPr>
          <w:rFonts w:ascii="Times New Roman" w:hAnsi="Times New Roman"/>
          <w:sz w:val="32"/>
          <w:szCs w:val="32"/>
        </w:rPr>
        <w:t>Chapter 3</w:t>
      </w:r>
      <w:r>
        <w:rPr>
          <w:rFonts w:ascii="Times New Roman" w:hAnsi="Times New Roman"/>
          <w:sz w:val="32"/>
          <w:szCs w:val="32"/>
        </w:rPr>
        <w:t>.</w:t>
      </w:r>
      <w:r w:rsidRPr="005A497D">
        <w:rPr>
          <w:rFonts w:ascii="Times New Roman" w:hAnsi="Times New Roman"/>
          <w:sz w:val="32"/>
          <w:szCs w:val="32"/>
        </w:rPr>
        <w:t xml:space="preserve"> Assessment of PFM Systems, Processes and Institutions</w:t>
      </w:r>
      <w:bookmarkEnd w:id="56"/>
      <w:bookmarkEnd w:id="57"/>
    </w:p>
    <w:p w14:paraId="5F8DE4D0" w14:textId="77777777" w:rsidR="001762EE" w:rsidRPr="005A497D" w:rsidRDefault="001762EE" w:rsidP="009A012D"/>
    <w:p w14:paraId="2CCD51E3" w14:textId="32B96C6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Chapter 3</w:t>
      </w:r>
      <w:r w:rsidRPr="005A497D">
        <w:t xml:space="preserve"> provides an assessment of the key elements of the PFM system as captured by the 3</w:t>
      </w:r>
      <w:r>
        <w:t>1</w:t>
      </w:r>
      <w:r w:rsidRPr="005A497D">
        <w:t xml:space="preserve"> </w:t>
      </w:r>
      <w:r>
        <w:t>p</w:t>
      </w:r>
      <w:r w:rsidRPr="005A497D">
        <w:t xml:space="preserve">erformance </w:t>
      </w:r>
      <w:r>
        <w:t>i</w:t>
      </w:r>
      <w:r w:rsidRPr="005A497D">
        <w:t>ndicators (PIs) and</w:t>
      </w:r>
      <w:r>
        <w:t>,</w:t>
      </w:r>
      <w:r w:rsidRPr="005A497D">
        <w:t xml:space="preserve"> where applicable</w:t>
      </w:r>
      <w:r>
        <w:t>,</w:t>
      </w:r>
      <w:r w:rsidRPr="005A497D">
        <w:t xml:space="preserve"> reports on progress made in improving these.</w:t>
      </w:r>
      <w:r>
        <w:t xml:space="preserve"> </w:t>
      </w:r>
      <w:r w:rsidRPr="005A497D">
        <w:t xml:space="preserve">The PFM performance for each of the </w:t>
      </w:r>
      <w:r>
        <w:t>performance indicators</w:t>
      </w:r>
      <w:r w:rsidRPr="005A497D">
        <w:t xml:space="preserve"> was assessed and assigned ratings of “A” to “D” as per the </w:t>
      </w:r>
      <w:r>
        <w:t>scoring</w:t>
      </w:r>
      <w:r w:rsidRPr="005A497D">
        <w:t xml:space="preserve"> criteria</w:t>
      </w:r>
      <w:r>
        <w:t xml:space="preserve"> for each indicator that must be met in entirety</w:t>
      </w:r>
      <w:r w:rsidRPr="005A497D">
        <w:t>. The scores may be broadly interpreted as follows:</w:t>
      </w:r>
    </w:p>
    <w:p w14:paraId="5BCB460F" w14:textId="77777777" w:rsidR="001762EE" w:rsidRPr="005A497D" w:rsidRDefault="001762EE" w:rsidP="009A012D">
      <w:pPr>
        <w:contextualSpacing/>
        <w:jc w:val="both"/>
      </w:pPr>
    </w:p>
    <w:tbl>
      <w:tblPr>
        <w:tblStyle w:val="TableGrid"/>
        <w:tblW w:w="0" w:type="auto"/>
        <w:tblInd w:w="39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7938"/>
      </w:tblGrid>
      <w:tr w:rsidR="001762EE" w:rsidRPr="005A497D" w14:paraId="4666B5EE" w14:textId="77777777" w:rsidTr="00CB0AB5">
        <w:trPr>
          <w:trHeight w:val="567"/>
        </w:trPr>
        <w:tc>
          <w:tcPr>
            <w:tcW w:w="850" w:type="dxa"/>
            <w:shd w:val="clear" w:color="auto" w:fill="D9D9D9" w:themeFill="background1" w:themeFillShade="D9"/>
            <w:vAlign w:val="center"/>
          </w:tcPr>
          <w:p w14:paraId="204B8A10" w14:textId="77777777" w:rsidR="001762EE" w:rsidRPr="005A497D" w:rsidRDefault="001762EE" w:rsidP="009A012D">
            <w:pPr>
              <w:jc w:val="center"/>
              <w:rPr>
                <w:b/>
                <w:sz w:val="22"/>
                <w:szCs w:val="22"/>
              </w:rPr>
            </w:pPr>
            <w:r w:rsidRPr="005A497D">
              <w:rPr>
                <w:b/>
                <w:sz w:val="22"/>
                <w:szCs w:val="22"/>
              </w:rPr>
              <w:t>A</w:t>
            </w:r>
          </w:p>
        </w:tc>
        <w:tc>
          <w:tcPr>
            <w:tcW w:w="7938" w:type="dxa"/>
            <w:vAlign w:val="center"/>
          </w:tcPr>
          <w:p w14:paraId="0CFC4EC6" w14:textId="77777777" w:rsidR="001762EE" w:rsidRPr="005A497D" w:rsidRDefault="001762EE" w:rsidP="009A012D">
            <w:pPr>
              <w:pStyle w:val="Caption"/>
              <w:spacing w:after="0"/>
              <w:rPr>
                <w:b w:val="0"/>
                <w:sz w:val="22"/>
                <w:szCs w:val="22"/>
              </w:rPr>
            </w:pPr>
            <w:r w:rsidRPr="005A497D">
              <w:rPr>
                <w:b w:val="0"/>
                <w:color w:val="auto"/>
                <w:sz w:val="22"/>
                <w:szCs w:val="22"/>
              </w:rPr>
              <w:t>Represents performance that meets good international practice; the criteria for the indicator are met in a complete, orderly, accurate, timely, and coordinated way.</w:t>
            </w:r>
          </w:p>
        </w:tc>
      </w:tr>
      <w:tr w:rsidR="001762EE" w:rsidRPr="005A497D" w14:paraId="6FB6380C" w14:textId="77777777" w:rsidTr="00CB0AB5">
        <w:trPr>
          <w:trHeight w:val="567"/>
        </w:trPr>
        <w:tc>
          <w:tcPr>
            <w:tcW w:w="850" w:type="dxa"/>
            <w:shd w:val="clear" w:color="auto" w:fill="D9D9D9" w:themeFill="background1" w:themeFillShade="D9"/>
            <w:vAlign w:val="center"/>
          </w:tcPr>
          <w:p w14:paraId="6D5E478C" w14:textId="77777777" w:rsidR="001762EE" w:rsidRPr="005A497D" w:rsidRDefault="001762EE" w:rsidP="009A012D">
            <w:pPr>
              <w:jc w:val="center"/>
              <w:rPr>
                <w:b/>
                <w:sz w:val="22"/>
                <w:szCs w:val="22"/>
              </w:rPr>
            </w:pPr>
            <w:r w:rsidRPr="005A497D">
              <w:rPr>
                <w:b/>
                <w:sz w:val="22"/>
                <w:szCs w:val="22"/>
              </w:rPr>
              <w:t>B</w:t>
            </w:r>
          </w:p>
        </w:tc>
        <w:tc>
          <w:tcPr>
            <w:tcW w:w="7938" w:type="dxa"/>
            <w:vAlign w:val="center"/>
          </w:tcPr>
          <w:p w14:paraId="54EBA8C4" w14:textId="77777777" w:rsidR="001762EE" w:rsidRPr="005A497D" w:rsidRDefault="001762EE" w:rsidP="009A012D">
            <w:pPr>
              <w:pStyle w:val="Caption"/>
              <w:spacing w:after="0"/>
              <w:rPr>
                <w:b w:val="0"/>
                <w:color w:val="auto"/>
                <w:sz w:val="22"/>
                <w:szCs w:val="22"/>
              </w:rPr>
            </w:pPr>
            <w:r w:rsidRPr="005A497D">
              <w:rPr>
                <w:b w:val="0"/>
                <w:color w:val="auto"/>
                <w:sz w:val="22"/>
                <w:szCs w:val="22"/>
              </w:rPr>
              <w:t>Typically represents a level of performance ranging from good to medium by international standards.</w:t>
            </w:r>
          </w:p>
        </w:tc>
      </w:tr>
      <w:tr w:rsidR="001762EE" w:rsidRPr="005A497D" w14:paraId="7BDE4039" w14:textId="77777777" w:rsidTr="00CB0AB5">
        <w:trPr>
          <w:trHeight w:val="567"/>
        </w:trPr>
        <w:tc>
          <w:tcPr>
            <w:tcW w:w="850" w:type="dxa"/>
            <w:shd w:val="clear" w:color="auto" w:fill="D9D9D9" w:themeFill="background1" w:themeFillShade="D9"/>
            <w:vAlign w:val="center"/>
          </w:tcPr>
          <w:p w14:paraId="3C912430" w14:textId="77777777" w:rsidR="001762EE" w:rsidRPr="005A497D" w:rsidRDefault="001762EE" w:rsidP="009A012D">
            <w:pPr>
              <w:jc w:val="center"/>
              <w:rPr>
                <w:b/>
                <w:sz w:val="22"/>
                <w:szCs w:val="22"/>
              </w:rPr>
            </w:pPr>
            <w:r w:rsidRPr="005A497D">
              <w:rPr>
                <w:b/>
                <w:sz w:val="22"/>
                <w:szCs w:val="22"/>
              </w:rPr>
              <w:t>C</w:t>
            </w:r>
          </w:p>
        </w:tc>
        <w:tc>
          <w:tcPr>
            <w:tcW w:w="7938" w:type="dxa"/>
            <w:vAlign w:val="center"/>
          </w:tcPr>
          <w:p w14:paraId="27261AC8" w14:textId="77777777" w:rsidR="001762EE" w:rsidRPr="005A497D" w:rsidRDefault="001762EE" w:rsidP="009A012D">
            <w:pPr>
              <w:rPr>
                <w:sz w:val="22"/>
                <w:szCs w:val="22"/>
              </w:rPr>
            </w:pPr>
            <w:r w:rsidRPr="005A497D">
              <w:rPr>
                <w:sz w:val="22"/>
                <w:szCs w:val="22"/>
              </w:rPr>
              <w:t>Represents a level of performance ranging from medium to poor.</w:t>
            </w:r>
          </w:p>
        </w:tc>
      </w:tr>
      <w:tr w:rsidR="001762EE" w:rsidRPr="005A497D" w14:paraId="13B9CE66" w14:textId="77777777" w:rsidTr="00CB0AB5">
        <w:trPr>
          <w:trHeight w:val="567"/>
        </w:trPr>
        <w:tc>
          <w:tcPr>
            <w:tcW w:w="850" w:type="dxa"/>
            <w:shd w:val="clear" w:color="auto" w:fill="D9D9D9" w:themeFill="background1" w:themeFillShade="D9"/>
            <w:vAlign w:val="center"/>
          </w:tcPr>
          <w:p w14:paraId="1852B52F" w14:textId="77777777" w:rsidR="001762EE" w:rsidRPr="005A497D" w:rsidRDefault="001762EE" w:rsidP="009A012D">
            <w:pPr>
              <w:jc w:val="center"/>
              <w:rPr>
                <w:b/>
                <w:sz w:val="22"/>
                <w:szCs w:val="22"/>
              </w:rPr>
            </w:pPr>
            <w:r w:rsidRPr="005A497D">
              <w:rPr>
                <w:b/>
                <w:sz w:val="22"/>
                <w:szCs w:val="22"/>
              </w:rPr>
              <w:t>D</w:t>
            </w:r>
          </w:p>
        </w:tc>
        <w:tc>
          <w:tcPr>
            <w:tcW w:w="7938" w:type="dxa"/>
            <w:vAlign w:val="center"/>
          </w:tcPr>
          <w:p w14:paraId="37FD83E6" w14:textId="77777777" w:rsidR="001762EE" w:rsidRPr="005A497D" w:rsidRDefault="001762EE" w:rsidP="009A012D">
            <w:pPr>
              <w:pStyle w:val="Caption"/>
              <w:spacing w:after="0"/>
              <w:rPr>
                <w:b w:val="0"/>
                <w:sz w:val="22"/>
                <w:szCs w:val="22"/>
              </w:rPr>
            </w:pPr>
            <w:r w:rsidRPr="005A497D">
              <w:rPr>
                <w:b w:val="0"/>
                <w:color w:val="auto"/>
                <w:sz w:val="22"/>
                <w:szCs w:val="22"/>
              </w:rPr>
              <w:t>Indicates either that a process or procedure does not exist at all, or that it is not functioning effectively.</w:t>
            </w:r>
          </w:p>
        </w:tc>
      </w:tr>
    </w:tbl>
    <w:p w14:paraId="5A2FC93D" w14:textId="77777777" w:rsidR="001762EE" w:rsidRDefault="001762EE" w:rsidP="009A012D">
      <w:pPr>
        <w:contextualSpacing/>
        <w:jc w:val="both"/>
      </w:pPr>
    </w:p>
    <w:p w14:paraId="4E316809" w14:textId="77777777" w:rsidR="00401133" w:rsidRPr="005A497D" w:rsidRDefault="00401133" w:rsidP="009A012D">
      <w:pPr>
        <w:contextualSpacing/>
        <w:jc w:val="both"/>
      </w:pPr>
    </w:p>
    <w:p w14:paraId="42B7BF30" w14:textId="6E279340" w:rsidR="001762EE" w:rsidRPr="00EE024A" w:rsidRDefault="001762EE" w:rsidP="00D9341A">
      <w:pPr>
        <w:pStyle w:val="Heading2"/>
        <w:jc w:val="left"/>
        <w:rPr>
          <w:rFonts w:ascii="Times New Roman" w:hAnsi="Times New Roman"/>
          <w:sz w:val="28"/>
          <w:szCs w:val="28"/>
        </w:rPr>
      </w:pPr>
      <w:bookmarkStart w:id="58" w:name="_Toc454811643"/>
      <w:bookmarkStart w:id="59" w:name="_Toc454888788"/>
      <w:r w:rsidRPr="00EE024A">
        <w:rPr>
          <w:rFonts w:ascii="Times New Roman" w:hAnsi="Times New Roman"/>
          <w:sz w:val="28"/>
          <w:szCs w:val="28"/>
        </w:rPr>
        <w:t>Pillar I. Budget Reliability</w:t>
      </w:r>
      <w:bookmarkEnd w:id="58"/>
      <w:bookmarkEnd w:id="59"/>
    </w:p>
    <w:p w14:paraId="1E2E75D9" w14:textId="77777777" w:rsidR="001762EE" w:rsidRPr="005A497D" w:rsidRDefault="001762EE" w:rsidP="00E24D79">
      <w:pPr>
        <w:pStyle w:val="NormalWeb"/>
        <w:autoSpaceDE w:val="0"/>
        <w:autoSpaceDN w:val="0"/>
        <w:adjustRightInd w:val="0"/>
        <w:spacing w:before="0" w:beforeAutospacing="0" w:after="0" w:afterAutospacing="0"/>
        <w:contextualSpacing/>
        <w:jc w:val="both"/>
      </w:pPr>
    </w:p>
    <w:p w14:paraId="776BBE66" w14:textId="01A18580" w:rsidR="001762EE" w:rsidRDefault="001762EE" w:rsidP="00411651">
      <w:pPr>
        <w:pStyle w:val="Style2"/>
      </w:pPr>
      <w:bookmarkStart w:id="60" w:name="_Toc429682045"/>
      <w:bookmarkStart w:id="61" w:name="_Toc454811644"/>
      <w:bookmarkStart w:id="62" w:name="_Toc454888789"/>
      <w:r>
        <w:t>PI-1 Aggregate expenditure out</w:t>
      </w:r>
      <w:r w:rsidRPr="005A497D">
        <w:t>turn</w:t>
      </w:r>
      <w:bookmarkEnd w:id="60"/>
      <w:bookmarkEnd w:id="61"/>
      <w:bookmarkEnd w:id="62"/>
    </w:p>
    <w:p w14:paraId="7BD3D6B3" w14:textId="77777777" w:rsidR="001762EE" w:rsidRPr="005A497D" w:rsidRDefault="001762EE" w:rsidP="00411651">
      <w:pPr>
        <w:pStyle w:val="Style2"/>
      </w:pPr>
    </w:p>
    <w:p w14:paraId="7B745493" w14:textId="04E0566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Implementing the budget as approved is an important aspect of the government’s ability to deliver public services as expressed in budgetary policy documents. This indicator assesses the difference between the actual expenditure in terms of major aggregate against the originally budgeted expenditure. This measure reflects the government’s ability to maintain fiscal discipline while adhering to the parameters set in the approved budget.</w:t>
      </w:r>
    </w:p>
    <w:p w14:paraId="38DD7F9E" w14:textId="77777777" w:rsidR="001762EE" w:rsidRPr="005A497D" w:rsidRDefault="001762EE" w:rsidP="00AD23FE">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492"/>
        <w:gridCol w:w="1843"/>
        <w:gridCol w:w="4021"/>
      </w:tblGrid>
      <w:tr w:rsidR="001762EE" w:rsidRPr="005A497D" w14:paraId="58045A67" w14:textId="77777777" w:rsidTr="00360B29">
        <w:trPr>
          <w:trHeight w:val="397"/>
        </w:trPr>
        <w:tc>
          <w:tcPr>
            <w:tcW w:w="3492" w:type="dxa"/>
            <w:tcBorders>
              <w:top w:val="double" w:sz="4" w:space="0" w:color="auto"/>
            </w:tcBorders>
            <w:shd w:val="clear" w:color="auto" w:fill="D9D9D9"/>
            <w:vAlign w:val="center"/>
          </w:tcPr>
          <w:p w14:paraId="24759FC0" w14:textId="77777777" w:rsidR="001762EE" w:rsidRPr="00EE024A" w:rsidRDefault="001762EE" w:rsidP="00360B29">
            <w:pPr>
              <w:jc w:val="center"/>
              <w:rPr>
                <w:b/>
                <w:i/>
              </w:rPr>
            </w:pPr>
            <w:r w:rsidRPr="00EE024A">
              <w:rPr>
                <w:b/>
                <w:i/>
                <w:sz w:val="22"/>
                <w:szCs w:val="22"/>
              </w:rPr>
              <w:t>Indicator / Dimension</w:t>
            </w:r>
          </w:p>
        </w:tc>
        <w:tc>
          <w:tcPr>
            <w:tcW w:w="1843" w:type="dxa"/>
            <w:tcBorders>
              <w:top w:val="double" w:sz="4" w:space="0" w:color="auto"/>
            </w:tcBorders>
            <w:shd w:val="clear" w:color="auto" w:fill="D9D9D9"/>
            <w:vAlign w:val="center"/>
          </w:tcPr>
          <w:p w14:paraId="4F7E49F0" w14:textId="77777777" w:rsidR="001762EE" w:rsidRPr="00EE024A" w:rsidRDefault="001762EE" w:rsidP="00360B29">
            <w:pPr>
              <w:jc w:val="center"/>
              <w:rPr>
                <w:b/>
                <w:i/>
              </w:rPr>
            </w:pPr>
            <w:r w:rsidRPr="00EE024A">
              <w:rPr>
                <w:b/>
                <w:i/>
                <w:sz w:val="22"/>
                <w:szCs w:val="22"/>
              </w:rPr>
              <w:t>Score</w:t>
            </w:r>
          </w:p>
        </w:tc>
        <w:tc>
          <w:tcPr>
            <w:tcW w:w="4021" w:type="dxa"/>
            <w:tcBorders>
              <w:top w:val="double" w:sz="4" w:space="0" w:color="auto"/>
            </w:tcBorders>
            <w:shd w:val="clear" w:color="auto" w:fill="D9D9D9"/>
            <w:vAlign w:val="center"/>
          </w:tcPr>
          <w:p w14:paraId="3AE75713" w14:textId="77777777" w:rsidR="001762EE" w:rsidRPr="00EE024A" w:rsidRDefault="001762EE" w:rsidP="00360B29">
            <w:pPr>
              <w:jc w:val="center"/>
              <w:rPr>
                <w:b/>
                <w:i/>
              </w:rPr>
            </w:pPr>
            <w:r w:rsidRPr="00EE024A">
              <w:rPr>
                <w:b/>
                <w:i/>
                <w:sz w:val="22"/>
                <w:szCs w:val="22"/>
              </w:rPr>
              <w:t>Brief Explanation</w:t>
            </w:r>
          </w:p>
        </w:tc>
      </w:tr>
      <w:tr w:rsidR="001762EE" w:rsidRPr="005A497D" w14:paraId="7E0D662C" w14:textId="77777777" w:rsidTr="00360B29">
        <w:tc>
          <w:tcPr>
            <w:tcW w:w="3492" w:type="dxa"/>
            <w:tcBorders>
              <w:top w:val="double" w:sz="4" w:space="0" w:color="auto"/>
              <w:bottom w:val="double" w:sz="4" w:space="0" w:color="auto"/>
            </w:tcBorders>
          </w:tcPr>
          <w:p w14:paraId="3A0D0DD7" w14:textId="6A8C4079" w:rsidR="001762EE" w:rsidRPr="005A497D" w:rsidRDefault="001762EE" w:rsidP="004D740B">
            <w:pPr>
              <w:spacing w:before="20" w:after="20"/>
              <w:rPr>
                <w:b/>
              </w:rPr>
            </w:pPr>
            <w:r w:rsidRPr="005A497D">
              <w:rPr>
                <w:b/>
                <w:sz w:val="22"/>
                <w:szCs w:val="22"/>
              </w:rPr>
              <w:t xml:space="preserve">PI-1 </w:t>
            </w:r>
            <w:r>
              <w:rPr>
                <w:b/>
                <w:sz w:val="22"/>
                <w:szCs w:val="22"/>
              </w:rPr>
              <w:t>Aggregate expenditure outturn</w:t>
            </w:r>
          </w:p>
        </w:tc>
        <w:tc>
          <w:tcPr>
            <w:tcW w:w="1843" w:type="dxa"/>
            <w:tcBorders>
              <w:top w:val="double" w:sz="4" w:space="0" w:color="auto"/>
              <w:bottom w:val="double" w:sz="4" w:space="0" w:color="auto"/>
            </w:tcBorders>
            <w:vAlign w:val="center"/>
          </w:tcPr>
          <w:p w14:paraId="21D8C494" w14:textId="6301F373" w:rsidR="001762EE" w:rsidRPr="005A497D" w:rsidRDefault="001762EE" w:rsidP="00360B29">
            <w:pPr>
              <w:spacing w:before="20" w:after="20"/>
              <w:jc w:val="center"/>
              <w:rPr>
                <w:b/>
              </w:rPr>
            </w:pPr>
            <w:r>
              <w:rPr>
                <w:b/>
                <w:sz w:val="22"/>
                <w:szCs w:val="22"/>
              </w:rPr>
              <w:t>D</w:t>
            </w:r>
          </w:p>
        </w:tc>
        <w:tc>
          <w:tcPr>
            <w:tcW w:w="4021" w:type="dxa"/>
            <w:tcBorders>
              <w:top w:val="double" w:sz="4" w:space="0" w:color="auto"/>
              <w:bottom w:val="double" w:sz="4" w:space="0" w:color="auto"/>
            </w:tcBorders>
          </w:tcPr>
          <w:p w14:paraId="0D3F45CC" w14:textId="041107B9" w:rsidR="001762EE" w:rsidRDefault="001762EE" w:rsidP="00584BE7">
            <w:pPr>
              <w:pStyle w:val="Default"/>
              <w:rPr>
                <w:sz w:val="22"/>
                <w:szCs w:val="22"/>
              </w:rPr>
            </w:pPr>
            <w:r w:rsidRPr="005A497D">
              <w:rPr>
                <w:sz w:val="22"/>
                <w:szCs w:val="22"/>
              </w:rPr>
              <w:t xml:space="preserve">The </w:t>
            </w:r>
            <w:r>
              <w:rPr>
                <w:sz w:val="22"/>
                <w:szCs w:val="22"/>
              </w:rPr>
              <w:t xml:space="preserve">obligations incurred exceeded the range of 85% to 115% of the original budget in </w:t>
            </w:r>
            <w:r w:rsidR="00FF6E99">
              <w:rPr>
                <w:sz w:val="22"/>
                <w:szCs w:val="22"/>
              </w:rPr>
              <w:t xml:space="preserve">two </w:t>
            </w:r>
            <w:r>
              <w:rPr>
                <w:sz w:val="22"/>
                <w:szCs w:val="22"/>
              </w:rPr>
              <w:t>of the last</w:t>
            </w:r>
            <w:r w:rsidRPr="005A497D">
              <w:rPr>
                <w:sz w:val="22"/>
                <w:szCs w:val="22"/>
              </w:rPr>
              <w:t xml:space="preserve"> three fiscal years (2012</w:t>
            </w:r>
            <w:r>
              <w:rPr>
                <w:sz w:val="22"/>
                <w:szCs w:val="22"/>
              </w:rPr>
              <w:t xml:space="preserve"> to 2014</w:t>
            </w:r>
            <w:r w:rsidRPr="005A497D">
              <w:rPr>
                <w:sz w:val="22"/>
                <w:szCs w:val="22"/>
              </w:rPr>
              <w:t>)</w:t>
            </w:r>
            <w:r>
              <w:rPr>
                <w:sz w:val="22"/>
                <w:szCs w:val="22"/>
              </w:rPr>
              <w:t>.</w:t>
            </w:r>
          </w:p>
          <w:p w14:paraId="13FA2295" w14:textId="0FA021D9" w:rsidR="001762EE" w:rsidRPr="004D740B" w:rsidRDefault="001762EE" w:rsidP="00584BE7">
            <w:pPr>
              <w:pStyle w:val="Default"/>
              <w:rPr>
                <w:sz w:val="12"/>
                <w:szCs w:val="12"/>
              </w:rPr>
            </w:pPr>
          </w:p>
        </w:tc>
      </w:tr>
    </w:tbl>
    <w:p w14:paraId="6315A117" w14:textId="02E46916" w:rsidR="001762EE" w:rsidRPr="005A497D" w:rsidRDefault="001762EE" w:rsidP="00AD23FE">
      <w:pPr>
        <w:jc w:val="both"/>
      </w:pPr>
    </w:p>
    <w:p w14:paraId="4FD1D9FA" w14:textId="1C6207CB" w:rsidR="001762EE" w:rsidRPr="00417D18"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rFonts w:eastAsiaTheme="minorHAnsi"/>
          <w:bCs/>
          <w:color w:val="000000"/>
        </w:rPr>
        <w:t xml:space="preserve">This indicator assesses the credibility of the budget by calculating the </w:t>
      </w:r>
      <w:r>
        <w:rPr>
          <w:rFonts w:eastAsiaTheme="minorHAnsi"/>
          <w:bCs/>
          <w:color w:val="000000"/>
        </w:rPr>
        <w:t>level of aggregate expenditure achieved as compared to the original budget appropriation for t</w:t>
      </w:r>
      <w:r w:rsidRPr="005A497D">
        <w:rPr>
          <w:rFonts w:eastAsiaTheme="minorHAnsi"/>
          <w:bCs/>
          <w:color w:val="000000"/>
        </w:rPr>
        <w:t xml:space="preserve">he last three </w:t>
      </w:r>
      <w:r>
        <w:rPr>
          <w:rFonts w:eastAsiaTheme="minorHAnsi"/>
          <w:bCs/>
          <w:color w:val="000000"/>
        </w:rPr>
        <w:t xml:space="preserve">completed fiscal </w:t>
      </w:r>
      <w:r w:rsidRPr="005A497D">
        <w:rPr>
          <w:rFonts w:eastAsiaTheme="minorHAnsi"/>
          <w:bCs/>
          <w:color w:val="000000"/>
        </w:rPr>
        <w:t xml:space="preserve">years </w:t>
      </w:r>
      <w:r>
        <w:rPr>
          <w:rFonts w:eastAsiaTheme="minorHAnsi"/>
          <w:bCs/>
          <w:color w:val="000000"/>
        </w:rPr>
        <w:t xml:space="preserve">for which audited information is available </w:t>
      </w:r>
      <w:r w:rsidRPr="005A497D">
        <w:rPr>
          <w:rFonts w:eastAsiaTheme="minorHAnsi"/>
          <w:bCs/>
          <w:color w:val="000000"/>
        </w:rPr>
        <w:t>(2012-2014).</w:t>
      </w:r>
      <w:r w:rsidRPr="005A497D">
        <w:rPr>
          <w:rFonts w:eastAsiaTheme="minorHAnsi"/>
          <w:color w:val="000000"/>
        </w:rPr>
        <w:t xml:space="preserve"> The data and resulting </w:t>
      </w:r>
      <w:r w:rsidRPr="005A497D">
        <w:rPr>
          <w:color w:val="000000"/>
        </w:rPr>
        <w:t xml:space="preserve">overall variances (in absolute terms) </w:t>
      </w:r>
      <w:r>
        <w:rPr>
          <w:color w:val="000000"/>
        </w:rPr>
        <w:t xml:space="preserve">are used to ascertain the score achieved </w:t>
      </w:r>
      <w:r w:rsidRPr="005A497D">
        <w:rPr>
          <w:color w:val="000000"/>
        </w:rPr>
        <w:t xml:space="preserve">are shown in </w:t>
      </w:r>
      <w:r>
        <w:rPr>
          <w:color w:val="000000"/>
        </w:rPr>
        <w:t>Table 3.1</w:t>
      </w:r>
      <w:r w:rsidRPr="005A497D">
        <w:rPr>
          <w:color w:val="000000"/>
        </w:rPr>
        <w:t>.</w:t>
      </w:r>
      <w:r w:rsidR="00FF6E99">
        <w:rPr>
          <w:color w:val="000000"/>
        </w:rPr>
        <w:t xml:space="preserve"> Detailed data tables are provided in Annex 4.</w:t>
      </w:r>
      <w:r>
        <w:rPr>
          <w:color w:val="000000"/>
        </w:rPr>
        <w:t xml:space="preserve"> Considering the variances the score for PI-1 is assessed as “D” since the variance exceeded the range of 85 percent to 115 percent of the aggregate budget in </w:t>
      </w:r>
      <w:r w:rsidR="00FF6E99">
        <w:rPr>
          <w:color w:val="000000"/>
        </w:rPr>
        <w:t>two</w:t>
      </w:r>
      <w:r>
        <w:rPr>
          <w:color w:val="000000"/>
        </w:rPr>
        <w:t xml:space="preserve"> of the three fiscal years considered. </w:t>
      </w:r>
    </w:p>
    <w:p w14:paraId="1BDC14BA" w14:textId="77777777" w:rsidR="001762EE" w:rsidRDefault="001762EE" w:rsidP="00AD23FE">
      <w:pPr>
        <w:pStyle w:val="NormalWeb"/>
        <w:autoSpaceDE w:val="0"/>
        <w:autoSpaceDN w:val="0"/>
        <w:adjustRightInd w:val="0"/>
        <w:spacing w:before="0" w:beforeAutospacing="0" w:after="0" w:afterAutospacing="0"/>
        <w:contextualSpacing/>
        <w:jc w:val="both"/>
      </w:pPr>
    </w:p>
    <w:p w14:paraId="5870F231" w14:textId="77777777" w:rsidR="00401133" w:rsidRDefault="00401133" w:rsidP="00AD23FE">
      <w:pPr>
        <w:pStyle w:val="NormalWeb"/>
        <w:autoSpaceDE w:val="0"/>
        <w:autoSpaceDN w:val="0"/>
        <w:adjustRightInd w:val="0"/>
        <w:spacing w:before="0" w:beforeAutospacing="0" w:after="0" w:afterAutospacing="0"/>
        <w:contextualSpacing/>
        <w:jc w:val="both"/>
      </w:pPr>
    </w:p>
    <w:p w14:paraId="0008223D" w14:textId="77777777" w:rsidR="00401133" w:rsidRPr="005A497D" w:rsidRDefault="00401133" w:rsidP="00AD23FE">
      <w:pPr>
        <w:pStyle w:val="NormalWeb"/>
        <w:autoSpaceDE w:val="0"/>
        <w:autoSpaceDN w:val="0"/>
        <w:adjustRightInd w:val="0"/>
        <w:spacing w:before="0" w:beforeAutospacing="0" w:after="0" w:afterAutospacing="0"/>
        <w:contextualSpacing/>
        <w:jc w:val="both"/>
      </w:pPr>
    </w:p>
    <w:p w14:paraId="770016A3" w14:textId="77777777" w:rsidR="001762EE" w:rsidRPr="005A497D" w:rsidRDefault="001762EE" w:rsidP="001112A1">
      <w:pPr>
        <w:pStyle w:val="PEFATable"/>
        <w:spacing w:after="40"/>
        <w:jc w:val="both"/>
        <w:rPr>
          <w:sz w:val="24"/>
          <w:szCs w:val="24"/>
        </w:rPr>
      </w:pPr>
      <w:bookmarkStart w:id="63" w:name="_Toc454889243"/>
      <w:r w:rsidRPr="005A497D">
        <w:rPr>
          <w:sz w:val="24"/>
          <w:szCs w:val="24"/>
        </w:rPr>
        <w:t>Table 3.1: Calculation of Variance</w:t>
      </w:r>
      <w:bookmarkEnd w:id="63"/>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22"/>
        <w:gridCol w:w="2209"/>
        <w:gridCol w:w="1990"/>
        <w:gridCol w:w="2209"/>
      </w:tblGrid>
      <w:tr w:rsidR="001762EE" w:rsidRPr="005A497D" w14:paraId="6BF92B06" w14:textId="0AA513C1" w:rsidTr="00034481">
        <w:trPr>
          <w:trHeight w:val="627"/>
          <w:tblHeader/>
          <w:jc w:val="center"/>
        </w:trPr>
        <w:tc>
          <w:tcPr>
            <w:tcW w:w="2922" w:type="dxa"/>
            <w:tcBorders>
              <w:top w:val="double" w:sz="4" w:space="0" w:color="auto"/>
            </w:tcBorders>
            <w:shd w:val="clear" w:color="auto" w:fill="D9D9D9" w:themeFill="background1" w:themeFillShade="D9"/>
            <w:vAlign w:val="center"/>
          </w:tcPr>
          <w:p w14:paraId="597166FF" w14:textId="1CEFA489" w:rsidR="001762EE" w:rsidRPr="000D0E8D" w:rsidRDefault="001762EE" w:rsidP="00BA0986">
            <w:pPr>
              <w:pStyle w:val="NormalWeb"/>
              <w:autoSpaceDE w:val="0"/>
              <w:autoSpaceDN w:val="0"/>
              <w:adjustRightInd w:val="0"/>
              <w:spacing w:before="40" w:beforeAutospacing="0" w:after="40" w:afterAutospacing="0"/>
              <w:jc w:val="center"/>
              <w:rPr>
                <w:b/>
                <w:sz w:val="18"/>
                <w:szCs w:val="18"/>
              </w:rPr>
            </w:pPr>
            <w:r w:rsidRPr="000D0E8D">
              <w:rPr>
                <w:b/>
                <w:sz w:val="22"/>
                <w:szCs w:val="18"/>
              </w:rPr>
              <w:t>Fiscal Year</w:t>
            </w:r>
          </w:p>
        </w:tc>
        <w:tc>
          <w:tcPr>
            <w:tcW w:w="2209" w:type="dxa"/>
            <w:tcBorders>
              <w:top w:val="double" w:sz="4" w:space="0" w:color="auto"/>
            </w:tcBorders>
            <w:shd w:val="clear" w:color="auto" w:fill="D9D9D9" w:themeFill="background1" w:themeFillShade="D9"/>
            <w:vAlign w:val="center"/>
          </w:tcPr>
          <w:p w14:paraId="1822F14A" w14:textId="353D7168" w:rsidR="001762EE" w:rsidRPr="000D0E8D" w:rsidRDefault="001762EE" w:rsidP="00EE024A">
            <w:pPr>
              <w:pStyle w:val="NormalWeb"/>
              <w:autoSpaceDE w:val="0"/>
              <w:autoSpaceDN w:val="0"/>
              <w:adjustRightInd w:val="0"/>
              <w:spacing w:before="0" w:beforeAutospacing="0" w:after="0" w:afterAutospacing="0"/>
              <w:jc w:val="center"/>
              <w:rPr>
                <w:rFonts w:asciiTheme="majorHAnsi" w:eastAsiaTheme="majorEastAsia" w:hAnsiTheme="majorHAnsi" w:cstheme="majorBidi"/>
                <w:b/>
                <w:bCs/>
                <w:color w:val="404040" w:themeColor="text1" w:themeTint="BF"/>
                <w:sz w:val="22"/>
                <w:szCs w:val="22"/>
              </w:rPr>
            </w:pPr>
            <w:r w:rsidRPr="000D0E8D">
              <w:rPr>
                <w:b/>
                <w:sz w:val="22"/>
                <w:szCs w:val="22"/>
              </w:rPr>
              <w:t xml:space="preserve">Total budget appropriation </w:t>
            </w:r>
          </w:p>
          <w:p w14:paraId="6E89212C" w14:textId="70450463" w:rsidR="001762EE" w:rsidRPr="000D0E8D" w:rsidRDefault="001762EE" w:rsidP="00EE024A">
            <w:pPr>
              <w:pStyle w:val="NormalWeb"/>
              <w:autoSpaceDE w:val="0"/>
              <w:autoSpaceDN w:val="0"/>
              <w:adjustRightInd w:val="0"/>
              <w:spacing w:before="0" w:beforeAutospacing="0" w:after="0" w:afterAutospacing="0"/>
              <w:jc w:val="center"/>
              <w:rPr>
                <w:rFonts w:asciiTheme="majorHAnsi" w:eastAsiaTheme="majorEastAsia" w:hAnsiTheme="majorHAnsi" w:cstheme="majorBidi"/>
                <w:b/>
                <w:bCs/>
                <w:color w:val="404040" w:themeColor="text1" w:themeTint="BF"/>
                <w:sz w:val="22"/>
                <w:szCs w:val="22"/>
              </w:rPr>
            </w:pPr>
            <w:r w:rsidRPr="000D0E8D">
              <w:rPr>
                <w:sz w:val="22"/>
                <w:szCs w:val="22"/>
              </w:rPr>
              <w:t>(PhP billion)</w:t>
            </w:r>
          </w:p>
        </w:tc>
        <w:tc>
          <w:tcPr>
            <w:tcW w:w="1990" w:type="dxa"/>
            <w:tcBorders>
              <w:top w:val="double" w:sz="4" w:space="0" w:color="auto"/>
            </w:tcBorders>
            <w:shd w:val="clear" w:color="auto" w:fill="D9D9D9" w:themeFill="background1" w:themeFillShade="D9"/>
            <w:vAlign w:val="center"/>
          </w:tcPr>
          <w:p w14:paraId="522C9543" w14:textId="63C38DAB" w:rsidR="001762EE" w:rsidRPr="000D0E8D" w:rsidRDefault="001762EE" w:rsidP="00EE024A">
            <w:pPr>
              <w:pStyle w:val="NormalWeb"/>
              <w:autoSpaceDE w:val="0"/>
              <w:autoSpaceDN w:val="0"/>
              <w:adjustRightInd w:val="0"/>
              <w:spacing w:before="0" w:beforeAutospacing="0" w:after="0" w:afterAutospacing="0"/>
              <w:jc w:val="center"/>
              <w:rPr>
                <w:rFonts w:asciiTheme="majorHAnsi" w:eastAsiaTheme="majorEastAsia" w:hAnsiTheme="majorHAnsi" w:cstheme="majorBidi"/>
                <w:b/>
                <w:bCs/>
                <w:color w:val="404040" w:themeColor="text1" w:themeTint="BF"/>
                <w:sz w:val="22"/>
                <w:szCs w:val="22"/>
              </w:rPr>
            </w:pPr>
            <w:r w:rsidRPr="000D0E8D">
              <w:rPr>
                <w:b/>
                <w:sz w:val="22"/>
                <w:szCs w:val="22"/>
              </w:rPr>
              <w:t>Total obligations incurred</w:t>
            </w:r>
          </w:p>
          <w:p w14:paraId="1DCA7B57" w14:textId="10226672" w:rsidR="001762EE" w:rsidRPr="000D0E8D" w:rsidRDefault="001762EE" w:rsidP="00EE024A">
            <w:pPr>
              <w:pStyle w:val="NormalWeb"/>
              <w:autoSpaceDE w:val="0"/>
              <w:autoSpaceDN w:val="0"/>
              <w:adjustRightInd w:val="0"/>
              <w:spacing w:before="0" w:beforeAutospacing="0" w:after="0" w:afterAutospacing="0"/>
              <w:jc w:val="center"/>
              <w:rPr>
                <w:rFonts w:asciiTheme="majorHAnsi" w:eastAsiaTheme="majorEastAsia" w:hAnsiTheme="majorHAnsi" w:cstheme="majorBidi"/>
                <w:b/>
                <w:bCs/>
                <w:color w:val="404040" w:themeColor="text1" w:themeTint="BF"/>
                <w:sz w:val="22"/>
                <w:szCs w:val="22"/>
              </w:rPr>
            </w:pPr>
            <w:r w:rsidRPr="000D0E8D">
              <w:rPr>
                <w:sz w:val="22"/>
                <w:szCs w:val="22"/>
              </w:rPr>
              <w:t>(PhP billion)</w:t>
            </w:r>
          </w:p>
        </w:tc>
        <w:tc>
          <w:tcPr>
            <w:tcW w:w="2209" w:type="dxa"/>
            <w:tcBorders>
              <w:top w:val="double" w:sz="4" w:space="0" w:color="auto"/>
            </w:tcBorders>
            <w:shd w:val="clear" w:color="auto" w:fill="D9D9D9" w:themeFill="background1" w:themeFillShade="D9"/>
            <w:vAlign w:val="center"/>
          </w:tcPr>
          <w:p w14:paraId="7BEA70E0" w14:textId="45F4D6C3" w:rsidR="001762EE" w:rsidRPr="000D0E8D" w:rsidRDefault="001762EE" w:rsidP="00AC529D">
            <w:pPr>
              <w:pStyle w:val="NormalWeb"/>
              <w:autoSpaceDE w:val="0"/>
              <w:autoSpaceDN w:val="0"/>
              <w:adjustRightInd w:val="0"/>
              <w:spacing w:before="40" w:after="40"/>
              <w:jc w:val="center"/>
              <w:rPr>
                <w:sz w:val="22"/>
                <w:szCs w:val="22"/>
              </w:rPr>
            </w:pPr>
            <w:r w:rsidRPr="000D0E8D">
              <w:rPr>
                <w:b/>
                <w:sz w:val="22"/>
                <w:szCs w:val="22"/>
              </w:rPr>
              <w:t>Outturn as a %age of appropriation</w:t>
            </w:r>
          </w:p>
        </w:tc>
      </w:tr>
      <w:tr w:rsidR="001762EE" w:rsidRPr="005A497D" w14:paraId="762FAF1F" w14:textId="1E91D4B0" w:rsidTr="0099070C">
        <w:trPr>
          <w:jc w:val="center"/>
        </w:trPr>
        <w:tc>
          <w:tcPr>
            <w:tcW w:w="2922" w:type="dxa"/>
            <w:tcBorders>
              <w:top w:val="double" w:sz="4" w:space="0" w:color="auto"/>
              <w:bottom w:val="single" w:sz="4" w:space="0" w:color="auto"/>
            </w:tcBorders>
            <w:vAlign w:val="center"/>
          </w:tcPr>
          <w:p w14:paraId="50F46384" w14:textId="79F37F51" w:rsidR="001762EE" w:rsidRPr="00D661D7" w:rsidRDefault="001762EE" w:rsidP="00335A67">
            <w:pPr>
              <w:pStyle w:val="NormalWeb"/>
              <w:autoSpaceDE w:val="0"/>
              <w:autoSpaceDN w:val="0"/>
              <w:adjustRightInd w:val="0"/>
              <w:spacing w:before="40" w:beforeAutospacing="0" w:after="40" w:afterAutospacing="0"/>
              <w:jc w:val="center"/>
              <w:rPr>
                <w:sz w:val="20"/>
                <w:szCs w:val="20"/>
              </w:rPr>
            </w:pPr>
            <w:r w:rsidRPr="00D661D7">
              <w:rPr>
                <w:sz w:val="20"/>
                <w:szCs w:val="20"/>
              </w:rPr>
              <w:t>2012</w:t>
            </w:r>
          </w:p>
        </w:tc>
        <w:tc>
          <w:tcPr>
            <w:tcW w:w="2209" w:type="dxa"/>
            <w:tcBorders>
              <w:top w:val="double" w:sz="4" w:space="0" w:color="auto"/>
              <w:bottom w:val="single" w:sz="4" w:space="0" w:color="auto"/>
            </w:tcBorders>
            <w:vAlign w:val="bottom"/>
          </w:tcPr>
          <w:p w14:paraId="4A9A8CCE" w14:textId="0F36EA7A" w:rsidR="001762EE" w:rsidRPr="00335A67" w:rsidRDefault="001762EE" w:rsidP="0045553B">
            <w:pPr>
              <w:pStyle w:val="NormalWeb"/>
              <w:autoSpaceDE w:val="0"/>
              <w:autoSpaceDN w:val="0"/>
              <w:adjustRightInd w:val="0"/>
              <w:spacing w:before="40" w:beforeAutospacing="0" w:after="40" w:afterAutospacing="0"/>
              <w:jc w:val="center"/>
              <w:rPr>
                <w:sz w:val="20"/>
                <w:szCs w:val="20"/>
              </w:rPr>
            </w:pPr>
            <w:r w:rsidRPr="0099070C">
              <w:rPr>
                <w:sz w:val="20"/>
                <w:szCs w:val="20"/>
              </w:rPr>
              <w:t xml:space="preserve"> 2,529.56 </w:t>
            </w:r>
          </w:p>
        </w:tc>
        <w:tc>
          <w:tcPr>
            <w:tcW w:w="1990" w:type="dxa"/>
            <w:tcBorders>
              <w:top w:val="double" w:sz="4" w:space="0" w:color="auto"/>
              <w:bottom w:val="single" w:sz="4" w:space="0" w:color="auto"/>
            </w:tcBorders>
            <w:vAlign w:val="bottom"/>
          </w:tcPr>
          <w:p w14:paraId="26188A1D" w14:textId="2220E630" w:rsidR="001762EE" w:rsidRPr="00335A67" w:rsidRDefault="001762EE" w:rsidP="0045553B">
            <w:pPr>
              <w:pStyle w:val="NormalWeb"/>
              <w:autoSpaceDE w:val="0"/>
              <w:autoSpaceDN w:val="0"/>
              <w:adjustRightInd w:val="0"/>
              <w:spacing w:before="40" w:beforeAutospacing="0" w:after="40" w:afterAutospacing="0"/>
              <w:jc w:val="center"/>
              <w:rPr>
                <w:sz w:val="20"/>
                <w:szCs w:val="20"/>
              </w:rPr>
            </w:pPr>
            <w:r w:rsidRPr="0099070C">
              <w:rPr>
                <w:sz w:val="20"/>
                <w:szCs w:val="20"/>
              </w:rPr>
              <w:t xml:space="preserve"> 2,196.11 </w:t>
            </w:r>
          </w:p>
        </w:tc>
        <w:tc>
          <w:tcPr>
            <w:tcW w:w="2209" w:type="dxa"/>
            <w:tcBorders>
              <w:top w:val="double" w:sz="4" w:space="0" w:color="auto"/>
              <w:bottom w:val="single" w:sz="4" w:space="0" w:color="auto"/>
            </w:tcBorders>
            <w:vAlign w:val="bottom"/>
          </w:tcPr>
          <w:p w14:paraId="167734C2" w14:textId="632B8678" w:rsidR="001762EE" w:rsidRPr="00335A67" w:rsidRDefault="001762EE" w:rsidP="00335A67">
            <w:pPr>
              <w:pStyle w:val="NormalWeb"/>
              <w:autoSpaceDE w:val="0"/>
              <w:autoSpaceDN w:val="0"/>
              <w:adjustRightInd w:val="0"/>
              <w:spacing w:before="40" w:beforeAutospacing="0" w:after="40" w:afterAutospacing="0"/>
              <w:jc w:val="center"/>
              <w:rPr>
                <w:sz w:val="20"/>
                <w:szCs w:val="20"/>
              </w:rPr>
            </w:pPr>
            <w:r w:rsidRPr="0099070C">
              <w:rPr>
                <w:sz w:val="20"/>
                <w:szCs w:val="20"/>
              </w:rPr>
              <w:t>86.82</w:t>
            </w:r>
          </w:p>
        </w:tc>
      </w:tr>
      <w:tr w:rsidR="001762EE" w:rsidRPr="005A497D" w14:paraId="46FFD4A4" w14:textId="57E72E58" w:rsidTr="0099070C">
        <w:trPr>
          <w:jc w:val="center"/>
        </w:trPr>
        <w:tc>
          <w:tcPr>
            <w:tcW w:w="2922" w:type="dxa"/>
            <w:tcBorders>
              <w:top w:val="single" w:sz="4" w:space="0" w:color="auto"/>
              <w:bottom w:val="single" w:sz="4" w:space="0" w:color="auto"/>
            </w:tcBorders>
            <w:vAlign w:val="center"/>
          </w:tcPr>
          <w:p w14:paraId="1E5E1E64" w14:textId="5B9934EF" w:rsidR="001762EE" w:rsidRPr="00D661D7" w:rsidRDefault="001762EE" w:rsidP="00335A67">
            <w:pPr>
              <w:pStyle w:val="NormalWeb"/>
              <w:autoSpaceDE w:val="0"/>
              <w:autoSpaceDN w:val="0"/>
              <w:adjustRightInd w:val="0"/>
              <w:spacing w:before="40" w:beforeAutospacing="0" w:after="40" w:afterAutospacing="0"/>
              <w:jc w:val="center"/>
              <w:rPr>
                <w:sz w:val="20"/>
                <w:szCs w:val="20"/>
              </w:rPr>
            </w:pPr>
            <w:r w:rsidRPr="00D661D7">
              <w:rPr>
                <w:sz w:val="20"/>
                <w:szCs w:val="20"/>
              </w:rPr>
              <w:t>2013</w:t>
            </w:r>
          </w:p>
        </w:tc>
        <w:tc>
          <w:tcPr>
            <w:tcW w:w="2209" w:type="dxa"/>
            <w:tcBorders>
              <w:top w:val="single" w:sz="4" w:space="0" w:color="auto"/>
              <w:bottom w:val="single" w:sz="4" w:space="0" w:color="auto"/>
            </w:tcBorders>
            <w:vAlign w:val="bottom"/>
          </w:tcPr>
          <w:p w14:paraId="1BC0ABFC" w14:textId="0B989EED" w:rsidR="001762EE" w:rsidRPr="00335A67" w:rsidRDefault="001762EE" w:rsidP="0045553B">
            <w:pPr>
              <w:pStyle w:val="NormalWeb"/>
              <w:autoSpaceDE w:val="0"/>
              <w:autoSpaceDN w:val="0"/>
              <w:adjustRightInd w:val="0"/>
              <w:spacing w:before="40" w:beforeAutospacing="0" w:after="40" w:afterAutospacing="0"/>
              <w:jc w:val="center"/>
              <w:rPr>
                <w:sz w:val="20"/>
                <w:szCs w:val="20"/>
              </w:rPr>
            </w:pPr>
            <w:r w:rsidRPr="0099070C">
              <w:rPr>
                <w:sz w:val="20"/>
                <w:szCs w:val="20"/>
              </w:rPr>
              <w:t xml:space="preserve"> 2,818.39 </w:t>
            </w:r>
          </w:p>
        </w:tc>
        <w:tc>
          <w:tcPr>
            <w:tcW w:w="1990" w:type="dxa"/>
            <w:tcBorders>
              <w:top w:val="single" w:sz="4" w:space="0" w:color="auto"/>
              <w:bottom w:val="single" w:sz="4" w:space="0" w:color="auto"/>
            </w:tcBorders>
            <w:vAlign w:val="bottom"/>
          </w:tcPr>
          <w:p w14:paraId="4992AB3A" w14:textId="79158E49" w:rsidR="001762EE" w:rsidRPr="00335A67" w:rsidRDefault="001762EE" w:rsidP="0045553B">
            <w:pPr>
              <w:pStyle w:val="NormalWeb"/>
              <w:autoSpaceDE w:val="0"/>
              <w:autoSpaceDN w:val="0"/>
              <w:adjustRightInd w:val="0"/>
              <w:spacing w:before="40" w:beforeAutospacing="0" w:after="40" w:afterAutospacing="0"/>
              <w:jc w:val="center"/>
              <w:rPr>
                <w:sz w:val="20"/>
                <w:szCs w:val="20"/>
              </w:rPr>
            </w:pPr>
            <w:r w:rsidRPr="0099070C">
              <w:rPr>
                <w:sz w:val="20"/>
                <w:szCs w:val="20"/>
              </w:rPr>
              <w:t xml:space="preserve"> 2,228.80 </w:t>
            </w:r>
          </w:p>
        </w:tc>
        <w:tc>
          <w:tcPr>
            <w:tcW w:w="2209" w:type="dxa"/>
            <w:tcBorders>
              <w:top w:val="single" w:sz="4" w:space="0" w:color="auto"/>
              <w:bottom w:val="single" w:sz="4" w:space="0" w:color="auto"/>
            </w:tcBorders>
            <w:vAlign w:val="bottom"/>
          </w:tcPr>
          <w:p w14:paraId="1ABFB141" w14:textId="4B007C75" w:rsidR="001762EE" w:rsidRPr="00335A67" w:rsidRDefault="001762EE" w:rsidP="00335A67">
            <w:pPr>
              <w:pStyle w:val="NormalWeb"/>
              <w:autoSpaceDE w:val="0"/>
              <w:autoSpaceDN w:val="0"/>
              <w:adjustRightInd w:val="0"/>
              <w:spacing w:before="40" w:beforeAutospacing="0" w:after="40" w:afterAutospacing="0"/>
              <w:jc w:val="center"/>
              <w:rPr>
                <w:sz w:val="20"/>
                <w:szCs w:val="20"/>
              </w:rPr>
            </w:pPr>
            <w:r w:rsidRPr="0099070C">
              <w:rPr>
                <w:sz w:val="20"/>
                <w:szCs w:val="20"/>
              </w:rPr>
              <w:t>79.08</w:t>
            </w:r>
          </w:p>
        </w:tc>
      </w:tr>
      <w:tr w:rsidR="001762EE" w:rsidRPr="005A497D" w14:paraId="489286BC" w14:textId="67A2EB27" w:rsidTr="0099070C">
        <w:trPr>
          <w:jc w:val="center"/>
        </w:trPr>
        <w:tc>
          <w:tcPr>
            <w:tcW w:w="2922" w:type="dxa"/>
            <w:tcBorders>
              <w:top w:val="single" w:sz="4" w:space="0" w:color="auto"/>
              <w:bottom w:val="single" w:sz="4" w:space="0" w:color="auto"/>
            </w:tcBorders>
            <w:vAlign w:val="center"/>
          </w:tcPr>
          <w:p w14:paraId="2DB2474C" w14:textId="5897CA05" w:rsidR="001762EE" w:rsidRPr="00D661D7" w:rsidRDefault="001762EE" w:rsidP="00335A67">
            <w:pPr>
              <w:pStyle w:val="NormalWeb"/>
              <w:autoSpaceDE w:val="0"/>
              <w:autoSpaceDN w:val="0"/>
              <w:adjustRightInd w:val="0"/>
              <w:spacing w:before="40" w:beforeAutospacing="0" w:after="40" w:afterAutospacing="0"/>
              <w:jc w:val="center"/>
              <w:rPr>
                <w:sz w:val="20"/>
                <w:szCs w:val="20"/>
              </w:rPr>
            </w:pPr>
            <w:r w:rsidRPr="00D661D7">
              <w:rPr>
                <w:sz w:val="20"/>
                <w:szCs w:val="20"/>
              </w:rPr>
              <w:t>2014</w:t>
            </w:r>
          </w:p>
        </w:tc>
        <w:tc>
          <w:tcPr>
            <w:tcW w:w="2209" w:type="dxa"/>
            <w:tcBorders>
              <w:top w:val="single" w:sz="4" w:space="0" w:color="auto"/>
              <w:bottom w:val="single" w:sz="4" w:space="0" w:color="auto"/>
            </w:tcBorders>
            <w:vAlign w:val="bottom"/>
          </w:tcPr>
          <w:p w14:paraId="2B65FFE8" w14:textId="6CB36ABE" w:rsidR="001762EE" w:rsidRPr="00335A67" w:rsidRDefault="001762EE" w:rsidP="0045553B">
            <w:pPr>
              <w:pStyle w:val="NormalWeb"/>
              <w:autoSpaceDE w:val="0"/>
              <w:autoSpaceDN w:val="0"/>
              <w:adjustRightInd w:val="0"/>
              <w:spacing w:before="40" w:beforeAutospacing="0" w:after="40" w:afterAutospacing="0"/>
              <w:jc w:val="center"/>
              <w:rPr>
                <w:sz w:val="20"/>
                <w:szCs w:val="20"/>
              </w:rPr>
            </w:pPr>
            <w:r w:rsidRPr="0099070C">
              <w:rPr>
                <w:sz w:val="20"/>
                <w:szCs w:val="20"/>
              </w:rPr>
              <w:t xml:space="preserve"> 3,077.57 </w:t>
            </w:r>
          </w:p>
        </w:tc>
        <w:tc>
          <w:tcPr>
            <w:tcW w:w="1990" w:type="dxa"/>
            <w:tcBorders>
              <w:top w:val="single" w:sz="4" w:space="0" w:color="auto"/>
              <w:bottom w:val="single" w:sz="4" w:space="0" w:color="auto"/>
            </w:tcBorders>
            <w:vAlign w:val="bottom"/>
          </w:tcPr>
          <w:p w14:paraId="03174432" w14:textId="3A12FDD9" w:rsidR="001762EE" w:rsidRPr="00335A67" w:rsidRDefault="001762EE" w:rsidP="0045553B">
            <w:pPr>
              <w:pStyle w:val="NormalWeb"/>
              <w:autoSpaceDE w:val="0"/>
              <w:autoSpaceDN w:val="0"/>
              <w:adjustRightInd w:val="0"/>
              <w:spacing w:before="40" w:beforeAutospacing="0" w:after="40" w:afterAutospacing="0"/>
              <w:jc w:val="center"/>
              <w:rPr>
                <w:sz w:val="20"/>
                <w:szCs w:val="20"/>
              </w:rPr>
            </w:pPr>
            <w:r w:rsidRPr="0099070C">
              <w:rPr>
                <w:sz w:val="20"/>
                <w:szCs w:val="20"/>
              </w:rPr>
              <w:t xml:space="preserve"> 2,227.53 </w:t>
            </w:r>
          </w:p>
        </w:tc>
        <w:tc>
          <w:tcPr>
            <w:tcW w:w="2209" w:type="dxa"/>
            <w:tcBorders>
              <w:top w:val="single" w:sz="4" w:space="0" w:color="auto"/>
              <w:bottom w:val="single" w:sz="4" w:space="0" w:color="auto"/>
            </w:tcBorders>
            <w:vAlign w:val="bottom"/>
          </w:tcPr>
          <w:p w14:paraId="2E9FEEA2" w14:textId="05A14D5F" w:rsidR="001762EE" w:rsidRPr="00335A67" w:rsidRDefault="001762EE" w:rsidP="00335A67">
            <w:pPr>
              <w:pStyle w:val="NormalWeb"/>
              <w:autoSpaceDE w:val="0"/>
              <w:autoSpaceDN w:val="0"/>
              <w:adjustRightInd w:val="0"/>
              <w:spacing w:before="40" w:beforeAutospacing="0" w:after="40" w:afterAutospacing="0"/>
              <w:jc w:val="center"/>
              <w:rPr>
                <w:sz w:val="20"/>
                <w:szCs w:val="20"/>
              </w:rPr>
            </w:pPr>
            <w:r w:rsidRPr="0099070C">
              <w:rPr>
                <w:sz w:val="20"/>
                <w:szCs w:val="20"/>
              </w:rPr>
              <w:t>72.38</w:t>
            </w:r>
          </w:p>
        </w:tc>
      </w:tr>
    </w:tbl>
    <w:p w14:paraId="329836FC" w14:textId="77D1CA70" w:rsidR="001762EE" w:rsidRPr="005A497D" w:rsidRDefault="001762EE" w:rsidP="00AD23FE">
      <w:pPr>
        <w:spacing w:before="40"/>
        <w:jc w:val="both"/>
        <w:rPr>
          <w:sz w:val="18"/>
          <w:szCs w:val="18"/>
        </w:rPr>
      </w:pPr>
      <w:r w:rsidRPr="00EE024A">
        <w:rPr>
          <w:i/>
          <w:sz w:val="18"/>
          <w:szCs w:val="18"/>
        </w:rPr>
        <w:t>Source</w:t>
      </w:r>
      <w:r w:rsidRPr="005A497D">
        <w:rPr>
          <w:sz w:val="18"/>
          <w:szCs w:val="18"/>
        </w:rPr>
        <w:t xml:space="preserve">: </w:t>
      </w:r>
      <w:r>
        <w:rPr>
          <w:sz w:val="18"/>
          <w:szCs w:val="18"/>
        </w:rPr>
        <w:t xml:space="preserve">CoA </w:t>
      </w:r>
      <w:r w:rsidRPr="005A497D">
        <w:rPr>
          <w:sz w:val="18"/>
          <w:szCs w:val="18"/>
        </w:rPr>
        <w:t xml:space="preserve">Annual </w:t>
      </w:r>
      <w:r>
        <w:rPr>
          <w:sz w:val="18"/>
          <w:szCs w:val="18"/>
        </w:rPr>
        <w:t xml:space="preserve">Financial </w:t>
      </w:r>
      <w:r w:rsidRPr="005A497D">
        <w:rPr>
          <w:sz w:val="18"/>
          <w:szCs w:val="18"/>
        </w:rPr>
        <w:t>Reports.</w:t>
      </w:r>
      <w:r>
        <w:rPr>
          <w:sz w:val="18"/>
          <w:szCs w:val="18"/>
        </w:rPr>
        <w:t xml:space="preserve"> Includes contingency</w:t>
      </w:r>
      <w:r w:rsidR="00FF6E99">
        <w:rPr>
          <w:sz w:val="18"/>
          <w:szCs w:val="18"/>
        </w:rPr>
        <w:t>, interest and</w:t>
      </w:r>
      <w:r>
        <w:rPr>
          <w:sz w:val="18"/>
          <w:szCs w:val="18"/>
        </w:rPr>
        <w:t xml:space="preserve"> debt principal amortization.</w:t>
      </w:r>
    </w:p>
    <w:p w14:paraId="14823026" w14:textId="77777777" w:rsidR="001762EE" w:rsidRPr="005A497D" w:rsidRDefault="001762EE" w:rsidP="00AD23FE">
      <w:pPr>
        <w:pStyle w:val="NormalWeb"/>
        <w:autoSpaceDE w:val="0"/>
        <w:autoSpaceDN w:val="0"/>
        <w:adjustRightInd w:val="0"/>
        <w:spacing w:before="0" w:beforeAutospacing="0" w:after="0" w:afterAutospacing="0"/>
        <w:contextualSpacing/>
        <w:jc w:val="both"/>
      </w:pPr>
    </w:p>
    <w:p w14:paraId="22FFBE1F" w14:textId="52349037"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the </w:t>
      </w:r>
      <w:r>
        <w:t>2010</w:t>
      </w:r>
      <w:r w:rsidRPr="005A497D">
        <w:t xml:space="preserve"> assessment, this indicator could not be rated due to challenges in ascertaining comparable numbers. A major source of complication in that assessment period (2004, 2005</w:t>
      </w:r>
      <w:r>
        <w:t>,</w:t>
      </w:r>
      <w:r w:rsidRPr="005A497D">
        <w:t xml:space="preserve"> and 2006) was the non-</w:t>
      </w:r>
      <w:r>
        <w:t>enactment</w:t>
      </w:r>
      <w:r w:rsidRPr="005A497D">
        <w:t xml:space="preserve"> of budgets before the start of the fiscal year leading to the inclusion of </w:t>
      </w:r>
      <w:r>
        <w:t xml:space="preserve">amounts as </w:t>
      </w:r>
      <w:r w:rsidRPr="005A497D">
        <w:t>“re-enacted budget” in the “original” budget number.</w:t>
      </w:r>
      <w:r w:rsidRPr="005A497D">
        <w:rPr>
          <w:rStyle w:val="EndnoteReference"/>
          <w:rFonts w:eastAsia="Calibri"/>
        </w:rPr>
        <w:endnoteReference w:id="7"/>
      </w:r>
    </w:p>
    <w:p w14:paraId="133A6335" w14:textId="77777777" w:rsidR="001762EE" w:rsidRDefault="001762EE" w:rsidP="005E7F65">
      <w:pPr>
        <w:pStyle w:val="NormalWeb"/>
        <w:autoSpaceDE w:val="0"/>
        <w:autoSpaceDN w:val="0"/>
        <w:adjustRightInd w:val="0"/>
        <w:spacing w:before="0" w:beforeAutospacing="0" w:after="0" w:afterAutospacing="0"/>
        <w:contextualSpacing/>
        <w:jc w:val="both"/>
      </w:pPr>
    </w:p>
    <w:p w14:paraId="42C18760" w14:textId="77777777" w:rsidR="00402C09" w:rsidRDefault="00402C09" w:rsidP="00402C09">
      <w:pPr>
        <w:pStyle w:val="Style2"/>
      </w:pPr>
      <w:bookmarkStart w:id="64" w:name="_Toc454811645"/>
      <w:bookmarkStart w:id="65" w:name="_Toc454888790"/>
      <w:r w:rsidRPr="005A497D">
        <w:t xml:space="preserve">PI-2 </w:t>
      </w:r>
      <w:r>
        <w:t>Expenditure c</w:t>
      </w:r>
      <w:r w:rsidRPr="005A497D">
        <w:t xml:space="preserve">omposition </w:t>
      </w:r>
      <w:r>
        <w:t>outturn</w:t>
      </w:r>
      <w:bookmarkEnd w:id="64"/>
      <w:bookmarkEnd w:id="65"/>
    </w:p>
    <w:p w14:paraId="157336C8" w14:textId="77777777" w:rsidR="00402C09" w:rsidRPr="005A497D" w:rsidRDefault="00402C09" w:rsidP="00402C09">
      <w:pPr>
        <w:pStyle w:val="Style2"/>
      </w:pPr>
    </w:p>
    <w:p w14:paraId="00096662" w14:textId="77777777" w:rsidR="00402C09" w:rsidRDefault="00402C09" w:rsidP="00402C09">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Where the sub–aggregate composition of expenditure varies considerably from the original budget, it is unlikely that the budget will be a useful statement of policy intent. This indicator hence measures </w:t>
      </w:r>
      <w:r>
        <w:t xml:space="preserve">the extent to which reallocations between the main budget categories during execution have contributed toward the variance in </w:t>
      </w:r>
      <w:r w:rsidRPr="005A497D">
        <w:t xml:space="preserve">expenditure </w:t>
      </w:r>
      <w:r>
        <w:t>composition</w:t>
      </w:r>
      <w:r w:rsidRPr="005A497D">
        <w:t>.</w:t>
      </w:r>
      <w:r>
        <w:t xml:space="preserve"> See Box 3.1 for a brief discussion about unique features of budget and expenditure data.</w:t>
      </w:r>
    </w:p>
    <w:p w14:paraId="41FC93F0" w14:textId="465026C5" w:rsidR="001762EE" w:rsidRPr="005A497D" w:rsidRDefault="00402C09" w:rsidP="005E7F65">
      <w:pPr>
        <w:pStyle w:val="NormalWeb"/>
        <w:autoSpaceDE w:val="0"/>
        <w:autoSpaceDN w:val="0"/>
        <w:adjustRightInd w:val="0"/>
        <w:spacing w:before="0" w:beforeAutospacing="0" w:after="0" w:afterAutospacing="0"/>
        <w:contextualSpacing/>
        <w:jc w:val="both"/>
      </w:pPr>
      <w:r w:rsidRPr="00AA6A31">
        <w:rPr>
          <w:sz w:val="19"/>
          <w:szCs w:val="19"/>
        </w:rPr>
        <w:t xml:space="preserve"> </w:t>
      </w:r>
    </w:p>
    <w:p w14:paraId="480AB446" w14:textId="708CFDC3" w:rsidR="001762EE" w:rsidRDefault="001762EE" w:rsidP="0043657F">
      <w:pPr>
        <w:pStyle w:val="Caption"/>
        <w:keepNext/>
        <w:jc w:val="both"/>
      </w:pPr>
      <w:r>
        <w:rPr>
          <w:b w:val="0"/>
          <w:bCs w:val="0"/>
          <w:noProof/>
        </w:rPr>
        <mc:AlternateContent>
          <mc:Choice Requires="wps">
            <w:drawing>
              <wp:inline distT="0" distB="0" distL="0" distR="0" wp14:anchorId="5DB2C409" wp14:editId="0EDF5DF2">
                <wp:extent cx="5915660" cy="3505200"/>
                <wp:effectExtent l="0" t="0" r="27940"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5052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11C4340F" w14:textId="16D830A4" w:rsidR="00431213" w:rsidRPr="005E7F65" w:rsidRDefault="00431213" w:rsidP="009008FE">
                            <w:pPr>
                              <w:jc w:val="both"/>
                              <w:rPr>
                                <w:b/>
                                <w:bCs/>
                                <w:color w:val="365F91" w:themeColor="accent1" w:themeShade="BF"/>
                              </w:rPr>
                            </w:pPr>
                            <w:r w:rsidRPr="005E7F65">
                              <w:rPr>
                                <w:b/>
                                <w:bCs/>
                                <w:color w:val="365F91" w:themeColor="accent1" w:themeShade="BF"/>
                              </w:rPr>
                              <w:t>Box 3.1 Unique features of budget and expenditure dat</w:t>
                            </w:r>
                            <w:r>
                              <w:rPr>
                                <w:b/>
                                <w:bCs/>
                                <w:color w:val="365F91" w:themeColor="accent1" w:themeShade="BF"/>
                              </w:rPr>
                              <w:t>a</w:t>
                            </w:r>
                          </w:p>
                          <w:p w14:paraId="03B7ED74" w14:textId="32C59CA4" w:rsidR="00431213" w:rsidRPr="00EE024A" w:rsidRDefault="00431213" w:rsidP="009008FE">
                            <w:pPr>
                              <w:jc w:val="both"/>
                              <w:rPr>
                                <w:sz w:val="20"/>
                                <w:szCs w:val="20"/>
                              </w:rPr>
                            </w:pPr>
                            <w:r w:rsidRPr="00EE024A">
                              <w:rPr>
                                <w:sz w:val="20"/>
                                <w:szCs w:val="20"/>
                              </w:rPr>
                              <w:t>The first two performance indicators</w:t>
                            </w:r>
                            <w:r>
                              <w:rPr>
                                <w:sz w:val="20"/>
                                <w:szCs w:val="20"/>
                              </w:rPr>
                              <w:t xml:space="preserve"> (P-1 and P-2)</w:t>
                            </w:r>
                            <w:r w:rsidRPr="00EE024A">
                              <w:rPr>
                                <w:sz w:val="20"/>
                                <w:szCs w:val="20"/>
                              </w:rPr>
                              <w:t xml:space="preserve"> require that the budget documents report the total amount budgeted by the government as well as the individual </w:t>
                            </w:r>
                            <w:r>
                              <w:rPr>
                                <w:sz w:val="20"/>
                                <w:szCs w:val="20"/>
                              </w:rPr>
                              <w:t>appropriation</w:t>
                            </w:r>
                            <w:r w:rsidRPr="00EE024A">
                              <w:rPr>
                                <w:sz w:val="20"/>
                                <w:szCs w:val="20"/>
                              </w:rPr>
                              <w:t xml:space="preserve"> to each agency, and that the information is comparable to the actual expenditure. In the Philippine budget setting, </w:t>
                            </w:r>
                            <w:r>
                              <w:rPr>
                                <w:sz w:val="20"/>
                                <w:szCs w:val="20"/>
                              </w:rPr>
                              <w:t xml:space="preserve">this simple comparison is hampered largely by the sporadic use of technology across several decentralized accounting processes. Since the 2014 budget, a Unified Account Coding Structure (UACS) was adopted for budget formulation, execution, and reporting. The roll-out of this structure to cover all transactions is still underway. In addition, there are continuing appropriations which should be separately identified both in the appropriations as well as the expenses. </w:t>
                            </w:r>
                            <w:r w:rsidRPr="00EE024A">
                              <w:rPr>
                                <w:sz w:val="20"/>
                                <w:szCs w:val="20"/>
                              </w:rPr>
                              <w:t>A major cause of these limitations is the absence of an integrated financial management information system</w:t>
                            </w:r>
                            <w:r>
                              <w:rPr>
                                <w:sz w:val="20"/>
                                <w:szCs w:val="20"/>
                              </w:rPr>
                              <w:t>, which would greatly facilitate the preparation of financial reports enabling a direct comparison of the budget with accomplishment.</w:t>
                            </w:r>
                          </w:p>
                          <w:p w14:paraId="421D22A1" w14:textId="77777777" w:rsidR="00431213" w:rsidRPr="00EE024A" w:rsidRDefault="00431213" w:rsidP="009008FE">
                            <w:pPr>
                              <w:jc w:val="both"/>
                              <w:rPr>
                                <w:sz w:val="20"/>
                                <w:szCs w:val="20"/>
                              </w:rPr>
                            </w:pPr>
                          </w:p>
                          <w:p w14:paraId="72C649C2" w14:textId="3C935E04" w:rsidR="00431213" w:rsidRPr="00EE024A" w:rsidRDefault="00431213" w:rsidP="009008FE">
                            <w:pPr>
                              <w:jc w:val="both"/>
                              <w:rPr>
                                <w:sz w:val="20"/>
                                <w:szCs w:val="20"/>
                              </w:rPr>
                            </w:pPr>
                            <w:r w:rsidRPr="00EE024A">
                              <w:rPr>
                                <w:sz w:val="20"/>
                                <w:szCs w:val="20"/>
                              </w:rPr>
                              <w:t xml:space="preserve">The original budget </w:t>
                            </w:r>
                            <w:r>
                              <w:rPr>
                                <w:sz w:val="20"/>
                                <w:szCs w:val="20"/>
                              </w:rPr>
                              <w:t>documents</w:t>
                            </w:r>
                            <w:r w:rsidRPr="00EE024A">
                              <w:rPr>
                                <w:sz w:val="20"/>
                                <w:szCs w:val="20"/>
                              </w:rPr>
                              <w:t xml:space="preserve"> </w:t>
                            </w:r>
                            <w:r>
                              <w:rPr>
                                <w:sz w:val="20"/>
                                <w:szCs w:val="20"/>
                              </w:rPr>
                              <w:t xml:space="preserve">published </w:t>
                            </w:r>
                            <w:r w:rsidRPr="00EE024A">
                              <w:rPr>
                                <w:sz w:val="20"/>
                                <w:szCs w:val="20"/>
                              </w:rPr>
                              <w:t xml:space="preserve">by </w:t>
                            </w:r>
                            <w:r>
                              <w:rPr>
                                <w:sz w:val="20"/>
                                <w:szCs w:val="20"/>
                              </w:rPr>
                              <w:t xml:space="preserve">the </w:t>
                            </w:r>
                            <w:r w:rsidRPr="00EE024A">
                              <w:rPr>
                                <w:sz w:val="20"/>
                                <w:szCs w:val="20"/>
                              </w:rPr>
                              <w:t xml:space="preserve">Department of Budget and Management </w:t>
                            </w:r>
                            <w:r>
                              <w:rPr>
                                <w:sz w:val="20"/>
                                <w:szCs w:val="20"/>
                              </w:rPr>
                              <w:t xml:space="preserve">on its website </w:t>
                            </w:r>
                            <w:r w:rsidRPr="00EE024A">
                              <w:rPr>
                                <w:sz w:val="20"/>
                                <w:szCs w:val="20"/>
                              </w:rPr>
                              <w:t xml:space="preserve">are the National Expenditures Program (NEP), the consolidated budget proposals of the agencies; the Budget of Expenditures and Sources of Financing, </w:t>
                            </w:r>
                            <w:r>
                              <w:rPr>
                                <w:sz w:val="20"/>
                                <w:szCs w:val="20"/>
                              </w:rPr>
                              <w:t xml:space="preserve">including </w:t>
                            </w:r>
                            <w:r w:rsidRPr="00EE024A">
                              <w:rPr>
                                <w:sz w:val="20"/>
                                <w:szCs w:val="20"/>
                              </w:rPr>
                              <w:t xml:space="preserve">the </w:t>
                            </w:r>
                            <w:r>
                              <w:rPr>
                                <w:sz w:val="20"/>
                                <w:szCs w:val="20"/>
                              </w:rPr>
                              <w:t xml:space="preserve">underlying macroeconomic assumptions, fiscal position and </w:t>
                            </w:r>
                            <w:r w:rsidRPr="00EE024A">
                              <w:rPr>
                                <w:sz w:val="20"/>
                                <w:szCs w:val="20"/>
                              </w:rPr>
                              <w:t>detailed description of fund sources and expenditures</w:t>
                            </w:r>
                            <w:r>
                              <w:rPr>
                                <w:sz w:val="20"/>
                                <w:szCs w:val="20"/>
                              </w:rPr>
                              <w:t>;</w:t>
                            </w:r>
                            <w:r w:rsidRPr="00EE024A">
                              <w:rPr>
                                <w:sz w:val="20"/>
                                <w:szCs w:val="20"/>
                              </w:rPr>
                              <w:t xml:space="preserve"> and the General Appropriations Act</w:t>
                            </w:r>
                            <w:r>
                              <w:rPr>
                                <w:sz w:val="20"/>
                                <w:szCs w:val="20"/>
                              </w:rPr>
                              <w:t>, the final</w:t>
                            </w:r>
                            <w:r w:rsidRPr="00EE024A">
                              <w:rPr>
                                <w:sz w:val="20"/>
                                <w:szCs w:val="20"/>
                              </w:rPr>
                              <w:t xml:space="preserve"> approved budget</w:t>
                            </w:r>
                            <w:r>
                              <w:rPr>
                                <w:sz w:val="20"/>
                                <w:szCs w:val="20"/>
                              </w:rPr>
                              <w:t xml:space="preserve"> for the year</w:t>
                            </w:r>
                            <w:r w:rsidRPr="00EE024A">
                              <w:rPr>
                                <w:sz w:val="20"/>
                                <w:szCs w:val="20"/>
                              </w:rPr>
                              <w:t xml:space="preserve">. </w:t>
                            </w:r>
                            <w:r>
                              <w:rPr>
                                <w:sz w:val="20"/>
                                <w:szCs w:val="20"/>
                              </w:rPr>
                              <w:t xml:space="preserve">The </w:t>
                            </w:r>
                            <w:r w:rsidRPr="00EE024A">
                              <w:rPr>
                                <w:sz w:val="20"/>
                                <w:szCs w:val="20"/>
                              </w:rPr>
                              <w:t xml:space="preserve">Department of Budget and Management reports </w:t>
                            </w:r>
                            <w:r>
                              <w:rPr>
                                <w:sz w:val="20"/>
                                <w:szCs w:val="20"/>
                              </w:rPr>
                              <w:t xml:space="preserve">on </w:t>
                            </w:r>
                            <w:r w:rsidRPr="00EE024A">
                              <w:rPr>
                                <w:sz w:val="20"/>
                                <w:szCs w:val="20"/>
                              </w:rPr>
                              <w:t>budget execution</w:t>
                            </w:r>
                            <w:r>
                              <w:rPr>
                                <w:sz w:val="20"/>
                                <w:szCs w:val="20"/>
                              </w:rPr>
                              <w:t>;</w:t>
                            </w:r>
                            <w:r w:rsidRPr="00EE024A">
                              <w:rPr>
                                <w:sz w:val="20"/>
                                <w:szCs w:val="20"/>
                              </w:rPr>
                              <w:t xml:space="preserve"> however</w:t>
                            </w:r>
                            <w:r>
                              <w:rPr>
                                <w:sz w:val="20"/>
                                <w:szCs w:val="20"/>
                              </w:rPr>
                              <w:t>,</w:t>
                            </w:r>
                            <w:r w:rsidRPr="00EE024A">
                              <w:rPr>
                                <w:sz w:val="20"/>
                                <w:szCs w:val="20"/>
                              </w:rPr>
                              <w:t xml:space="preserve"> the data </w:t>
                            </w:r>
                            <w:r>
                              <w:rPr>
                                <w:sz w:val="20"/>
                                <w:szCs w:val="20"/>
                              </w:rPr>
                              <w:t>does</w:t>
                            </w:r>
                            <w:r w:rsidRPr="00EE024A">
                              <w:rPr>
                                <w:sz w:val="20"/>
                                <w:szCs w:val="20"/>
                              </w:rPr>
                              <w:t xml:space="preserve"> not include actual </w:t>
                            </w:r>
                            <w:r>
                              <w:rPr>
                                <w:sz w:val="20"/>
                                <w:szCs w:val="20"/>
                              </w:rPr>
                              <w:t xml:space="preserve">disbursements </w:t>
                            </w:r>
                            <w:r w:rsidRPr="00EE024A">
                              <w:rPr>
                                <w:sz w:val="20"/>
                                <w:szCs w:val="20"/>
                              </w:rPr>
                              <w:t>made. The Annual Financial Report prepared by the Commission of Audit presents the total approved budget, total released allotments, obligations incurred</w:t>
                            </w:r>
                            <w:r>
                              <w:rPr>
                                <w:sz w:val="20"/>
                                <w:szCs w:val="20"/>
                              </w:rPr>
                              <w:t>,</w:t>
                            </w:r>
                            <w:r w:rsidRPr="00EE024A">
                              <w:rPr>
                                <w:sz w:val="20"/>
                                <w:szCs w:val="20"/>
                              </w:rPr>
                              <w:t xml:space="preserve"> and the unused balance of appropriations. The </w:t>
                            </w:r>
                            <w:r w:rsidRPr="00E014BE">
                              <w:rPr>
                                <w:sz w:val="20"/>
                                <w:szCs w:val="20"/>
                              </w:rPr>
                              <w:t xml:space="preserve">Annual Financial Report </w:t>
                            </w:r>
                            <w:r w:rsidRPr="00EE024A">
                              <w:rPr>
                                <w:sz w:val="20"/>
                                <w:szCs w:val="20"/>
                              </w:rPr>
                              <w:t>also provides consolidated information about the results of operations, cash flows</w:t>
                            </w:r>
                            <w:r>
                              <w:rPr>
                                <w:sz w:val="20"/>
                                <w:szCs w:val="20"/>
                              </w:rPr>
                              <w:t>,</w:t>
                            </w:r>
                            <w:r w:rsidRPr="00EE024A">
                              <w:rPr>
                                <w:sz w:val="20"/>
                                <w:szCs w:val="20"/>
                              </w:rPr>
                              <w:t xml:space="preserve"> and financial condition. This </w:t>
                            </w:r>
                            <w:r w:rsidRPr="00E014BE">
                              <w:rPr>
                                <w:sz w:val="20"/>
                                <w:szCs w:val="20"/>
                              </w:rPr>
                              <w:t xml:space="preserve">Report </w:t>
                            </w:r>
                            <w:r>
                              <w:rPr>
                                <w:sz w:val="20"/>
                                <w:szCs w:val="20"/>
                              </w:rPr>
                              <w:t xml:space="preserve">however, </w:t>
                            </w:r>
                            <w:r w:rsidRPr="00EE024A">
                              <w:rPr>
                                <w:sz w:val="20"/>
                                <w:szCs w:val="20"/>
                              </w:rPr>
                              <w:t>does not follow the structure of any of the three DBM reports</w:t>
                            </w:r>
                            <w:r>
                              <w:rPr>
                                <w:sz w:val="20"/>
                                <w:szCs w:val="20"/>
                              </w:rPr>
                              <w:t xml:space="preserve"> described above;</w:t>
                            </w:r>
                            <w:r w:rsidRPr="00EE024A">
                              <w:rPr>
                                <w:sz w:val="20"/>
                                <w:szCs w:val="20"/>
                              </w:rPr>
                              <w:t xml:space="preserve"> thus the information in the reports by these two </w:t>
                            </w:r>
                            <w:r>
                              <w:rPr>
                                <w:sz w:val="20"/>
                                <w:szCs w:val="20"/>
                              </w:rPr>
                              <w:t>oversight agencie</w:t>
                            </w:r>
                            <w:r w:rsidRPr="00EE024A">
                              <w:rPr>
                                <w:sz w:val="20"/>
                                <w:szCs w:val="20"/>
                              </w:rPr>
                              <w:t>s is difficult to compare.</w:t>
                            </w:r>
                            <w:r>
                              <w:rPr>
                                <w:sz w:val="20"/>
                                <w:szCs w:val="20"/>
                              </w:rPr>
                              <w:t xml:space="preserve"> For the purposes of the assessment of the first two indicators, the numbers for appropriations and obligations are drawn from the Annual Financial Report.</w:t>
                            </w:r>
                          </w:p>
                        </w:txbxContent>
                      </wps:txbx>
                      <wps:bodyPr rot="0" vert="horz" wrap="square" lIns="91440" tIns="45720" rIns="91440" bIns="45720" anchor="t" anchorCtr="0">
                        <a:noAutofit/>
                      </wps:bodyPr>
                    </wps:wsp>
                  </a:graphicData>
                </a:graphic>
              </wp:inline>
            </w:drawing>
          </mc:Choice>
          <mc:Fallback>
            <w:pict>
              <v:shapetype w14:anchorId="5DB2C409" id="_x0000_t202" coordsize="21600,21600" o:spt="202" path="m,l,21600r21600,l21600,xe">
                <v:stroke joinstyle="miter"/>
                <v:path gradientshapeok="t" o:connecttype="rect"/>
              </v:shapetype>
              <v:shape id="Text Box 2" o:spid="_x0000_s1026" type="#_x0000_t202" style="width:465.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" fillcolor="white [3201]" strokecolor="black [3200]">
                <v:textbox>
                  <w:txbxContent>
                    <w:p w14:paraId="11C4340F" w14:textId="16D830A4" w:rsidR="00431213" w:rsidRPr="005E7F65" w:rsidRDefault="00431213" w:rsidP="009008FE">
                      <w:pPr>
                        <w:jc w:val="both"/>
                        <w:rPr>
                          <w:b/>
                          <w:bCs/>
                          <w:color w:val="365F91" w:themeColor="accent1" w:themeShade="BF"/>
                        </w:rPr>
                      </w:pPr>
                      <w:r w:rsidRPr="005E7F65">
                        <w:rPr>
                          <w:b/>
                          <w:bCs/>
                          <w:color w:val="365F91" w:themeColor="accent1" w:themeShade="BF"/>
                        </w:rPr>
                        <w:t>Box 3.1 Unique features of budget and expenditure dat</w:t>
                      </w:r>
                      <w:r>
                        <w:rPr>
                          <w:b/>
                          <w:bCs/>
                          <w:color w:val="365F91" w:themeColor="accent1" w:themeShade="BF"/>
                        </w:rPr>
                        <w:t>a</w:t>
                      </w:r>
                    </w:p>
                    <w:p w14:paraId="03B7ED74" w14:textId="32C59CA4" w:rsidR="00431213" w:rsidRPr="00EE024A" w:rsidRDefault="00431213" w:rsidP="009008FE">
                      <w:pPr>
                        <w:jc w:val="both"/>
                        <w:rPr>
                          <w:sz w:val="20"/>
                          <w:szCs w:val="20"/>
                        </w:rPr>
                      </w:pPr>
                      <w:r w:rsidRPr="00EE024A">
                        <w:rPr>
                          <w:sz w:val="20"/>
                          <w:szCs w:val="20"/>
                        </w:rPr>
                        <w:t>The first two performance indicators</w:t>
                      </w:r>
                      <w:r>
                        <w:rPr>
                          <w:sz w:val="20"/>
                          <w:szCs w:val="20"/>
                        </w:rPr>
                        <w:t xml:space="preserve"> (P-1 and P-2)</w:t>
                      </w:r>
                      <w:r w:rsidRPr="00EE024A">
                        <w:rPr>
                          <w:sz w:val="20"/>
                          <w:szCs w:val="20"/>
                        </w:rPr>
                        <w:t xml:space="preserve"> require that the budget documents report the total amount budgeted by the government as well as the individual </w:t>
                      </w:r>
                      <w:r>
                        <w:rPr>
                          <w:sz w:val="20"/>
                          <w:szCs w:val="20"/>
                        </w:rPr>
                        <w:t>appropriation</w:t>
                      </w:r>
                      <w:r w:rsidRPr="00EE024A">
                        <w:rPr>
                          <w:sz w:val="20"/>
                          <w:szCs w:val="20"/>
                        </w:rPr>
                        <w:t xml:space="preserve"> to each agency, and that the information is comparable to the actual expenditure. In the Philippine budget setting, </w:t>
                      </w:r>
                      <w:r>
                        <w:rPr>
                          <w:sz w:val="20"/>
                          <w:szCs w:val="20"/>
                        </w:rPr>
                        <w:t xml:space="preserve">this simple comparison is hampered largely by the sporadic use of technology across several decentralized accounting processes. Since the 2014 budget, a Unified Account Coding Structure (UACS) was adopted for budget formulation, execution, and reporting. The roll-out of this structure to cover all transactions is still underway. In addition, there are continuing appropriations which should be separately identified both in the appropriations as well as the expenses. </w:t>
                      </w:r>
                      <w:r w:rsidRPr="00EE024A">
                        <w:rPr>
                          <w:sz w:val="20"/>
                          <w:szCs w:val="20"/>
                        </w:rPr>
                        <w:t>A major cause of these limitations is the absence of an integrated financial management information system</w:t>
                      </w:r>
                      <w:r>
                        <w:rPr>
                          <w:sz w:val="20"/>
                          <w:szCs w:val="20"/>
                        </w:rPr>
                        <w:t>, which would greatly facilitate the preparation of financial reports enabling a direct comparison of the budget with accomplishment.</w:t>
                      </w:r>
                    </w:p>
                    <w:p w14:paraId="421D22A1" w14:textId="77777777" w:rsidR="00431213" w:rsidRPr="00EE024A" w:rsidRDefault="00431213" w:rsidP="009008FE">
                      <w:pPr>
                        <w:jc w:val="both"/>
                        <w:rPr>
                          <w:sz w:val="20"/>
                          <w:szCs w:val="20"/>
                        </w:rPr>
                      </w:pPr>
                    </w:p>
                    <w:p w14:paraId="72C649C2" w14:textId="3C935E04" w:rsidR="00431213" w:rsidRPr="00EE024A" w:rsidRDefault="00431213" w:rsidP="009008FE">
                      <w:pPr>
                        <w:jc w:val="both"/>
                        <w:rPr>
                          <w:sz w:val="20"/>
                          <w:szCs w:val="20"/>
                        </w:rPr>
                      </w:pPr>
                      <w:r w:rsidRPr="00EE024A">
                        <w:rPr>
                          <w:sz w:val="20"/>
                          <w:szCs w:val="20"/>
                        </w:rPr>
                        <w:t xml:space="preserve">The original budget </w:t>
                      </w:r>
                      <w:r>
                        <w:rPr>
                          <w:sz w:val="20"/>
                          <w:szCs w:val="20"/>
                        </w:rPr>
                        <w:t>documents</w:t>
                      </w:r>
                      <w:r w:rsidRPr="00EE024A">
                        <w:rPr>
                          <w:sz w:val="20"/>
                          <w:szCs w:val="20"/>
                        </w:rPr>
                        <w:t xml:space="preserve"> </w:t>
                      </w:r>
                      <w:r>
                        <w:rPr>
                          <w:sz w:val="20"/>
                          <w:szCs w:val="20"/>
                        </w:rPr>
                        <w:t xml:space="preserve">published </w:t>
                      </w:r>
                      <w:r w:rsidRPr="00EE024A">
                        <w:rPr>
                          <w:sz w:val="20"/>
                          <w:szCs w:val="20"/>
                        </w:rPr>
                        <w:t xml:space="preserve">by </w:t>
                      </w:r>
                      <w:r>
                        <w:rPr>
                          <w:sz w:val="20"/>
                          <w:szCs w:val="20"/>
                        </w:rPr>
                        <w:t xml:space="preserve">the </w:t>
                      </w:r>
                      <w:r w:rsidRPr="00EE024A">
                        <w:rPr>
                          <w:sz w:val="20"/>
                          <w:szCs w:val="20"/>
                        </w:rPr>
                        <w:t xml:space="preserve">Department of Budget and Management </w:t>
                      </w:r>
                      <w:r>
                        <w:rPr>
                          <w:sz w:val="20"/>
                          <w:szCs w:val="20"/>
                        </w:rPr>
                        <w:t xml:space="preserve">on its website </w:t>
                      </w:r>
                      <w:r w:rsidRPr="00EE024A">
                        <w:rPr>
                          <w:sz w:val="20"/>
                          <w:szCs w:val="20"/>
                        </w:rPr>
                        <w:t xml:space="preserve">are the National Expenditures Program (NEP), the consolidated budget proposals of the agencies; the Budget of Expenditures and Sources of Financing, </w:t>
                      </w:r>
                      <w:r>
                        <w:rPr>
                          <w:sz w:val="20"/>
                          <w:szCs w:val="20"/>
                        </w:rPr>
                        <w:t xml:space="preserve">including </w:t>
                      </w:r>
                      <w:r w:rsidRPr="00EE024A">
                        <w:rPr>
                          <w:sz w:val="20"/>
                          <w:szCs w:val="20"/>
                        </w:rPr>
                        <w:t xml:space="preserve">the </w:t>
                      </w:r>
                      <w:r>
                        <w:rPr>
                          <w:sz w:val="20"/>
                          <w:szCs w:val="20"/>
                        </w:rPr>
                        <w:t xml:space="preserve">underlying macroeconomic assumptions, fiscal position and </w:t>
                      </w:r>
                      <w:r w:rsidRPr="00EE024A">
                        <w:rPr>
                          <w:sz w:val="20"/>
                          <w:szCs w:val="20"/>
                        </w:rPr>
                        <w:t>detailed description of fund sources and expenditures</w:t>
                      </w:r>
                      <w:r>
                        <w:rPr>
                          <w:sz w:val="20"/>
                          <w:szCs w:val="20"/>
                        </w:rPr>
                        <w:t>;</w:t>
                      </w:r>
                      <w:r w:rsidRPr="00EE024A">
                        <w:rPr>
                          <w:sz w:val="20"/>
                          <w:szCs w:val="20"/>
                        </w:rPr>
                        <w:t xml:space="preserve"> and the General Appropriations Act</w:t>
                      </w:r>
                      <w:r>
                        <w:rPr>
                          <w:sz w:val="20"/>
                          <w:szCs w:val="20"/>
                        </w:rPr>
                        <w:t>, the final</w:t>
                      </w:r>
                      <w:r w:rsidRPr="00EE024A">
                        <w:rPr>
                          <w:sz w:val="20"/>
                          <w:szCs w:val="20"/>
                        </w:rPr>
                        <w:t xml:space="preserve"> approved budget</w:t>
                      </w:r>
                      <w:r>
                        <w:rPr>
                          <w:sz w:val="20"/>
                          <w:szCs w:val="20"/>
                        </w:rPr>
                        <w:t xml:space="preserve"> for the year</w:t>
                      </w:r>
                      <w:r w:rsidRPr="00EE024A">
                        <w:rPr>
                          <w:sz w:val="20"/>
                          <w:szCs w:val="20"/>
                        </w:rPr>
                        <w:t xml:space="preserve">. </w:t>
                      </w:r>
                      <w:r>
                        <w:rPr>
                          <w:sz w:val="20"/>
                          <w:szCs w:val="20"/>
                        </w:rPr>
                        <w:t xml:space="preserve">The </w:t>
                      </w:r>
                      <w:r w:rsidRPr="00EE024A">
                        <w:rPr>
                          <w:sz w:val="20"/>
                          <w:szCs w:val="20"/>
                        </w:rPr>
                        <w:t xml:space="preserve">Department of Budget and Management reports </w:t>
                      </w:r>
                      <w:r>
                        <w:rPr>
                          <w:sz w:val="20"/>
                          <w:szCs w:val="20"/>
                        </w:rPr>
                        <w:t xml:space="preserve">on </w:t>
                      </w:r>
                      <w:r w:rsidRPr="00EE024A">
                        <w:rPr>
                          <w:sz w:val="20"/>
                          <w:szCs w:val="20"/>
                        </w:rPr>
                        <w:t>budget execution</w:t>
                      </w:r>
                      <w:r>
                        <w:rPr>
                          <w:sz w:val="20"/>
                          <w:szCs w:val="20"/>
                        </w:rPr>
                        <w:t>;</w:t>
                      </w:r>
                      <w:r w:rsidRPr="00EE024A">
                        <w:rPr>
                          <w:sz w:val="20"/>
                          <w:szCs w:val="20"/>
                        </w:rPr>
                        <w:t xml:space="preserve"> however</w:t>
                      </w:r>
                      <w:r>
                        <w:rPr>
                          <w:sz w:val="20"/>
                          <w:szCs w:val="20"/>
                        </w:rPr>
                        <w:t>,</w:t>
                      </w:r>
                      <w:r w:rsidRPr="00EE024A">
                        <w:rPr>
                          <w:sz w:val="20"/>
                          <w:szCs w:val="20"/>
                        </w:rPr>
                        <w:t xml:space="preserve"> the data </w:t>
                      </w:r>
                      <w:r>
                        <w:rPr>
                          <w:sz w:val="20"/>
                          <w:szCs w:val="20"/>
                        </w:rPr>
                        <w:t>does</w:t>
                      </w:r>
                      <w:r w:rsidRPr="00EE024A">
                        <w:rPr>
                          <w:sz w:val="20"/>
                          <w:szCs w:val="20"/>
                        </w:rPr>
                        <w:t xml:space="preserve"> not include actual </w:t>
                      </w:r>
                      <w:r>
                        <w:rPr>
                          <w:sz w:val="20"/>
                          <w:szCs w:val="20"/>
                        </w:rPr>
                        <w:t xml:space="preserve">disbursements </w:t>
                      </w:r>
                      <w:r w:rsidRPr="00EE024A">
                        <w:rPr>
                          <w:sz w:val="20"/>
                          <w:szCs w:val="20"/>
                        </w:rPr>
                        <w:t>made. The Annual Financial Report prepared by the Commission of Audit presents the total approved budget, total released allotments, obligations incurred</w:t>
                      </w:r>
                      <w:r>
                        <w:rPr>
                          <w:sz w:val="20"/>
                          <w:szCs w:val="20"/>
                        </w:rPr>
                        <w:t>,</w:t>
                      </w:r>
                      <w:r w:rsidRPr="00EE024A">
                        <w:rPr>
                          <w:sz w:val="20"/>
                          <w:szCs w:val="20"/>
                        </w:rPr>
                        <w:t xml:space="preserve"> and the unused balance of appropriations. The </w:t>
                      </w:r>
                      <w:r w:rsidRPr="00E014BE">
                        <w:rPr>
                          <w:sz w:val="20"/>
                          <w:szCs w:val="20"/>
                        </w:rPr>
                        <w:t xml:space="preserve">Annual Financial Report </w:t>
                      </w:r>
                      <w:r w:rsidRPr="00EE024A">
                        <w:rPr>
                          <w:sz w:val="20"/>
                          <w:szCs w:val="20"/>
                        </w:rPr>
                        <w:t>also provides consolidated information about the results of operations, cash flows</w:t>
                      </w:r>
                      <w:r>
                        <w:rPr>
                          <w:sz w:val="20"/>
                          <w:szCs w:val="20"/>
                        </w:rPr>
                        <w:t>,</w:t>
                      </w:r>
                      <w:r w:rsidRPr="00EE024A">
                        <w:rPr>
                          <w:sz w:val="20"/>
                          <w:szCs w:val="20"/>
                        </w:rPr>
                        <w:t xml:space="preserve"> and financial condition. This </w:t>
                      </w:r>
                      <w:r w:rsidRPr="00E014BE">
                        <w:rPr>
                          <w:sz w:val="20"/>
                          <w:szCs w:val="20"/>
                        </w:rPr>
                        <w:t xml:space="preserve">Report </w:t>
                      </w:r>
                      <w:r>
                        <w:rPr>
                          <w:sz w:val="20"/>
                          <w:szCs w:val="20"/>
                        </w:rPr>
                        <w:t xml:space="preserve">however, </w:t>
                      </w:r>
                      <w:r w:rsidRPr="00EE024A">
                        <w:rPr>
                          <w:sz w:val="20"/>
                          <w:szCs w:val="20"/>
                        </w:rPr>
                        <w:t>does not follow the structure of any of the three DBM reports</w:t>
                      </w:r>
                      <w:r>
                        <w:rPr>
                          <w:sz w:val="20"/>
                          <w:szCs w:val="20"/>
                        </w:rPr>
                        <w:t xml:space="preserve"> described above;</w:t>
                      </w:r>
                      <w:r w:rsidRPr="00EE024A">
                        <w:rPr>
                          <w:sz w:val="20"/>
                          <w:szCs w:val="20"/>
                        </w:rPr>
                        <w:t xml:space="preserve"> thus the information in the reports by these two </w:t>
                      </w:r>
                      <w:r>
                        <w:rPr>
                          <w:sz w:val="20"/>
                          <w:szCs w:val="20"/>
                        </w:rPr>
                        <w:t>oversight agencie</w:t>
                      </w:r>
                      <w:r w:rsidRPr="00EE024A">
                        <w:rPr>
                          <w:sz w:val="20"/>
                          <w:szCs w:val="20"/>
                        </w:rPr>
                        <w:t>s is difficult to compare.</w:t>
                      </w:r>
                      <w:r>
                        <w:rPr>
                          <w:sz w:val="20"/>
                          <w:szCs w:val="20"/>
                        </w:rPr>
                        <w:t xml:space="preserve"> For the purposes of the assessment of the first two indicators, the numbers for appropriations and obligations are drawn from the Annual Financial Report.</w:t>
                      </w:r>
                    </w:p>
                  </w:txbxContent>
                </v:textbox>
                <w10:anchorlock/>
              </v:shape>
            </w:pict>
          </mc:Fallback>
        </mc:AlternateContent>
      </w:r>
      <w:bookmarkStart w:id="66" w:name="_Toc429682046"/>
    </w:p>
    <w:p w14:paraId="46558549" w14:textId="77777777" w:rsidR="0015142A" w:rsidRDefault="0015142A" w:rsidP="00411651">
      <w:pPr>
        <w:pStyle w:val="Style2"/>
      </w:pPr>
    </w:p>
    <w:bookmarkEnd w:id="66"/>
    <w:p w14:paraId="039D6054" w14:textId="77777777" w:rsidR="001762EE" w:rsidRPr="005A497D" w:rsidRDefault="001762EE" w:rsidP="00AA6A31">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661D7" w14:paraId="6C4918A2" w14:textId="77777777" w:rsidTr="00360B29">
        <w:trPr>
          <w:trHeight w:val="397"/>
        </w:trPr>
        <w:tc>
          <w:tcPr>
            <w:tcW w:w="3600" w:type="dxa"/>
            <w:tcBorders>
              <w:top w:val="double" w:sz="4" w:space="0" w:color="auto"/>
            </w:tcBorders>
            <w:shd w:val="clear" w:color="auto" w:fill="D9D9D9"/>
            <w:vAlign w:val="center"/>
          </w:tcPr>
          <w:p w14:paraId="741E7885" w14:textId="77777777" w:rsidR="001762EE" w:rsidRPr="00D661D7" w:rsidRDefault="001762EE" w:rsidP="00360B29">
            <w:pPr>
              <w:spacing w:before="40" w:after="40"/>
              <w:jc w:val="center"/>
              <w:rPr>
                <w:b/>
                <w:i/>
              </w:rPr>
            </w:pPr>
            <w:r w:rsidRPr="00D661D7">
              <w:rPr>
                <w:b/>
                <w:i/>
                <w:sz w:val="22"/>
                <w:szCs w:val="22"/>
              </w:rPr>
              <w:t>Indicator / Dimension</w:t>
            </w:r>
          </w:p>
        </w:tc>
        <w:tc>
          <w:tcPr>
            <w:tcW w:w="1843" w:type="dxa"/>
            <w:tcBorders>
              <w:top w:val="double" w:sz="4" w:space="0" w:color="auto"/>
            </w:tcBorders>
            <w:shd w:val="clear" w:color="auto" w:fill="D9D9D9"/>
            <w:vAlign w:val="center"/>
          </w:tcPr>
          <w:p w14:paraId="50026C12" w14:textId="77777777" w:rsidR="001762EE" w:rsidRPr="00D661D7" w:rsidRDefault="001762EE" w:rsidP="00360B29">
            <w:pPr>
              <w:spacing w:before="40" w:after="40"/>
              <w:jc w:val="center"/>
              <w:rPr>
                <w:b/>
                <w:i/>
              </w:rPr>
            </w:pPr>
            <w:r w:rsidRPr="00D661D7">
              <w:rPr>
                <w:b/>
                <w:i/>
                <w:sz w:val="22"/>
                <w:szCs w:val="22"/>
              </w:rPr>
              <w:t>Score</w:t>
            </w:r>
          </w:p>
        </w:tc>
        <w:tc>
          <w:tcPr>
            <w:tcW w:w="3913" w:type="dxa"/>
            <w:tcBorders>
              <w:top w:val="double" w:sz="4" w:space="0" w:color="auto"/>
            </w:tcBorders>
            <w:shd w:val="clear" w:color="auto" w:fill="D9D9D9"/>
            <w:vAlign w:val="center"/>
          </w:tcPr>
          <w:p w14:paraId="07F8BBCB" w14:textId="77777777" w:rsidR="001762EE" w:rsidRPr="00D661D7" w:rsidRDefault="001762EE" w:rsidP="00360B29">
            <w:pPr>
              <w:spacing w:before="40" w:after="40"/>
              <w:jc w:val="center"/>
              <w:rPr>
                <w:b/>
                <w:i/>
              </w:rPr>
            </w:pPr>
            <w:r w:rsidRPr="00D661D7">
              <w:rPr>
                <w:b/>
                <w:i/>
                <w:sz w:val="22"/>
                <w:szCs w:val="22"/>
              </w:rPr>
              <w:t>Brief Explanation</w:t>
            </w:r>
          </w:p>
        </w:tc>
      </w:tr>
      <w:tr w:rsidR="001762EE" w:rsidRPr="005A497D" w14:paraId="2FED346A" w14:textId="77777777" w:rsidTr="00360B29">
        <w:tc>
          <w:tcPr>
            <w:tcW w:w="3600" w:type="dxa"/>
            <w:tcBorders>
              <w:top w:val="double" w:sz="4" w:space="0" w:color="auto"/>
              <w:bottom w:val="single" w:sz="4" w:space="0" w:color="auto"/>
            </w:tcBorders>
          </w:tcPr>
          <w:p w14:paraId="4B430067" w14:textId="1A56F9CC" w:rsidR="001762EE" w:rsidRPr="005A497D" w:rsidRDefault="001762EE" w:rsidP="00DA458A">
            <w:pPr>
              <w:spacing w:before="20" w:after="20"/>
              <w:rPr>
                <w:b/>
              </w:rPr>
            </w:pPr>
            <w:r w:rsidRPr="005A497D">
              <w:rPr>
                <w:b/>
                <w:bCs/>
                <w:sz w:val="22"/>
                <w:szCs w:val="22"/>
              </w:rPr>
              <w:t xml:space="preserve">PI-2 </w:t>
            </w:r>
            <w:r>
              <w:rPr>
                <w:b/>
                <w:bCs/>
                <w:sz w:val="22"/>
                <w:szCs w:val="22"/>
              </w:rPr>
              <w:t>Expenditure c</w:t>
            </w:r>
            <w:r w:rsidRPr="005A497D">
              <w:rPr>
                <w:b/>
                <w:bCs/>
                <w:sz w:val="22"/>
                <w:szCs w:val="22"/>
              </w:rPr>
              <w:t xml:space="preserve">omposition </w:t>
            </w:r>
            <w:r>
              <w:rPr>
                <w:b/>
                <w:bCs/>
                <w:sz w:val="22"/>
                <w:szCs w:val="22"/>
              </w:rPr>
              <w:t>outturn</w:t>
            </w:r>
          </w:p>
        </w:tc>
        <w:tc>
          <w:tcPr>
            <w:tcW w:w="1843" w:type="dxa"/>
            <w:tcBorders>
              <w:top w:val="double" w:sz="4" w:space="0" w:color="auto"/>
              <w:bottom w:val="single" w:sz="4" w:space="0" w:color="auto"/>
            </w:tcBorders>
          </w:tcPr>
          <w:p w14:paraId="64734B81" w14:textId="62AD1021" w:rsidR="001762EE" w:rsidRPr="005A497D" w:rsidRDefault="001762EE" w:rsidP="00360B29">
            <w:pPr>
              <w:spacing w:before="40" w:after="40"/>
              <w:jc w:val="center"/>
              <w:rPr>
                <w:b/>
              </w:rPr>
            </w:pPr>
            <w:r>
              <w:rPr>
                <w:b/>
                <w:sz w:val="22"/>
                <w:szCs w:val="22"/>
              </w:rPr>
              <w:t>D+</w:t>
            </w:r>
          </w:p>
        </w:tc>
        <w:tc>
          <w:tcPr>
            <w:tcW w:w="3913" w:type="dxa"/>
            <w:tcBorders>
              <w:top w:val="double" w:sz="4" w:space="0" w:color="auto"/>
              <w:bottom w:val="single" w:sz="4" w:space="0" w:color="auto"/>
            </w:tcBorders>
          </w:tcPr>
          <w:p w14:paraId="362476C5" w14:textId="77777777" w:rsidR="001762EE" w:rsidRPr="005A497D" w:rsidRDefault="001762EE" w:rsidP="00360B29">
            <w:pPr>
              <w:spacing w:before="40" w:after="40"/>
            </w:pPr>
            <w:r w:rsidRPr="005A497D">
              <w:rPr>
                <w:sz w:val="22"/>
                <w:szCs w:val="22"/>
              </w:rPr>
              <w:t>Overall rating based on M1 methodology.</w:t>
            </w:r>
          </w:p>
        </w:tc>
      </w:tr>
      <w:tr w:rsidR="001762EE" w:rsidRPr="005A497D" w14:paraId="3A535453" w14:textId="77777777" w:rsidTr="00A737D2">
        <w:trPr>
          <w:trHeight w:val="809"/>
        </w:trPr>
        <w:tc>
          <w:tcPr>
            <w:tcW w:w="3600" w:type="dxa"/>
            <w:tcBorders>
              <w:top w:val="single" w:sz="4" w:space="0" w:color="auto"/>
              <w:bottom w:val="single" w:sz="4" w:space="0" w:color="auto"/>
            </w:tcBorders>
          </w:tcPr>
          <w:p w14:paraId="3A009FF9" w14:textId="165FC224" w:rsidR="001762EE" w:rsidRPr="005A497D" w:rsidRDefault="001762EE" w:rsidP="00DA458A">
            <w:pPr>
              <w:pStyle w:val="Default"/>
              <w:rPr>
                <w:color w:val="auto"/>
                <w:sz w:val="22"/>
                <w:szCs w:val="22"/>
              </w:rPr>
            </w:pPr>
            <w:r>
              <w:rPr>
                <w:color w:val="auto"/>
                <w:sz w:val="22"/>
                <w:szCs w:val="22"/>
              </w:rPr>
              <w:t>2.1</w:t>
            </w:r>
            <w:r w:rsidRPr="005A497D">
              <w:rPr>
                <w:color w:val="auto"/>
                <w:sz w:val="22"/>
                <w:szCs w:val="22"/>
              </w:rPr>
              <w:t xml:space="preserve"> </w:t>
            </w:r>
            <w:r w:rsidRPr="005A497D">
              <w:rPr>
                <w:bCs/>
                <w:sz w:val="22"/>
                <w:szCs w:val="22"/>
              </w:rPr>
              <w:t>Ex</w:t>
            </w:r>
            <w:r>
              <w:rPr>
                <w:bCs/>
                <w:sz w:val="22"/>
                <w:szCs w:val="22"/>
              </w:rPr>
              <w:t>penditure composition outturn by function</w:t>
            </w:r>
          </w:p>
        </w:tc>
        <w:tc>
          <w:tcPr>
            <w:tcW w:w="1843" w:type="dxa"/>
            <w:tcBorders>
              <w:top w:val="single" w:sz="4" w:space="0" w:color="auto"/>
              <w:bottom w:val="single" w:sz="4" w:space="0" w:color="auto"/>
            </w:tcBorders>
          </w:tcPr>
          <w:p w14:paraId="4505E8A7" w14:textId="3E9A54EB" w:rsidR="001762EE" w:rsidRPr="005A497D" w:rsidRDefault="001762EE" w:rsidP="00360B29">
            <w:pPr>
              <w:spacing w:before="40" w:after="40"/>
              <w:jc w:val="center"/>
            </w:pPr>
            <w:r>
              <w:rPr>
                <w:sz w:val="22"/>
                <w:szCs w:val="22"/>
              </w:rPr>
              <w:t>D</w:t>
            </w:r>
          </w:p>
        </w:tc>
        <w:tc>
          <w:tcPr>
            <w:tcW w:w="3913" w:type="dxa"/>
            <w:tcBorders>
              <w:top w:val="single" w:sz="4" w:space="0" w:color="auto"/>
              <w:bottom w:val="single" w:sz="4" w:space="0" w:color="auto"/>
            </w:tcBorders>
          </w:tcPr>
          <w:p w14:paraId="0EBB164E" w14:textId="482D7C48" w:rsidR="001762EE" w:rsidRPr="005A497D" w:rsidRDefault="001762EE" w:rsidP="0084649C">
            <w:pPr>
              <w:autoSpaceDE w:val="0"/>
              <w:autoSpaceDN w:val="0"/>
              <w:adjustRightInd w:val="0"/>
            </w:pPr>
            <w:r w:rsidRPr="005A497D">
              <w:rPr>
                <w:color w:val="000000"/>
                <w:sz w:val="22"/>
                <w:szCs w:val="22"/>
              </w:rPr>
              <w:t xml:space="preserve">The </w:t>
            </w:r>
            <w:r>
              <w:rPr>
                <w:color w:val="000000"/>
                <w:sz w:val="22"/>
                <w:szCs w:val="22"/>
              </w:rPr>
              <w:t xml:space="preserve">functional </w:t>
            </w:r>
            <w:r w:rsidRPr="005A497D">
              <w:rPr>
                <w:color w:val="000000"/>
                <w:sz w:val="22"/>
                <w:szCs w:val="22"/>
              </w:rPr>
              <w:t>composition var</w:t>
            </w:r>
            <w:r>
              <w:rPr>
                <w:color w:val="000000"/>
                <w:sz w:val="22"/>
                <w:szCs w:val="22"/>
              </w:rPr>
              <w:t xml:space="preserve">iances (in absolute terms) exceeded 15% in two of </w:t>
            </w:r>
            <w:r w:rsidRPr="005A497D">
              <w:rPr>
                <w:color w:val="000000"/>
                <w:sz w:val="22"/>
                <w:szCs w:val="22"/>
              </w:rPr>
              <w:t xml:space="preserve">the </w:t>
            </w:r>
            <w:r>
              <w:rPr>
                <w:color w:val="000000"/>
                <w:sz w:val="22"/>
                <w:szCs w:val="22"/>
              </w:rPr>
              <w:t>last three years</w:t>
            </w:r>
            <w:r w:rsidRPr="005A497D">
              <w:rPr>
                <w:color w:val="000000"/>
                <w:sz w:val="22"/>
                <w:szCs w:val="22"/>
              </w:rPr>
              <w:t>.</w:t>
            </w:r>
          </w:p>
        </w:tc>
      </w:tr>
      <w:tr w:rsidR="001762EE" w:rsidRPr="005A497D" w14:paraId="43AA6B17" w14:textId="77777777" w:rsidTr="00360B29">
        <w:tc>
          <w:tcPr>
            <w:tcW w:w="3600" w:type="dxa"/>
            <w:tcBorders>
              <w:top w:val="single" w:sz="4" w:space="0" w:color="auto"/>
              <w:bottom w:val="single" w:sz="4" w:space="0" w:color="auto"/>
            </w:tcBorders>
          </w:tcPr>
          <w:p w14:paraId="29D6D184" w14:textId="23EA2986" w:rsidR="001762EE" w:rsidRPr="005A497D" w:rsidRDefault="001762EE" w:rsidP="00DA458A">
            <w:pPr>
              <w:pStyle w:val="Default"/>
              <w:rPr>
                <w:color w:val="auto"/>
                <w:sz w:val="22"/>
                <w:szCs w:val="22"/>
              </w:rPr>
            </w:pPr>
            <w:r>
              <w:rPr>
                <w:color w:val="auto"/>
                <w:sz w:val="22"/>
                <w:szCs w:val="22"/>
              </w:rPr>
              <w:t>2.2</w:t>
            </w:r>
            <w:r w:rsidRPr="005A497D">
              <w:rPr>
                <w:color w:val="auto"/>
                <w:sz w:val="22"/>
                <w:szCs w:val="22"/>
              </w:rPr>
              <w:t xml:space="preserve"> </w:t>
            </w:r>
            <w:r w:rsidRPr="005A497D">
              <w:rPr>
                <w:bCs/>
                <w:sz w:val="22"/>
                <w:szCs w:val="22"/>
              </w:rPr>
              <w:t>Ex</w:t>
            </w:r>
            <w:r>
              <w:rPr>
                <w:bCs/>
                <w:sz w:val="22"/>
                <w:szCs w:val="22"/>
              </w:rPr>
              <w:t>penditure composition outturn by economic type</w:t>
            </w:r>
          </w:p>
        </w:tc>
        <w:tc>
          <w:tcPr>
            <w:tcW w:w="1843" w:type="dxa"/>
            <w:tcBorders>
              <w:top w:val="single" w:sz="4" w:space="0" w:color="auto"/>
              <w:bottom w:val="single" w:sz="4" w:space="0" w:color="auto"/>
            </w:tcBorders>
          </w:tcPr>
          <w:p w14:paraId="313074DE" w14:textId="5062A7E4" w:rsidR="001762EE" w:rsidRPr="005A497D" w:rsidRDefault="001762EE" w:rsidP="00360B29">
            <w:pPr>
              <w:spacing w:before="40" w:after="40"/>
              <w:jc w:val="center"/>
            </w:pPr>
            <w:r>
              <w:rPr>
                <w:sz w:val="22"/>
                <w:szCs w:val="22"/>
              </w:rPr>
              <w:t>C</w:t>
            </w:r>
          </w:p>
        </w:tc>
        <w:tc>
          <w:tcPr>
            <w:tcW w:w="3913" w:type="dxa"/>
            <w:tcBorders>
              <w:top w:val="single" w:sz="4" w:space="0" w:color="auto"/>
              <w:bottom w:val="single" w:sz="4" w:space="0" w:color="auto"/>
            </w:tcBorders>
          </w:tcPr>
          <w:p w14:paraId="2B00402B" w14:textId="0E73B4D4" w:rsidR="001762EE" w:rsidRPr="005A497D" w:rsidRDefault="001762EE" w:rsidP="005F29E7">
            <w:pPr>
              <w:spacing w:before="40" w:after="40"/>
            </w:pPr>
            <w:r w:rsidRPr="005A497D">
              <w:rPr>
                <w:color w:val="000000"/>
                <w:sz w:val="22"/>
                <w:szCs w:val="22"/>
              </w:rPr>
              <w:t xml:space="preserve">The </w:t>
            </w:r>
            <w:r>
              <w:rPr>
                <w:color w:val="000000"/>
                <w:sz w:val="22"/>
                <w:szCs w:val="22"/>
              </w:rPr>
              <w:t xml:space="preserve">economic </w:t>
            </w:r>
            <w:r w:rsidRPr="005A497D">
              <w:rPr>
                <w:color w:val="000000"/>
                <w:sz w:val="22"/>
                <w:szCs w:val="22"/>
              </w:rPr>
              <w:t xml:space="preserve">composition variances (in absolute terms) were less than 15% in </w:t>
            </w:r>
            <w:r>
              <w:rPr>
                <w:color w:val="000000"/>
                <w:sz w:val="22"/>
                <w:szCs w:val="22"/>
              </w:rPr>
              <w:t xml:space="preserve">two of </w:t>
            </w:r>
            <w:r w:rsidRPr="005A497D">
              <w:rPr>
                <w:color w:val="000000"/>
                <w:sz w:val="22"/>
                <w:szCs w:val="22"/>
              </w:rPr>
              <w:t>the last three years.</w:t>
            </w:r>
          </w:p>
        </w:tc>
      </w:tr>
      <w:tr w:rsidR="001762EE" w:rsidRPr="005A497D" w14:paraId="07041481" w14:textId="77777777" w:rsidTr="00A737D2">
        <w:trPr>
          <w:trHeight w:val="1106"/>
        </w:trPr>
        <w:tc>
          <w:tcPr>
            <w:tcW w:w="3600" w:type="dxa"/>
            <w:tcBorders>
              <w:top w:val="single" w:sz="4" w:space="0" w:color="auto"/>
              <w:bottom w:val="double" w:sz="4" w:space="0" w:color="auto"/>
            </w:tcBorders>
          </w:tcPr>
          <w:p w14:paraId="7BDB3768" w14:textId="01514099" w:rsidR="001762EE" w:rsidRPr="005A497D" w:rsidRDefault="001762EE" w:rsidP="00DA458A">
            <w:pPr>
              <w:pStyle w:val="Default"/>
              <w:rPr>
                <w:color w:val="auto"/>
                <w:sz w:val="22"/>
                <w:szCs w:val="22"/>
              </w:rPr>
            </w:pPr>
            <w:r>
              <w:rPr>
                <w:color w:val="auto"/>
                <w:sz w:val="22"/>
                <w:szCs w:val="22"/>
              </w:rPr>
              <w:t>2.3</w:t>
            </w:r>
            <w:r w:rsidRPr="005A497D">
              <w:rPr>
                <w:color w:val="auto"/>
                <w:sz w:val="22"/>
                <w:szCs w:val="22"/>
              </w:rPr>
              <w:t xml:space="preserve"> </w:t>
            </w:r>
            <w:r>
              <w:rPr>
                <w:color w:val="auto"/>
                <w:sz w:val="22"/>
                <w:szCs w:val="22"/>
              </w:rPr>
              <w:t>Expenditure from contingency reserves</w:t>
            </w:r>
          </w:p>
        </w:tc>
        <w:tc>
          <w:tcPr>
            <w:tcW w:w="1843" w:type="dxa"/>
            <w:tcBorders>
              <w:top w:val="single" w:sz="4" w:space="0" w:color="auto"/>
              <w:bottom w:val="double" w:sz="4" w:space="0" w:color="auto"/>
            </w:tcBorders>
          </w:tcPr>
          <w:p w14:paraId="23E979C2" w14:textId="07ECDCA5" w:rsidR="001762EE" w:rsidRPr="005A497D" w:rsidRDefault="001762EE" w:rsidP="00360B29">
            <w:pPr>
              <w:spacing w:before="40" w:after="40"/>
              <w:jc w:val="center"/>
            </w:pPr>
            <w:r>
              <w:rPr>
                <w:sz w:val="22"/>
                <w:szCs w:val="22"/>
              </w:rPr>
              <w:t>A</w:t>
            </w:r>
          </w:p>
        </w:tc>
        <w:tc>
          <w:tcPr>
            <w:tcW w:w="3913" w:type="dxa"/>
            <w:tcBorders>
              <w:top w:val="single" w:sz="4" w:space="0" w:color="auto"/>
              <w:bottom w:val="double" w:sz="4" w:space="0" w:color="auto"/>
            </w:tcBorders>
          </w:tcPr>
          <w:p w14:paraId="4EF0CD62" w14:textId="20E37F50" w:rsidR="001762EE" w:rsidRPr="005A497D" w:rsidRDefault="001762EE" w:rsidP="00E95E4C">
            <w:pPr>
              <w:pStyle w:val="Default"/>
              <w:rPr>
                <w:sz w:val="22"/>
                <w:szCs w:val="22"/>
              </w:rPr>
            </w:pPr>
            <w:r w:rsidRPr="005A497D">
              <w:rPr>
                <w:sz w:val="22"/>
                <w:szCs w:val="22"/>
              </w:rPr>
              <w:t xml:space="preserve">The average of the actual expenditure charged to the contingency vote </w:t>
            </w:r>
            <w:r>
              <w:rPr>
                <w:sz w:val="22"/>
                <w:szCs w:val="22"/>
              </w:rPr>
              <w:t xml:space="preserve">in the last three years </w:t>
            </w:r>
            <w:r w:rsidRPr="005A497D">
              <w:rPr>
                <w:sz w:val="22"/>
                <w:szCs w:val="22"/>
              </w:rPr>
              <w:t xml:space="preserve">was </w:t>
            </w:r>
            <w:r>
              <w:rPr>
                <w:sz w:val="22"/>
                <w:szCs w:val="22"/>
              </w:rPr>
              <w:t>less than 3</w:t>
            </w:r>
            <w:r w:rsidRPr="005A497D">
              <w:rPr>
                <w:sz w:val="22"/>
                <w:szCs w:val="22"/>
              </w:rPr>
              <w:t>% of the original budget</w:t>
            </w:r>
            <w:r>
              <w:rPr>
                <w:sz w:val="22"/>
                <w:szCs w:val="22"/>
              </w:rPr>
              <w:t xml:space="preserve"> appropriation</w:t>
            </w:r>
            <w:r w:rsidRPr="005A497D">
              <w:rPr>
                <w:sz w:val="22"/>
                <w:szCs w:val="22"/>
              </w:rPr>
              <w:t>.</w:t>
            </w:r>
          </w:p>
        </w:tc>
      </w:tr>
    </w:tbl>
    <w:p w14:paraId="42933B8E" w14:textId="77777777" w:rsidR="001762EE" w:rsidRDefault="001762EE" w:rsidP="00360B29">
      <w:pPr>
        <w:pStyle w:val="NormalWeb"/>
        <w:autoSpaceDE w:val="0"/>
        <w:autoSpaceDN w:val="0"/>
        <w:adjustRightInd w:val="0"/>
        <w:spacing w:before="0" w:beforeAutospacing="0" w:after="0" w:afterAutospacing="0"/>
        <w:contextualSpacing/>
        <w:jc w:val="both"/>
        <w:rPr>
          <w:sz w:val="22"/>
          <w:szCs w:val="22"/>
        </w:rPr>
      </w:pPr>
    </w:p>
    <w:p w14:paraId="2104EEEB" w14:textId="2037EFCF" w:rsidR="001762EE" w:rsidRPr="00EE024A" w:rsidRDefault="001762EE" w:rsidP="008533C1">
      <w:pPr>
        <w:pStyle w:val="NormalWeb"/>
        <w:autoSpaceDE w:val="0"/>
        <w:autoSpaceDN w:val="0"/>
        <w:adjustRightInd w:val="0"/>
        <w:spacing w:before="0" w:beforeAutospacing="0" w:after="0" w:afterAutospacing="0"/>
        <w:contextualSpacing/>
        <w:jc w:val="both"/>
        <w:rPr>
          <w:b/>
          <w:bCs/>
          <w:i/>
        </w:rPr>
      </w:pPr>
      <w:r w:rsidRPr="00EE024A">
        <w:rPr>
          <w:b/>
          <w:i/>
        </w:rPr>
        <w:t xml:space="preserve">Dimension 2.1 </w:t>
      </w:r>
      <w:r w:rsidRPr="00EE024A">
        <w:rPr>
          <w:b/>
          <w:bCs/>
          <w:i/>
        </w:rPr>
        <w:t>Expenditure composition outturn by function</w:t>
      </w:r>
    </w:p>
    <w:p w14:paraId="3C7004C9" w14:textId="77777777" w:rsidR="001762EE" w:rsidRPr="005A497D" w:rsidRDefault="001762EE" w:rsidP="008533C1">
      <w:pPr>
        <w:pStyle w:val="NormalWeb"/>
        <w:autoSpaceDE w:val="0"/>
        <w:autoSpaceDN w:val="0"/>
        <w:adjustRightInd w:val="0"/>
        <w:spacing w:before="0" w:beforeAutospacing="0" w:after="0" w:afterAutospacing="0"/>
        <w:contextualSpacing/>
        <w:jc w:val="both"/>
        <w:rPr>
          <w:u w:val="single"/>
        </w:rPr>
      </w:pPr>
    </w:p>
    <w:p w14:paraId="3B56238A" w14:textId="490AD2D5" w:rsidR="001762EE" w:rsidRPr="008533C1"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rPr>
          <w:sz w:val="22"/>
          <w:szCs w:val="22"/>
        </w:rPr>
      </w:pPr>
      <w:r w:rsidRPr="005A497D">
        <w:t xml:space="preserve">This dimension measures the variance between </w:t>
      </w:r>
      <w:r>
        <w:t xml:space="preserve">the original, approved budget and end-of-year outturn in expenditure composition by program, administrative, or functional classification during the last three years. Contingency items and interest on debt is excluded. </w:t>
      </w:r>
      <w:r w:rsidRPr="005A497D">
        <w:t xml:space="preserve">It reflects the government’s ability to pursue its policy objectives as intended and stated in the budget. </w:t>
      </w:r>
      <w:r>
        <w:t>As per Table 3.2, t</w:t>
      </w:r>
      <w:r w:rsidRPr="005A497D">
        <w:t>he variance in expenditure composition exceeded 1</w:t>
      </w:r>
      <w:r>
        <w:t>5 percent</w:t>
      </w:r>
      <w:r w:rsidRPr="005A497D">
        <w:t xml:space="preserve"> in</w:t>
      </w:r>
      <w:r>
        <w:t xml:space="preserve"> 2013 and 2014</w:t>
      </w:r>
      <w:r w:rsidR="001805CA">
        <w:t>. T</w:t>
      </w:r>
      <w:r>
        <w:t xml:space="preserve">he score for Dimension 2.1 is </w:t>
      </w:r>
      <w:r w:rsidR="001805CA">
        <w:t xml:space="preserve">hence </w:t>
      </w:r>
      <w:r>
        <w:t>assessed at “D”.</w:t>
      </w:r>
      <w:r w:rsidR="00850A11">
        <w:t xml:space="preserve"> Detailed data tables are provided in Annex 4. </w:t>
      </w:r>
    </w:p>
    <w:p w14:paraId="729E36A7" w14:textId="77777777" w:rsidR="001762EE" w:rsidRPr="005A497D" w:rsidRDefault="001762EE" w:rsidP="00360B29">
      <w:pPr>
        <w:pStyle w:val="NormalWeb"/>
        <w:autoSpaceDE w:val="0"/>
        <w:autoSpaceDN w:val="0"/>
        <w:adjustRightInd w:val="0"/>
        <w:spacing w:before="0" w:beforeAutospacing="0" w:after="0" w:afterAutospacing="0"/>
        <w:contextualSpacing/>
        <w:jc w:val="both"/>
        <w:rPr>
          <w:sz w:val="22"/>
          <w:szCs w:val="22"/>
        </w:rPr>
      </w:pPr>
    </w:p>
    <w:p w14:paraId="25609440" w14:textId="2BC6F6E7" w:rsidR="001762EE" w:rsidRPr="005A497D" w:rsidRDefault="001762EE" w:rsidP="006576C5">
      <w:pPr>
        <w:pStyle w:val="PEFATable"/>
        <w:spacing w:after="40"/>
        <w:jc w:val="both"/>
        <w:rPr>
          <w:sz w:val="24"/>
          <w:szCs w:val="24"/>
        </w:rPr>
      </w:pPr>
      <w:bookmarkStart w:id="67" w:name="_Toc454889244"/>
      <w:r w:rsidRPr="005A497D">
        <w:rPr>
          <w:sz w:val="24"/>
          <w:szCs w:val="24"/>
        </w:rPr>
        <w:t>Table 3.2: Calculation of Variance</w:t>
      </w:r>
      <w:r w:rsidR="00FF6E99">
        <w:rPr>
          <w:sz w:val="24"/>
          <w:szCs w:val="24"/>
        </w:rPr>
        <w:t>s</w:t>
      </w:r>
      <w:r w:rsidRPr="005A497D">
        <w:rPr>
          <w:sz w:val="24"/>
          <w:szCs w:val="24"/>
        </w:rPr>
        <w:t xml:space="preserve"> by Administrative Unit</w:t>
      </w:r>
      <w:bookmarkEnd w:id="67"/>
    </w:p>
    <w:tbl>
      <w:tblPr>
        <w:tblStyle w:val="TableGrid"/>
        <w:tblW w:w="8985"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693"/>
        <w:gridCol w:w="1350"/>
        <w:gridCol w:w="1530"/>
        <w:gridCol w:w="2062"/>
        <w:gridCol w:w="1350"/>
      </w:tblGrid>
      <w:tr w:rsidR="0045553B" w:rsidRPr="005B78C8" w14:paraId="1CD4910F" w14:textId="77777777" w:rsidTr="0045553B">
        <w:trPr>
          <w:trHeight w:val="288"/>
          <w:tblHeader/>
          <w:jc w:val="center"/>
        </w:trPr>
        <w:tc>
          <w:tcPr>
            <w:tcW w:w="2693" w:type="dxa"/>
            <w:vMerge w:val="restart"/>
            <w:tcBorders>
              <w:top w:val="double" w:sz="4" w:space="0" w:color="auto"/>
            </w:tcBorders>
            <w:shd w:val="clear" w:color="auto" w:fill="D9D9D9" w:themeFill="background1" w:themeFillShade="D9"/>
            <w:vAlign w:val="center"/>
          </w:tcPr>
          <w:p w14:paraId="79DD29A5" w14:textId="4CCD3E70" w:rsidR="0045553B" w:rsidRPr="000D0E8D" w:rsidRDefault="00FF6E99" w:rsidP="0045553B">
            <w:pPr>
              <w:pStyle w:val="NormalWeb"/>
              <w:autoSpaceDE w:val="0"/>
              <w:autoSpaceDN w:val="0"/>
              <w:adjustRightInd w:val="0"/>
              <w:contextualSpacing/>
              <w:jc w:val="center"/>
              <w:rPr>
                <w:b/>
                <w:sz w:val="20"/>
                <w:szCs w:val="20"/>
              </w:rPr>
            </w:pPr>
            <w:r>
              <w:rPr>
                <w:b/>
                <w:sz w:val="22"/>
                <w:szCs w:val="20"/>
              </w:rPr>
              <w:t>Year</w:t>
            </w:r>
          </w:p>
        </w:tc>
        <w:tc>
          <w:tcPr>
            <w:tcW w:w="6292" w:type="dxa"/>
            <w:gridSpan w:val="4"/>
            <w:tcBorders>
              <w:top w:val="double" w:sz="4" w:space="0" w:color="auto"/>
            </w:tcBorders>
            <w:shd w:val="clear" w:color="auto" w:fill="D9D9D9" w:themeFill="background1" w:themeFillShade="D9"/>
            <w:vAlign w:val="center"/>
          </w:tcPr>
          <w:p w14:paraId="34939554" w14:textId="77777777" w:rsidR="0045553B" w:rsidRPr="008C7084" w:rsidRDefault="0045553B" w:rsidP="0045553B">
            <w:pPr>
              <w:pStyle w:val="NormalWeb"/>
              <w:autoSpaceDE w:val="0"/>
              <w:autoSpaceDN w:val="0"/>
              <w:adjustRightInd w:val="0"/>
              <w:ind w:left="-57" w:right="-57"/>
              <w:contextualSpacing/>
              <w:jc w:val="center"/>
              <w:rPr>
                <w:b/>
                <w:i/>
                <w:sz w:val="20"/>
                <w:szCs w:val="20"/>
              </w:rPr>
            </w:pPr>
            <w:r>
              <w:rPr>
                <w:b/>
                <w:i/>
                <w:sz w:val="20"/>
                <w:szCs w:val="20"/>
              </w:rPr>
              <w:t>(</w:t>
            </w:r>
            <w:r w:rsidRPr="008C7084">
              <w:rPr>
                <w:b/>
                <w:i/>
                <w:sz w:val="20"/>
                <w:szCs w:val="20"/>
              </w:rPr>
              <w:t>PhP billions</w:t>
            </w:r>
            <w:r>
              <w:rPr>
                <w:b/>
                <w:i/>
                <w:sz w:val="20"/>
                <w:szCs w:val="20"/>
              </w:rPr>
              <w:t>)</w:t>
            </w:r>
          </w:p>
        </w:tc>
      </w:tr>
      <w:tr w:rsidR="0045553B" w:rsidRPr="005B78C8" w14:paraId="4EA60976" w14:textId="77777777" w:rsidTr="0045553B">
        <w:trPr>
          <w:trHeight w:val="789"/>
          <w:tblHeader/>
          <w:jc w:val="center"/>
        </w:trPr>
        <w:tc>
          <w:tcPr>
            <w:tcW w:w="2693" w:type="dxa"/>
            <w:vMerge/>
            <w:shd w:val="clear" w:color="auto" w:fill="D9D9D9" w:themeFill="background1" w:themeFillShade="D9"/>
            <w:vAlign w:val="center"/>
          </w:tcPr>
          <w:p w14:paraId="21CDA240" w14:textId="77777777" w:rsidR="0045553B" w:rsidRPr="008C7084" w:rsidRDefault="0045553B" w:rsidP="0045553B">
            <w:pPr>
              <w:pStyle w:val="NormalWeb"/>
              <w:autoSpaceDE w:val="0"/>
              <w:autoSpaceDN w:val="0"/>
              <w:adjustRightInd w:val="0"/>
              <w:contextualSpacing/>
              <w:jc w:val="center"/>
              <w:rPr>
                <w:b/>
                <w:i/>
                <w:sz w:val="20"/>
                <w:szCs w:val="20"/>
              </w:rPr>
            </w:pPr>
          </w:p>
        </w:tc>
        <w:tc>
          <w:tcPr>
            <w:tcW w:w="1350" w:type="dxa"/>
            <w:tcBorders>
              <w:top w:val="double" w:sz="4" w:space="0" w:color="auto"/>
            </w:tcBorders>
            <w:shd w:val="clear" w:color="auto" w:fill="D9D9D9" w:themeFill="background1" w:themeFillShade="D9"/>
            <w:vAlign w:val="center"/>
          </w:tcPr>
          <w:p w14:paraId="68D634C2" w14:textId="77777777" w:rsidR="0045553B" w:rsidRPr="000D0E8D" w:rsidRDefault="0045553B" w:rsidP="0045553B">
            <w:pPr>
              <w:pStyle w:val="NormalWeb"/>
              <w:autoSpaceDE w:val="0"/>
              <w:autoSpaceDN w:val="0"/>
              <w:adjustRightInd w:val="0"/>
              <w:ind w:left="-57" w:right="-57"/>
              <w:contextualSpacing/>
              <w:jc w:val="center"/>
              <w:rPr>
                <w:sz w:val="20"/>
                <w:szCs w:val="20"/>
              </w:rPr>
            </w:pPr>
            <w:r w:rsidRPr="000D0E8D">
              <w:rPr>
                <w:b/>
                <w:sz w:val="20"/>
                <w:szCs w:val="20"/>
              </w:rPr>
              <w:t>Total budget appropriation</w:t>
            </w:r>
          </w:p>
        </w:tc>
        <w:tc>
          <w:tcPr>
            <w:tcW w:w="1530" w:type="dxa"/>
            <w:tcBorders>
              <w:top w:val="double" w:sz="4" w:space="0" w:color="auto"/>
            </w:tcBorders>
            <w:shd w:val="clear" w:color="auto" w:fill="D9D9D9" w:themeFill="background1" w:themeFillShade="D9"/>
            <w:vAlign w:val="center"/>
          </w:tcPr>
          <w:p w14:paraId="7CB2E990" w14:textId="77777777" w:rsidR="0045553B" w:rsidRPr="000D0E8D" w:rsidRDefault="0045553B" w:rsidP="0045553B">
            <w:pPr>
              <w:pStyle w:val="NormalWeb"/>
              <w:autoSpaceDE w:val="0"/>
              <w:autoSpaceDN w:val="0"/>
              <w:adjustRightInd w:val="0"/>
              <w:ind w:left="-57" w:right="-57"/>
              <w:contextualSpacing/>
              <w:jc w:val="center"/>
              <w:rPr>
                <w:sz w:val="20"/>
                <w:szCs w:val="20"/>
              </w:rPr>
            </w:pPr>
            <w:r w:rsidRPr="000D0E8D">
              <w:rPr>
                <w:b/>
                <w:sz w:val="20"/>
                <w:szCs w:val="20"/>
              </w:rPr>
              <w:t>Total obligations incurred</w:t>
            </w:r>
          </w:p>
        </w:tc>
        <w:tc>
          <w:tcPr>
            <w:tcW w:w="2062" w:type="dxa"/>
            <w:tcBorders>
              <w:top w:val="double" w:sz="4" w:space="0" w:color="auto"/>
            </w:tcBorders>
            <w:shd w:val="clear" w:color="auto" w:fill="D9D9D9" w:themeFill="background1" w:themeFillShade="D9"/>
            <w:vAlign w:val="center"/>
          </w:tcPr>
          <w:p w14:paraId="76B73983" w14:textId="1A6787D0" w:rsidR="0045553B" w:rsidRPr="000D0E8D" w:rsidRDefault="00FF6E99" w:rsidP="0045553B">
            <w:pPr>
              <w:pStyle w:val="NormalWeb"/>
              <w:autoSpaceDE w:val="0"/>
              <w:autoSpaceDN w:val="0"/>
              <w:adjustRightInd w:val="0"/>
              <w:ind w:left="-57" w:right="-57"/>
              <w:contextualSpacing/>
              <w:jc w:val="center"/>
              <w:rPr>
                <w:sz w:val="20"/>
                <w:szCs w:val="20"/>
              </w:rPr>
            </w:pPr>
            <w:r w:rsidRPr="000D0E8D">
              <w:rPr>
                <w:b/>
                <w:sz w:val="20"/>
                <w:szCs w:val="20"/>
              </w:rPr>
              <w:t>Absolute deviation</w:t>
            </w:r>
          </w:p>
        </w:tc>
        <w:tc>
          <w:tcPr>
            <w:tcW w:w="1350" w:type="dxa"/>
            <w:tcBorders>
              <w:top w:val="double" w:sz="4" w:space="0" w:color="auto"/>
            </w:tcBorders>
            <w:shd w:val="clear" w:color="auto" w:fill="D9D9D9" w:themeFill="background1" w:themeFillShade="D9"/>
            <w:vAlign w:val="center"/>
          </w:tcPr>
          <w:p w14:paraId="6E264EB3" w14:textId="15DFD4EC" w:rsidR="0045553B" w:rsidRPr="000D0E8D" w:rsidRDefault="00FF6E99" w:rsidP="0045553B">
            <w:pPr>
              <w:pStyle w:val="NormalWeb"/>
              <w:autoSpaceDE w:val="0"/>
              <w:autoSpaceDN w:val="0"/>
              <w:adjustRightInd w:val="0"/>
              <w:ind w:left="-57" w:right="-57"/>
              <w:contextualSpacing/>
              <w:jc w:val="center"/>
              <w:rPr>
                <w:b/>
                <w:sz w:val="20"/>
                <w:szCs w:val="20"/>
              </w:rPr>
            </w:pPr>
            <w:r w:rsidRPr="000D0E8D">
              <w:rPr>
                <w:b/>
                <w:sz w:val="20"/>
                <w:szCs w:val="20"/>
              </w:rPr>
              <w:t>Composition Variance</w:t>
            </w:r>
          </w:p>
        </w:tc>
      </w:tr>
      <w:tr w:rsidR="0045553B" w:rsidRPr="000D0E8D" w14:paraId="73A885AF" w14:textId="77777777" w:rsidTr="0045553B">
        <w:trPr>
          <w:jc w:val="center"/>
        </w:trPr>
        <w:tc>
          <w:tcPr>
            <w:tcW w:w="2693" w:type="dxa"/>
            <w:vAlign w:val="center"/>
          </w:tcPr>
          <w:p w14:paraId="40F88C35" w14:textId="4AACA831" w:rsidR="0045553B" w:rsidRPr="000D0E8D" w:rsidRDefault="00FF6E99" w:rsidP="000D0E8D">
            <w:pPr>
              <w:pStyle w:val="NormalWeb"/>
              <w:autoSpaceDE w:val="0"/>
              <w:autoSpaceDN w:val="0"/>
              <w:adjustRightInd w:val="0"/>
              <w:spacing w:before="0" w:beforeAutospacing="0" w:after="0" w:afterAutospacing="0"/>
              <w:contextualSpacing/>
              <w:jc w:val="center"/>
              <w:rPr>
                <w:sz w:val="20"/>
                <w:szCs w:val="20"/>
              </w:rPr>
            </w:pPr>
            <w:r w:rsidRPr="000D0E8D">
              <w:rPr>
                <w:sz w:val="20"/>
                <w:szCs w:val="20"/>
              </w:rPr>
              <w:t>2012</w:t>
            </w:r>
          </w:p>
        </w:tc>
        <w:tc>
          <w:tcPr>
            <w:tcW w:w="1350" w:type="dxa"/>
            <w:vAlign w:val="bottom"/>
          </w:tcPr>
          <w:p w14:paraId="1A27A3B9" w14:textId="419CF3A7" w:rsidR="0045553B" w:rsidRPr="000D0E8D" w:rsidRDefault="0045553B" w:rsidP="000D0E8D">
            <w:pPr>
              <w:pStyle w:val="NormalWeb"/>
              <w:autoSpaceDE w:val="0"/>
              <w:autoSpaceDN w:val="0"/>
              <w:adjustRightInd w:val="0"/>
              <w:spacing w:before="0" w:beforeAutospacing="0" w:after="0" w:afterAutospacing="0"/>
              <w:contextualSpacing/>
              <w:jc w:val="center"/>
              <w:rPr>
                <w:sz w:val="20"/>
                <w:szCs w:val="20"/>
              </w:rPr>
            </w:pPr>
            <w:r w:rsidRPr="000D0E8D">
              <w:rPr>
                <w:bCs/>
                <w:sz w:val="20"/>
                <w:szCs w:val="18"/>
              </w:rPr>
              <w:t>1,814.0</w:t>
            </w:r>
            <w:r w:rsidR="00D81D66" w:rsidRPr="000D0E8D">
              <w:rPr>
                <w:bCs/>
                <w:sz w:val="20"/>
                <w:szCs w:val="18"/>
              </w:rPr>
              <w:t>2</w:t>
            </w:r>
          </w:p>
        </w:tc>
        <w:tc>
          <w:tcPr>
            <w:tcW w:w="1530" w:type="dxa"/>
            <w:vAlign w:val="bottom"/>
          </w:tcPr>
          <w:p w14:paraId="7DC0BB35" w14:textId="57F64F96" w:rsidR="0045553B" w:rsidRPr="000D0E8D" w:rsidRDefault="0045553B" w:rsidP="000D0E8D">
            <w:pPr>
              <w:pStyle w:val="NormalWeb"/>
              <w:autoSpaceDE w:val="0"/>
              <w:autoSpaceDN w:val="0"/>
              <w:adjustRightInd w:val="0"/>
              <w:spacing w:before="0" w:beforeAutospacing="0" w:after="0" w:afterAutospacing="0"/>
              <w:contextualSpacing/>
              <w:jc w:val="center"/>
              <w:rPr>
                <w:sz w:val="20"/>
                <w:szCs w:val="20"/>
              </w:rPr>
            </w:pPr>
            <w:r w:rsidRPr="000D0E8D">
              <w:rPr>
                <w:bCs/>
                <w:sz w:val="20"/>
                <w:szCs w:val="18"/>
              </w:rPr>
              <w:t>1,483.0</w:t>
            </w:r>
            <w:r w:rsidR="00D81D66" w:rsidRPr="000D0E8D">
              <w:rPr>
                <w:bCs/>
                <w:sz w:val="20"/>
                <w:szCs w:val="18"/>
              </w:rPr>
              <w:t>3</w:t>
            </w:r>
          </w:p>
        </w:tc>
        <w:tc>
          <w:tcPr>
            <w:tcW w:w="2062" w:type="dxa"/>
            <w:vAlign w:val="bottom"/>
          </w:tcPr>
          <w:p w14:paraId="65DAD9A3" w14:textId="46285F61" w:rsidR="0045553B" w:rsidRPr="000D0E8D" w:rsidRDefault="00FF6E99" w:rsidP="000D0E8D">
            <w:pPr>
              <w:pStyle w:val="NormalWeb"/>
              <w:autoSpaceDE w:val="0"/>
              <w:autoSpaceDN w:val="0"/>
              <w:adjustRightInd w:val="0"/>
              <w:spacing w:before="0" w:beforeAutospacing="0" w:after="0" w:afterAutospacing="0"/>
              <w:contextualSpacing/>
              <w:jc w:val="center"/>
              <w:rPr>
                <w:sz w:val="20"/>
                <w:szCs w:val="20"/>
              </w:rPr>
            </w:pPr>
            <w:r w:rsidRPr="000D0E8D">
              <w:rPr>
                <w:bCs/>
                <w:sz w:val="20"/>
                <w:szCs w:val="20"/>
              </w:rPr>
              <w:t>184.22</w:t>
            </w:r>
          </w:p>
        </w:tc>
        <w:tc>
          <w:tcPr>
            <w:tcW w:w="1350" w:type="dxa"/>
            <w:vAlign w:val="bottom"/>
          </w:tcPr>
          <w:p w14:paraId="17DC25F2" w14:textId="4E849B8F" w:rsidR="0045553B" w:rsidRPr="000D0E8D" w:rsidRDefault="00FF6E99" w:rsidP="000D0E8D">
            <w:pPr>
              <w:pStyle w:val="NormalWeb"/>
              <w:autoSpaceDE w:val="0"/>
              <w:autoSpaceDN w:val="0"/>
              <w:adjustRightInd w:val="0"/>
              <w:spacing w:before="0" w:beforeAutospacing="0" w:after="0" w:afterAutospacing="0"/>
              <w:contextualSpacing/>
              <w:jc w:val="center"/>
              <w:rPr>
                <w:sz w:val="20"/>
                <w:szCs w:val="20"/>
              </w:rPr>
            </w:pPr>
            <w:r w:rsidRPr="000D0E8D">
              <w:rPr>
                <w:sz w:val="20"/>
                <w:szCs w:val="20"/>
              </w:rPr>
              <w:t>12.42%</w:t>
            </w:r>
          </w:p>
        </w:tc>
      </w:tr>
      <w:tr w:rsidR="0027169A" w:rsidRPr="000D0E8D" w14:paraId="0AEB6CAE" w14:textId="77777777" w:rsidTr="0045553B">
        <w:trPr>
          <w:jc w:val="center"/>
        </w:trPr>
        <w:tc>
          <w:tcPr>
            <w:tcW w:w="2693" w:type="dxa"/>
            <w:vAlign w:val="center"/>
          </w:tcPr>
          <w:p w14:paraId="61E9BED4" w14:textId="04B4F308" w:rsidR="0027169A" w:rsidRPr="00FF6E99" w:rsidRDefault="0027169A" w:rsidP="0027169A">
            <w:pPr>
              <w:pStyle w:val="NormalWeb"/>
              <w:autoSpaceDE w:val="0"/>
              <w:autoSpaceDN w:val="0"/>
              <w:adjustRightInd w:val="0"/>
              <w:spacing w:before="0" w:beforeAutospacing="0" w:after="0" w:afterAutospacing="0"/>
              <w:contextualSpacing/>
              <w:jc w:val="center"/>
              <w:rPr>
                <w:sz w:val="20"/>
                <w:szCs w:val="20"/>
              </w:rPr>
            </w:pPr>
            <w:r>
              <w:rPr>
                <w:sz w:val="20"/>
                <w:szCs w:val="20"/>
              </w:rPr>
              <w:t>2013</w:t>
            </w:r>
          </w:p>
        </w:tc>
        <w:tc>
          <w:tcPr>
            <w:tcW w:w="1350" w:type="dxa"/>
            <w:vAlign w:val="bottom"/>
          </w:tcPr>
          <w:p w14:paraId="5F4AAF0B" w14:textId="369BB330" w:rsidR="0027169A" w:rsidRPr="0027169A" w:rsidRDefault="0027169A" w:rsidP="0027169A">
            <w:pPr>
              <w:pStyle w:val="NormalWeb"/>
              <w:autoSpaceDE w:val="0"/>
              <w:autoSpaceDN w:val="0"/>
              <w:adjustRightInd w:val="0"/>
              <w:spacing w:before="0" w:beforeAutospacing="0" w:after="0" w:afterAutospacing="0"/>
              <w:contextualSpacing/>
              <w:jc w:val="center"/>
              <w:rPr>
                <w:bCs/>
                <w:sz w:val="20"/>
                <w:szCs w:val="20"/>
              </w:rPr>
            </w:pPr>
            <w:r w:rsidRPr="000D0E8D">
              <w:rPr>
                <w:bCs/>
                <w:sz w:val="20"/>
                <w:szCs w:val="20"/>
              </w:rPr>
              <w:t xml:space="preserve">2,021.36 </w:t>
            </w:r>
          </w:p>
        </w:tc>
        <w:tc>
          <w:tcPr>
            <w:tcW w:w="1530" w:type="dxa"/>
            <w:vAlign w:val="bottom"/>
          </w:tcPr>
          <w:p w14:paraId="4F2A25A4" w14:textId="07040B36" w:rsidR="0027169A" w:rsidRPr="0027169A" w:rsidRDefault="0027169A" w:rsidP="0027169A">
            <w:pPr>
              <w:pStyle w:val="NormalWeb"/>
              <w:autoSpaceDE w:val="0"/>
              <w:autoSpaceDN w:val="0"/>
              <w:adjustRightInd w:val="0"/>
              <w:spacing w:before="0" w:beforeAutospacing="0" w:after="0" w:afterAutospacing="0"/>
              <w:contextualSpacing/>
              <w:jc w:val="center"/>
              <w:rPr>
                <w:bCs/>
                <w:sz w:val="20"/>
                <w:szCs w:val="20"/>
              </w:rPr>
            </w:pPr>
            <w:r w:rsidRPr="000D0E8D">
              <w:rPr>
                <w:bCs/>
                <w:sz w:val="20"/>
                <w:szCs w:val="20"/>
              </w:rPr>
              <w:t xml:space="preserve">1,662.44 </w:t>
            </w:r>
          </w:p>
        </w:tc>
        <w:tc>
          <w:tcPr>
            <w:tcW w:w="2062" w:type="dxa"/>
            <w:vAlign w:val="bottom"/>
          </w:tcPr>
          <w:p w14:paraId="1EF2ECF5" w14:textId="668DAEA8" w:rsidR="0027169A" w:rsidRPr="0027169A" w:rsidRDefault="0027169A" w:rsidP="0027169A">
            <w:pPr>
              <w:pStyle w:val="NormalWeb"/>
              <w:autoSpaceDE w:val="0"/>
              <w:autoSpaceDN w:val="0"/>
              <w:adjustRightInd w:val="0"/>
              <w:spacing w:before="0" w:beforeAutospacing="0" w:after="0" w:afterAutospacing="0"/>
              <w:contextualSpacing/>
              <w:jc w:val="center"/>
              <w:rPr>
                <w:bCs/>
                <w:sz w:val="20"/>
                <w:szCs w:val="20"/>
              </w:rPr>
            </w:pPr>
            <w:r w:rsidRPr="000D0E8D">
              <w:rPr>
                <w:bCs/>
                <w:sz w:val="20"/>
                <w:szCs w:val="20"/>
              </w:rPr>
              <w:t>272.53</w:t>
            </w:r>
          </w:p>
        </w:tc>
        <w:tc>
          <w:tcPr>
            <w:tcW w:w="1350" w:type="dxa"/>
            <w:vAlign w:val="bottom"/>
          </w:tcPr>
          <w:p w14:paraId="68792774" w14:textId="211D13DC" w:rsidR="0027169A" w:rsidRPr="0027169A" w:rsidRDefault="0027169A" w:rsidP="0027169A">
            <w:pPr>
              <w:pStyle w:val="NormalWeb"/>
              <w:autoSpaceDE w:val="0"/>
              <w:autoSpaceDN w:val="0"/>
              <w:adjustRightInd w:val="0"/>
              <w:spacing w:before="0" w:beforeAutospacing="0" w:after="0" w:afterAutospacing="0"/>
              <w:contextualSpacing/>
              <w:jc w:val="center"/>
              <w:rPr>
                <w:sz w:val="20"/>
                <w:szCs w:val="20"/>
              </w:rPr>
            </w:pPr>
            <w:r w:rsidRPr="000D0E8D">
              <w:rPr>
                <w:sz w:val="20"/>
                <w:szCs w:val="20"/>
              </w:rPr>
              <w:t>16.39%</w:t>
            </w:r>
          </w:p>
        </w:tc>
      </w:tr>
      <w:tr w:rsidR="0027169A" w:rsidRPr="000D0E8D" w14:paraId="3381E088" w14:textId="77777777" w:rsidTr="0045553B">
        <w:trPr>
          <w:jc w:val="center"/>
        </w:trPr>
        <w:tc>
          <w:tcPr>
            <w:tcW w:w="2693" w:type="dxa"/>
            <w:vAlign w:val="center"/>
          </w:tcPr>
          <w:p w14:paraId="0F22D425" w14:textId="2CDC26A4" w:rsidR="0027169A" w:rsidRPr="00FF6E99" w:rsidRDefault="0027169A" w:rsidP="0027169A">
            <w:pPr>
              <w:pStyle w:val="NormalWeb"/>
              <w:autoSpaceDE w:val="0"/>
              <w:autoSpaceDN w:val="0"/>
              <w:adjustRightInd w:val="0"/>
              <w:spacing w:before="0" w:beforeAutospacing="0" w:after="0" w:afterAutospacing="0"/>
              <w:contextualSpacing/>
              <w:jc w:val="center"/>
              <w:rPr>
                <w:sz w:val="20"/>
                <w:szCs w:val="20"/>
              </w:rPr>
            </w:pPr>
            <w:r>
              <w:rPr>
                <w:sz w:val="20"/>
                <w:szCs w:val="20"/>
              </w:rPr>
              <w:t>2014</w:t>
            </w:r>
          </w:p>
        </w:tc>
        <w:tc>
          <w:tcPr>
            <w:tcW w:w="1350" w:type="dxa"/>
            <w:vAlign w:val="bottom"/>
          </w:tcPr>
          <w:p w14:paraId="46315773" w14:textId="0E3601F2" w:rsidR="0027169A" w:rsidRPr="0027169A" w:rsidRDefault="0027169A" w:rsidP="0027169A">
            <w:pPr>
              <w:pStyle w:val="NormalWeb"/>
              <w:autoSpaceDE w:val="0"/>
              <w:autoSpaceDN w:val="0"/>
              <w:adjustRightInd w:val="0"/>
              <w:spacing w:before="0" w:beforeAutospacing="0" w:after="0" w:afterAutospacing="0"/>
              <w:contextualSpacing/>
              <w:jc w:val="center"/>
              <w:rPr>
                <w:bCs/>
                <w:sz w:val="20"/>
                <w:szCs w:val="20"/>
              </w:rPr>
            </w:pPr>
            <w:r w:rsidRPr="000D0E8D">
              <w:rPr>
                <w:sz w:val="20"/>
                <w:szCs w:val="20"/>
              </w:rPr>
              <w:t xml:space="preserve">2,233.59 </w:t>
            </w:r>
          </w:p>
        </w:tc>
        <w:tc>
          <w:tcPr>
            <w:tcW w:w="1530" w:type="dxa"/>
            <w:vAlign w:val="bottom"/>
          </w:tcPr>
          <w:p w14:paraId="6DF49F9B" w14:textId="412EBF74" w:rsidR="0027169A" w:rsidRPr="0027169A" w:rsidRDefault="0027169A" w:rsidP="0027169A">
            <w:pPr>
              <w:pStyle w:val="NormalWeb"/>
              <w:autoSpaceDE w:val="0"/>
              <w:autoSpaceDN w:val="0"/>
              <w:adjustRightInd w:val="0"/>
              <w:spacing w:before="0" w:beforeAutospacing="0" w:after="0" w:afterAutospacing="0"/>
              <w:contextualSpacing/>
              <w:jc w:val="center"/>
              <w:rPr>
                <w:bCs/>
                <w:sz w:val="20"/>
                <w:szCs w:val="20"/>
              </w:rPr>
            </w:pPr>
            <w:r w:rsidRPr="000D0E8D">
              <w:rPr>
                <w:sz w:val="20"/>
                <w:szCs w:val="20"/>
              </w:rPr>
              <w:t xml:space="preserve">1,644.30 </w:t>
            </w:r>
          </w:p>
        </w:tc>
        <w:tc>
          <w:tcPr>
            <w:tcW w:w="2062" w:type="dxa"/>
            <w:vAlign w:val="bottom"/>
          </w:tcPr>
          <w:p w14:paraId="5C9BEC6D" w14:textId="7F11D6E2" w:rsidR="0027169A" w:rsidRPr="0027169A" w:rsidRDefault="0027169A" w:rsidP="0027169A">
            <w:pPr>
              <w:pStyle w:val="NormalWeb"/>
              <w:autoSpaceDE w:val="0"/>
              <w:autoSpaceDN w:val="0"/>
              <w:adjustRightInd w:val="0"/>
              <w:spacing w:before="0" w:beforeAutospacing="0" w:after="0" w:afterAutospacing="0"/>
              <w:contextualSpacing/>
              <w:jc w:val="center"/>
              <w:rPr>
                <w:bCs/>
                <w:sz w:val="20"/>
                <w:szCs w:val="20"/>
              </w:rPr>
            </w:pPr>
            <w:r w:rsidRPr="000D0E8D">
              <w:rPr>
                <w:sz w:val="20"/>
                <w:szCs w:val="20"/>
              </w:rPr>
              <w:t>359.01</w:t>
            </w:r>
          </w:p>
        </w:tc>
        <w:tc>
          <w:tcPr>
            <w:tcW w:w="1350" w:type="dxa"/>
            <w:vAlign w:val="bottom"/>
          </w:tcPr>
          <w:p w14:paraId="64C9F9D2" w14:textId="39D2873E" w:rsidR="0027169A" w:rsidRPr="0027169A" w:rsidRDefault="0027169A" w:rsidP="0027169A">
            <w:pPr>
              <w:pStyle w:val="NormalWeb"/>
              <w:autoSpaceDE w:val="0"/>
              <w:autoSpaceDN w:val="0"/>
              <w:adjustRightInd w:val="0"/>
              <w:spacing w:before="0" w:beforeAutospacing="0" w:after="0" w:afterAutospacing="0"/>
              <w:contextualSpacing/>
              <w:jc w:val="center"/>
              <w:rPr>
                <w:sz w:val="20"/>
                <w:szCs w:val="20"/>
              </w:rPr>
            </w:pPr>
            <w:r w:rsidRPr="000D0E8D">
              <w:rPr>
                <w:sz w:val="20"/>
                <w:szCs w:val="20"/>
              </w:rPr>
              <w:t>21.83%</w:t>
            </w:r>
          </w:p>
        </w:tc>
      </w:tr>
    </w:tbl>
    <w:p w14:paraId="513471E4" w14:textId="2EEA4FB9" w:rsidR="001762EE" w:rsidRPr="005A497D" w:rsidRDefault="001762EE" w:rsidP="00402C09">
      <w:pPr>
        <w:spacing w:before="40"/>
        <w:ind w:left="180"/>
        <w:jc w:val="both"/>
        <w:rPr>
          <w:sz w:val="18"/>
          <w:szCs w:val="18"/>
          <w:u w:val="single"/>
        </w:rPr>
      </w:pPr>
      <w:r w:rsidRPr="0043657F">
        <w:rPr>
          <w:i/>
          <w:sz w:val="18"/>
          <w:szCs w:val="18"/>
        </w:rPr>
        <w:t>Note:</w:t>
      </w:r>
      <w:r w:rsidRPr="005A497D">
        <w:rPr>
          <w:sz w:val="18"/>
          <w:szCs w:val="18"/>
        </w:rPr>
        <w:t xml:space="preserve"> Adjusted </w:t>
      </w:r>
      <w:r>
        <w:rPr>
          <w:sz w:val="18"/>
          <w:szCs w:val="18"/>
        </w:rPr>
        <w:t>b</w:t>
      </w:r>
      <w:r w:rsidRPr="005A497D">
        <w:rPr>
          <w:sz w:val="18"/>
          <w:szCs w:val="18"/>
        </w:rPr>
        <w:t xml:space="preserve">udget = Budget </w:t>
      </w:r>
      <w:r>
        <w:rPr>
          <w:sz w:val="18"/>
          <w:szCs w:val="18"/>
        </w:rPr>
        <w:t>a</w:t>
      </w:r>
      <w:r w:rsidRPr="005A497D">
        <w:rPr>
          <w:sz w:val="18"/>
          <w:szCs w:val="18"/>
        </w:rPr>
        <w:t xml:space="preserve">llotment x Total </w:t>
      </w:r>
      <w:r>
        <w:rPr>
          <w:sz w:val="18"/>
          <w:szCs w:val="18"/>
        </w:rPr>
        <w:t>o</w:t>
      </w:r>
      <w:r w:rsidRPr="005A497D">
        <w:rPr>
          <w:sz w:val="18"/>
          <w:szCs w:val="18"/>
        </w:rPr>
        <w:t>bligation</w:t>
      </w:r>
      <w:r>
        <w:rPr>
          <w:sz w:val="18"/>
          <w:szCs w:val="18"/>
        </w:rPr>
        <w:t xml:space="preserve"> </w:t>
      </w:r>
      <w:r w:rsidRPr="005A497D">
        <w:rPr>
          <w:sz w:val="18"/>
          <w:szCs w:val="18"/>
        </w:rPr>
        <w:t xml:space="preserve">/ Total </w:t>
      </w:r>
      <w:r>
        <w:rPr>
          <w:sz w:val="18"/>
          <w:szCs w:val="18"/>
        </w:rPr>
        <w:t>b</w:t>
      </w:r>
      <w:r w:rsidRPr="005A497D">
        <w:rPr>
          <w:sz w:val="18"/>
          <w:szCs w:val="18"/>
        </w:rPr>
        <w:t xml:space="preserve">udget. Absolute </w:t>
      </w:r>
      <w:r>
        <w:rPr>
          <w:sz w:val="18"/>
          <w:szCs w:val="18"/>
        </w:rPr>
        <w:t>d</w:t>
      </w:r>
      <w:r w:rsidRPr="005A497D">
        <w:rPr>
          <w:sz w:val="18"/>
          <w:szCs w:val="18"/>
        </w:rPr>
        <w:t xml:space="preserve">eviation = Total </w:t>
      </w:r>
      <w:r>
        <w:rPr>
          <w:sz w:val="18"/>
          <w:szCs w:val="18"/>
        </w:rPr>
        <w:t>o</w:t>
      </w:r>
      <w:r w:rsidRPr="005A497D">
        <w:rPr>
          <w:sz w:val="18"/>
          <w:szCs w:val="18"/>
        </w:rPr>
        <w:t xml:space="preserve">bligation – Adjusted </w:t>
      </w:r>
      <w:r>
        <w:rPr>
          <w:sz w:val="18"/>
          <w:szCs w:val="18"/>
        </w:rPr>
        <w:t>b</w:t>
      </w:r>
      <w:r w:rsidRPr="005A497D">
        <w:rPr>
          <w:sz w:val="18"/>
          <w:szCs w:val="18"/>
        </w:rPr>
        <w:t xml:space="preserve">udget. Composition </w:t>
      </w:r>
      <w:r>
        <w:rPr>
          <w:sz w:val="18"/>
          <w:szCs w:val="18"/>
        </w:rPr>
        <w:t>v</w:t>
      </w:r>
      <w:r w:rsidRPr="005A497D">
        <w:rPr>
          <w:sz w:val="18"/>
          <w:szCs w:val="18"/>
        </w:rPr>
        <w:t xml:space="preserve">ariance = Total </w:t>
      </w:r>
      <w:r>
        <w:rPr>
          <w:sz w:val="18"/>
          <w:szCs w:val="18"/>
        </w:rPr>
        <w:t>a</w:t>
      </w:r>
      <w:r w:rsidRPr="005A497D">
        <w:rPr>
          <w:sz w:val="18"/>
          <w:szCs w:val="18"/>
        </w:rPr>
        <w:t xml:space="preserve">bsolute </w:t>
      </w:r>
      <w:r>
        <w:rPr>
          <w:sz w:val="18"/>
          <w:szCs w:val="18"/>
        </w:rPr>
        <w:t>d</w:t>
      </w:r>
      <w:r w:rsidRPr="005A497D">
        <w:rPr>
          <w:sz w:val="18"/>
          <w:szCs w:val="18"/>
        </w:rPr>
        <w:t>eviation</w:t>
      </w:r>
      <w:r>
        <w:rPr>
          <w:sz w:val="18"/>
          <w:szCs w:val="18"/>
        </w:rPr>
        <w:t xml:space="preserve"> </w:t>
      </w:r>
      <w:r w:rsidRPr="005A497D">
        <w:rPr>
          <w:sz w:val="18"/>
          <w:szCs w:val="18"/>
        </w:rPr>
        <w:t>/</w:t>
      </w:r>
      <w:r>
        <w:rPr>
          <w:sz w:val="18"/>
          <w:szCs w:val="18"/>
        </w:rPr>
        <w:t xml:space="preserve"> </w:t>
      </w:r>
      <w:r w:rsidRPr="005A497D">
        <w:rPr>
          <w:sz w:val="18"/>
          <w:szCs w:val="18"/>
        </w:rPr>
        <w:t xml:space="preserve">Total </w:t>
      </w:r>
      <w:r>
        <w:rPr>
          <w:sz w:val="18"/>
          <w:szCs w:val="18"/>
        </w:rPr>
        <w:t>a</w:t>
      </w:r>
      <w:r w:rsidRPr="005A497D">
        <w:rPr>
          <w:sz w:val="18"/>
          <w:szCs w:val="18"/>
        </w:rPr>
        <w:t xml:space="preserve">djusted </w:t>
      </w:r>
      <w:r>
        <w:rPr>
          <w:sz w:val="18"/>
          <w:szCs w:val="18"/>
        </w:rPr>
        <w:t>b</w:t>
      </w:r>
      <w:r w:rsidRPr="005A497D">
        <w:rPr>
          <w:sz w:val="18"/>
          <w:szCs w:val="18"/>
        </w:rPr>
        <w:t>udget.</w:t>
      </w:r>
    </w:p>
    <w:p w14:paraId="64021FFA" w14:textId="62F6DF6F" w:rsidR="001762EE" w:rsidRPr="005A497D" w:rsidRDefault="001762EE" w:rsidP="00402C09">
      <w:pPr>
        <w:spacing w:before="40"/>
        <w:ind w:left="180"/>
        <w:jc w:val="both"/>
        <w:rPr>
          <w:sz w:val="18"/>
          <w:szCs w:val="18"/>
        </w:rPr>
      </w:pPr>
      <w:r w:rsidRPr="0043657F">
        <w:rPr>
          <w:i/>
          <w:sz w:val="18"/>
          <w:szCs w:val="18"/>
        </w:rPr>
        <w:t>Source</w:t>
      </w:r>
      <w:r w:rsidRPr="005A497D">
        <w:rPr>
          <w:sz w:val="18"/>
          <w:szCs w:val="18"/>
        </w:rPr>
        <w:t xml:space="preserve">: </w:t>
      </w:r>
      <w:r>
        <w:rPr>
          <w:sz w:val="18"/>
          <w:szCs w:val="18"/>
        </w:rPr>
        <w:t>CoA</w:t>
      </w:r>
      <w:r w:rsidRPr="005A497D">
        <w:rPr>
          <w:sz w:val="18"/>
          <w:szCs w:val="18"/>
        </w:rPr>
        <w:t xml:space="preserve"> Annual </w:t>
      </w:r>
      <w:r>
        <w:rPr>
          <w:sz w:val="18"/>
          <w:szCs w:val="18"/>
        </w:rPr>
        <w:t xml:space="preserve">Financial </w:t>
      </w:r>
      <w:r w:rsidRPr="005A497D">
        <w:rPr>
          <w:sz w:val="18"/>
          <w:szCs w:val="18"/>
        </w:rPr>
        <w:t>Report.</w:t>
      </w:r>
    </w:p>
    <w:p w14:paraId="4091A618" w14:textId="77777777" w:rsidR="001762EE" w:rsidRPr="005A497D" w:rsidRDefault="001762EE" w:rsidP="00360B29">
      <w:pPr>
        <w:pStyle w:val="NormalWeb"/>
        <w:autoSpaceDE w:val="0"/>
        <w:autoSpaceDN w:val="0"/>
        <w:adjustRightInd w:val="0"/>
        <w:spacing w:before="0" w:beforeAutospacing="0" w:after="0" w:afterAutospacing="0"/>
        <w:contextualSpacing/>
        <w:jc w:val="both"/>
        <w:rPr>
          <w:sz w:val="22"/>
          <w:szCs w:val="22"/>
        </w:rPr>
      </w:pPr>
    </w:p>
    <w:p w14:paraId="4ED0479F" w14:textId="0B3BCD1B" w:rsidR="001762EE" w:rsidRPr="005A497D" w:rsidRDefault="001762EE" w:rsidP="006576C5">
      <w:pPr>
        <w:pStyle w:val="PEFATable"/>
        <w:spacing w:after="40"/>
        <w:jc w:val="both"/>
        <w:rPr>
          <w:sz w:val="24"/>
          <w:szCs w:val="24"/>
        </w:rPr>
      </w:pPr>
    </w:p>
    <w:p w14:paraId="5504F4CF" w14:textId="5E141BD0" w:rsidR="001762EE" w:rsidRPr="0043657F" w:rsidRDefault="001762EE" w:rsidP="00360B29">
      <w:pPr>
        <w:pStyle w:val="Default"/>
        <w:jc w:val="both"/>
        <w:rPr>
          <w:b/>
          <w:bCs/>
          <w:i/>
        </w:rPr>
      </w:pPr>
      <w:r w:rsidRPr="0043657F">
        <w:rPr>
          <w:b/>
          <w:i/>
        </w:rPr>
        <w:t>Dimension 2.2</w:t>
      </w:r>
      <w:r w:rsidRPr="0043657F">
        <w:rPr>
          <w:b/>
          <w:i/>
          <w:color w:val="auto"/>
        </w:rPr>
        <w:t xml:space="preserve"> </w:t>
      </w:r>
      <w:r w:rsidRPr="0043657F">
        <w:rPr>
          <w:b/>
          <w:bCs/>
          <w:i/>
        </w:rPr>
        <w:t>Expenditure composition outturn by economic type</w:t>
      </w:r>
    </w:p>
    <w:p w14:paraId="5881EB2A" w14:textId="77777777" w:rsidR="001762EE" w:rsidRPr="005A497D" w:rsidRDefault="001762EE" w:rsidP="00360B29">
      <w:pPr>
        <w:pStyle w:val="Default"/>
        <w:jc w:val="both"/>
        <w:rPr>
          <w:bCs/>
          <w:u w:val="single"/>
        </w:rPr>
      </w:pPr>
    </w:p>
    <w:p w14:paraId="3A308822" w14:textId="741E902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This indicator measures the </w:t>
      </w:r>
      <w:r>
        <w:t xml:space="preserve">difference between the original, approved budget and end-of-year outturn in expenditure composition by economic classification during the last three years, including interest on debt but excluding contingency items. </w:t>
      </w:r>
      <w:r w:rsidRPr="005A497D">
        <w:t>The composition of the budget by economic classification is important for showing the balance between different categories of inputs.</w:t>
      </w:r>
    </w:p>
    <w:p w14:paraId="72E35F82" w14:textId="77777777" w:rsidR="001762EE" w:rsidRPr="005A497D" w:rsidRDefault="001762EE" w:rsidP="00B827A6">
      <w:pPr>
        <w:pStyle w:val="Default"/>
        <w:jc w:val="both"/>
        <w:rPr>
          <w:color w:val="auto"/>
          <w:u w:val="single"/>
        </w:rPr>
      </w:pPr>
    </w:p>
    <w:p w14:paraId="226D0DDE" w14:textId="724B92CE" w:rsidR="001762EE" w:rsidRPr="005A497D" w:rsidRDefault="001762EE" w:rsidP="002425DA">
      <w:pPr>
        <w:pStyle w:val="NormalWeb"/>
        <w:numPr>
          <w:ilvl w:val="0"/>
          <w:numId w:val="6"/>
        </w:numPr>
        <w:autoSpaceDE w:val="0"/>
        <w:autoSpaceDN w:val="0"/>
        <w:adjustRightInd w:val="0"/>
        <w:spacing w:before="0" w:beforeAutospacing="0" w:after="0" w:afterAutospacing="0"/>
        <w:ind w:left="0" w:firstLine="0"/>
        <w:contextualSpacing/>
        <w:jc w:val="both"/>
      </w:pPr>
      <w:r w:rsidRPr="005A497D">
        <w:t>The computation is based on the total aggregate a</w:t>
      </w:r>
      <w:r>
        <w:t>ppropriation</w:t>
      </w:r>
      <w:r w:rsidRPr="005A497D">
        <w:t xml:space="preserve"> </w:t>
      </w:r>
      <w:r>
        <w:t xml:space="preserve">by allotment </w:t>
      </w:r>
      <w:r w:rsidRPr="005A497D">
        <w:t xml:space="preserve">class to departments and agencies. The allotment classifications are </w:t>
      </w:r>
      <w:r>
        <w:t>m</w:t>
      </w:r>
      <w:r w:rsidRPr="005A497D">
        <w:t xml:space="preserve">aintenance and </w:t>
      </w:r>
      <w:r>
        <w:t>o</w:t>
      </w:r>
      <w:r w:rsidRPr="005A497D">
        <w:t xml:space="preserve">ther </w:t>
      </w:r>
      <w:r>
        <w:t>o</w:t>
      </w:r>
      <w:r w:rsidRPr="005A497D">
        <w:t xml:space="preserve">perating </w:t>
      </w:r>
      <w:r>
        <w:t>e</w:t>
      </w:r>
      <w:r w:rsidRPr="005A497D">
        <w:t xml:space="preserve">xpenses, </w:t>
      </w:r>
      <w:r>
        <w:t>c</w:t>
      </w:r>
      <w:r w:rsidRPr="005A497D">
        <w:t xml:space="preserve">apital </w:t>
      </w:r>
      <w:r>
        <w:t>outlays</w:t>
      </w:r>
      <w:r w:rsidRPr="005A497D">
        <w:t xml:space="preserve">, </w:t>
      </w:r>
      <w:r w:rsidR="009D0CBA">
        <w:t>personnel</w:t>
      </w:r>
      <w:r w:rsidRPr="005A497D">
        <w:t xml:space="preserve"> </w:t>
      </w:r>
      <w:r>
        <w:t>services,</w:t>
      </w:r>
      <w:r w:rsidRPr="005A497D">
        <w:t xml:space="preserve"> and </w:t>
      </w:r>
      <w:r>
        <w:t>f</w:t>
      </w:r>
      <w:r w:rsidRPr="005A497D">
        <w:t xml:space="preserve">inancial </w:t>
      </w:r>
      <w:r>
        <w:t>e</w:t>
      </w:r>
      <w:r w:rsidRPr="005A497D">
        <w:t xml:space="preserve">xpenses. The results are shown in the </w:t>
      </w:r>
      <w:r>
        <w:t>Table 3.</w:t>
      </w:r>
      <w:r w:rsidR="00E21511">
        <w:t>3 with detailed data tables provided in Annex 4</w:t>
      </w:r>
      <w:r w:rsidRPr="005A497D">
        <w:rPr>
          <w:color w:val="000000"/>
        </w:rPr>
        <w:t>.</w:t>
      </w:r>
      <w:r>
        <w:rPr>
          <w:color w:val="000000"/>
        </w:rPr>
        <w:t xml:space="preserve"> </w:t>
      </w:r>
      <w:r>
        <w:t xml:space="preserve">The variance is within 15 percent in 2012 and 2013. The </w:t>
      </w:r>
      <w:r w:rsidRPr="005A497D">
        <w:t>score</w:t>
      </w:r>
      <w:r>
        <w:t xml:space="preserve"> for Dimension 2.2</w:t>
      </w:r>
      <w:r w:rsidRPr="005A497D">
        <w:t xml:space="preserve"> is assessed as “</w:t>
      </w:r>
      <w:r>
        <w:t>C</w:t>
      </w:r>
      <w:r w:rsidRPr="005A497D">
        <w:t>”</w:t>
      </w:r>
      <w:r w:rsidRPr="005A497D">
        <w:rPr>
          <w:color w:val="000000"/>
        </w:rPr>
        <w:t>.</w:t>
      </w:r>
    </w:p>
    <w:p w14:paraId="76AA0DC1" w14:textId="77777777" w:rsidR="0015142A" w:rsidRPr="005A497D" w:rsidRDefault="0015142A" w:rsidP="0043657F">
      <w:pPr>
        <w:pStyle w:val="NormalWeb"/>
        <w:autoSpaceDE w:val="0"/>
        <w:autoSpaceDN w:val="0"/>
        <w:adjustRightInd w:val="0"/>
        <w:spacing w:before="0" w:beforeAutospacing="0" w:after="0" w:afterAutospacing="0"/>
        <w:contextualSpacing/>
        <w:jc w:val="both"/>
      </w:pPr>
    </w:p>
    <w:p w14:paraId="3FA464D3" w14:textId="71802A3D" w:rsidR="001762EE" w:rsidRPr="005A497D" w:rsidRDefault="001762EE" w:rsidP="006576C5">
      <w:pPr>
        <w:pStyle w:val="PEFATable"/>
        <w:spacing w:after="40"/>
        <w:jc w:val="both"/>
        <w:rPr>
          <w:sz w:val="24"/>
          <w:szCs w:val="24"/>
        </w:rPr>
      </w:pPr>
      <w:bookmarkStart w:id="68" w:name="_Toc454889245"/>
      <w:r w:rsidRPr="005A497D">
        <w:rPr>
          <w:sz w:val="24"/>
          <w:szCs w:val="24"/>
        </w:rPr>
        <w:t>Table 3.</w:t>
      </w:r>
      <w:r w:rsidR="00850A11">
        <w:rPr>
          <w:sz w:val="24"/>
          <w:szCs w:val="24"/>
        </w:rPr>
        <w:t>3</w:t>
      </w:r>
      <w:r w:rsidRPr="005A497D">
        <w:rPr>
          <w:sz w:val="24"/>
          <w:szCs w:val="24"/>
        </w:rPr>
        <w:t>: Calculation of Variance by Economic Classification</w:t>
      </w:r>
      <w:bookmarkEnd w:id="68"/>
    </w:p>
    <w:tbl>
      <w:tblPr>
        <w:tblStyle w:val="TableGrid"/>
        <w:tblW w:w="0" w:type="auto"/>
        <w:jc w:val="center"/>
        <w:tblLook w:val="04A0" w:firstRow="1" w:lastRow="0" w:firstColumn="1" w:lastColumn="0" w:noHBand="0" w:noVBand="1"/>
      </w:tblPr>
      <w:tblGrid>
        <w:gridCol w:w="3123"/>
        <w:gridCol w:w="1971"/>
        <w:gridCol w:w="1427"/>
        <w:gridCol w:w="1402"/>
        <w:gridCol w:w="1407"/>
      </w:tblGrid>
      <w:tr w:rsidR="0045553B" w:rsidRPr="005A497D" w14:paraId="11EDADA3" w14:textId="77777777" w:rsidTr="0045553B">
        <w:trPr>
          <w:trHeight w:val="288"/>
          <w:tblHeader/>
          <w:jc w:val="center"/>
        </w:trPr>
        <w:tc>
          <w:tcPr>
            <w:tcW w:w="3123" w:type="dxa"/>
            <w:vMerge w:val="restart"/>
            <w:tcBorders>
              <w:top w:val="double" w:sz="4" w:space="0" w:color="auto"/>
              <w:left w:val="double" w:sz="4" w:space="0" w:color="auto"/>
            </w:tcBorders>
            <w:shd w:val="clear" w:color="auto" w:fill="D9D9D9" w:themeFill="background1" w:themeFillShade="D9"/>
            <w:vAlign w:val="center"/>
          </w:tcPr>
          <w:p w14:paraId="038008DF" w14:textId="05B5F99E" w:rsidR="0045553B" w:rsidRPr="000D0E8D" w:rsidRDefault="00E21511" w:rsidP="0045553B">
            <w:pPr>
              <w:pStyle w:val="NormalWeb"/>
              <w:autoSpaceDE w:val="0"/>
              <w:autoSpaceDN w:val="0"/>
              <w:adjustRightInd w:val="0"/>
              <w:contextualSpacing/>
              <w:jc w:val="center"/>
              <w:rPr>
                <w:b/>
                <w:sz w:val="20"/>
                <w:szCs w:val="20"/>
              </w:rPr>
            </w:pPr>
            <w:r w:rsidRPr="000D0E8D">
              <w:rPr>
                <w:b/>
                <w:sz w:val="22"/>
                <w:szCs w:val="20"/>
              </w:rPr>
              <w:t>Year</w:t>
            </w:r>
          </w:p>
        </w:tc>
        <w:tc>
          <w:tcPr>
            <w:tcW w:w="6207" w:type="dxa"/>
            <w:gridSpan w:val="4"/>
            <w:tcBorders>
              <w:top w:val="double" w:sz="4" w:space="0" w:color="auto"/>
              <w:right w:val="double" w:sz="4" w:space="0" w:color="auto"/>
            </w:tcBorders>
            <w:shd w:val="clear" w:color="auto" w:fill="D9D9D9" w:themeFill="background1" w:themeFillShade="D9"/>
            <w:vAlign w:val="center"/>
          </w:tcPr>
          <w:p w14:paraId="61E10E47" w14:textId="77777777" w:rsidR="0045553B" w:rsidRPr="005A497D" w:rsidRDefault="0045553B" w:rsidP="0045553B">
            <w:pPr>
              <w:pStyle w:val="NormalWeb"/>
              <w:autoSpaceDE w:val="0"/>
              <w:autoSpaceDN w:val="0"/>
              <w:adjustRightInd w:val="0"/>
              <w:ind w:left="-57" w:right="-57"/>
              <w:contextualSpacing/>
              <w:jc w:val="center"/>
              <w:rPr>
                <w:sz w:val="22"/>
                <w:szCs w:val="22"/>
              </w:rPr>
            </w:pPr>
            <w:r>
              <w:rPr>
                <w:b/>
                <w:i/>
                <w:sz w:val="20"/>
                <w:szCs w:val="20"/>
              </w:rPr>
              <w:t>(</w:t>
            </w:r>
            <w:r w:rsidRPr="002425DA">
              <w:rPr>
                <w:b/>
                <w:i/>
                <w:sz w:val="20"/>
                <w:szCs w:val="20"/>
              </w:rPr>
              <w:t>PhP billions</w:t>
            </w:r>
            <w:r>
              <w:rPr>
                <w:b/>
                <w:i/>
                <w:sz w:val="20"/>
                <w:szCs w:val="20"/>
              </w:rPr>
              <w:t>)</w:t>
            </w:r>
          </w:p>
        </w:tc>
      </w:tr>
      <w:tr w:rsidR="0045553B" w:rsidRPr="005A497D" w14:paraId="144488AA" w14:textId="77777777" w:rsidTr="0045553B">
        <w:trPr>
          <w:trHeight w:val="375"/>
          <w:tblHeader/>
          <w:jc w:val="center"/>
        </w:trPr>
        <w:tc>
          <w:tcPr>
            <w:tcW w:w="3123" w:type="dxa"/>
            <w:vMerge/>
            <w:tcBorders>
              <w:left w:val="double" w:sz="4" w:space="0" w:color="auto"/>
            </w:tcBorders>
            <w:shd w:val="clear" w:color="auto" w:fill="D9D9D9" w:themeFill="background1" w:themeFillShade="D9"/>
            <w:vAlign w:val="center"/>
          </w:tcPr>
          <w:p w14:paraId="662AF2A5" w14:textId="77777777" w:rsidR="0045553B" w:rsidRPr="005A497D" w:rsidRDefault="0045553B" w:rsidP="0045553B">
            <w:pPr>
              <w:pStyle w:val="NormalWeb"/>
              <w:autoSpaceDE w:val="0"/>
              <w:autoSpaceDN w:val="0"/>
              <w:adjustRightInd w:val="0"/>
              <w:contextualSpacing/>
              <w:jc w:val="center"/>
              <w:rPr>
                <w:i/>
                <w:sz w:val="18"/>
                <w:szCs w:val="18"/>
              </w:rPr>
            </w:pPr>
          </w:p>
        </w:tc>
        <w:tc>
          <w:tcPr>
            <w:tcW w:w="1971" w:type="dxa"/>
            <w:tcBorders>
              <w:top w:val="double" w:sz="4" w:space="0" w:color="auto"/>
              <w:right w:val="double" w:sz="4" w:space="0" w:color="auto"/>
            </w:tcBorders>
            <w:shd w:val="clear" w:color="auto" w:fill="D9D9D9" w:themeFill="background1" w:themeFillShade="D9"/>
            <w:vAlign w:val="center"/>
          </w:tcPr>
          <w:p w14:paraId="18AB9922" w14:textId="77777777" w:rsidR="0045553B" w:rsidRPr="00E21511" w:rsidRDefault="0045553B" w:rsidP="0045553B">
            <w:pPr>
              <w:pStyle w:val="NormalWeb"/>
              <w:autoSpaceDE w:val="0"/>
              <w:autoSpaceDN w:val="0"/>
              <w:adjustRightInd w:val="0"/>
              <w:ind w:left="-57" w:right="-57"/>
              <w:contextualSpacing/>
              <w:jc w:val="center"/>
              <w:rPr>
                <w:sz w:val="22"/>
                <w:szCs w:val="22"/>
              </w:rPr>
            </w:pPr>
            <w:r w:rsidRPr="000D0E8D">
              <w:rPr>
                <w:b/>
                <w:sz w:val="20"/>
                <w:szCs w:val="20"/>
              </w:rPr>
              <w:t>Total budget appropriation</w:t>
            </w:r>
          </w:p>
        </w:tc>
        <w:tc>
          <w:tcPr>
            <w:tcW w:w="1427" w:type="dxa"/>
            <w:tcBorders>
              <w:top w:val="double" w:sz="4" w:space="0" w:color="auto"/>
              <w:right w:val="double" w:sz="4" w:space="0" w:color="auto"/>
            </w:tcBorders>
            <w:shd w:val="clear" w:color="auto" w:fill="D9D9D9" w:themeFill="background1" w:themeFillShade="D9"/>
            <w:vAlign w:val="center"/>
          </w:tcPr>
          <w:p w14:paraId="0A1E6421" w14:textId="77777777" w:rsidR="0045553B" w:rsidRPr="00E21511" w:rsidRDefault="0045553B" w:rsidP="0045553B">
            <w:pPr>
              <w:pStyle w:val="NormalWeb"/>
              <w:autoSpaceDE w:val="0"/>
              <w:autoSpaceDN w:val="0"/>
              <w:adjustRightInd w:val="0"/>
              <w:ind w:left="-57" w:right="-57"/>
              <w:contextualSpacing/>
              <w:jc w:val="center"/>
              <w:rPr>
                <w:sz w:val="22"/>
                <w:szCs w:val="22"/>
              </w:rPr>
            </w:pPr>
            <w:r w:rsidRPr="000D0E8D">
              <w:rPr>
                <w:b/>
                <w:sz w:val="20"/>
                <w:szCs w:val="20"/>
              </w:rPr>
              <w:t>Total obligations incurred</w:t>
            </w:r>
          </w:p>
        </w:tc>
        <w:tc>
          <w:tcPr>
            <w:tcW w:w="1402" w:type="dxa"/>
            <w:tcBorders>
              <w:top w:val="double" w:sz="4" w:space="0" w:color="auto"/>
              <w:right w:val="double" w:sz="4" w:space="0" w:color="auto"/>
            </w:tcBorders>
            <w:shd w:val="clear" w:color="auto" w:fill="D9D9D9" w:themeFill="background1" w:themeFillShade="D9"/>
            <w:vAlign w:val="center"/>
          </w:tcPr>
          <w:p w14:paraId="4AF3F0FF" w14:textId="6DEF6887" w:rsidR="0045553B" w:rsidRPr="00E21511" w:rsidRDefault="00E21511" w:rsidP="0045553B">
            <w:pPr>
              <w:pStyle w:val="NormalWeb"/>
              <w:autoSpaceDE w:val="0"/>
              <w:autoSpaceDN w:val="0"/>
              <w:adjustRightInd w:val="0"/>
              <w:ind w:left="-57" w:right="-57"/>
              <w:contextualSpacing/>
              <w:jc w:val="center"/>
              <w:rPr>
                <w:sz w:val="22"/>
                <w:szCs w:val="22"/>
              </w:rPr>
            </w:pPr>
            <w:r w:rsidRPr="000D0E8D">
              <w:rPr>
                <w:b/>
                <w:sz w:val="20"/>
                <w:szCs w:val="20"/>
              </w:rPr>
              <w:t>Absolute deviation</w:t>
            </w:r>
          </w:p>
        </w:tc>
        <w:tc>
          <w:tcPr>
            <w:tcW w:w="1407" w:type="dxa"/>
            <w:tcBorders>
              <w:top w:val="double" w:sz="4" w:space="0" w:color="auto"/>
              <w:right w:val="double" w:sz="4" w:space="0" w:color="auto"/>
            </w:tcBorders>
            <w:shd w:val="clear" w:color="auto" w:fill="D9D9D9" w:themeFill="background1" w:themeFillShade="D9"/>
            <w:vAlign w:val="center"/>
          </w:tcPr>
          <w:p w14:paraId="0B714A85" w14:textId="6D31DD7F" w:rsidR="0045553B" w:rsidRPr="00E21511" w:rsidRDefault="00E21511" w:rsidP="0045553B">
            <w:pPr>
              <w:pStyle w:val="NormalWeb"/>
              <w:autoSpaceDE w:val="0"/>
              <w:autoSpaceDN w:val="0"/>
              <w:adjustRightInd w:val="0"/>
              <w:ind w:left="-57" w:right="-57"/>
              <w:contextualSpacing/>
              <w:jc w:val="center"/>
              <w:rPr>
                <w:sz w:val="22"/>
                <w:szCs w:val="22"/>
              </w:rPr>
            </w:pPr>
            <w:r w:rsidRPr="000D0E8D">
              <w:rPr>
                <w:b/>
                <w:sz w:val="20"/>
                <w:szCs w:val="20"/>
              </w:rPr>
              <w:t>Composition Variance</w:t>
            </w:r>
          </w:p>
        </w:tc>
      </w:tr>
      <w:tr w:rsidR="0045553B" w:rsidRPr="005A497D" w14:paraId="4E54A11C" w14:textId="77777777" w:rsidTr="0045553B">
        <w:trPr>
          <w:trHeight w:val="283"/>
          <w:jc w:val="center"/>
        </w:trPr>
        <w:tc>
          <w:tcPr>
            <w:tcW w:w="3123" w:type="dxa"/>
            <w:tcBorders>
              <w:top w:val="double" w:sz="4" w:space="0" w:color="auto"/>
              <w:left w:val="double" w:sz="4" w:space="0" w:color="auto"/>
            </w:tcBorders>
            <w:vAlign w:val="center"/>
          </w:tcPr>
          <w:p w14:paraId="243BAC04" w14:textId="2A85B2C3" w:rsidR="0045553B" w:rsidRPr="002425DA"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2012</w:t>
            </w:r>
          </w:p>
        </w:tc>
        <w:tc>
          <w:tcPr>
            <w:tcW w:w="1971" w:type="dxa"/>
            <w:tcBorders>
              <w:top w:val="double" w:sz="4" w:space="0" w:color="auto"/>
            </w:tcBorders>
            <w:vAlign w:val="bottom"/>
          </w:tcPr>
          <w:p w14:paraId="2042C928" w14:textId="3B025BA6"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2,121.82</w:t>
            </w:r>
          </w:p>
        </w:tc>
        <w:tc>
          <w:tcPr>
            <w:tcW w:w="1427" w:type="dxa"/>
            <w:tcBorders>
              <w:top w:val="double" w:sz="4" w:space="0" w:color="auto"/>
            </w:tcBorders>
            <w:vAlign w:val="bottom"/>
          </w:tcPr>
          <w:p w14:paraId="3D2BC3BF" w14:textId="5B0D1AE2"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1,790.88</w:t>
            </w:r>
          </w:p>
        </w:tc>
        <w:tc>
          <w:tcPr>
            <w:tcW w:w="1402" w:type="dxa"/>
            <w:tcBorders>
              <w:top w:val="double" w:sz="4" w:space="0" w:color="auto"/>
            </w:tcBorders>
            <w:vAlign w:val="bottom"/>
          </w:tcPr>
          <w:p w14:paraId="5301436A" w14:textId="7F5F1152"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252.98</w:t>
            </w:r>
          </w:p>
        </w:tc>
        <w:tc>
          <w:tcPr>
            <w:tcW w:w="1407" w:type="dxa"/>
            <w:tcBorders>
              <w:top w:val="double" w:sz="4" w:space="0" w:color="auto"/>
              <w:right w:val="double" w:sz="4" w:space="0" w:color="auto"/>
            </w:tcBorders>
            <w:vAlign w:val="bottom"/>
          </w:tcPr>
          <w:p w14:paraId="728408DB" w14:textId="124D5856"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14.13%</w:t>
            </w:r>
          </w:p>
        </w:tc>
      </w:tr>
      <w:tr w:rsidR="0045553B" w:rsidRPr="005A497D" w14:paraId="72782F48" w14:textId="77777777" w:rsidTr="0045553B">
        <w:trPr>
          <w:trHeight w:val="283"/>
          <w:jc w:val="center"/>
        </w:trPr>
        <w:tc>
          <w:tcPr>
            <w:tcW w:w="3123" w:type="dxa"/>
            <w:tcBorders>
              <w:left w:val="double" w:sz="4" w:space="0" w:color="auto"/>
            </w:tcBorders>
            <w:vAlign w:val="center"/>
          </w:tcPr>
          <w:p w14:paraId="1FB58A36" w14:textId="27E38E67" w:rsidR="0045553B" w:rsidRPr="002425DA"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2013</w:t>
            </w:r>
          </w:p>
        </w:tc>
        <w:tc>
          <w:tcPr>
            <w:tcW w:w="1971" w:type="dxa"/>
            <w:vAlign w:val="bottom"/>
          </w:tcPr>
          <w:p w14:paraId="128407B2" w14:textId="4774B78F"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2,355.26</w:t>
            </w:r>
          </w:p>
        </w:tc>
        <w:tc>
          <w:tcPr>
            <w:tcW w:w="1427" w:type="dxa"/>
            <w:vAlign w:val="bottom"/>
          </w:tcPr>
          <w:p w14:paraId="6E27F57A" w14:textId="63B2BD18"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1,984.98</w:t>
            </w:r>
          </w:p>
        </w:tc>
        <w:tc>
          <w:tcPr>
            <w:tcW w:w="1402" w:type="dxa"/>
            <w:vAlign w:val="bottom"/>
          </w:tcPr>
          <w:p w14:paraId="0E0143E8" w14:textId="20CD2FCA"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292.84</w:t>
            </w:r>
          </w:p>
        </w:tc>
        <w:tc>
          <w:tcPr>
            <w:tcW w:w="1407" w:type="dxa"/>
            <w:tcBorders>
              <w:right w:val="double" w:sz="4" w:space="0" w:color="auto"/>
            </w:tcBorders>
            <w:vAlign w:val="bottom"/>
          </w:tcPr>
          <w:p w14:paraId="6196D50D" w14:textId="7AAF0A22"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14.75%</w:t>
            </w:r>
          </w:p>
        </w:tc>
      </w:tr>
      <w:tr w:rsidR="0045553B" w:rsidRPr="005A497D" w14:paraId="7FE29660" w14:textId="77777777" w:rsidTr="0045553B">
        <w:trPr>
          <w:trHeight w:val="283"/>
          <w:jc w:val="center"/>
        </w:trPr>
        <w:tc>
          <w:tcPr>
            <w:tcW w:w="3123" w:type="dxa"/>
            <w:tcBorders>
              <w:left w:val="double" w:sz="4" w:space="0" w:color="auto"/>
            </w:tcBorders>
            <w:vAlign w:val="center"/>
          </w:tcPr>
          <w:p w14:paraId="07BADC03" w14:textId="4758021B" w:rsidR="0045553B" w:rsidRPr="002425DA"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2014</w:t>
            </w:r>
          </w:p>
        </w:tc>
        <w:tc>
          <w:tcPr>
            <w:tcW w:w="1971" w:type="dxa"/>
            <w:vAlign w:val="bottom"/>
          </w:tcPr>
          <w:p w14:paraId="26972680" w14:textId="565DD475"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2,586.25</w:t>
            </w:r>
          </w:p>
        </w:tc>
        <w:tc>
          <w:tcPr>
            <w:tcW w:w="1427" w:type="dxa"/>
            <w:vAlign w:val="bottom"/>
          </w:tcPr>
          <w:p w14:paraId="0FACB3F3" w14:textId="68AC76FA"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1,964.71</w:t>
            </w:r>
          </w:p>
        </w:tc>
        <w:tc>
          <w:tcPr>
            <w:tcW w:w="1402" w:type="dxa"/>
            <w:vAlign w:val="bottom"/>
          </w:tcPr>
          <w:p w14:paraId="6F8034A3" w14:textId="3B5D32EE"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498.92</w:t>
            </w:r>
          </w:p>
        </w:tc>
        <w:tc>
          <w:tcPr>
            <w:tcW w:w="1407" w:type="dxa"/>
            <w:tcBorders>
              <w:right w:val="double" w:sz="4" w:space="0" w:color="auto"/>
            </w:tcBorders>
            <w:vAlign w:val="bottom"/>
          </w:tcPr>
          <w:p w14:paraId="2470365F" w14:textId="0177B3B3" w:rsidR="0045553B" w:rsidRPr="005F29E7" w:rsidRDefault="00E21511"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25.39%</w:t>
            </w:r>
          </w:p>
        </w:tc>
      </w:tr>
    </w:tbl>
    <w:p w14:paraId="75CA9A30" w14:textId="731CC993" w:rsidR="001762EE" w:rsidRPr="005A497D" w:rsidRDefault="001762EE" w:rsidP="002425DA">
      <w:pPr>
        <w:spacing w:before="40"/>
        <w:jc w:val="both"/>
        <w:rPr>
          <w:sz w:val="18"/>
          <w:szCs w:val="18"/>
          <w:u w:val="single"/>
        </w:rPr>
      </w:pPr>
      <w:r w:rsidRPr="00A172F4">
        <w:rPr>
          <w:i/>
          <w:sz w:val="18"/>
          <w:szCs w:val="18"/>
        </w:rPr>
        <w:t>Note</w:t>
      </w:r>
      <w:r w:rsidRPr="005A497D">
        <w:rPr>
          <w:sz w:val="18"/>
          <w:szCs w:val="18"/>
        </w:rPr>
        <w:t xml:space="preserve">: Adjusted </w:t>
      </w:r>
      <w:r>
        <w:rPr>
          <w:sz w:val="18"/>
          <w:szCs w:val="18"/>
        </w:rPr>
        <w:t>b</w:t>
      </w:r>
      <w:r w:rsidRPr="005A497D">
        <w:rPr>
          <w:sz w:val="18"/>
          <w:szCs w:val="18"/>
        </w:rPr>
        <w:t xml:space="preserve">udget = Budget </w:t>
      </w:r>
      <w:r>
        <w:rPr>
          <w:sz w:val="18"/>
          <w:szCs w:val="18"/>
        </w:rPr>
        <w:t>a</w:t>
      </w:r>
      <w:r w:rsidRPr="005A497D">
        <w:rPr>
          <w:sz w:val="18"/>
          <w:szCs w:val="18"/>
        </w:rPr>
        <w:t xml:space="preserve">llotment x Total </w:t>
      </w:r>
      <w:r>
        <w:rPr>
          <w:sz w:val="18"/>
          <w:szCs w:val="18"/>
        </w:rPr>
        <w:t>o</w:t>
      </w:r>
      <w:r w:rsidRPr="005A497D">
        <w:rPr>
          <w:sz w:val="18"/>
          <w:szCs w:val="18"/>
        </w:rPr>
        <w:t>bligation</w:t>
      </w:r>
      <w:r>
        <w:rPr>
          <w:sz w:val="18"/>
          <w:szCs w:val="18"/>
        </w:rPr>
        <w:t xml:space="preserve"> </w:t>
      </w:r>
      <w:r w:rsidRPr="005A497D">
        <w:rPr>
          <w:sz w:val="18"/>
          <w:szCs w:val="18"/>
        </w:rPr>
        <w:t xml:space="preserve">/ Total </w:t>
      </w:r>
      <w:r>
        <w:rPr>
          <w:sz w:val="18"/>
          <w:szCs w:val="18"/>
        </w:rPr>
        <w:t>b</w:t>
      </w:r>
      <w:r w:rsidRPr="005A497D">
        <w:rPr>
          <w:sz w:val="18"/>
          <w:szCs w:val="18"/>
        </w:rPr>
        <w:t xml:space="preserve">udget. Absolute </w:t>
      </w:r>
      <w:r>
        <w:rPr>
          <w:sz w:val="18"/>
          <w:szCs w:val="18"/>
        </w:rPr>
        <w:t>d</w:t>
      </w:r>
      <w:r w:rsidRPr="005A497D">
        <w:rPr>
          <w:sz w:val="18"/>
          <w:szCs w:val="18"/>
        </w:rPr>
        <w:t xml:space="preserve">eviation = Total </w:t>
      </w:r>
      <w:r>
        <w:rPr>
          <w:sz w:val="18"/>
          <w:szCs w:val="18"/>
        </w:rPr>
        <w:t>o</w:t>
      </w:r>
      <w:r w:rsidRPr="005A497D">
        <w:rPr>
          <w:sz w:val="18"/>
          <w:szCs w:val="18"/>
        </w:rPr>
        <w:t xml:space="preserve">bligation – Adjusted </w:t>
      </w:r>
      <w:r>
        <w:rPr>
          <w:sz w:val="18"/>
          <w:szCs w:val="18"/>
        </w:rPr>
        <w:t>b</w:t>
      </w:r>
      <w:r w:rsidRPr="005A497D">
        <w:rPr>
          <w:sz w:val="18"/>
          <w:szCs w:val="18"/>
        </w:rPr>
        <w:t xml:space="preserve">udget. Composition </w:t>
      </w:r>
      <w:r>
        <w:rPr>
          <w:sz w:val="18"/>
          <w:szCs w:val="18"/>
        </w:rPr>
        <w:t>v</w:t>
      </w:r>
      <w:r w:rsidRPr="005A497D">
        <w:rPr>
          <w:sz w:val="18"/>
          <w:szCs w:val="18"/>
        </w:rPr>
        <w:t xml:space="preserve">ariance = Total </w:t>
      </w:r>
      <w:r>
        <w:rPr>
          <w:sz w:val="18"/>
          <w:szCs w:val="18"/>
        </w:rPr>
        <w:t>a</w:t>
      </w:r>
      <w:r w:rsidRPr="005A497D">
        <w:rPr>
          <w:sz w:val="18"/>
          <w:szCs w:val="18"/>
        </w:rPr>
        <w:t xml:space="preserve">bsolute </w:t>
      </w:r>
      <w:r>
        <w:rPr>
          <w:sz w:val="18"/>
          <w:szCs w:val="18"/>
        </w:rPr>
        <w:t>d</w:t>
      </w:r>
      <w:r w:rsidRPr="005A497D">
        <w:rPr>
          <w:sz w:val="18"/>
          <w:szCs w:val="18"/>
        </w:rPr>
        <w:t>eviation</w:t>
      </w:r>
      <w:r>
        <w:rPr>
          <w:sz w:val="18"/>
          <w:szCs w:val="18"/>
        </w:rPr>
        <w:t xml:space="preserve"> </w:t>
      </w:r>
      <w:r w:rsidRPr="005A497D">
        <w:rPr>
          <w:sz w:val="18"/>
          <w:szCs w:val="18"/>
        </w:rPr>
        <w:t>/</w:t>
      </w:r>
      <w:r>
        <w:rPr>
          <w:sz w:val="18"/>
          <w:szCs w:val="18"/>
        </w:rPr>
        <w:t xml:space="preserve"> </w:t>
      </w:r>
      <w:r w:rsidRPr="005A497D">
        <w:rPr>
          <w:sz w:val="18"/>
          <w:szCs w:val="18"/>
        </w:rPr>
        <w:t xml:space="preserve">Total </w:t>
      </w:r>
      <w:r>
        <w:rPr>
          <w:sz w:val="18"/>
          <w:szCs w:val="18"/>
        </w:rPr>
        <w:t>a</w:t>
      </w:r>
      <w:r w:rsidRPr="005A497D">
        <w:rPr>
          <w:sz w:val="18"/>
          <w:szCs w:val="18"/>
        </w:rPr>
        <w:t xml:space="preserve">djusted </w:t>
      </w:r>
      <w:r>
        <w:rPr>
          <w:sz w:val="18"/>
          <w:szCs w:val="18"/>
        </w:rPr>
        <w:t>b</w:t>
      </w:r>
      <w:r w:rsidRPr="005A497D">
        <w:rPr>
          <w:sz w:val="18"/>
          <w:szCs w:val="18"/>
        </w:rPr>
        <w:t>udget.</w:t>
      </w:r>
    </w:p>
    <w:p w14:paraId="788A2BF4" w14:textId="2E8906EF" w:rsidR="001762EE" w:rsidRPr="005A497D" w:rsidRDefault="001762EE" w:rsidP="002425DA">
      <w:pPr>
        <w:spacing w:before="40"/>
        <w:jc w:val="both"/>
        <w:rPr>
          <w:sz w:val="18"/>
          <w:szCs w:val="18"/>
        </w:rPr>
      </w:pPr>
      <w:r w:rsidRPr="003467AE">
        <w:rPr>
          <w:i/>
          <w:sz w:val="18"/>
          <w:szCs w:val="18"/>
        </w:rPr>
        <w:t>Source</w:t>
      </w:r>
      <w:r w:rsidRPr="005A497D">
        <w:rPr>
          <w:sz w:val="18"/>
          <w:szCs w:val="18"/>
        </w:rPr>
        <w:t xml:space="preserve">: </w:t>
      </w:r>
      <w:r>
        <w:rPr>
          <w:sz w:val="18"/>
          <w:szCs w:val="18"/>
        </w:rPr>
        <w:t>CoA</w:t>
      </w:r>
      <w:r w:rsidRPr="005A497D">
        <w:rPr>
          <w:sz w:val="18"/>
          <w:szCs w:val="18"/>
        </w:rPr>
        <w:t xml:space="preserve"> Annual </w:t>
      </w:r>
      <w:r>
        <w:rPr>
          <w:sz w:val="18"/>
          <w:szCs w:val="18"/>
        </w:rPr>
        <w:t xml:space="preserve">Financial </w:t>
      </w:r>
      <w:r w:rsidRPr="005A497D">
        <w:rPr>
          <w:sz w:val="18"/>
          <w:szCs w:val="18"/>
        </w:rPr>
        <w:t>Report.</w:t>
      </w:r>
    </w:p>
    <w:p w14:paraId="755954A3" w14:textId="77777777" w:rsidR="001762EE" w:rsidRPr="005A497D" w:rsidRDefault="001762EE" w:rsidP="006576C5">
      <w:pPr>
        <w:pStyle w:val="NormalWeb"/>
        <w:autoSpaceDE w:val="0"/>
        <w:autoSpaceDN w:val="0"/>
        <w:adjustRightInd w:val="0"/>
        <w:spacing w:before="0" w:beforeAutospacing="0" w:after="0" w:afterAutospacing="0"/>
        <w:contextualSpacing/>
        <w:jc w:val="both"/>
        <w:rPr>
          <w:sz w:val="22"/>
          <w:szCs w:val="22"/>
        </w:rPr>
      </w:pPr>
    </w:p>
    <w:p w14:paraId="7F10E414" w14:textId="1DC7C455" w:rsidR="001762EE" w:rsidRPr="005A497D" w:rsidRDefault="001762EE" w:rsidP="006576C5">
      <w:pPr>
        <w:pStyle w:val="PEFATable"/>
        <w:spacing w:after="40"/>
        <w:jc w:val="both"/>
        <w:rPr>
          <w:sz w:val="24"/>
          <w:szCs w:val="24"/>
        </w:rPr>
      </w:pPr>
    </w:p>
    <w:p w14:paraId="778ABBD3" w14:textId="435EB5E4" w:rsidR="001762EE" w:rsidRPr="005A497D" w:rsidRDefault="001762EE" w:rsidP="006576C5">
      <w:pPr>
        <w:pStyle w:val="PEFATable"/>
        <w:spacing w:after="40"/>
        <w:jc w:val="both"/>
        <w:rPr>
          <w:sz w:val="24"/>
          <w:szCs w:val="24"/>
        </w:rPr>
      </w:pPr>
    </w:p>
    <w:p w14:paraId="770271AA" w14:textId="7B91B547" w:rsidR="001762EE" w:rsidRPr="002425DA" w:rsidRDefault="001762EE" w:rsidP="00360B29">
      <w:pPr>
        <w:pStyle w:val="NormalWeb"/>
        <w:autoSpaceDE w:val="0"/>
        <w:autoSpaceDN w:val="0"/>
        <w:adjustRightInd w:val="0"/>
        <w:spacing w:before="0" w:beforeAutospacing="0" w:after="0" w:afterAutospacing="0"/>
        <w:contextualSpacing/>
        <w:jc w:val="both"/>
        <w:rPr>
          <w:b/>
          <w:bCs/>
          <w:i/>
        </w:rPr>
      </w:pPr>
      <w:r w:rsidRPr="002425DA">
        <w:rPr>
          <w:b/>
          <w:i/>
        </w:rPr>
        <w:t>Dimension 2.3 E</w:t>
      </w:r>
      <w:r w:rsidRPr="002425DA">
        <w:rPr>
          <w:b/>
          <w:bCs/>
          <w:i/>
        </w:rPr>
        <w:t>xpenditure from contingency reserves</w:t>
      </w:r>
    </w:p>
    <w:p w14:paraId="0B2783E0" w14:textId="77777777" w:rsidR="001762EE" w:rsidRPr="005A497D" w:rsidRDefault="001762EE" w:rsidP="00360B29">
      <w:pPr>
        <w:pStyle w:val="NormalWeb"/>
        <w:autoSpaceDE w:val="0"/>
        <w:autoSpaceDN w:val="0"/>
        <w:adjustRightInd w:val="0"/>
        <w:spacing w:before="0" w:beforeAutospacing="0" w:after="0" w:afterAutospacing="0"/>
        <w:contextualSpacing/>
        <w:jc w:val="both"/>
        <w:rPr>
          <w:bCs/>
          <w:u w:val="single"/>
        </w:rPr>
      </w:pPr>
    </w:p>
    <w:p w14:paraId="33CF7AF9" w14:textId="1B4A6CE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This indicator recognizes that while it is prudent to include an amount to allow for unforeseen events in the form of a contingency, </w:t>
      </w:r>
      <w:r>
        <w:t>this amount should not be so large however as to undermine the credibility of the budget</w:t>
      </w:r>
      <w:r w:rsidR="00E21511">
        <w:t>.</w:t>
      </w:r>
      <w:r>
        <w:t xml:space="preserve"> Table 3.</w:t>
      </w:r>
      <w:r w:rsidR="00E21511">
        <w:t>4 summarizes the calculations for the years 2012 to 2014 with detailed data tables provided in Annex 4. The share is calculated using the total budget appropriation including contingency, interest and debt principal amortization.</w:t>
      </w:r>
      <w:r>
        <w:t xml:space="preserve"> </w:t>
      </w:r>
    </w:p>
    <w:p w14:paraId="39AD71CF" w14:textId="77777777" w:rsidR="001762EE" w:rsidRPr="005A497D" w:rsidRDefault="001762EE" w:rsidP="006576C5">
      <w:pPr>
        <w:pStyle w:val="NormalWeb"/>
        <w:autoSpaceDE w:val="0"/>
        <w:autoSpaceDN w:val="0"/>
        <w:adjustRightInd w:val="0"/>
        <w:spacing w:before="0" w:beforeAutospacing="0" w:after="0" w:afterAutospacing="0"/>
        <w:contextualSpacing/>
        <w:jc w:val="both"/>
        <w:rPr>
          <w:sz w:val="22"/>
          <w:szCs w:val="22"/>
        </w:rPr>
      </w:pPr>
    </w:p>
    <w:p w14:paraId="4DF3D363" w14:textId="1140939E" w:rsidR="001762EE" w:rsidRPr="005A497D" w:rsidRDefault="001762EE" w:rsidP="006576C5">
      <w:pPr>
        <w:pStyle w:val="PEFATable"/>
        <w:spacing w:after="40"/>
        <w:jc w:val="both"/>
        <w:rPr>
          <w:sz w:val="24"/>
          <w:szCs w:val="24"/>
        </w:rPr>
      </w:pPr>
      <w:bookmarkStart w:id="69" w:name="_Toc454889246"/>
      <w:r w:rsidRPr="005A497D">
        <w:rPr>
          <w:sz w:val="24"/>
          <w:szCs w:val="24"/>
        </w:rPr>
        <w:t>Table 3.</w:t>
      </w:r>
      <w:r w:rsidR="00E21511">
        <w:rPr>
          <w:sz w:val="24"/>
          <w:szCs w:val="24"/>
        </w:rPr>
        <w:t>4</w:t>
      </w:r>
      <w:r w:rsidRPr="005A497D">
        <w:rPr>
          <w:sz w:val="24"/>
          <w:szCs w:val="24"/>
        </w:rPr>
        <w:t>: Calculation of Contingency Share</w:t>
      </w:r>
      <w:bookmarkEnd w:id="69"/>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45"/>
        <w:gridCol w:w="2410"/>
        <w:gridCol w:w="2410"/>
        <w:gridCol w:w="2249"/>
      </w:tblGrid>
      <w:tr w:rsidR="00917C30" w:rsidRPr="005A497D" w14:paraId="7D3F8925" w14:textId="77777777" w:rsidTr="009E55FB">
        <w:trPr>
          <w:trHeight w:val="397"/>
          <w:jc w:val="center"/>
        </w:trPr>
        <w:tc>
          <w:tcPr>
            <w:tcW w:w="2245" w:type="dxa"/>
            <w:vMerge w:val="restart"/>
            <w:shd w:val="clear" w:color="auto" w:fill="D9D9D9" w:themeFill="background1" w:themeFillShade="D9"/>
            <w:vAlign w:val="center"/>
          </w:tcPr>
          <w:p w14:paraId="77F81AB6" w14:textId="77777777" w:rsidR="00917C30" w:rsidRPr="000D0E8D" w:rsidRDefault="00917C30" w:rsidP="009E55FB">
            <w:pPr>
              <w:pStyle w:val="NormalWeb"/>
              <w:autoSpaceDE w:val="0"/>
              <w:autoSpaceDN w:val="0"/>
              <w:adjustRightInd w:val="0"/>
              <w:contextualSpacing/>
              <w:jc w:val="center"/>
              <w:rPr>
                <w:b/>
                <w:sz w:val="20"/>
                <w:szCs w:val="20"/>
              </w:rPr>
            </w:pPr>
            <w:r w:rsidRPr="000D0E8D">
              <w:rPr>
                <w:b/>
                <w:sz w:val="22"/>
                <w:szCs w:val="20"/>
              </w:rPr>
              <w:t>Fiscal Year</w:t>
            </w:r>
          </w:p>
        </w:tc>
        <w:tc>
          <w:tcPr>
            <w:tcW w:w="4820" w:type="dxa"/>
            <w:gridSpan w:val="2"/>
            <w:shd w:val="clear" w:color="auto" w:fill="D9D9D9" w:themeFill="background1" w:themeFillShade="D9"/>
            <w:vAlign w:val="center"/>
          </w:tcPr>
          <w:p w14:paraId="0425AC8F" w14:textId="77777777" w:rsidR="00917C30" w:rsidRPr="009B14CF" w:rsidRDefault="00917C30" w:rsidP="009E55FB">
            <w:pPr>
              <w:pStyle w:val="NormalWeb"/>
              <w:autoSpaceDE w:val="0"/>
              <w:autoSpaceDN w:val="0"/>
              <w:adjustRightInd w:val="0"/>
              <w:contextualSpacing/>
              <w:jc w:val="center"/>
              <w:rPr>
                <w:b/>
                <w:sz w:val="20"/>
                <w:szCs w:val="20"/>
              </w:rPr>
            </w:pPr>
            <w:r>
              <w:rPr>
                <w:b/>
                <w:i/>
                <w:sz w:val="20"/>
                <w:szCs w:val="20"/>
              </w:rPr>
              <w:t>(</w:t>
            </w:r>
            <w:r w:rsidRPr="009B14CF">
              <w:rPr>
                <w:b/>
                <w:i/>
                <w:sz w:val="20"/>
                <w:szCs w:val="20"/>
              </w:rPr>
              <w:t>PhP billions</w:t>
            </w:r>
            <w:r>
              <w:rPr>
                <w:b/>
                <w:i/>
                <w:sz w:val="20"/>
                <w:szCs w:val="20"/>
              </w:rPr>
              <w:t>)</w:t>
            </w:r>
          </w:p>
        </w:tc>
        <w:tc>
          <w:tcPr>
            <w:tcW w:w="2249" w:type="dxa"/>
            <w:vMerge w:val="restart"/>
            <w:shd w:val="clear" w:color="auto" w:fill="D9D9D9" w:themeFill="background1" w:themeFillShade="D9"/>
            <w:vAlign w:val="center"/>
          </w:tcPr>
          <w:p w14:paraId="3459A7EA" w14:textId="77777777" w:rsidR="00917C30" w:rsidRPr="000D0E8D" w:rsidRDefault="00917C30" w:rsidP="009E55FB">
            <w:pPr>
              <w:pStyle w:val="NormalWeb"/>
              <w:autoSpaceDE w:val="0"/>
              <w:autoSpaceDN w:val="0"/>
              <w:adjustRightInd w:val="0"/>
              <w:contextualSpacing/>
              <w:jc w:val="center"/>
              <w:rPr>
                <w:b/>
                <w:sz w:val="20"/>
                <w:szCs w:val="20"/>
              </w:rPr>
            </w:pPr>
            <w:r w:rsidRPr="000D0E8D">
              <w:rPr>
                <w:b/>
                <w:sz w:val="20"/>
                <w:szCs w:val="20"/>
              </w:rPr>
              <w:t>Contingency share</w:t>
            </w:r>
          </w:p>
          <w:p w14:paraId="6E8B9E29" w14:textId="77777777" w:rsidR="00917C30" w:rsidRPr="009B14CF" w:rsidRDefault="00917C30" w:rsidP="009E55FB">
            <w:pPr>
              <w:pStyle w:val="NormalWeb"/>
              <w:autoSpaceDE w:val="0"/>
              <w:autoSpaceDN w:val="0"/>
              <w:adjustRightInd w:val="0"/>
              <w:contextualSpacing/>
              <w:jc w:val="center"/>
              <w:rPr>
                <w:sz w:val="20"/>
                <w:szCs w:val="20"/>
              </w:rPr>
            </w:pPr>
            <w:r w:rsidRPr="000D0E8D">
              <w:rPr>
                <w:b/>
                <w:sz w:val="20"/>
                <w:szCs w:val="20"/>
              </w:rPr>
              <w:t>(%)</w:t>
            </w:r>
          </w:p>
        </w:tc>
      </w:tr>
      <w:tr w:rsidR="00917C30" w:rsidRPr="005A497D" w14:paraId="0EDE7328" w14:textId="77777777" w:rsidTr="009E55FB">
        <w:trPr>
          <w:trHeight w:val="287"/>
          <w:jc w:val="center"/>
        </w:trPr>
        <w:tc>
          <w:tcPr>
            <w:tcW w:w="2245" w:type="dxa"/>
            <w:vMerge/>
            <w:shd w:val="clear" w:color="auto" w:fill="D9D9D9" w:themeFill="background1" w:themeFillShade="D9"/>
            <w:vAlign w:val="center"/>
          </w:tcPr>
          <w:p w14:paraId="097D5332" w14:textId="77777777" w:rsidR="00917C30" w:rsidRPr="006E22AC" w:rsidRDefault="00917C30" w:rsidP="009E55FB">
            <w:pPr>
              <w:pStyle w:val="NormalWeb"/>
              <w:autoSpaceDE w:val="0"/>
              <w:autoSpaceDN w:val="0"/>
              <w:adjustRightInd w:val="0"/>
              <w:contextualSpacing/>
              <w:jc w:val="center"/>
              <w:rPr>
                <w:b/>
                <w:sz w:val="22"/>
                <w:szCs w:val="22"/>
              </w:rPr>
            </w:pPr>
          </w:p>
        </w:tc>
        <w:tc>
          <w:tcPr>
            <w:tcW w:w="2410" w:type="dxa"/>
            <w:shd w:val="clear" w:color="auto" w:fill="D9D9D9" w:themeFill="background1" w:themeFillShade="D9"/>
            <w:vAlign w:val="center"/>
          </w:tcPr>
          <w:p w14:paraId="27ED574B" w14:textId="77777777" w:rsidR="00917C30" w:rsidRPr="000D0E8D" w:rsidRDefault="00917C30" w:rsidP="009E55FB">
            <w:pPr>
              <w:pStyle w:val="NormalWeb"/>
              <w:autoSpaceDE w:val="0"/>
              <w:autoSpaceDN w:val="0"/>
              <w:adjustRightInd w:val="0"/>
              <w:contextualSpacing/>
              <w:jc w:val="center"/>
              <w:rPr>
                <w:sz w:val="20"/>
                <w:szCs w:val="20"/>
              </w:rPr>
            </w:pPr>
            <w:r w:rsidRPr="000D0E8D">
              <w:rPr>
                <w:b/>
                <w:sz w:val="20"/>
                <w:szCs w:val="20"/>
              </w:rPr>
              <w:t>Total budget appropriation</w:t>
            </w:r>
            <w:r w:rsidRPr="000D0E8D" w:rsidDel="00B73428">
              <w:rPr>
                <w:sz w:val="20"/>
                <w:szCs w:val="20"/>
              </w:rPr>
              <w:t xml:space="preserve"> </w:t>
            </w:r>
          </w:p>
        </w:tc>
        <w:tc>
          <w:tcPr>
            <w:tcW w:w="2410" w:type="dxa"/>
            <w:shd w:val="clear" w:color="auto" w:fill="D9D9D9" w:themeFill="background1" w:themeFillShade="D9"/>
            <w:vAlign w:val="center"/>
          </w:tcPr>
          <w:p w14:paraId="573A9F94" w14:textId="77777777" w:rsidR="00917C30" w:rsidRPr="000D0E8D" w:rsidRDefault="00917C30" w:rsidP="009E55FB">
            <w:pPr>
              <w:pStyle w:val="NormalWeb"/>
              <w:autoSpaceDE w:val="0"/>
              <w:autoSpaceDN w:val="0"/>
              <w:adjustRightInd w:val="0"/>
              <w:contextualSpacing/>
              <w:jc w:val="center"/>
              <w:rPr>
                <w:sz w:val="20"/>
                <w:szCs w:val="20"/>
              </w:rPr>
            </w:pPr>
            <w:r w:rsidRPr="000D0E8D">
              <w:rPr>
                <w:b/>
                <w:sz w:val="20"/>
                <w:szCs w:val="20"/>
              </w:rPr>
              <w:t>Total contingency obligations incurred</w:t>
            </w:r>
          </w:p>
        </w:tc>
        <w:tc>
          <w:tcPr>
            <w:tcW w:w="2249" w:type="dxa"/>
            <w:vMerge/>
            <w:shd w:val="clear" w:color="auto" w:fill="D9D9D9" w:themeFill="background1" w:themeFillShade="D9"/>
            <w:vAlign w:val="center"/>
          </w:tcPr>
          <w:p w14:paraId="7F08C79B" w14:textId="77777777" w:rsidR="00917C30" w:rsidRPr="009B14CF" w:rsidRDefault="00917C30" w:rsidP="009E55FB">
            <w:pPr>
              <w:pStyle w:val="NormalWeb"/>
              <w:autoSpaceDE w:val="0"/>
              <w:autoSpaceDN w:val="0"/>
              <w:adjustRightInd w:val="0"/>
              <w:contextualSpacing/>
              <w:jc w:val="center"/>
              <w:rPr>
                <w:b/>
                <w:sz w:val="20"/>
                <w:szCs w:val="20"/>
              </w:rPr>
            </w:pPr>
          </w:p>
        </w:tc>
      </w:tr>
      <w:tr w:rsidR="00917C30" w:rsidRPr="005A497D" w14:paraId="50DA49D0" w14:textId="77777777" w:rsidTr="009E55FB">
        <w:trPr>
          <w:trHeight w:val="340"/>
          <w:jc w:val="center"/>
        </w:trPr>
        <w:tc>
          <w:tcPr>
            <w:tcW w:w="2245" w:type="dxa"/>
            <w:tcBorders>
              <w:top w:val="double" w:sz="4" w:space="0" w:color="auto"/>
              <w:bottom w:val="single" w:sz="4" w:space="0" w:color="auto"/>
            </w:tcBorders>
            <w:vAlign w:val="center"/>
          </w:tcPr>
          <w:p w14:paraId="06F4841A"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sidRPr="009B14CF">
              <w:rPr>
                <w:sz w:val="20"/>
                <w:szCs w:val="20"/>
              </w:rPr>
              <w:t>2012</w:t>
            </w:r>
          </w:p>
        </w:tc>
        <w:tc>
          <w:tcPr>
            <w:tcW w:w="2410" w:type="dxa"/>
            <w:tcBorders>
              <w:top w:val="double" w:sz="4" w:space="0" w:color="auto"/>
              <w:bottom w:val="single" w:sz="4" w:space="0" w:color="auto"/>
            </w:tcBorders>
            <w:vAlign w:val="center"/>
          </w:tcPr>
          <w:p w14:paraId="6D7C8041"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2,529.56</w:t>
            </w:r>
          </w:p>
        </w:tc>
        <w:tc>
          <w:tcPr>
            <w:tcW w:w="2410" w:type="dxa"/>
            <w:tcBorders>
              <w:top w:val="double" w:sz="4" w:space="0" w:color="auto"/>
              <w:bottom w:val="single" w:sz="4" w:space="0" w:color="auto"/>
            </w:tcBorders>
            <w:vAlign w:val="center"/>
          </w:tcPr>
          <w:p w14:paraId="5C514143"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6.93.</w:t>
            </w:r>
          </w:p>
        </w:tc>
        <w:tc>
          <w:tcPr>
            <w:tcW w:w="2249" w:type="dxa"/>
            <w:tcBorders>
              <w:top w:val="double" w:sz="4" w:space="0" w:color="auto"/>
              <w:bottom w:val="single" w:sz="4" w:space="0" w:color="auto"/>
            </w:tcBorders>
            <w:vAlign w:val="center"/>
          </w:tcPr>
          <w:p w14:paraId="344186B9"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0.27</w:t>
            </w:r>
          </w:p>
        </w:tc>
      </w:tr>
      <w:tr w:rsidR="00917C30" w:rsidRPr="005A497D" w14:paraId="5813912B" w14:textId="77777777" w:rsidTr="009E55FB">
        <w:trPr>
          <w:trHeight w:val="340"/>
          <w:jc w:val="center"/>
        </w:trPr>
        <w:tc>
          <w:tcPr>
            <w:tcW w:w="2245" w:type="dxa"/>
            <w:tcBorders>
              <w:top w:val="single" w:sz="4" w:space="0" w:color="auto"/>
              <w:bottom w:val="single" w:sz="4" w:space="0" w:color="auto"/>
            </w:tcBorders>
            <w:vAlign w:val="center"/>
          </w:tcPr>
          <w:p w14:paraId="614E8BE6"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sidRPr="009B14CF">
              <w:rPr>
                <w:sz w:val="20"/>
                <w:szCs w:val="20"/>
              </w:rPr>
              <w:t>2013</w:t>
            </w:r>
          </w:p>
        </w:tc>
        <w:tc>
          <w:tcPr>
            <w:tcW w:w="2410" w:type="dxa"/>
            <w:tcBorders>
              <w:top w:val="single" w:sz="4" w:space="0" w:color="auto"/>
              <w:bottom w:val="single" w:sz="4" w:space="0" w:color="auto"/>
            </w:tcBorders>
            <w:vAlign w:val="center"/>
          </w:tcPr>
          <w:p w14:paraId="1D59E081"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2,818.39</w:t>
            </w:r>
          </w:p>
        </w:tc>
        <w:tc>
          <w:tcPr>
            <w:tcW w:w="2410" w:type="dxa"/>
            <w:tcBorders>
              <w:top w:val="single" w:sz="4" w:space="0" w:color="auto"/>
              <w:bottom w:val="single" w:sz="4" w:space="0" w:color="auto"/>
            </w:tcBorders>
            <w:vAlign w:val="center"/>
          </w:tcPr>
          <w:p w14:paraId="1C068890"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9.33</w:t>
            </w:r>
          </w:p>
        </w:tc>
        <w:tc>
          <w:tcPr>
            <w:tcW w:w="2249" w:type="dxa"/>
            <w:tcBorders>
              <w:top w:val="single" w:sz="4" w:space="0" w:color="auto"/>
              <w:bottom w:val="single" w:sz="4" w:space="0" w:color="auto"/>
            </w:tcBorders>
            <w:vAlign w:val="center"/>
          </w:tcPr>
          <w:p w14:paraId="41B1ABAB"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0.33</w:t>
            </w:r>
          </w:p>
        </w:tc>
      </w:tr>
      <w:tr w:rsidR="00917C30" w:rsidRPr="005A497D" w14:paraId="52F082C6" w14:textId="77777777" w:rsidTr="009E55FB">
        <w:trPr>
          <w:trHeight w:val="340"/>
          <w:jc w:val="center"/>
        </w:trPr>
        <w:tc>
          <w:tcPr>
            <w:tcW w:w="2245" w:type="dxa"/>
            <w:tcBorders>
              <w:top w:val="single" w:sz="4" w:space="0" w:color="auto"/>
              <w:bottom w:val="single" w:sz="4" w:space="0" w:color="auto"/>
            </w:tcBorders>
            <w:vAlign w:val="center"/>
          </w:tcPr>
          <w:p w14:paraId="01B4F47E"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sidRPr="009B14CF">
              <w:rPr>
                <w:sz w:val="20"/>
                <w:szCs w:val="20"/>
              </w:rPr>
              <w:t>2014</w:t>
            </w:r>
          </w:p>
        </w:tc>
        <w:tc>
          <w:tcPr>
            <w:tcW w:w="2410" w:type="dxa"/>
            <w:tcBorders>
              <w:top w:val="single" w:sz="4" w:space="0" w:color="auto"/>
              <w:bottom w:val="single" w:sz="4" w:space="0" w:color="auto"/>
            </w:tcBorders>
            <w:vAlign w:val="center"/>
          </w:tcPr>
          <w:p w14:paraId="16143F65"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3,077.57</w:t>
            </w:r>
          </w:p>
        </w:tc>
        <w:tc>
          <w:tcPr>
            <w:tcW w:w="2410" w:type="dxa"/>
            <w:tcBorders>
              <w:top w:val="single" w:sz="4" w:space="0" w:color="auto"/>
              <w:bottom w:val="single" w:sz="4" w:space="0" w:color="auto"/>
            </w:tcBorders>
            <w:vAlign w:val="center"/>
          </w:tcPr>
          <w:p w14:paraId="21D0D352"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41.32</w:t>
            </w:r>
          </w:p>
        </w:tc>
        <w:tc>
          <w:tcPr>
            <w:tcW w:w="2249" w:type="dxa"/>
            <w:tcBorders>
              <w:top w:val="single" w:sz="4" w:space="0" w:color="auto"/>
              <w:bottom w:val="single" w:sz="4" w:space="0" w:color="auto"/>
            </w:tcBorders>
            <w:vAlign w:val="center"/>
          </w:tcPr>
          <w:p w14:paraId="6347C229"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sz w:val="20"/>
                <w:szCs w:val="20"/>
              </w:rPr>
            </w:pPr>
            <w:r>
              <w:rPr>
                <w:sz w:val="20"/>
                <w:szCs w:val="20"/>
              </w:rPr>
              <w:t>1.34</w:t>
            </w:r>
          </w:p>
        </w:tc>
      </w:tr>
      <w:tr w:rsidR="00917C30" w:rsidRPr="005A497D" w14:paraId="60187284" w14:textId="77777777" w:rsidTr="009E55FB">
        <w:trPr>
          <w:trHeight w:val="340"/>
          <w:jc w:val="center"/>
        </w:trPr>
        <w:tc>
          <w:tcPr>
            <w:tcW w:w="7065" w:type="dxa"/>
            <w:gridSpan w:val="3"/>
            <w:tcBorders>
              <w:top w:val="single" w:sz="4" w:space="0" w:color="auto"/>
              <w:bottom w:val="double" w:sz="4" w:space="0" w:color="auto"/>
            </w:tcBorders>
            <w:vAlign w:val="center"/>
          </w:tcPr>
          <w:p w14:paraId="6FD5C4A3" w14:textId="77777777" w:rsidR="00917C30" w:rsidRPr="000D0E8D" w:rsidRDefault="00917C30" w:rsidP="009E55FB">
            <w:pPr>
              <w:pStyle w:val="NormalWeb"/>
              <w:autoSpaceDE w:val="0"/>
              <w:autoSpaceDN w:val="0"/>
              <w:adjustRightInd w:val="0"/>
              <w:spacing w:before="0" w:beforeAutospacing="0" w:after="0" w:afterAutospacing="0"/>
              <w:contextualSpacing/>
              <w:rPr>
                <w:b/>
                <w:sz w:val="20"/>
                <w:szCs w:val="20"/>
              </w:rPr>
            </w:pPr>
            <w:r w:rsidRPr="000D0E8D">
              <w:rPr>
                <w:b/>
                <w:sz w:val="20"/>
                <w:szCs w:val="20"/>
              </w:rPr>
              <w:t>Average contingency share</w:t>
            </w:r>
          </w:p>
        </w:tc>
        <w:tc>
          <w:tcPr>
            <w:tcW w:w="2249" w:type="dxa"/>
            <w:tcBorders>
              <w:top w:val="single" w:sz="4" w:space="0" w:color="auto"/>
              <w:bottom w:val="double" w:sz="4" w:space="0" w:color="auto"/>
            </w:tcBorders>
            <w:vAlign w:val="center"/>
          </w:tcPr>
          <w:p w14:paraId="76E591D4" w14:textId="77777777" w:rsidR="00917C30" w:rsidRPr="009B14CF" w:rsidRDefault="00917C30" w:rsidP="009E55FB">
            <w:pPr>
              <w:pStyle w:val="NormalWeb"/>
              <w:autoSpaceDE w:val="0"/>
              <w:autoSpaceDN w:val="0"/>
              <w:adjustRightInd w:val="0"/>
              <w:spacing w:before="0" w:beforeAutospacing="0" w:after="0" w:afterAutospacing="0"/>
              <w:contextualSpacing/>
              <w:jc w:val="center"/>
              <w:rPr>
                <w:b/>
                <w:i/>
                <w:sz w:val="20"/>
                <w:szCs w:val="20"/>
              </w:rPr>
            </w:pPr>
            <w:r>
              <w:rPr>
                <w:b/>
                <w:i/>
                <w:sz w:val="20"/>
                <w:szCs w:val="20"/>
              </w:rPr>
              <w:t>0.65</w:t>
            </w:r>
          </w:p>
        </w:tc>
      </w:tr>
    </w:tbl>
    <w:p w14:paraId="5590A6D3" w14:textId="77777777" w:rsidR="00917C30" w:rsidRPr="005A497D" w:rsidRDefault="00917C30" w:rsidP="00917C30">
      <w:pPr>
        <w:spacing w:before="40"/>
        <w:jc w:val="both"/>
        <w:rPr>
          <w:sz w:val="18"/>
          <w:szCs w:val="18"/>
        </w:rPr>
      </w:pPr>
      <w:r w:rsidRPr="0043657F">
        <w:rPr>
          <w:i/>
          <w:sz w:val="18"/>
          <w:szCs w:val="18"/>
        </w:rPr>
        <w:t>Source</w:t>
      </w:r>
      <w:r w:rsidRPr="005A497D">
        <w:rPr>
          <w:sz w:val="18"/>
          <w:szCs w:val="18"/>
        </w:rPr>
        <w:t xml:space="preserve">: </w:t>
      </w:r>
      <w:r>
        <w:rPr>
          <w:sz w:val="18"/>
          <w:szCs w:val="18"/>
        </w:rPr>
        <w:t>CoA Annual Financial Reports and DBM Budget Technical Bureau</w:t>
      </w:r>
      <w:r w:rsidRPr="005A497D">
        <w:rPr>
          <w:sz w:val="18"/>
          <w:szCs w:val="18"/>
        </w:rPr>
        <w:t>.</w:t>
      </w:r>
    </w:p>
    <w:p w14:paraId="70775292" w14:textId="32084108" w:rsidR="001762EE" w:rsidRPr="005A497D" w:rsidRDefault="001762EE" w:rsidP="00360B29">
      <w:pPr>
        <w:spacing w:before="40"/>
        <w:jc w:val="both"/>
        <w:rPr>
          <w:sz w:val="18"/>
          <w:szCs w:val="18"/>
        </w:rPr>
      </w:pPr>
      <w:r w:rsidRPr="005A497D">
        <w:rPr>
          <w:sz w:val="18"/>
          <w:szCs w:val="18"/>
        </w:rPr>
        <w:t>.</w:t>
      </w:r>
    </w:p>
    <w:p w14:paraId="2CA7A0AE" w14:textId="77777777" w:rsidR="001762EE" w:rsidRPr="005A497D" w:rsidRDefault="001762EE" w:rsidP="00360B29">
      <w:pPr>
        <w:pStyle w:val="NormalWeb"/>
        <w:autoSpaceDE w:val="0"/>
        <w:autoSpaceDN w:val="0"/>
        <w:adjustRightInd w:val="0"/>
        <w:spacing w:before="0" w:beforeAutospacing="0" w:after="0" w:afterAutospacing="0"/>
        <w:contextualSpacing/>
        <w:jc w:val="both"/>
        <w:rPr>
          <w:u w:val="single"/>
        </w:rPr>
      </w:pPr>
    </w:p>
    <w:p w14:paraId="3B67777C" w14:textId="67415AC6"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the Philippines, </w:t>
      </w:r>
      <w:r>
        <w:t xml:space="preserve">contingency reserves are composed of a </w:t>
      </w:r>
      <w:r w:rsidR="00816CED">
        <w:t>C</w:t>
      </w:r>
      <w:r>
        <w:t xml:space="preserve">alamity </w:t>
      </w:r>
      <w:r w:rsidR="00816CED">
        <w:t>F</w:t>
      </w:r>
      <w:r>
        <w:t>und</w:t>
      </w:r>
      <w:r w:rsidR="00816CED">
        <w:t>, later renamed as the N</w:t>
      </w:r>
      <w:r>
        <w:t xml:space="preserve">ational </w:t>
      </w:r>
      <w:r w:rsidR="00816CED">
        <w:t>D</w:t>
      </w:r>
      <w:r>
        <w:t xml:space="preserve">isaster </w:t>
      </w:r>
      <w:r w:rsidR="00816CED">
        <w:t>R</w:t>
      </w:r>
      <w:r>
        <w:t xml:space="preserve">isk </w:t>
      </w:r>
      <w:r w:rsidR="00816CED">
        <w:t>R</w:t>
      </w:r>
      <w:r>
        <w:t xml:space="preserve">eduction and </w:t>
      </w:r>
      <w:r w:rsidR="00816CED">
        <w:t>M</w:t>
      </w:r>
      <w:r>
        <w:t xml:space="preserve">anagement </w:t>
      </w:r>
      <w:r w:rsidR="00816CED">
        <w:t>F</w:t>
      </w:r>
      <w:r>
        <w:t xml:space="preserve">und, special fund allocations for </w:t>
      </w:r>
      <w:r w:rsidR="00151BA0">
        <w:t>local government unit</w:t>
      </w:r>
      <w:r>
        <w:t>s</w:t>
      </w:r>
      <w:r w:rsidR="00816CED">
        <w:t xml:space="preserve"> from shares in national taxes</w:t>
      </w:r>
      <w:r>
        <w:t>, and the Pr</w:t>
      </w:r>
      <w:r w:rsidR="00816CED">
        <w:t xml:space="preserve">esident’s Contingency </w:t>
      </w:r>
      <w:r>
        <w:t>Fund</w:t>
      </w:r>
      <w:r w:rsidRPr="005A497D">
        <w:rPr>
          <w:lang w:eastAsia="en-SG"/>
        </w:rPr>
        <w:t xml:space="preserve">. </w:t>
      </w:r>
    </w:p>
    <w:p w14:paraId="21AFD6B0" w14:textId="77777777" w:rsidR="001762EE" w:rsidRDefault="001762EE" w:rsidP="00581E30">
      <w:pPr>
        <w:pStyle w:val="NormalWeb"/>
        <w:autoSpaceDE w:val="0"/>
        <w:autoSpaceDN w:val="0"/>
        <w:adjustRightInd w:val="0"/>
        <w:spacing w:before="0" w:beforeAutospacing="0" w:after="0" w:afterAutospacing="0"/>
        <w:contextualSpacing/>
        <w:jc w:val="both"/>
      </w:pPr>
    </w:p>
    <w:p w14:paraId="394F67A6" w14:textId="5144497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lang w:eastAsia="en-SG"/>
        </w:rPr>
        <w:t>The contingency share average for 201</w:t>
      </w:r>
      <w:r>
        <w:rPr>
          <w:lang w:eastAsia="en-SG"/>
        </w:rPr>
        <w:t>2</w:t>
      </w:r>
      <w:r w:rsidRPr="005A497D">
        <w:rPr>
          <w:lang w:eastAsia="en-SG"/>
        </w:rPr>
        <w:t xml:space="preserve"> to 201</w:t>
      </w:r>
      <w:r>
        <w:rPr>
          <w:lang w:eastAsia="en-SG"/>
        </w:rPr>
        <w:t>4</w:t>
      </w:r>
      <w:r w:rsidRPr="005A497D">
        <w:rPr>
          <w:lang w:eastAsia="en-SG"/>
        </w:rPr>
        <w:t xml:space="preserve"> is </w:t>
      </w:r>
      <w:r>
        <w:rPr>
          <w:lang w:eastAsia="en-SG"/>
        </w:rPr>
        <w:t>0.</w:t>
      </w:r>
      <w:r w:rsidR="00E21511">
        <w:rPr>
          <w:lang w:eastAsia="en-SG"/>
        </w:rPr>
        <w:t>65</w:t>
      </w:r>
      <w:r>
        <w:rPr>
          <w:lang w:eastAsia="en-SG"/>
        </w:rPr>
        <w:t xml:space="preserve"> percent, which merits an “A” score for Dimension 2.3.</w:t>
      </w:r>
    </w:p>
    <w:p w14:paraId="61EF9339" w14:textId="77777777" w:rsidR="001762EE" w:rsidRPr="005A497D" w:rsidRDefault="001762EE" w:rsidP="00360B29">
      <w:pPr>
        <w:pStyle w:val="NormalWeb"/>
        <w:autoSpaceDE w:val="0"/>
        <w:autoSpaceDN w:val="0"/>
        <w:adjustRightInd w:val="0"/>
        <w:spacing w:before="0" w:beforeAutospacing="0" w:after="0" w:afterAutospacing="0"/>
        <w:contextualSpacing/>
        <w:jc w:val="both"/>
        <w:rPr>
          <w:u w:val="single"/>
        </w:rPr>
      </w:pPr>
    </w:p>
    <w:p w14:paraId="3F470122" w14:textId="77777777" w:rsidR="001805CA" w:rsidRDefault="001805CA" w:rsidP="006576C5">
      <w:pPr>
        <w:pStyle w:val="PEFATable"/>
        <w:spacing w:after="40"/>
        <w:jc w:val="both"/>
        <w:rPr>
          <w:sz w:val="24"/>
          <w:szCs w:val="24"/>
        </w:rPr>
      </w:pPr>
    </w:p>
    <w:p w14:paraId="4ADAAB01" w14:textId="43C4239E" w:rsidR="001762EE" w:rsidRPr="005A497D" w:rsidRDefault="001762EE" w:rsidP="006576C5">
      <w:pPr>
        <w:pStyle w:val="PEFATable"/>
        <w:spacing w:after="40"/>
        <w:jc w:val="both"/>
        <w:rPr>
          <w:sz w:val="24"/>
          <w:szCs w:val="24"/>
        </w:rPr>
      </w:pPr>
      <w:bookmarkStart w:id="70" w:name="_Toc454889247"/>
      <w:r w:rsidRPr="005A497D">
        <w:rPr>
          <w:sz w:val="24"/>
          <w:szCs w:val="24"/>
        </w:rPr>
        <w:t>Table 3.</w:t>
      </w:r>
      <w:r w:rsidR="00E21511">
        <w:rPr>
          <w:sz w:val="24"/>
          <w:szCs w:val="24"/>
        </w:rPr>
        <w:t>5</w:t>
      </w:r>
      <w:r w:rsidRPr="005A497D">
        <w:rPr>
          <w:sz w:val="24"/>
          <w:szCs w:val="24"/>
        </w:rPr>
        <w:t xml:space="preserve">: </w:t>
      </w:r>
      <w:r>
        <w:rPr>
          <w:sz w:val="24"/>
          <w:szCs w:val="24"/>
        </w:rPr>
        <w:t>Budget obligations incurred for contingency reserves</w:t>
      </w:r>
      <w:bookmarkEnd w:id="70"/>
      <w:r w:rsidRPr="005A497D">
        <w:rPr>
          <w:sz w:val="24"/>
          <w:szCs w:val="24"/>
        </w:rPr>
        <w:t xml:space="preserve"> </w:t>
      </w:r>
    </w:p>
    <w:tbl>
      <w:tblPr>
        <w:tblStyle w:val="TableGrid"/>
        <w:tblW w:w="0" w:type="auto"/>
        <w:jc w:val="center"/>
        <w:tblLook w:val="04A0" w:firstRow="1" w:lastRow="0" w:firstColumn="1" w:lastColumn="0" w:noHBand="0" w:noVBand="1"/>
      </w:tblPr>
      <w:tblGrid>
        <w:gridCol w:w="4428"/>
        <w:gridCol w:w="1623"/>
        <w:gridCol w:w="1624"/>
        <w:gridCol w:w="1624"/>
      </w:tblGrid>
      <w:tr w:rsidR="00917C30" w:rsidRPr="005A497D" w14:paraId="5FEEF1FD" w14:textId="77777777" w:rsidTr="009E55FB">
        <w:trPr>
          <w:trHeight w:val="288"/>
          <w:jc w:val="center"/>
        </w:trPr>
        <w:tc>
          <w:tcPr>
            <w:tcW w:w="4428" w:type="dxa"/>
            <w:vMerge w:val="restart"/>
            <w:tcBorders>
              <w:top w:val="double" w:sz="4" w:space="0" w:color="auto"/>
              <w:left w:val="double" w:sz="4" w:space="0" w:color="auto"/>
            </w:tcBorders>
            <w:shd w:val="clear" w:color="auto" w:fill="D9D9D9" w:themeFill="background1" w:themeFillShade="D9"/>
            <w:vAlign w:val="center"/>
          </w:tcPr>
          <w:p w14:paraId="3A3AC7B0" w14:textId="77777777" w:rsidR="00917C30" w:rsidRPr="000D0E8D" w:rsidRDefault="00917C30" w:rsidP="009E55FB">
            <w:pPr>
              <w:pStyle w:val="NormalWeb"/>
              <w:autoSpaceDE w:val="0"/>
              <w:autoSpaceDN w:val="0"/>
              <w:adjustRightInd w:val="0"/>
              <w:contextualSpacing/>
              <w:jc w:val="center"/>
              <w:rPr>
                <w:b/>
                <w:sz w:val="20"/>
                <w:szCs w:val="20"/>
              </w:rPr>
            </w:pPr>
            <w:r w:rsidRPr="000D0E8D">
              <w:rPr>
                <w:b/>
                <w:sz w:val="22"/>
                <w:szCs w:val="20"/>
              </w:rPr>
              <w:t>Name of fund</w:t>
            </w:r>
          </w:p>
        </w:tc>
        <w:tc>
          <w:tcPr>
            <w:tcW w:w="4871" w:type="dxa"/>
            <w:gridSpan w:val="3"/>
            <w:tcBorders>
              <w:top w:val="double" w:sz="4" w:space="0" w:color="auto"/>
              <w:right w:val="double" w:sz="4" w:space="0" w:color="auto"/>
            </w:tcBorders>
            <w:shd w:val="clear" w:color="auto" w:fill="D9D9D9" w:themeFill="background1" w:themeFillShade="D9"/>
            <w:vAlign w:val="center"/>
          </w:tcPr>
          <w:p w14:paraId="7C0B7E08" w14:textId="77777777" w:rsidR="00917C30" w:rsidRPr="009B14CF" w:rsidRDefault="00917C30" w:rsidP="009E55FB">
            <w:pPr>
              <w:pStyle w:val="NormalWeb"/>
              <w:autoSpaceDE w:val="0"/>
              <w:autoSpaceDN w:val="0"/>
              <w:adjustRightInd w:val="0"/>
              <w:contextualSpacing/>
              <w:jc w:val="center"/>
              <w:rPr>
                <w:i/>
                <w:sz w:val="20"/>
                <w:szCs w:val="20"/>
              </w:rPr>
            </w:pPr>
            <w:r>
              <w:rPr>
                <w:b/>
                <w:i/>
                <w:sz w:val="20"/>
                <w:szCs w:val="20"/>
              </w:rPr>
              <w:t>(</w:t>
            </w:r>
            <w:r w:rsidRPr="009B14CF">
              <w:rPr>
                <w:b/>
                <w:i/>
                <w:sz w:val="20"/>
                <w:szCs w:val="20"/>
              </w:rPr>
              <w:t>PhP millions</w:t>
            </w:r>
            <w:r>
              <w:rPr>
                <w:b/>
                <w:i/>
                <w:sz w:val="20"/>
                <w:szCs w:val="20"/>
              </w:rPr>
              <w:t>)</w:t>
            </w:r>
          </w:p>
        </w:tc>
      </w:tr>
      <w:tr w:rsidR="00917C30" w:rsidRPr="005A497D" w14:paraId="182B2399" w14:textId="77777777" w:rsidTr="009E55FB">
        <w:trPr>
          <w:trHeight w:val="357"/>
          <w:jc w:val="center"/>
        </w:trPr>
        <w:tc>
          <w:tcPr>
            <w:tcW w:w="4428" w:type="dxa"/>
            <w:vMerge/>
            <w:tcBorders>
              <w:left w:val="double" w:sz="4" w:space="0" w:color="auto"/>
            </w:tcBorders>
            <w:shd w:val="clear" w:color="auto" w:fill="D9D9D9" w:themeFill="background1" w:themeFillShade="D9"/>
            <w:vAlign w:val="center"/>
          </w:tcPr>
          <w:p w14:paraId="6CC66521" w14:textId="77777777" w:rsidR="00917C30" w:rsidRPr="006E22AC" w:rsidRDefault="00917C30" w:rsidP="009E55FB">
            <w:pPr>
              <w:pStyle w:val="NormalWeb"/>
              <w:autoSpaceDE w:val="0"/>
              <w:autoSpaceDN w:val="0"/>
              <w:adjustRightInd w:val="0"/>
              <w:contextualSpacing/>
              <w:jc w:val="center"/>
              <w:rPr>
                <w:b/>
                <w:sz w:val="22"/>
                <w:szCs w:val="18"/>
              </w:rPr>
            </w:pPr>
          </w:p>
        </w:tc>
        <w:tc>
          <w:tcPr>
            <w:tcW w:w="1623" w:type="dxa"/>
            <w:tcBorders>
              <w:top w:val="double" w:sz="4" w:space="0" w:color="auto"/>
              <w:right w:val="double" w:sz="4" w:space="0" w:color="auto"/>
            </w:tcBorders>
            <w:shd w:val="clear" w:color="auto" w:fill="D9D9D9" w:themeFill="background1" w:themeFillShade="D9"/>
            <w:vAlign w:val="center"/>
          </w:tcPr>
          <w:p w14:paraId="12228440" w14:textId="77777777" w:rsidR="00917C30" w:rsidRPr="000D0E8D" w:rsidRDefault="00917C30" w:rsidP="009E55FB">
            <w:pPr>
              <w:pStyle w:val="NormalWeb"/>
              <w:autoSpaceDE w:val="0"/>
              <w:autoSpaceDN w:val="0"/>
              <w:adjustRightInd w:val="0"/>
              <w:contextualSpacing/>
              <w:jc w:val="center"/>
              <w:rPr>
                <w:b/>
                <w:sz w:val="20"/>
                <w:szCs w:val="20"/>
              </w:rPr>
            </w:pPr>
            <w:r w:rsidRPr="000D0E8D">
              <w:rPr>
                <w:b/>
                <w:sz w:val="20"/>
                <w:szCs w:val="20"/>
              </w:rPr>
              <w:t>2012</w:t>
            </w:r>
          </w:p>
        </w:tc>
        <w:tc>
          <w:tcPr>
            <w:tcW w:w="1624" w:type="dxa"/>
            <w:tcBorders>
              <w:top w:val="double" w:sz="4" w:space="0" w:color="auto"/>
              <w:right w:val="double" w:sz="4" w:space="0" w:color="auto"/>
            </w:tcBorders>
            <w:shd w:val="clear" w:color="auto" w:fill="D9D9D9" w:themeFill="background1" w:themeFillShade="D9"/>
            <w:vAlign w:val="center"/>
          </w:tcPr>
          <w:p w14:paraId="51383609" w14:textId="77777777" w:rsidR="00917C30" w:rsidRPr="000D0E8D" w:rsidRDefault="00917C30" w:rsidP="009E55FB">
            <w:pPr>
              <w:pStyle w:val="NormalWeb"/>
              <w:autoSpaceDE w:val="0"/>
              <w:autoSpaceDN w:val="0"/>
              <w:adjustRightInd w:val="0"/>
              <w:contextualSpacing/>
              <w:jc w:val="center"/>
              <w:rPr>
                <w:sz w:val="20"/>
                <w:szCs w:val="20"/>
              </w:rPr>
            </w:pPr>
            <w:r w:rsidRPr="000D0E8D">
              <w:rPr>
                <w:b/>
                <w:sz w:val="20"/>
                <w:szCs w:val="20"/>
              </w:rPr>
              <w:t>2013</w:t>
            </w:r>
          </w:p>
        </w:tc>
        <w:tc>
          <w:tcPr>
            <w:tcW w:w="1624" w:type="dxa"/>
            <w:tcBorders>
              <w:top w:val="double" w:sz="4" w:space="0" w:color="auto"/>
              <w:right w:val="double" w:sz="4" w:space="0" w:color="auto"/>
            </w:tcBorders>
            <w:shd w:val="clear" w:color="auto" w:fill="D9D9D9" w:themeFill="background1" w:themeFillShade="D9"/>
            <w:vAlign w:val="center"/>
          </w:tcPr>
          <w:p w14:paraId="747DC63E" w14:textId="77777777" w:rsidR="00917C30" w:rsidRPr="000D0E8D" w:rsidRDefault="00917C30" w:rsidP="009E55FB">
            <w:pPr>
              <w:pStyle w:val="NormalWeb"/>
              <w:autoSpaceDE w:val="0"/>
              <w:autoSpaceDN w:val="0"/>
              <w:adjustRightInd w:val="0"/>
              <w:contextualSpacing/>
              <w:jc w:val="center"/>
              <w:rPr>
                <w:sz w:val="20"/>
                <w:szCs w:val="20"/>
              </w:rPr>
            </w:pPr>
            <w:r w:rsidRPr="000D0E8D">
              <w:rPr>
                <w:b/>
                <w:sz w:val="20"/>
                <w:szCs w:val="20"/>
              </w:rPr>
              <w:t>2014</w:t>
            </w:r>
          </w:p>
        </w:tc>
      </w:tr>
      <w:tr w:rsidR="00917C30" w:rsidRPr="005A497D" w14:paraId="096F34F5" w14:textId="77777777" w:rsidTr="009E55FB">
        <w:trPr>
          <w:trHeight w:val="283"/>
          <w:jc w:val="center"/>
        </w:trPr>
        <w:tc>
          <w:tcPr>
            <w:tcW w:w="4428" w:type="dxa"/>
            <w:tcBorders>
              <w:left w:val="double" w:sz="4" w:space="0" w:color="auto"/>
            </w:tcBorders>
            <w:vAlign w:val="center"/>
          </w:tcPr>
          <w:p w14:paraId="4A016DC9" w14:textId="77777777" w:rsidR="00917C30" w:rsidRPr="009B14CF" w:rsidRDefault="00917C30" w:rsidP="009E55FB">
            <w:pPr>
              <w:pStyle w:val="NormalWeb"/>
              <w:autoSpaceDE w:val="0"/>
              <w:autoSpaceDN w:val="0"/>
              <w:adjustRightInd w:val="0"/>
              <w:spacing w:before="0" w:beforeAutospacing="0" w:after="0" w:afterAutospacing="0"/>
              <w:contextualSpacing/>
              <w:rPr>
                <w:sz w:val="20"/>
                <w:szCs w:val="20"/>
              </w:rPr>
            </w:pPr>
            <w:r w:rsidRPr="009B14CF">
              <w:rPr>
                <w:sz w:val="20"/>
                <w:szCs w:val="20"/>
              </w:rPr>
              <w:t>National Disaster Risk Reduction and Management Fund</w:t>
            </w:r>
            <w:r>
              <w:rPr>
                <w:sz w:val="20"/>
                <w:szCs w:val="20"/>
              </w:rPr>
              <w:t xml:space="preserve"> / Calamity Fund</w:t>
            </w:r>
          </w:p>
        </w:tc>
        <w:tc>
          <w:tcPr>
            <w:tcW w:w="1623" w:type="dxa"/>
            <w:vAlign w:val="center"/>
          </w:tcPr>
          <w:p w14:paraId="33DDA39E" w14:textId="77777777" w:rsidR="00917C30" w:rsidRPr="009B14CF" w:rsidRDefault="00917C30" w:rsidP="000D0E8D">
            <w:pPr>
              <w:pStyle w:val="NormalWeb"/>
              <w:autoSpaceDE w:val="0"/>
              <w:autoSpaceDN w:val="0"/>
              <w:adjustRightInd w:val="0"/>
              <w:spacing w:before="0" w:beforeAutospacing="0" w:after="0" w:afterAutospacing="0"/>
              <w:ind w:right="113"/>
              <w:jc w:val="center"/>
              <w:rPr>
                <w:sz w:val="20"/>
                <w:szCs w:val="20"/>
              </w:rPr>
            </w:pPr>
            <w:r>
              <w:rPr>
                <w:sz w:val="20"/>
                <w:szCs w:val="20"/>
              </w:rPr>
              <w:t>3,960.17</w:t>
            </w:r>
          </w:p>
        </w:tc>
        <w:tc>
          <w:tcPr>
            <w:tcW w:w="1624" w:type="dxa"/>
            <w:vAlign w:val="center"/>
          </w:tcPr>
          <w:p w14:paraId="58DAB7F1" w14:textId="77777777" w:rsidR="00917C30" w:rsidRPr="009B14CF" w:rsidRDefault="00917C30" w:rsidP="000D0E8D">
            <w:pPr>
              <w:pStyle w:val="NormalWeb"/>
              <w:autoSpaceDE w:val="0"/>
              <w:autoSpaceDN w:val="0"/>
              <w:adjustRightInd w:val="0"/>
              <w:spacing w:before="0" w:beforeAutospacing="0" w:after="0" w:afterAutospacing="0"/>
              <w:ind w:right="113"/>
              <w:jc w:val="center"/>
              <w:rPr>
                <w:sz w:val="20"/>
                <w:szCs w:val="20"/>
              </w:rPr>
            </w:pPr>
            <w:r>
              <w:rPr>
                <w:sz w:val="20"/>
                <w:szCs w:val="20"/>
              </w:rPr>
              <w:t>7,676.70</w:t>
            </w:r>
          </w:p>
        </w:tc>
        <w:tc>
          <w:tcPr>
            <w:tcW w:w="1624" w:type="dxa"/>
            <w:tcBorders>
              <w:right w:val="double" w:sz="4" w:space="0" w:color="auto"/>
            </w:tcBorders>
            <w:vAlign w:val="center"/>
          </w:tcPr>
          <w:p w14:paraId="59CF86B2" w14:textId="77777777" w:rsidR="00917C30" w:rsidRPr="009B14CF" w:rsidRDefault="00917C30" w:rsidP="000D0E8D">
            <w:pPr>
              <w:pStyle w:val="NormalWeb"/>
              <w:autoSpaceDE w:val="0"/>
              <w:autoSpaceDN w:val="0"/>
              <w:adjustRightInd w:val="0"/>
              <w:spacing w:before="0" w:beforeAutospacing="0" w:after="0" w:afterAutospacing="0"/>
              <w:ind w:right="113"/>
              <w:jc w:val="center"/>
              <w:rPr>
                <w:sz w:val="20"/>
                <w:szCs w:val="20"/>
              </w:rPr>
            </w:pPr>
            <w:r>
              <w:rPr>
                <w:sz w:val="20"/>
                <w:szCs w:val="20"/>
              </w:rPr>
              <w:t>41,063.82</w:t>
            </w:r>
          </w:p>
        </w:tc>
      </w:tr>
      <w:tr w:rsidR="00917C30" w:rsidRPr="005A497D" w14:paraId="66F1DDDE" w14:textId="77777777" w:rsidTr="009E55FB">
        <w:trPr>
          <w:trHeight w:val="283"/>
          <w:jc w:val="center"/>
        </w:trPr>
        <w:tc>
          <w:tcPr>
            <w:tcW w:w="4428" w:type="dxa"/>
            <w:tcBorders>
              <w:left w:val="double" w:sz="4" w:space="0" w:color="auto"/>
            </w:tcBorders>
            <w:vAlign w:val="center"/>
          </w:tcPr>
          <w:p w14:paraId="0A4F49C3" w14:textId="77777777" w:rsidR="00917C30" w:rsidRPr="009B14CF" w:rsidRDefault="00917C30" w:rsidP="009E55FB">
            <w:pPr>
              <w:pStyle w:val="NormalWeb"/>
              <w:autoSpaceDE w:val="0"/>
              <w:autoSpaceDN w:val="0"/>
              <w:adjustRightInd w:val="0"/>
              <w:spacing w:before="0" w:beforeAutospacing="0" w:after="0" w:afterAutospacing="0"/>
              <w:contextualSpacing/>
              <w:rPr>
                <w:sz w:val="20"/>
                <w:szCs w:val="20"/>
              </w:rPr>
            </w:pPr>
            <w:r>
              <w:rPr>
                <w:sz w:val="20"/>
                <w:szCs w:val="20"/>
              </w:rPr>
              <w:t>Transfers to LGUs</w:t>
            </w:r>
          </w:p>
        </w:tc>
        <w:tc>
          <w:tcPr>
            <w:tcW w:w="1623" w:type="dxa"/>
            <w:vAlign w:val="center"/>
          </w:tcPr>
          <w:p w14:paraId="1ECD7E81" w14:textId="77777777" w:rsidR="00917C30" w:rsidRPr="009B14CF" w:rsidRDefault="00917C30" w:rsidP="000D0E8D">
            <w:pPr>
              <w:pStyle w:val="NormalWeb"/>
              <w:autoSpaceDE w:val="0"/>
              <w:autoSpaceDN w:val="0"/>
              <w:adjustRightInd w:val="0"/>
              <w:spacing w:before="0" w:beforeAutospacing="0" w:after="0" w:afterAutospacing="0"/>
              <w:ind w:right="113"/>
              <w:jc w:val="center"/>
              <w:rPr>
                <w:sz w:val="20"/>
                <w:szCs w:val="20"/>
              </w:rPr>
            </w:pPr>
            <w:r>
              <w:rPr>
                <w:sz w:val="20"/>
                <w:szCs w:val="20"/>
              </w:rPr>
              <w:t>2,966.18</w:t>
            </w:r>
          </w:p>
        </w:tc>
        <w:tc>
          <w:tcPr>
            <w:tcW w:w="1624" w:type="dxa"/>
            <w:vAlign w:val="center"/>
          </w:tcPr>
          <w:p w14:paraId="4C7AEB56" w14:textId="77777777" w:rsidR="00917C30" w:rsidRPr="009B14CF" w:rsidRDefault="00917C30" w:rsidP="000D0E8D">
            <w:pPr>
              <w:pStyle w:val="NormalWeb"/>
              <w:autoSpaceDE w:val="0"/>
              <w:autoSpaceDN w:val="0"/>
              <w:adjustRightInd w:val="0"/>
              <w:spacing w:before="0" w:beforeAutospacing="0" w:after="0" w:afterAutospacing="0"/>
              <w:ind w:right="113"/>
              <w:jc w:val="center"/>
              <w:rPr>
                <w:sz w:val="20"/>
                <w:szCs w:val="20"/>
              </w:rPr>
            </w:pPr>
            <w:r>
              <w:rPr>
                <w:sz w:val="20"/>
                <w:szCs w:val="20"/>
              </w:rPr>
              <w:t>1,649.03</w:t>
            </w:r>
          </w:p>
        </w:tc>
        <w:tc>
          <w:tcPr>
            <w:tcW w:w="1624" w:type="dxa"/>
            <w:tcBorders>
              <w:right w:val="double" w:sz="4" w:space="0" w:color="auto"/>
            </w:tcBorders>
            <w:vAlign w:val="center"/>
          </w:tcPr>
          <w:p w14:paraId="22A31F3B" w14:textId="77777777" w:rsidR="00917C30" w:rsidRPr="009B14CF" w:rsidRDefault="00917C30" w:rsidP="000D0E8D">
            <w:pPr>
              <w:pStyle w:val="NormalWeb"/>
              <w:autoSpaceDE w:val="0"/>
              <w:autoSpaceDN w:val="0"/>
              <w:adjustRightInd w:val="0"/>
              <w:spacing w:before="0" w:beforeAutospacing="0" w:after="0" w:afterAutospacing="0"/>
              <w:ind w:right="113"/>
              <w:jc w:val="center"/>
              <w:rPr>
                <w:sz w:val="20"/>
                <w:szCs w:val="20"/>
              </w:rPr>
            </w:pPr>
            <w:r>
              <w:rPr>
                <w:sz w:val="20"/>
                <w:szCs w:val="20"/>
              </w:rPr>
              <w:t>258.13</w:t>
            </w:r>
          </w:p>
        </w:tc>
      </w:tr>
      <w:tr w:rsidR="00917C30" w:rsidRPr="005A497D" w14:paraId="18E25CC9" w14:textId="77777777" w:rsidTr="009E55FB">
        <w:trPr>
          <w:trHeight w:val="283"/>
          <w:jc w:val="center"/>
        </w:trPr>
        <w:tc>
          <w:tcPr>
            <w:tcW w:w="4428" w:type="dxa"/>
            <w:tcBorders>
              <w:left w:val="double" w:sz="4" w:space="0" w:color="auto"/>
              <w:bottom w:val="double" w:sz="4" w:space="0" w:color="auto"/>
            </w:tcBorders>
            <w:vAlign w:val="center"/>
          </w:tcPr>
          <w:p w14:paraId="67D979C5" w14:textId="77777777" w:rsidR="00917C30" w:rsidRPr="009B14CF" w:rsidRDefault="00917C30" w:rsidP="009E55FB">
            <w:pPr>
              <w:pStyle w:val="NormalWeb"/>
              <w:autoSpaceDE w:val="0"/>
              <w:autoSpaceDN w:val="0"/>
              <w:adjustRightInd w:val="0"/>
              <w:spacing w:before="0" w:beforeAutospacing="0" w:after="0" w:afterAutospacing="0"/>
              <w:contextualSpacing/>
              <w:rPr>
                <w:b/>
                <w:sz w:val="20"/>
                <w:szCs w:val="20"/>
              </w:rPr>
            </w:pPr>
            <w:r w:rsidRPr="009B14CF">
              <w:rPr>
                <w:b/>
                <w:sz w:val="20"/>
                <w:szCs w:val="20"/>
              </w:rPr>
              <w:t>Total</w:t>
            </w:r>
          </w:p>
        </w:tc>
        <w:tc>
          <w:tcPr>
            <w:tcW w:w="1623" w:type="dxa"/>
            <w:tcBorders>
              <w:bottom w:val="double" w:sz="4" w:space="0" w:color="auto"/>
            </w:tcBorders>
            <w:vAlign w:val="center"/>
          </w:tcPr>
          <w:p w14:paraId="1D215887" w14:textId="77777777" w:rsidR="00917C30" w:rsidRPr="009B14CF" w:rsidRDefault="00917C30" w:rsidP="000D0E8D">
            <w:pPr>
              <w:pStyle w:val="NormalWeb"/>
              <w:autoSpaceDE w:val="0"/>
              <w:autoSpaceDN w:val="0"/>
              <w:adjustRightInd w:val="0"/>
              <w:spacing w:before="0" w:beforeAutospacing="0" w:after="0" w:afterAutospacing="0"/>
              <w:ind w:right="113"/>
              <w:jc w:val="center"/>
              <w:rPr>
                <w:b/>
                <w:sz w:val="20"/>
                <w:szCs w:val="20"/>
              </w:rPr>
            </w:pPr>
            <w:r>
              <w:rPr>
                <w:b/>
                <w:sz w:val="20"/>
                <w:szCs w:val="20"/>
              </w:rPr>
              <w:t>6,926.35</w:t>
            </w:r>
          </w:p>
        </w:tc>
        <w:tc>
          <w:tcPr>
            <w:tcW w:w="1624" w:type="dxa"/>
            <w:tcBorders>
              <w:bottom w:val="double" w:sz="4" w:space="0" w:color="auto"/>
            </w:tcBorders>
            <w:vAlign w:val="center"/>
          </w:tcPr>
          <w:p w14:paraId="234E0458" w14:textId="77777777" w:rsidR="00917C30" w:rsidRPr="009B14CF" w:rsidRDefault="00917C30" w:rsidP="000D0E8D">
            <w:pPr>
              <w:pStyle w:val="NormalWeb"/>
              <w:autoSpaceDE w:val="0"/>
              <w:autoSpaceDN w:val="0"/>
              <w:adjustRightInd w:val="0"/>
              <w:spacing w:before="0" w:beforeAutospacing="0" w:after="0" w:afterAutospacing="0"/>
              <w:ind w:right="113"/>
              <w:jc w:val="center"/>
              <w:rPr>
                <w:b/>
                <w:sz w:val="20"/>
                <w:szCs w:val="20"/>
              </w:rPr>
            </w:pPr>
            <w:r>
              <w:rPr>
                <w:b/>
                <w:sz w:val="20"/>
                <w:szCs w:val="20"/>
              </w:rPr>
              <w:t>9,325.73</w:t>
            </w:r>
          </w:p>
        </w:tc>
        <w:tc>
          <w:tcPr>
            <w:tcW w:w="1624" w:type="dxa"/>
            <w:tcBorders>
              <w:bottom w:val="double" w:sz="4" w:space="0" w:color="auto"/>
              <w:right w:val="double" w:sz="4" w:space="0" w:color="auto"/>
            </w:tcBorders>
            <w:vAlign w:val="center"/>
          </w:tcPr>
          <w:p w14:paraId="03095A85" w14:textId="77777777" w:rsidR="00917C30" w:rsidRPr="009B14CF" w:rsidRDefault="00917C30" w:rsidP="000D0E8D">
            <w:pPr>
              <w:pStyle w:val="NormalWeb"/>
              <w:autoSpaceDE w:val="0"/>
              <w:autoSpaceDN w:val="0"/>
              <w:adjustRightInd w:val="0"/>
              <w:spacing w:before="0" w:beforeAutospacing="0" w:after="0" w:afterAutospacing="0"/>
              <w:ind w:right="113"/>
              <w:jc w:val="center"/>
              <w:rPr>
                <w:b/>
                <w:sz w:val="20"/>
                <w:szCs w:val="20"/>
              </w:rPr>
            </w:pPr>
            <w:r>
              <w:rPr>
                <w:b/>
                <w:sz w:val="20"/>
                <w:szCs w:val="20"/>
              </w:rPr>
              <w:t>41,321.95</w:t>
            </w:r>
          </w:p>
        </w:tc>
      </w:tr>
    </w:tbl>
    <w:p w14:paraId="6F157FE2" w14:textId="77777777" w:rsidR="00917C30" w:rsidRPr="005A497D" w:rsidRDefault="00917C30" w:rsidP="00917C30">
      <w:pPr>
        <w:spacing w:before="40"/>
        <w:jc w:val="both"/>
        <w:rPr>
          <w:sz w:val="18"/>
          <w:szCs w:val="18"/>
        </w:rPr>
      </w:pPr>
      <w:r w:rsidRPr="0043657F">
        <w:rPr>
          <w:i/>
          <w:sz w:val="18"/>
          <w:szCs w:val="18"/>
        </w:rPr>
        <w:t>Source</w:t>
      </w:r>
      <w:r w:rsidRPr="005A497D">
        <w:rPr>
          <w:sz w:val="18"/>
          <w:szCs w:val="18"/>
        </w:rPr>
        <w:t xml:space="preserve">: </w:t>
      </w:r>
      <w:r>
        <w:rPr>
          <w:sz w:val="18"/>
          <w:szCs w:val="18"/>
        </w:rPr>
        <w:t>DBM Budget Technical Bureau</w:t>
      </w:r>
      <w:r w:rsidRPr="005A497D">
        <w:rPr>
          <w:sz w:val="18"/>
          <w:szCs w:val="18"/>
        </w:rPr>
        <w:t>.</w:t>
      </w:r>
    </w:p>
    <w:p w14:paraId="74DE9C3F" w14:textId="77777777" w:rsidR="0015142A" w:rsidRPr="005A497D" w:rsidRDefault="0015142A" w:rsidP="00360B29">
      <w:pPr>
        <w:pStyle w:val="NormalWeb"/>
        <w:autoSpaceDE w:val="0"/>
        <w:autoSpaceDN w:val="0"/>
        <w:adjustRightInd w:val="0"/>
        <w:spacing w:before="0" w:beforeAutospacing="0" w:after="0" w:afterAutospacing="0"/>
        <w:contextualSpacing/>
        <w:jc w:val="both"/>
        <w:rPr>
          <w:u w:val="single"/>
        </w:rPr>
      </w:pPr>
    </w:p>
    <w:p w14:paraId="775B4E58" w14:textId="18B8BC43" w:rsidR="001762EE" w:rsidRDefault="001762EE" w:rsidP="00411651">
      <w:pPr>
        <w:pStyle w:val="Style2"/>
      </w:pPr>
      <w:bookmarkStart w:id="71" w:name="_Toc429682047"/>
      <w:bookmarkStart w:id="72" w:name="_Toc454811646"/>
      <w:bookmarkStart w:id="73" w:name="_Toc454888791"/>
      <w:r w:rsidRPr="005A497D">
        <w:t xml:space="preserve">PI-3 </w:t>
      </w:r>
      <w:r>
        <w:t>R</w:t>
      </w:r>
      <w:r w:rsidRPr="005A497D">
        <w:t>evenue outturn</w:t>
      </w:r>
      <w:bookmarkEnd w:id="71"/>
      <w:bookmarkEnd w:id="72"/>
      <w:bookmarkEnd w:id="73"/>
    </w:p>
    <w:p w14:paraId="043B1095" w14:textId="77777777" w:rsidR="001762EE" w:rsidRPr="005A497D" w:rsidRDefault="001762EE" w:rsidP="00411651">
      <w:pPr>
        <w:pStyle w:val="Style2"/>
      </w:pPr>
    </w:p>
    <w:p w14:paraId="04D97252" w14:textId="5DE53D5E"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Accurate revenue forecasts are </w:t>
      </w:r>
      <w:r>
        <w:t xml:space="preserve">a </w:t>
      </w:r>
      <w:r w:rsidRPr="005A497D">
        <w:t>key input to the preparation of a credible budget. Revenues allow the government to finance expenditures and deliver services to its citizen</w:t>
      </w:r>
      <w:r>
        <w:t>s</w:t>
      </w:r>
      <w:r w:rsidRPr="005A497D">
        <w:t>. Optimistic revenue forecasts can lead to unjustifiably large expenditure allocations that will eventually require either an in-year and potentially disruptive reduction in spending or an unplanned increase in borrowing to sustain the spending level.</w:t>
      </w:r>
    </w:p>
    <w:p w14:paraId="25035A14" w14:textId="77777777" w:rsidR="001762EE" w:rsidRDefault="001762EE" w:rsidP="00E40A5B">
      <w:pPr>
        <w:jc w:val="both"/>
      </w:pPr>
    </w:p>
    <w:p w14:paraId="1B1D15E6" w14:textId="77777777" w:rsidR="0015142A" w:rsidRDefault="0015142A" w:rsidP="00E40A5B">
      <w:pPr>
        <w:jc w:val="both"/>
      </w:pPr>
    </w:p>
    <w:p w14:paraId="45DDD984" w14:textId="77777777" w:rsidR="0015142A" w:rsidRPr="005A497D" w:rsidRDefault="0015142A" w:rsidP="00E40A5B">
      <w:pPr>
        <w:jc w:val="both"/>
      </w:pPr>
    </w:p>
    <w:tbl>
      <w:tblPr>
        <w:tblW w:w="9389" w:type="dxa"/>
        <w:tblInd w:w="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33"/>
        <w:gridCol w:w="1843"/>
        <w:gridCol w:w="3913"/>
      </w:tblGrid>
      <w:tr w:rsidR="001762EE" w:rsidRPr="005A497D" w14:paraId="1293E846" w14:textId="77777777" w:rsidTr="00581E30">
        <w:trPr>
          <w:trHeight w:val="397"/>
        </w:trPr>
        <w:tc>
          <w:tcPr>
            <w:tcW w:w="3633" w:type="dxa"/>
            <w:tcBorders>
              <w:top w:val="double" w:sz="4" w:space="0" w:color="auto"/>
            </w:tcBorders>
            <w:shd w:val="clear" w:color="auto" w:fill="D9D9D9"/>
            <w:vAlign w:val="center"/>
          </w:tcPr>
          <w:p w14:paraId="0CA38424" w14:textId="77777777" w:rsidR="001762EE" w:rsidRPr="0043657F" w:rsidRDefault="001762EE" w:rsidP="00E40A5B">
            <w:pPr>
              <w:spacing w:before="40" w:after="40"/>
              <w:jc w:val="center"/>
              <w:rPr>
                <w:b/>
                <w:i/>
              </w:rPr>
            </w:pPr>
            <w:r w:rsidRPr="0043657F">
              <w:rPr>
                <w:b/>
                <w:i/>
                <w:sz w:val="22"/>
                <w:szCs w:val="22"/>
              </w:rPr>
              <w:t>Indicator / Dimension</w:t>
            </w:r>
          </w:p>
        </w:tc>
        <w:tc>
          <w:tcPr>
            <w:tcW w:w="1843" w:type="dxa"/>
            <w:tcBorders>
              <w:top w:val="double" w:sz="4" w:space="0" w:color="auto"/>
            </w:tcBorders>
            <w:shd w:val="clear" w:color="auto" w:fill="D9D9D9"/>
            <w:vAlign w:val="center"/>
          </w:tcPr>
          <w:p w14:paraId="78110881" w14:textId="77777777" w:rsidR="001762EE" w:rsidRPr="0043657F" w:rsidRDefault="001762EE" w:rsidP="00E40A5B">
            <w:pPr>
              <w:spacing w:before="40" w:after="40"/>
              <w:jc w:val="center"/>
              <w:rPr>
                <w:b/>
                <w:i/>
              </w:rPr>
            </w:pPr>
            <w:r w:rsidRPr="0043657F">
              <w:rPr>
                <w:b/>
                <w:i/>
                <w:sz w:val="22"/>
                <w:szCs w:val="22"/>
              </w:rPr>
              <w:t>Score</w:t>
            </w:r>
          </w:p>
        </w:tc>
        <w:tc>
          <w:tcPr>
            <w:tcW w:w="3913" w:type="dxa"/>
            <w:tcBorders>
              <w:top w:val="double" w:sz="4" w:space="0" w:color="auto"/>
            </w:tcBorders>
            <w:shd w:val="clear" w:color="auto" w:fill="D9D9D9"/>
            <w:vAlign w:val="center"/>
          </w:tcPr>
          <w:p w14:paraId="40803C3E" w14:textId="77777777" w:rsidR="001762EE" w:rsidRPr="0043657F" w:rsidRDefault="001762EE" w:rsidP="00E40A5B">
            <w:pPr>
              <w:spacing w:before="40" w:after="40"/>
              <w:jc w:val="center"/>
              <w:rPr>
                <w:b/>
                <w:i/>
              </w:rPr>
            </w:pPr>
            <w:r w:rsidRPr="0043657F">
              <w:rPr>
                <w:b/>
                <w:i/>
                <w:sz w:val="22"/>
                <w:szCs w:val="22"/>
              </w:rPr>
              <w:t>Brief Explanation</w:t>
            </w:r>
          </w:p>
        </w:tc>
      </w:tr>
      <w:tr w:rsidR="001762EE" w:rsidRPr="005A497D" w14:paraId="771619C5" w14:textId="77777777" w:rsidTr="00581E30">
        <w:tc>
          <w:tcPr>
            <w:tcW w:w="3633" w:type="dxa"/>
            <w:tcBorders>
              <w:top w:val="double" w:sz="4" w:space="0" w:color="auto"/>
              <w:bottom w:val="single" w:sz="4" w:space="0" w:color="auto"/>
            </w:tcBorders>
          </w:tcPr>
          <w:p w14:paraId="4F427F6C" w14:textId="4046EC14" w:rsidR="001762EE" w:rsidRPr="005A497D" w:rsidRDefault="001762EE" w:rsidP="00581E30">
            <w:pPr>
              <w:spacing w:before="20" w:after="20"/>
              <w:rPr>
                <w:b/>
              </w:rPr>
            </w:pPr>
            <w:r w:rsidRPr="005A497D">
              <w:rPr>
                <w:b/>
                <w:bCs/>
                <w:sz w:val="22"/>
                <w:szCs w:val="22"/>
              </w:rPr>
              <w:t xml:space="preserve">PI-3 </w:t>
            </w:r>
            <w:r>
              <w:rPr>
                <w:b/>
                <w:bCs/>
                <w:sz w:val="22"/>
                <w:szCs w:val="22"/>
              </w:rPr>
              <w:t>R</w:t>
            </w:r>
            <w:r w:rsidRPr="005A497D">
              <w:rPr>
                <w:b/>
                <w:bCs/>
                <w:sz w:val="22"/>
                <w:szCs w:val="22"/>
              </w:rPr>
              <w:t>evenue outturn</w:t>
            </w:r>
          </w:p>
        </w:tc>
        <w:tc>
          <w:tcPr>
            <w:tcW w:w="1843" w:type="dxa"/>
            <w:tcBorders>
              <w:top w:val="double" w:sz="4" w:space="0" w:color="auto"/>
              <w:bottom w:val="single" w:sz="4" w:space="0" w:color="auto"/>
            </w:tcBorders>
          </w:tcPr>
          <w:p w14:paraId="451F42B4" w14:textId="62A58B70" w:rsidR="001762EE" w:rsidRPr="005A497D" w:rsidRDefault="001762EE" w:rsidP="00E40A5B">
            <w:pPr>
              <w:spacing w:before="20" w:after="20"/>
              <w:jc w:val="center"/>
              <w:rPr>
                <w:b/>
              </w:rPr>
            </w:pPr>
            <w:r>
              <w:rPr>
                <w:b/>
              </w:rPr>
              <w:t>B</w:t>
            </w:r>
          </w:p>
        </w:tc>
        <w:tc>
          <w:tcPr>
            <w:tcW w:w="3913" w:type="dxa"/>
            <w:tcBorders>
              <w:top w:val="double" w:sz="4" w:space="0" w:color="auto"/>
              <w:bottom w:val="single" w:sz="4" w:space="0" w:color="auto"/>
            </w:tcBorders>
          </w:tcPr>
          <w:p w14:paraId="5B4EBF84" w14:textId="77777777" w:rsidR="001762EE" w:rsidRPr="005A497D" w:rsidRDefault="001762EE" w:rsidP="00E40A5B">
            <w:pPr>
              <w:spacing w:before="20" w:after="20"/>
            </w:pPr>
            <w:r w:rsidRPr="005A497D">
              <w:rPr>
                <w:sz w:val="22"/>
                <w:szCs w:val="22"/>
              </w:rPr>
              <w:t>Overall rating based on M2 methodology.</w:t>
            </w:r>
          </w:p>
        </w:tc>
      </w:tr>
      <w:tr w:rsidR="001762EE" w:rsidRPr="005A497D" w14:paraId="58944887" w14:textId="77777777" w:rsidTr="00581E30">
        <w:tc>
          <w:tcPr>
            <w:tcW w:w="3633" w:type="dxa"/>
            <w:tcBorders>
              <w:top w:val="single" w:sz="4" w:space="0" w:color="auto"/>
              <w:bottom w:val="single" w:sz="4" w:space="0" w:color="auto"/>
            </w:tcBorders>
          </w:tcPr>
          <w:p w14:paraId="25E78D35" w14:textId="1796214D" w:rsidR="001762EE" w:rsidRPr="005A497D" w:rsidRDefault="001762EE" w:rsidP="00581E30">
            <w:pPr>
              <w:pStyle w:val="Default"/>
              <w:rPr>
                <w:color w:val="auto"/>
                <w:sz w:val="22"/>
                <w:szCs w:val="22"/>
              </w:rPr>
            </w:pPr>
            <w:r>
              <w:rPr>
                <w:color w:val="auto"/>
                <w:sz w:val="22"/>
                <w:szCs w:val="22"/>
              </w:rPr>
              <w:t>3.1</w:t>
            </w:r>
            <w:r w:rsidRPr="005A497D">
              <w:rPr>
                <w:color w:val="auto"/>
                <w:sz w:val="22"/>
                <w:szCs w:val="22"/>
              </w:rPr>
              <w:t xml:space="preserve"> </w:t>
            </w:r>
            <w:r w:rsidRPr="005A497D">
              <w:rPr>
                <w:bCs/>
                <w:sz w:val="22"/>
                <w:szCs w:val="22"/>
              </w:rPr>
              <w:t>A</w:t>
            </w:r>
            <w:r>
              <w:rPr>
                <w:bCs/>
                <w:sz w:val="22"/>
                <w:szCs w:val="22"/>
              </w:rPr>
              <w:t>ggregate revenue outturn</w:t>
            </w:r>
          </w:p>
        </w:tc>
        <w:tc>
          <w:tcPr>
            <w:tcW w:w="1843" w:type="dxa"/>
            <w:tcBorders>
              <w:top w:val="single" w:sz="4" w:space="0" w:color="auto"/>
              <w:bottom w:val="single" w:sz="4" w:space="0" w:color="auto"/>
            </w:tcBorders>
          </w:tcPr>
          <w:p w14:paraId="3F2100CC" w14:textId="77777777" w:rsidR="001762EE" w:rsidRPr="005A497D" w:rsidRDefault="001762EE" w:rsidP="00E40A5B">
            <w:pPr>
              <w:spacing w:before="40" w:after="40"/>
              <w:jc w:val="center"/>
            </w:pPr>
            <w:r w:rsidRPr="005A497D">
              <w:rPr>
                <w:sz w:val="22"/>
                <w:szCs w:val="22"/>
              </w:rPr>
              <w:t>A</w:t>
            </w:r>
          </w:p>
        </w:tc>
        <w:tc>
          <w:tcPr>
            <w:tcW w:w="3913" w:type="dxa"/>
            <w:tcBorders>
              <w:top w:val="single" w:sz="4" w:space="0" w:color="auto"/>
              <w:bottom w:val="single" w:sz="4" w:space="0" w:color="auto"/>
            </w:tcBorders>
          </w:tcPr>
          <w:p w14:paraId="70286414" w14:textId="175012CA" w:rsidR="001762EE" w:rsidRPr="005A497D" w:rsidRDefault="001762EE" w:rsidP="00595E6C">
            <w:pPr>
              <w:autoSpaceDE w:val="0"/>
              <w:autoSpaceDN w:val="0"/>
              <w:adjustRightInd w:val="0"/>
            </w:pPr>
            <w:r w:rsidRPr="005A497D">
              <w:rPr>
                <w:sz w:val="22"/>
                <w:szCs w:val="22"/>
              </w:rPr>
              <w:t xml:space="preserve">The </w:t>
            </w:r>
            <w:r>
              <w:rPr>
                <w:sz w:val="22"/>
                <w:szCs w:val="22"/>
              </w:rPr>
              <w:t xml:space="preserve">revenue </w:t>
            </w:r>
            <w:r w:rsidRPr="005A497D">
              <w:rPr>
                <w:sz w:val="22"/>
                <w:szCs w:val="22"/>
              </w:rPr>
              <w:t xml:space="preserve">variances were between 97% and 106% </w:t>
            </w:r>
            <w:r>
              <w:rPr>
                <w:sz w:val="22"/>
                <w:szCs w:val="22"/>
              </w:rPr>
              <w:t xml:space="preserve">for the </w:t>
            </w:r>
            <w:r w:rsidRPr="005A497D">
              <w:rPr>
                <w:sz w:val="22"/>
                <w:szCs w:val="22"/>
              </w:rPr>
              <w:t>years 2012</w:t>
            </w:r>
            <w:r>
              <w:rPr>
                <w:sz w:val="22"/>
                <w:szCs w:val="22"/>
              </w:rPr>
              <w:t xml:space="preserve"> and</w:t>
            </w:r>
            <w:r w:rsidRPr="005A497D">
              <w:rPr>
                <w:sz w:val="22"/>
                <w:szCs w:val="22"/>
              </w:rPr>
              <w:t xml:space="preserve"> 2013.</w:t>
            </w:r>
          </w:p>
        </w:tc>
      </w:tr>
      <w:tr w:rsidR="001762EE" w:rsidRPr="005A497D" w14:paraId="459337FF" w14:textId="77777777" w:rsidTr="00581E30">
        <w:tc>
          <w:tcPr>
            <w:tcW w:w="3633" w:type="dxa"/>
            <w:tcBorders>
              <w:top w:val="single" w:sz="4" w:space="0" w:color="auto"/>
              <w:bottom w:val="double" w:sz="4" w:space="0" w:color="auto"/>
            </w:tcBorders>
          </w:tcPr>
          <w:p w14:paraId="4BAF4739" w14:textId="07A9EEC5" w:rsidR="001762EE" w:rsidRPr="005A497D" w:rsidRDefault="001762EE" w:rsidP="00581E30">
            <w:pPr>
              <w:pStyle w:val="Default"/>
              <w:rPr>
                <w:color w:val="auto"/>
                <w:sz w:val="22"/>
                <w:szCs w:val="22"/>
              </w:rPr>
            </w:pPr>
            <w:r>
              <w:rPr>
                <w:color w:val="auto"/>
                <w:sz w:val="22"/>
                <w:szCs w:val="22"/>
              </w:rPr>
              <w:t>3.2</w:t>
            </w:r>
            <w:r w:rsidRPr="005A497D">
              <w:rPr>
                <w:color w:val="auto"/>
                <w:sz w:val="22"/>
                <w:szCs w:val="22"/>
              </w:rPr>
              <w:t xml:space="preserve"> </w:t>
            </w:r>
            <w:r>
              <w:rPr>
                <w:color w:val="auto"/>
                <w:sz w:val="22"/>
                <w:szCs w:val="22"/>
              </w:rPr>
              <w:t>Revenue composition outturn</w:t>
            </w:r>
            <w:r w:rsidRPr="005A497D">
              <w:rPr>
                <w:sz w:val="22"/>
                <w:szCs w:val="22"/>
              </w:rPr>
              <w:t xml:space="preserve"> </w:t>
            </w:r>
          </w:p>
        </w:tc>
        <w:tc>
          <w:tcPr>
            <w:tcW w:w="1843" w:type="dxa"/>
            <w:tcBorders>
              <w:top w:val="single" w:sz="4" w:space="0" w:color="auto"/>
              <w:bottom w:val="double" w:sz="4" w:space="0" w:color="auto"/>
            </w:tcBorders>
          </w:tcPr>
          <w:p w14:paraId="1E4C29EE" w14:textId="7B8EC69B" w:rsidR="001762EE" w:rsidRPr="005A497D" w:rsidRDefault="001762EE" w:rsidP="00E40A5B">
            <w:pPr>
              <w:spacing w:before="40" w:after="40"/>
              <w:jc w:val="center"/>
            </w:pPr>
            <w:r>
              <w:rPr>
                <w:sz w:val="22"/>
                <w:szCs w:val="22"/>
              </w:rPr>
              <w:t>C</w:t>
            </w:r>
          </w:p>
        </w:tc>
        <w:tc>
          <w:tcPr>
            <w:tcW w:w="3913" w:type="dxa"/>
            <w:tcBorders>
              <w:top w:val="single" w:sz="4" w:space="0" w:color="auto"/>
              <w:bottom w:val="double" w:sz="4" w:space="0" w:color="auto"/>
            </w:tcBorders>
          </w:tcPr>
          <w:p w14:paraId="6AF1493A" w14:textId="52121385" w:rsidR="001762EE" w:rsidRPr="005A497D" w:rsidRDefault="001762EE" w:rsidP="00595E6C">
            <w:pPr>
              <w:rPr>
                <w:color w:val="000000"/>
              </w:rPr>
            </w:pPr>
            <w:r w:rsidRPr="005A497D">
              <w:rPr>
                <w:color w:val="000000"/>
                <w:sz w:val="22"/>
                <w:szCs w:val="22"/>
              </w:rPr>
              <w:t xml:space="preserve">The composition variances (in absolute terms) were </w:t>
            </w:r>
            <w:r>
              <w:rPr>
                <w:color w:val="000000"/>
                <w:sz w:val="22"/>
                <w:szCs w:val="22"/>
              </w:rPr>
              <w:t>less</w:t>
            </w:r>
            <w:r w:rsidRPr="005A497D">
              <w:rPr>
                <w:color w:val="000000"/>
                <w:sz w:val="22"/>
                <w:szCs w:val="22"/>
              </w:rPr>
              <w:t xml:space="preserve"> than 15% in the last three years (2012</w:t>
            </w:r>
            <w:r>
              <w:rPr>
                <w:color w:val="000000"/>
                <w:sz w:val="22"/>
                <w:szCs w:val="22"/>
              </w:rPr>
              <w:t xml:space="preserve">, </w:t>
            </w:r>
            <w:r w:rsidRPr="005A497D">
              <w:rPr>
                <w:color w:val="000000"/>
                <w:sz w:val="22"/>
                <w:szCs w:val="22"/>
              </w:rPr>
              <w:t>2013</w:t>
            </w:r>
            <w:r>
              <w:rPr>
                <w:color w:val="000000"/>
                <w:sz w:val="22"/>
                <w:szCs w:val="22"/>
              </w:rPr>
              <w:t>, and 2014</w:t>
            </w:r>
            <w:r w:rsidRPr="005A497D">
              <w:rPr>
                <w:color w:val="000000"/>
                <w:sz w:val="22"/>
                <w:szCs w:val="22"/>
              </w:rPr>
              <w:t>).</w:t>
            </w:r>
          </w:p>
        </w:tc>
      </w:tr>
    </w:tbl>
    <w:p w14:paraId="3BD80A47" w14:textId="77777777" w:rsidR="001762EE" w:rsidRPr="005A497D" w:rsidRDefault="001762EE" w:rsidP="00E40A5B">
      <w:pPr>
        <w:jc w:val="both"/>
      </w:pPr>
    </w:p>
    <w:p w14:paraId="6A0F1B0F" w14:textId="195706E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Data on </w:t>
      </w:r>
      <w:r w:rsidRPr="005A497D">
        <w:t xml:space="preserve">revenue estimates in the original approved budget </w:t>
      </w:r>
      <w:r>
        <w:t xml:space="preserve">and </w:t>
      </w:r>
      <w:r w:rsidRPr="005A497D">
        <w:t>actual domestic revenue collection based on tax and non-tax recurrent revenues</w:t>
      </w:r>
      <w:r>
        <w:t xml:space="preserve"> is based </w:t>
      </w:r>
      <w:r w:rsidRPr="005A497D">
        <w:t>on the information presented in the Budget of Expenditures and Sources of Financing (BESF). There are only two major revenue contributors, the Bureau of Internal Revenue (BIR) and Bureau of Customs (BoC).</w:t>
      </w:r>
    </w:p>
    <w:p w14:paraId="608E0369" w14:textId="77777777" w:rsidR="001762EE" w:rsidRPr="005A497D" w:rsidRDefault="001762EE" w:rsidP="00E40A5B">
      <w:pPr>
        <w:pStyle w:val="NormalWeb"/>
        <w:autoSpaceDE w:val="0"/>
        <w:autoSpaceDN w:val="0"/>
        <w:adjustRightInd w:val="0"/>
        <w:spacing w:before="0" w:beforeAutospacing="0" w:after="0" w:afterAutospacing="0"/>
        <w:contextualSpacing/>
        <w:jc w:val="both"/>
      </w:pPr>
    </w:p>
    <w:p w14:paraId="4325C1BD" w14:textId="3B99641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iCs/>
        </w:rPr>
        <w:t xml:space="preserve">The Department of Finance, Bureau of Treasury, </w:t>
      </w:r>
      <w:r>
        <w:rPr>
          <w:iCs/>
        </w:rPr>
        <w:t>Bureau of Internal Revenue,</w:t>
      </w:r>
      <w:r w:rsidRPr="005A497D">
        <w:rPr>
          <w:iCs/>
        </w:rPr>
        <w:t xml:space="preserve"> and </w:t>
      </w:r>
      <w:r>
        <w:rPr>
          <w:iCs/>
        </w:rPr>
        <w:t>Bureau of Customs</w:t>
      </w:r>
      <w:r w:rsidRPr="005A497D">
        <w:rPr>
          <w:iCs/>
        </w:rPr>
        <w:t xml:space="preserve"> </w:t>
      </w:r>
      <w:r w:rsidRPr="005A497D">
        <w:t xml:space="preserve">assist </w:t>
      </w:r>
      <w:r>
        <w:t xml:space="preserve">the </w:t>
      </w:r>
      <w:r w:rsidRPr="005A497D">
        <w:t xml:space="preserve">Development Budget Coordination Committee </w:t>
      </w:r>
      <w:r w:rsidRPr="00D661D7">
        <w:t>(DBCC)</w:t>
      </w:r>
      <w:r w:rsidRPr="005A497D">
        <w:t xml:space="preserve"> in determining the sources of financing.</w:t>
      </w:r>
      <w:r w:rsidRPr="005A497D">
        <w:rPr>
          <w:rStyle w:val="EndnoteReference"/>
          <w:rFonts w:eastAsia="Calibri"/>
        </w:rPr>
        <w:endnoteReference w:id="8"/>
      </w:r>
      <w:r w:rsidRPr="005A497D">
        <w:t xml:space="preserve"> The </w:t>
      </w:r>
      <w:r w:rsidR="00816CED">
        <w:t>DBCC</w:t>
      </w:r>
      <w:r w:rsidRPr="005A497D">
        <w:t xml:space="preserve"> establishes the projected revenues to be generated for the budget year based on macroeconomic assumptions and parameters </w:t>
      </w:r>
      <w:r w:rsidRPr="005A497D">
        <w:rPr>
          <w:iCs/>
        </w:rPr>
        <w:t>as well as borrowing (if needed).</w:t>
      </w:r>
    </w:p>
    <w:p w14:paraId="1A864D66" w14:textId="77777777" w:rsidR="001762EE" w:rsidRPr="005A497D" w:rsidRDefault="001762EE" w:rsidP="00E40A5B">
      <w:pPr>
        <w:pStyle w:val="NormalWeb"/>
        <w:autoSpaceDE w:val="0"/>
        <w:autoSpaceDN w:val="0"/>
        <w:adjustRightInd w:val="0"/>
        <w:spacing w:before="0" w:beforeAutospacing="0" w:after="0" w:afterAutospacing="0"/>
        <w:contextualSpacing/>
        <w:jc w:val="both"/>
      </w:pPr>
    </w:p>
    <w:p w14:paraId="2D53FE73" w14:textId="23648C9B" w:rsidR="001762EE" w:rsidRPr="0043657F" w:rsidRDefault="001762EE" w:rsidP="00E40A5B">
      <w:pPr>
        <w:pStyle w:val="NormalWeb"/>
        <w:autoSpaceDE w:val="0"/>
        <w:autoSpaceDN w:val="0"/>
        <w:adjustRightInd w:val="0"/>
        <w:spacing w:before="0" w:beforeAutospacing="0" w:after="0" w:afterAutospacing="0"/>
        <w:contextualSpacing/>
        <w:jc w:val="both"/>
        <w:rPr>
          <w:b/>
          <w:bCs/>
          <w:i/>
        </w:rPr>
      </w:pPr>
      <w:r w:rsidRPr="0043657F">
        <w:rPr>
          <w:b/>
          <w:i/>
        </w:rPr>
        <w:t xml:space="preserve">Dimension 3.1 </w:t>
      </w:r>
      <w:r w:rsidRPr="0043657F">
        <w:rPr>
          <w:b/>
          <w:bCs/>
          <w:i/>
        </w:rPr>
        <w:t>Aggregate revenue outturn</w:t>
      </w:r>
    </w:p>
    <w:p w14:paraId="4311DAFB" w14:textId="77777777" w:rsidR="001762EE" w:rsidRPr="005A497D" w:rsidRDefault="001762EE" w:rsidP="00E40A5B">
      <w:pPr>
        <w:pStyle w:val="NormalWeb"/>
        <w:autoSpaceDE w:val="0"/>
        <w:autoSpaceDN w:val="0"/>
        <w:adjustRightInd w:val="0"/>
        <w:spacing w:before="0" w:beforeAutospacing="0" w:after="0" w:afterAutospacing="0"/>
        <w:contextualSpacing/>
        <w:jc w:val="both"/>
        <w:rPr>
          <w:bCs/>
          <w:u w:val="single"/>
        </w:rPr>
      </w:pPr>
    </w:p>
    <w:p w14:paraId="0A5544B1" w14:textId="72461FB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overall variances were </w:t>
      </w:r>
      <w:r>
        <w:t>98.40 percent</w:t>
      </w:r>
      <w:r w:rsidRPr="005A497D">
        <w:t xml:space="preserve">, </w:t>
      </w:r>
      <w:r>
        <w:t>98.30 percent,</w:t>
      </w:r>
      <w:r w:rsidRPr="005A497D">
        <w:t xml:space="preserve"> and </w:t>
      </w:r>
      <w:r>
        <w:t>94.60 percent</w:t>
      </w:r>
      <w:r w:rsidRPr="005A497D">
        <w:t xml:space="preserve"> for 2012, 2013, and 2014</w:t>
      </w:r>
      <w:r>
        <w:t>,</w:t>
      </w:r>
      <w:r w:rsidRPr="005A497D">
        <w:t xml:space="preserve"> respectively</w:t>
      </w:r>
      <w:r w:rsidR="00687747">
        <w:t xml:space="preserve">. Detailed data tables are provided in Annex 4. </w:t>
      </w:r>
      <w:r w:rsidRPr="005A497D">
        <w:t>This qualifies</w:t>
      </w:r>
      <w:r>
        <w:t xml:space="preserve"> Dimension 3.1</w:t>
      </w:r>
      <w:r w:rsidRPr="005A497D">
        <w:t xml:space="preserve"> for a rating of “A”. </w:t>
      </w:r>
    </w:p>
    <w:p w14:paraId="0438F5A6" w14:textId="77777777" w:rsidR="001762EE" w:rsidRPr="005A497D" w:rsidRDefault="001762EE" w:rsidP="00E40A5B">
      <w:pPr>
        <w:pStyle w:val="NormalWeb"/>
        <w:autoSpaceDE w:val="0"/>
        <w:autoSpaceDN w:val="0"/>
        <w:adjustRightInd w:val="0"/>
        <w:spacing w:before="0" w:beforeAutospacing="0" w:after="0" w:afterAutospacing="0"/>
        <w:contextualSpacing/>
        <w:jc w:val="both"/>
        <w:rPr>
          <w:u w:val="single"/>
        </w:rPr>
      </w:pPr>
    </w:p>
    <w:p w14:paraId="22034155" w14:textId="77777777" w:rsidR="001805CA" w:rsidRDefault="001805CA" w:rsidP="00E40A5B">
      <w:pPr>
        <w:pStyle w:val="PEFATable"/>
        <w:spacing w:after="40"/>
        <w:jc w:val="both"/>
        <w:rPr>
          <w:sz w:val="24"/>
          <w:szCs w:val="24"/>
        </w:rPr>
      </w:pPr>
    </w:p>
    <w:p w14:paraId="18348F63" w14:textId="184858E4" w:rsidR="001762EE" w:rsidRPr="005A497D" w:rsidRDefault="001762EE" w:rsidP="00E40A5B">
      <w:pPr>
        <w:pStyle w:val="PEFATable"/>
        <w:spacing w:after="40"/>
        <w:jc w:val="both"/>
        <w:rPr>
          <w:sz w:val="24"/>
          <w:szCs w:val="24"/>
        </w:rPr>
      </w:pPr>
      <w:bookmarkStart w:id="74" w:name="_Toc454889248"/>
      <w:r w:rsidRPr="005A497D">
        <w:rPr>
          <w:sz w:val="24"/>
          <w:szCs w:val="24"/>
        </w:rPr>
        <w:t>Table 3.</w:t>
      </w:r>
      <w:r w:rsidR="00687747">
        <w:rPr>
          <w:sz w:val="24"/>
          <w:szCs w:val="24"/>
        </w:rPr>
        <w:t>6</w:t>
      </w:r>
      <w:r w:rsidRPr="005A497D">
        <w:rPr>
          <w:sz w:val="24"/>
          <w:szCs w:val="24"/>
        </w:rPr>
        <w:t>: Actual revenue compared to originally approved budget</w:t>
      </w:r>
      <w:bookmarkEnd w:id="74"/>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33"/>
        <w:gridCol w:w="1677"/>
        <w:gridCol w:w="1666"/>
        <w:gridCol w:w="1483"/>
        <w:gridCol w:w="1021"/>
        <w:gridCol w:w="1750"/>
      </w:tblGrid>
      <w:tr w:rsidR="00A85C58" w:rsidRPr="005A497D" w14:paraId="4FECE49A" w14:textId="77777777" w:rsidTr="00A85C58">
        <w:trPr>
          <w:trHeight w:val="288"/>
          <w:tblHeader/>
          <w:jc w:val="center"/>
        </w:trPr>
        <w:tc>
          <w:tcPr>
            <w:tcW w:w="1733" w:type="dxa"/>
            <w:vMerge w:val="restart"/>
            <w:shd w:val="clear" w:color="auto" w:fill="D9D9D9" w:themeFill="background1" w:themeFillShade="D9"/>
            <w:vAlign w:val="center"/>
          </w:tcPr>
          <w:p w14:paraId="336D97A4" w14:textId="4F868960" w:rsidR="00A85C58" w:rsidRPr="000D0E8D" w:rsidRDefault="00A85C58" w:rsidP="0008347A">
            <w:pPr>
              <w:pStyle w:val="NormalWeb"/>
              <w:autoSpaceDE w:val="0"/>
              <w:autoSpaceDN w:val="0"/>
              <w:adjustRightInd w:val="0"/>
              <w:contextualSpacing/>
              <w:jc w:val="center"/>
              <w:rPr>
                <w:b/>
                <w:sz w:val="20"/>
                <w:szCs w:val="20"/>
              </w:rPr>
            </w:pPr>
            <w:r w:rsidRPr="000D0E8D">
              <w:rPr>
                <w:b/>
                <w:sz w:val="20"/>
                <w:szCs w:val="20"/>
              </w:rPr>
              <w:t>Year</w:t>
            </w:r>
          </w:p>
        </w:tc>
        <w:tc>
          <w:tcPr>
            <w:tcW w:w="7597" w:type="dxa"/>
            <w:gridSpan w:val="5"/>
            <w:shd w:val="clear" w:color="auto" w:fill="D9D9D9" w:themeFill="background1" w:themeFillShade="D9"/>
          </w:tcPr>
          <w:p w14:paraId="6E79C0F8" w14:textId="7DC9AA02" w:rsidR="00A85C58" w:rsidRPr="000D0E8D" w:rsidRDefault="00A85C58" w:rsidP="00BD455B">
            <w:pPr>
              <w:pStyle w:val="NormalWeb"/>
              <w:autoSpaceDE w:val="0"/>
              <w:autoSpaceDN w:val="0"/>
              <w:adjustRightInd w:val="0"/>
              <w:contextualSpacing/>
              <w:jc w:val="center"/>
              <w:rPr>
                <w:sz w:val="20"/>
                <w:szCs w:val="20"/>
              </w:rPr>
            </w:pPr>
            <w:r w:rsidRPr="000D0E8D">
              <w:rPr>
                <w:b/>
                <w:sz w:val="20"/>
                <w:szCs w:val="20"/>
              </w:rPr>
              <w:t>(PhP millions)</w:t>
            </w:r>
          </w:p>
        </w:tc>
      </w:tr>
      <w:tr w:rsidR="00687747" w:rsidRPr="005A497D" w14:paraId="4CD6AA4B" w14:textId="77777777" w:rsidTr="000D0E8D">
        <w:trPr>
          <w:trHeight w:val="350"/>
          <w:tblHeader/>
          <w:jc w:val="center"/>
        </w:trPr>
        <w:tc>
          <w:tcPr>
            <w:tcW w:w="1733" w:type="dxa"/>
            <w:vMerge/>
            <w:shd w:val="clear" w:color="auto" w:fill="D9D9D9" w:themeFill="background1" w:themeFillShade="D9"/>
            <w:vAlign w:val="center"/>
          </w:tcPr>
          <w:p w14:paraId="0D0D6CF7" w14:textId="77777777" w:rsidR="00687747" w:rsidRPr="000D0E8D" w:rsidRDefault="00687747" w:rsidP="0008347A">
            <w:pPr>
              <w:pStyle w:val="NormalWeb"/>
              <w:autoSpaceDE w:val="0"/>
              <w:autoSpaceDN w:val="0"/>
              <w:adjustRightInd w:val="0"/>
              <w:contextualSpacing/>
              <w:jc w:val="center"/>
              <w:rPr>
                <w:sz w:val="20"/>
                <w:szCs w:val="20"/>
              </w:rPr>
            </w:pPr>
          </w:p>
        </w:tc>
        <w:tc>
          <w:tcPr>
            <w:tcW w:w="1677" w:type="dxa"/>
            <w:shd w:val="clear" w:color="auto" w:fill="D9D9D9" w:themeFill="background1" w:themeFillShade="D9"/>
            <w:vAlign w:val="center"/>
          </w:tcPr>
          <w:p w14:paraId="1DA375DF" w14:textId="75367D09" w:rsidR="00687747" w:rsidRPr="000D0E8D" w:rsidRDefault="00687747" w:rsidP="00E40A5B">
            <w:pPr>
              <w:pStyle w:val="NormalWeb"/>
              <w:autoSpaceDE w:val="0"/>
              <w:autoSpaceDN w:val="0"/>
              <w:adjustRightInd w:val="0"/>
              <w:contextualSpacing/>
              <w:jc w:val="center"/>
              <w:rPr>
                <w:sz w:val="20"/>
                <w:szCs w:val="20"/>
              </w:rPr>
            </w:pPr>
            <w:r w:rsidRPr="000D0E8D">
              <w:rPr>
                <w:b/>
                <w:sz w:val="20"/>
                <w:szCs w:val="20"/>
              </w:rPr>
              <w:t>Budget</w:t>
            </w:r>
            <w:r w:rsidRPr="000D0E8D" w:rsidDel="00BD455B">
              <w:rPr>
                <w:sz w:val="20"/>
                <w:szCs w:val="20"/>
              </w:rPr>
              <w:t xml:space="preserve"> </w:t>
            </w:r>
          </w:p>
        </w:tc>
        <w:tc>
          <w:tcPr>
            <w:tcW w:w="1666" w:type="dxa"/>
            <w:shd w:val="clear" w:color="auto" w:fill="D9D9D9" w:themeFill="background1" w:themeFillShade="D9"/>
            <w:vAlign w:val="center"/>
          </w:tcPr>
          <w:p w14:paraId="22EDA782" w14:textId="40ECC311" w:rsidR="00687747" w:rsidRPr="000D0E8D" w:rsidRDefault="00687747" w:rsidP="00E40A5B">
            <w:pPr>
              <w:pStyle w:val="NormalWeb"/>
              <w:autoSpaceDE w:val="0"/>
              <w:autoSpaceDN w:val="0"/>
              <w:adjustRightInd w:val="0"/>
              <w:contextualSpacing/>
              <w:jc w:val="center"/>
              <w:rPr>
                <w:sz w:val="20"/>
                <w:szCs w:val="20"/>
              </w:rPr>
            </w:pPr>
            <w:r w:rsidRPr="000D0E8D">
              <w:rPr>
                <w:b/>
                <w:sz w:val="20"/>
                <w:szCs w:val="20"/>
              </w:rPr>
              <w:t>Actual</w:t>
            </w:r>
          </w:p>
        </w:tc>
        <w:tc>
          <w:tcPr>
            <w:tcW w:w="1483" w:type="dxa"/>
            <w:shd w:val="clear" w:color="auto" w:fill="D9D9D9" w:themeFill="background1" w:themeFillShade="D9"/>
            <w:vAlign w:val="center"/>
          </w:tcPr>
          <w:p w14:paraId="123FE23F" w14:textId="7751163E" w:rsidR="00687747" w:rsidRPr="000D0E8D" w:rsidRDefault="00687747" w:rsidP="00BD455B">
            <w:pPr>
              <w:pStyle w:val="NormalWeb"/>
              <w:autoSpaceDE w:val="0"/>
              <w:autoSpaceDN w:val="0"/>
              <w:adjustRightInd w:val="0"/>
              <w:contextualSpacing/>
              <w:jc w:val="center"/>
              <w:rPr>
                <w:sz w:val="20"/>
                <w:szCs w:val="20"/>
              </w:rPr>
            </w:pPr>
            <w:r>
              <w:rPr>
                <w:b/>
                <w:sz w:val="20"/>
                <w:szCs w:val="20"/>
              </w:rPr>
              <w:t>Overall Variance</w:t>
            </w:r>
          </w:p>
        </w:tc>
        <w:tc>
          <w:tcPr>
            <w:tcW w:w="1021" w:type="dxa"/>
            <w:shd w:val="clear" w:color="auto" w:fill="D9D9D9" w:themeFill="background1" w:themeFillShade="D9"/>
          </w:tcPr>
          <w:p w14:paraId="223F8ED4" w14:textId="1C5BD9BA" w:rsidR="00687747" w:rsidRPr="00687747" w:rsidRDefault="00687747" w:rsidP="00BD455B">
            <w:pPr>
              <w:pStyle w:val="NormalWeb"/>
              <w:autoSpaceDE w:val="0"/>
              <w:autoSpaceDN w:val="0"/>
              <w:adjustRightInd w:val="0"/>
              <w:contextualSpacing/>
              <w:jc w:val="center"/>
              <w:rPr>
                <w:b/>
                <w:sz w:val="20"/>
                <w:szCs w:val="20"/>
              </w:rPr>
            </w:pPr>
            <w:r w:rsidRPr="00D97F52">
              <w:rPr>
                <w:b/>
                <w:sz w:val="20"/>
                <w:szCs w:val="20"/>
              </w:rPr>
              <w:t>Absolute deviation</w:t>
            </w:r>
          </w:p>
        </w:tc>
        <w:tc>
          <w:tcPr>
            <w:tcW w:w="1750" w:type="dxa"/>
            <w:shd w:val="clear" w:color="auto" w:fill="D9D9D9" w:themeFill="background1" w:themeFillShade="D9"/>
            <w:vAlign w:val="center"/>
          </w:tcPr>
          <w:p w14:paraId="434F1B49" w14:textId="7CCF37B7" w:rsidR="00687747" w:rsidRPr="000D0E8D" w:rsidRDefault="00687747" w:rsidP="00BD455B">
            <w:pPr>
              <w:pStyle w:val="NormalWeb"/>
              <w:autoSpaceDE w:val="0"/>
              <w:autoSpaceDN w:val="0"/>
              <w:adjustRightInd w:val="0"/>
              <w:contextualSpacing/>
              <w:jc w:val="center"/>
              <w:rPr>
                <w:sz w:val="20"/>
                <w:szCs w:val="20"/>
              </w:rPr>
            </w:pPr>
            <w:r>
              <w:rPr>
                <w:b/>
                <w:sz w:val="20"/>
                <w:szCs w:val="20"/>
              </w:rPr>
              <w:t>Composition Variance</w:t>
            </w:r>
          </w:p>
        </w:tc>
      </w:tr>
      <w:tr w:rsidR="00687747" w:rsidRPr="005A497D" w14:paraId="000CE0D7" w14:textId="77777777" w:rsidTr="000D0E8D">
        <w:trPr>
          <w:trHeight w:val="283"/>
          <w:jc w:val="center"/>
        </w:trPr>
        <w:tc>
          <w:tcPr>
            <w:tcW w:w="1733" w:type="dxa"/>
            <w:tcBorders>
              <w:top w:val="double" w:sz="4" w:space="0" w:color="auto"/>
              <w:bottom w:val="single" w:sz="4" w:space="0" w:color="auto"/>
            </w:tcBorders>
            <w:vAlign w:val="center"/>
          </w:tcPr>
          <w:p w14:paraId="4E0AC12F" w14:textId="73B0B913"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2012</w:t>
            </w:r>
          </w:p>
        </w:tc>
        <w:tc>
          <w:tcPr>
            <w:tcW w:w="1677" w:type="dxa"/>
            <w:tcBorders>
              <w:top w:val="double" w:sz="4" w:space="0" w:color="auto"/>
              <w:bottom w:val="single" w:sz="4" w:space="0" w:color="auto"/>
            </w:tcBorders>
            <w:vAlign w:val="center"/>
          </w:tcPr>
          <w:p w14:paraId="0DA20EBB" w14:textId="1BBB9D76"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1,560,623</w:t>
            </w:r>
          </w:p>
        </w:tc>
        <w:tc>
          <w:tcPr>
            <w:tcW w:w="1666" w:type="dxa"/>
            <w:tcBorders>
              <w:top w:val="double" w:sz="4" w:space="0" w:color="auto"/>
              <w:bottom w:val="single" w:sz="4" w:space="0" w:color="auto"/>
            </w:tcBorders>
            <w:vAlign w:val="center"/>
          </w:tcPr>
          <w:p w14:paraId="1D1BC991" w14:textId="07946A5F"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1,534,933</w:t>
            </w:r>
          </w:p>
        </w:tc>
        <w:tc>
          <w:tcPr>
            <w:tcW w:w="1483" w:type="dxa"/>
            <w:tcBorders>
              <w:top w:val="double" w:sz="4" w:space="0" w:color="auto"/>
              <w:bottom w:val="single" w:sz="4" w:space="0" w:color="auto"/>
            </w:tcBorders>
            <w:vAlign w:val="center"/>
          </w:tcPr>
          <w:p w14:paraId="4E108AE7" w14:textId="63C18252"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98.35%</w:t>
            </w:r>
          </w:p>
        </w:tc>
        <w:tc>
          <w:tcPr>
            <w:tcW w:w="1021" w:type="dxa"/>
            <w:tcBorders>
              <w:top w:val="double" w:sz="4" w:space="0" w:color="auto"/>
              <w:bottom w:val="single" w:sz="4" w:space="0" w:color="auto"/>
            </w:tcBorders>
            <w:vAlign w:val="center"/>
          </w:tcPr>
          <w:p w14:paraId="5B430ADA" w14:textId="54363C56" w:rsidR="00687747" w:rsidRDefault="00687747" w:rsidP="00687747">
            <w:pPr>
              <w:pStyle w:val="NormalWeb"/>
              <w:autoSpaceDE w:val="0"/>
              <w:autoSpaceDN w:val="0"/>
              <w:adjustRightInd w:val="0"/>
              <w:spacing w:before="0" w:beforeAutospacing="0" w:after="0" w:afterAutospacing="0"/>
              <w:contextualSpacing/>
              <w:jc w:val="center"/>
              <w:rPr>
                <w:sz w:val="20"/>
                <w:szCs w:val="20"/>
              </w:rPr>
            </w:pPr>
            <w:r>
              <w:rPr>
                <w:sz w:val="20"/>
                <w:szCs w:val="20"/>
              </w:rPr>
              <w:t>137,822</w:t>
            </w:r>
          </w:p>
        </w:tc>
        <w:tc>
          <w:tcPr>
            <w:tcW w:w="1750" w:type="dxa"/>
            <w:tcBorders>
              <w:top w:val="double" w:sz="4" w:space="0" w:color="auto"/>
              <w:bottom w:val="single" w:sz="4" w:space="0" w:color="auto"/>
            </w:tcBorders>
            <w:vAlign w:val="center"/>
          </w:tcPr>
          <w:p w14:paraId="6BADA7D7" w14:textId="11B16C64"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8.98%</w:t>
            </w:r>
          </w:p>
        </w:tc>
      </w:tr>
      <w:tr w:rsidR="00687747" w:rsidRPr="005A497D" w14:paraId="4272AA29" w14:textId="77777777" w:rsidTr="000D0E8D">
        <w:trPr>
          <w:trHeight w:val="283"/>
          <w:jc w:val="center"/>
        </w:trPr>
        <w:tc>
          <w:tcPr>
            <w:tcW w:w="1733" w:type="dxa"/>
            <w:tcBorders>
              <w:top w:val="single" w:sz="4" w:space="0" w:color="auto"/>
              <w:bottom w:val="single" w:sz="4" w:space="0" w:color="auto"/>
            </w:tcBorders>
            <w:vAlign w:val="center"/>
          </w:tcPr>
          <w:p w14:paraId="091A43CB" w14:textId="5E9801AE"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2013</w:t>
            </w:r>
          </w:p>
        </w:tc>
        <w:tc>
          <w:tcPr>
            <w:tcW w:w="1677" w:type="dxa"/>
            <w:tcBorders>
              <w:top w:val="single" w:sz="4" w:space="0" w:color="auto"/>
              <w:bottom w:val="single" w:sz="4" w:space="0" w:color="auto"/>
            </w:tcBorders>
            <w:vAlign w:val="center"/>
          </w:tcPr>
          <w:p w14:paraId="4FA77240" w14:textId="01368FB2"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1,745,856</w:t>
            </w:r>
          </w:p>
        </w:tc>
        <w:tc>
          <w:tcPr>
            <w:tcW w:w="1666" w:type="dxa"/>
            <w:tcBorders>
              <w:top w:val="single" w:sz="4" w:space="0" w:color="auto"/>
              <w:bottom w:val="single" w:sz="4" w:space="0" w:color="auto"/>
            </w:tcBorders>
            <w:vAlign w:val="center"/>
          </w:tcPr>
          <w:p w14:paraId="65D6EEE3" w14:textId="253341D5"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1,716,092</w:t>
            </w:r>
          </w:p>
        </w:tc>
        <w:tc>
          <w:tcPr>
            <w:tcW w:w="1483" w:type="dxa"/>
            <w:tcBorders>
              <w:top w:val="single" w:sz="4" w:space="0" w:color="auto"/>
              <w:bottom w:val="single" w:sz="4" w:space="0" w:color="auto"/>
            </w:tcBorders>
            <w:vAlign w:val="center"/>
          </w:tcPr>
          <w:p w14:paraId="019768D7" w14:textId="29D4E6E6"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98.30%</w:t>
            </w:r>
          </w:p>
        </w:tc>
        <w:tc>
          <w:tcPr>
            <w:tcW w:w="1021" w:type="dxa"/>
            <w:tcBorders>
              <w:top w:val="single" w:sz="4" w:space="0" w:color="auto"/>
              <w:bottom w:val="single" w:sz="4" w:space="0" w:color="auto"/>
            </w:tcBorders>
            <w:vAlign w:val="center"/>
          </w:tcPr>
          <w:p w14:paraId="585A55F1" w14:textId="4DA59278" w:rsidR="00687747" w:rsidRDefault="00687747" w:rsidP="00687747">
            <w:pPr>
              <w:pStyle w:val="NormalWeb"/>
              <w:autoSpaceDE w:val="0"/>
              <w:autoSpaceDN w:val="0"/>
              <w:adjustRightInd w:val="0"/>
              <w:spacing w:before="0" w:beforeAutospacing="0" w:after="0" w:afterAutospacing="0"/>
              <w:contextualSpacing/>
              <w:jc w:val="center"/>
              <w:rPr>
                <w:sz w:val="20"/>
                <w:szCs w:val="20"/>
              </w:rPr>
            </w:pPr>
            <w:r>
              <w:rPr>
                <w:sz w:val="20"/>
                <w:szCs w:val="20"/>
              </w:rPr>
              <w:t>207,988</w:t>
            </w:r>
          </w:p>
        </w:tc>
        <w:tc>
          <w:tcPr>
            <w:tcW w:w="1750" w:type="dxa"/>
            <w:tcBorders>
              <w:top w:val="single" w:sz="4" w:space="0" w:color="auto"/>
              <w:bottom w:val="single" w:sz="4" w:space="0" w:color="auto"/>
            </w:tcBorders>
            <w:vAlign w:val="center"/>
          </w:tcPr>
          <w:p w14:paraId="289DA293" w14:textId="67AAD893"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12.12%</w:t>
            </w:r>
          </w:p>
        </w:tc>
      </w:tr>
      <w:tr w:rsidR="00687747" w:rsidRPr="005A497D" w14:paraId="57E5409D" w14:textId="77777777" w:rsidTr="000D0E8D">
        <w:trPr>
          <w:trHeight w:val="283"/>
          <w:jc w:val="center"/>
        </w:trPr>
        <w:tc>
          <w:tcPr>
            <w:tcW w:w="1733" w:type="dxa"/>
            <w:tcBorders>
              <w:top w:val="single" w:sz="4" w:space="0" w:color="auto"/>
              <w:bottom w:val="single" w:sz="4" w:space="0" w:color="auto"/>
            </w:tcBorders>
            <w:vAlign w:val="center"/>
          </w:tcPr>
          <w:p w14:paraId="43F6B42F" w14:textId="20436322"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2014</w:t>
            </w:r>
          </w:p>
        </w:tc>
        <w:tc>
          <w:tcPr>
            <w:tcW w:w="1677" w:type="dxa"/>
            <w:tcBorders>
              <w:top w:val="single" w:sz="4" w:space="0" w:color="auto"/>
              <w:bottom w:val="single" w:sz="4" w:space="0" w:color="auto"/>
            </w:tcBorders>
            <w:vAlign w:val="center"/>
          </w:tcPr>
          <w:p w14:paraId="6A6B4397" w14:textId="543EE020"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2,018,050</w:t>
            </w:r>
          </w:p>
        </w:tc>
        <w:tc>
          <w:tcPr>
            <w:tcW w:w="1666" w:type="dxa"/>
            <w:tcBorders>
              <w:top w:val="single" w:sz="4" w:space="0" w:color="auto"/>
              <w:bottom w:val="single" w:sz="4" w:space="0" w:color="auto"/>
            </w:tcBorders>
            <w:vAlign w:val="center"/>
          </w:tcPr>
          <w:p w14:paraId="300CF3DD" w14:textId="0B28FE20" w:rsidR="00687747" w:rsidRPr="00BD455B" w:rsidRDefault="00687747"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1,908,527</w:t>
            </w:r>
          </w:p>
        </w:tc>
        <w:tc>
          <w:tcPr>
            <w:tcW w:w="1483" w:type="dxa"/>
            <w:tcBorders>
              <w:top w:val="single" w:sz="4" w:space="0" w:color="auto"/>
              <w:bottom w:val="single" w:sz="4" w:space="0" w:color="auto"/>
            </w:tcBorders>
            <w:vAlign w:val="center"/>
          </w:tcPr>
          <w:p w14:paraId="7BF4305C" w14:textId="3EA9C494" w:rsidR="00687747" w:rsidRPr="00BD455B" w:rsidRDefault="00A85C58"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94.57%</w:t>
            </w:r>
          </w:p>
        </w:tc>
        <w:tc>
          <w:tcPr>
            <w:tcW w:w="1021" w:type="dxa"/>
            <w:tcBorders>
              <w:top w:val="single" w:sz="4" w:space="0" w:color="auto"/>
              <w:bottom w:val="single" w:sz="4" w:space="0" w:color="auto"/>
            </w:tcBorders>
            <w:vAlign w:val="center"/>
          </w:tcPr>
          <w:p w14:paraId="3B2C06C7" w14:textId="69B170A9" w:rsidR="00687747" w:rsidRDefault="00687747" w:rsidP="00687747">
            <w:pPr>
              <w:pStyle w:val="NormalWeb"/>
              <w:autoSpaceDE w:val="0"/>
              <w:autoSpaceDN w:val="0"/>
              <w:adjustRightInd w:val="0"/>
              <w:spacing w:before="0" w:beforeAutospacing="0" w:after="0" w:afterAutospacing="0"/>
              <w:contextualSpacing/>
              <w:jc w:val="center"/>
              <w:rPr>
                <w:sz w:val="20"/>
                <w:szCs w:val="20"/>
              </w:rPr>
            </w:pPr>
            <w:r>
              <w:rPr>
                <w:sz w:val="20"/>
                <w:szCs w:val="20"/>
              </w:rPr>
              <w:t>193,594</w:t>
            </w:r>
          </w:p>
        </w:tc>
        <w:tc>
          <w:tcPr>
            <w:tcW w:w="1750" w:type="dxa"/>
            <w:tcBorders>
              <w:top w:val="single" w:sz="4" w:space="0" w:color="auto"/>
              <w:bottom w:val="single" w:sz="4" w:space="0" w:color="auto"/>
            </w:tcBorders>
            <w:vAlign w:val="center"/>
          </w:tcPr>
          <w:p w14:paraId="61F039C6" w14:textId="11E72907" w:rsidR="00687747" w:rsidRPr="00BD455B" w:rsidRDefault="00A85C58" w:rsidP="000D0E8D">
            <w:pPr>
              <w:pStyle w:val="NormalWeb"/>
              <w:autoSpaceDE w:val="0"/>
              <w:autoSpaceDN w:val="0"/>
              <w:adjustRightInd w:val="0"/>
              <w:spacing w:before="0" w:beforeAutospacing="0" w:after="0" w:afterAutospacing="0"/>
              <w:contextualSpacing/>
              <w:jc w:val="center"/>
              <w:rPr>
                <w:sz w:val="20"/>
                <w:szCs w:val="20"/>
              </w:rPr>
            </w:pPr>
            <w:r>
              <w:rPr>
                <w:sz w:val="20"/>
                <w:szCs w:val="20"/>
              </w:rPr>
              <w:t>10.14%</w:t>
            </w:r>
          </w:p>
        </w:tc>
      </w:tr>
    </w:tbl>
    <w:p w14:paraId="38185F2D" w14:textId="067078AC" w:rsidR="001762EE" w:rsidRPr="005A497D" w:rsidRDefault="001762EE" w:rsidP="00E40A5B">
      <w:pPr>
        <w:spacing w:before="40"/>
        <w:jc w:val="both"/>
        <w:rPr>
          <w:sz w:val="18"/>
          <w:szCs w:val="18"/>
          <w:u w:val="single"/>
        </w:rPr>
      </w:pPr>
      <w:r w:rsidRPr="0043657F">
        <w:rPr>
          <w:i/>
          <w:sz w:val="18"/>
          <w:szCs w:val="18"/>
        </w:rPr>
        <w:t>Note</w:t>
      </w:r>
      <w:r w:rsidRPr="005A497D">
        <w:rPr>
          <w:sz w:val="18"/>
          <w:szCs w:val="18"/>
        </w:rPr>
        <w:t xml:space="preserve">: Adjusted </w:t>
      </w:r>
      <w:r>
        <w:rPr>
          <w:sz w:val="18"/>
          <w:szCs w:val="18"/>
        </w:rPr>
        <w:t>b</w:t>
      </w:r>
      <w:r w:rsidRPr="005A497D">
        <w:rPr>
          <w:sz w:val="18"/>
          <w:szCs w:val="18"/>
        </w:rPr>
        <w:t xml:space="preserve">udget = Budget x Total </w:t>
      </w:r>
      <w:r>
        <w:rPr>
          <w:sz w:val="18"/>
          <w:szCs w:val="18"/>
        </w:rPr>
        <w:t>a</w:t>
      </w:r>
      <w:r w:rsidRPr="005A497D">
        <w:rPr>
          <w:sz w:val="18"/>
          <w:szCs w:val="18"/>
        </w:rPr>
        <w:t>ctual</w:t>
      </w:r>
      <w:r>
        <w:rPr>
          <w:sz w:val="18"/>
          <w:szCs w:val="18"/>
        </w:rPr>
        <w:t xml:space="preserve"> </w:t>
      </w:r>
      <w:r w:rsidRPr="005A497D">
        <w:rPr>
          <w:sz w:val="18"/>
          <w:szCs w:val="18"/>
        </w:rPr>
        <w:t>/</w:t>
      </w:r>
      <w:r>
        <w:rPr>
          <w:sz w:val="18"/>
          <w:szCs w:val="18"/>
        </w:rPr>
        <w:t xml:space="preserve"> </w:t>
      </w:r>
      <w:r w:rsidRPr="005A497D">
        <w:rPr>
          <w:sz w:val="18"/>
          <w:szCs w:val="18"/>
        </w:rPr>
        <w:t xml:space="preserve">Total </w:t>
      </w:r>
      <w:r>
        <w:rPr>
          <w:sz w:val="18"/>
          <w:szCs w:val="18"/>
        </w:rPr>
        <w:t>b</w:t>
      </w:r>
      <w:r w:rsidRPr="005A497D">
        <w:rPr>
          <w:sz w:val="18"/>
          <w:szCs w:val="18"/>
        </w:rPr>
        <w:t xml:space="preserve">udget. Absolute </w:t>
      </w:r>
      <w:r>
        <w:rPr>
          <w:sz w:val="18"/>
          <w:szCs w:val="18"/>
        </w:rPr>
        <w:t>d</w:t>
      </w:r>
      <w:r w:rsidRPr="005A497D">
        <w:rPr>
          <w:sz w:val="18"/>
          <w:szCs w:val="18"/>
        </w:rPr>
        <w:t xml:space="preserve">eviation = Actual – Adjusted </w:t>
      </w:r>
      <w:r>
        <w:rPr>
          <w:sz w:val="18"/>
          <w:szCs w:val="18"/>
        </w:rPr>
        <w:t>b</w:t>
      </w:r>
      <w:r w:rsidRPr="005A497D">
        <w:rPr>
          <w:sz w:val="18"/>
          <w:szCs w:val="18"/>
        </w:rPr>
        <w:t xml:space="preserve">udget. Overall </w:t>
      </w:r>
      <w:r>
        <w:rPr>
          <w:sz w:val="18"/>
          <w:szCs w:val="18"/>
        </w:rPr>
        <w:t>v</w:t>
      </w:r>
      <w:r w:rsidRPr="005A497D">
        <w:rPr>
          <w:sz w:val="18"/>
          <w:szCs w:val="18"/>
        </w:rPr>
        <w:t xml:space="preserve">ariance = Total </w:t>
      </w:r>
      <w:r>
        <w:rPr>
          <w:sz w:val="18"/>
          <w:szCs w:val="18"/>
        </w:rPr>
        <w:t>b</w:t>
      </w:r>
      <w:r w:rsidRPr="005A497D">
        <w:rPr>
          <w:sz w:val="18"/>
          <w:szCs w:val="18"/>
        </w:rPr>
        <w:t>udget</w:t>
      </w:r>
      <w:r>
        <w:rPr>
          <w:sz w:val="18"/>
          <w:szCs w:val="18"/>
        </w:rPr>
        <w:t xml:space="preserve"> </w:t>
      </w:r>
      <w:r w:rsidRPr="005A497D">
        <w:rPr>
          <w:sz w:val="18"/>
          <w:szCs w:val="18"/>
        </w:rPr>
        <w:t>/</w:t>
      </w:r>
      <w:r>
        <w:rPr>
          <w:sz w:val="18"/>
          <w:szCs w:val="18"/>
        </w:rPr>
        <w:t xml:space="preserve"> </w:t>
      </w:r>
      <w:r w:rsidRPr="005A497D">
        <w:rPr>
          <w:sz w:val="18"/>
          <w:szCs w:val="18"/>
        </w:rPr>
        <w:t xml:space="preserve">Total </w:t>
      </w:r>
      <w:r>
        <w:rPr>
          <w:sz w:val="18"/>
          <w:szCs w:val="18"/>
        </w:rPr>
        <w:t>a</w:t>
      </w:r>
      <w:r w:rsidRPr="005A497D">
        <w:rPr>
          <w:sz w:val="18"/>
          <w:szCs w:val="18"/>
        </w:rPr>
        <w:t xml:space="preserve">ctual. Composition </w:t>
      </w:r>
      <w:r>
        <w:rPr>
          <w:sz w:val="18"/>
          <w:szCs w:val="18"/>
        </w:rPr>
        <w:t>v</w:t>
      </w:r>
      <w:r w:rsidRPr="005A497D">
        <w:rPr>
          <w:sz w:val="18"/>
          <w:szCs w:val="18"/>
        </w:rPr>
        <w:t xml:space="preserve">ariance = Total </w:t>
      </w:r>
      <w:r>
        <w:rPr>
          <w:sz w:val="18"/>
          <w:szCs w:val="18"/>
        </w:rPr>
        <w:t>a</w:t>
      </w:r>
      <w:r w:rsidRPr="005A497D">
        <w:rPr>
          <w:sz w:val="18"/>
          <w:szCs w:val="18"/>
        </w:rPr>
        <w:t>bsolute Deviation</w:t>
      </w:r>
      <w:r>
        <w:rPr>
          <w:sz w:val="18"/>
          <w:szCs w:val="18"/>
        </w:rPr>
        <w:t xml:space="preserve"> </w:t>
      </w:r>
      <w:r w:rsidRPr="005A497D">
        <w:rPr>
          <w:sz w:val="18"/>
          <w:szCs w:val="18"/>
        </w:rPr>
        <w:t>/</w:t>
      </w:r>
      <w:r>
        <w:rPr>
          <w:sz w:val="18"/>
          <w:szCs w:val="18"/>
        </w:rPr>
        <w:t xml:space="preserve"> </w:t>
      </w:r>
      <w:r w:rsidRPr="005A497D">
        <w:rPr>
          <w:sz w:val="18"/>
          <w:szCs w:val="18"/>
        </w:rPr>
        <w:t xml:space="preserve">Total </w:t>
      </w:r>
      <w:r>
        <w:rPr>
          <w:sz w:val="18"/>
          <w:szCs w:val="18"/>
        </w:rPr>
        <w:t>a</w:t>
      </w:r>
      <w:r w:rsidRPr="005A497D">
        <w:rPr>
          <w:sz w:val="18"/>
          <w:szCs w:val="18"/>
        </w:rPr>
        <w:t xml:space="preserve">djusted </w:t>
      </w:r>
      <w:r>
        <w:rPr>
          <w:sz w:val="18"/>
          <w:szCs w:val="18"/>
        </w:rPr>
        <w:t>b</w:t>
      </w:r>
      <w:r w:rsidRPr="005A497D">
        <w:rPr>
          <w:sz w:val="18"/>
          <w:szCs w:val="18"/>
        </w:rPr>
        <w:t>udget.</w:t>
      </w:r>
    </w:p>
    <w:p w14:paraId="1A0823A8" w14:textId="4D07DC0A" w:rsidR="001762EE" w:rsidRPr="005A497D" w:rsidRDefault="001762EE" w:rsidP="00E40A5B">
      <w:pPr>
        <w:spacing w:before="40"/>
        <w:jc w:val="both"/>
        <w:rPr>
          <w:sz w:val="18"/>
          <w:szCs w:val="18"/>
        </w:rPr>
      </w:pPr>
      <w:r w:rsidRPr="0043657F">
        <w:rPr>
          <w:i/>
          <w:sz w:val="18"/>
          <w:szCs w:val="18"/>
        </w:rPr>
        <w:t>Source</w:t>
      </w:r>
      <w:r w:rsidRPr="005A497D">
        <w:rPr>
          <w:sz w:val="18"/>
          <w:szCs w:val="18"/>
        </w:rPr>
        <w:t>: DBM BESF; Statistical data from BTr and DoF.</w:t>
      </w:r>
    </w:p>
    <w:p w14:paraId="28291335" w14:textId="6C1D9B0D" w:rsidR="001762EE" w:rsidRPr="005A497D" w:rsidRDefault="001762EE" w:rsidP="00F25779">
      <w:pPr>
        <w:pStyle w:val="PEFATable"/>
        <w:spacing w:after="40"/>
        <w:jc w:val="both"/>
        <w:rPr>
          <w:sz w:val="24"/>
          <w:szCs w:val="24"/>
        </w:rPr>
      </w:pPr>
    </w:p>
    <w:p w14:paraId="47C43477" w14:textId="0DE1DD64" w:rsidR="001762EE" w:rsidRPr="005A497D" w:rsidRDefault="001762EE" w:rsidP="00F25779">
      <w:pPr>
        <w:pStyle w:val="PEFATable"/>
        <w:spacing w:after="40"/>
        <w:jc w:val="both"/>
        <w:rPr>
          <w:sz w:val="24"/>
          <w:szCs w:val="24"/>
        </w:rPr>
      </w:pPr>
    </w:p>
    <w:p w14:paraId="4237EE83" w14:textId="77777777" w:rsidR="001762EE" w:rsidRPr="005A497D" w:rsidRDefault="001762EE" w:rsidP="00E40A5B">
      <w:pPr>
        <w:pStyle w:val="NormalWeb"/>
        <w:autoSpaceDE w:val="0"/>
        <w:autoSpaceDN w:val="0"/>
        <w:adjustRightInd w:val="0"/>
        <w:spacing w:before="0" w:beforeAutospacing="0" w:after="0" w:afterAutospacing="0"/>
        <w:contextualSpacing/>
        <w:jc w:val="both"/>
      </w:pPr>
    </w:p>
    <w:p w14:paraId="4C053898" w14:textId="23832C99" w:rsidR="001762EE" w:rsidRPr="0043657F" w:rsidRDefault="001762EE" w:rsidP="00E40A5B">
      <w:pPr>
        <w:pStyle w:val="NormalWeb"/>
        <w:autoSpaceDE w:val="0"/>
        <w:autoSpaceDN w:val="0"/>
        <w:adjustRightInd w:val="0"/>
        <w:spacing w:before="0" w:beforeAutospacing="0" w:after="0" w:afterAutospacing="0"/>
        <w:contextualSpacing/>
        <w:jc w:val="both"/>
        <w:rPr>
          <w:b/>
          <w:i/>
        </w:rPr>
      </w:pPr>
      <w:r w:rsidRPr="0043657F">
        <w:rPr>
          <w:b/>
          <w:i/>
        </w:rPr>
        <w:t>Dimension 3.2 Revenue composition outturn</w:t>
      </w:r>
    </w:p>
    <w:p w14:paraId="1F0A988A" w14:textId="77777777" w:rsidR="001762EE" w:rsidRPr="005A497D" w:rsidRDefault="001762EE" w:rsidP="00E40A5B">
      <w:pPr>
        <w:pStyle w:val="NormalWeb"/>
        <w:autoSpaceDE w:val="0"/>
        <w:autoSpaceDN w:val="0"/>
        <w:adjustRightInd w:val="0"/>
        <w:spacing w:before="0" w:beforeAutospacing="0" w:after="0" w:afterAutospacing="0"/>
        <w:contextualSpacing/>
        <w:jc w:val="both"/>
        <w:rPr>
          <w:u w:val="single"/>
        </w:rPr>
      </w:pPr>
    </w:p>
    <w:p w14:paraId="7F58EAE5" w14:textId="2CD4666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variance noted </w:t>
      </w:r>
      <w:r>
        <w:t>in Tables 3.</w:t>
      </w:r>
      <w:r w:rsidR="00A85C58">
        <w:t>6 are</w:t>
      </w:r>
      <w:r w:rsidRPr="005A497D">
        <w:t xml:space="preserve"> </w:t>
      </w:r>
      <w:r w:rsidR="00A85C58">
        <w:t>8.98</w:t>
      </w:r>
      <w:r>
        <w:t xml:space="preserve"> percent</w:t>
      </w:r>
      <w:r w:rsidRPr="005A497D">
        <w:t xml:space="preserve">, </w:t>
      </w:r>
      <w:r>
        <w:t>12.1</w:t>
      </w:r>
      <w:r w:rsidR="00A85C58">
        <w:t>2</w:t>
      </w:r>
      <w:r>
        <w:t xml:space="preserve"> percent,</w:t>
      </w:r>
      <w:r w:rsidRPr="005A497D">
        <w:t xml:space="preserve"> and 10.1</w:t>
      </w:r>
      <w:r w:rsidR="00A85C58">
        <w:t>4</w:t>
      </w:r>
      <w:r>
        <w:t xml:space="preserve"> percent</w:t>
      </w:r>
      <w:r w:rsidRPr="005A497D">
        <w:t xml:space="preserve"> for 2012, 2013, and 2014</w:t>
      </w:r>
      <w:r>
        <w:t>,</w:t>
      </w:r>
      <w:r w:rsidRPr="005A497D">
        <w:t xml:space="preserve"> respectively. This is </w:t>
      </w:r>
      <w:r w:rsidR="00136AAD">
        <w:t>consistent with</w:t>
      </w:r>
      <w:r w:rsidR="00136AAD" w:rsidRPr="005A497D">
        <w:t xml:space="preserve"> </w:t>
      </w:r>
      <w:r w:rsidRPr="005A497D">
        <w:t xml:space="preserve">the “C” rating </w:t>
      </w:r>
      <w:r>
        <w:t xml:space="preserve">criteria, which requires a variance within </w:t>
      </w:r>
      <w:r w:rsidR="00136AAD">
        <w:t xml:space="preserve">10 to </w:t>
      </w:r>
      <w:r>
        <w:t>15 percent for at least two of the last three fiscal years. Score for Dimension 3.2 is assessed as “</w:t>
      </w:r>
      <w:r w:rsidR="00136AAD">
        <w:t>C</w:t>
      </w:r>
      <w:r>
        <w:t>”.</w:t>
      </w:r>
    </w:p>
    <w:p w14:paraId="11383E91" w14:textId="77777777" w:rsidR="001762EE" w:rsidRDefault="001762EE" w:rsidP="006941F7"/>
    <w:p w14:paraId="6AEE894C" w14:textId="77777777" w:rsidR="0015142A" w:rsidRPr="005A497D" w:rsidRDefault="0015142A" w:rsidP="006941F7"/>
    <w:p w14:paraId="35C4FF64" w14:textId="37211944" w:rsidR="001762EE" w:rsidRPr="0043657F" w:rsidRDefault="001762EE" w:rsidP="009A012D">
      <w:pPr>
        <w:pStyle w:val="Heading2"/>
        <w:jc w:val="left"/>
        <w:rPr>
          <w:rFonts w:ascii="Times New Roman" w:hAnsi="Times New Roman"/>
          <w:sz w:val="28"/>
          <w:szCs w:val="28"/>
        </w:rPr>
      </w:pPr>
      <w:bookmarkStart w:id="75" w:name="_Toc454811647"/>
      <w:bookmarkStart w:id="76" w:name="_Toc454888792"/>
      <w:r>
        <w:rPr>
          <w:rFonts w:ascii="Times New Roman" w:hAnsi="Times New Roman"/>
          <w:sz w:val="28"/>
          <w:szCs w:val="28"/>
        </w:rPr>
        <w:t>Pillar</w:t>
      </w:r>
      <w:r w:rsidRPr="0043657F">
        <w:rPr>
          <w:rFonts w:ascii="Times New Roman" w:hAnsi="Times New Roman"/>
          <w:sz w:val="28"/>
          <w:szCs w:val="28"/>
        </w:rPr>
        <w:t xml:space="preserve"> II. Transparency of </w:t>
      </w:r>
      <w:r w:rsidRPr="004521BD">
        <w:rPr>
          <w:rFonts w:ascii="Times New Roman" w:hAnsi="Times New Roman"/>
          <w:sz w:val="28"/>
          <w:szCs w:val="28"/>
        </w:rPr>
        <w:t>Public Finances</w:t>
      </w:r>
      <w:bookmarkEnd w:id="75"/>
      <w:bookmarkEnd w:id="76"/>
    </w:p>
    <w:p w14:paraId="61867A70" w14:textId="77777777" w:rsidR="001762EE" w:rsidRPr="005A497D" w:rsidRDefault="001762EE" w:rsidP="00E24D79">
      <w:pPr>
        <w:pStyle w:val="NormalWeb"/>
        <w:autoSpaceDE w:val="0"/>
        <w:autoSpaceDN w:val="0"/>
        <w:adjustRightInd w:val="0"/>
        <w:spacing w:before="0" w:beforeAutospacing="0" w:after="0" w:afterAutospacing="0"/>
        <w:contextualSpacing/>
        <w:jc w:val="both"/>
      </w:pPr>
    </w:p>
    <w:p w14:paraId="7F141617" w14:textId="0802FE8E" w:rsidR="001762EE" w:rsidRPr="00411651" w:rsidRDefault="001762EE" w:rsidP="00411651">
      <w:pPr>
        <w:pStyle w:val="Style2"/>
      </w:pPr>
      <w:bookmarkStart w:id="77" w:name="_Toc454811648"/>
      <w:bookmarkStart w:id="78" w:name="_Toc454888793"/>
      <w:r w:rsidRPr="00411651">
        <w:t>PI-4 Budget classification</w:t>
      </w:r>
      <w:bookmarkEnd w:id="77"/>
      <w:bookmarkEnd w:id="78"/>
    </w:p>
    <w:p w14:paraId="2604B86F" w14:textId="77777777" w:rsidR="001762EE" w:rsidRPr="005A497D" w:rsidRDefault="001762EE" w:rsidP="00411651">
      <w:pPr>
        <w:pStyle w:val="Style2"/>
      </w:pPr>
    </w:p>
    <w:p w14:paraId="40A076C7" w14:textId="252CC3B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 robust classification system facilitates effective linkage of budget allocations to underlying policies, expenditure recording and monitoring of transactions, especially the management of key line items for efficient and economical management of resources. </w:t>
      </w:r>
      <w:r>
        <w:t xml:space="preserve">This indicator assesses the extent to which the government budget and accounts classification is consistent with international standards. </w:t>
      </w:r>
    </w:p>
    <w:p w14:paraId="66F98509" w14:textId="77777777" w:rsidR="001762EE" w:rsidRPr="005A497D" w:rsidRDefault="001762EE" w:rsidP="00A74704">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5B288D5D" w14:textId="77777777" w:rsidTr="00CB0AB5">
        <w:trPr>
          <w:trHeight w:val="397"/>
        </w:trPr>
        <w:tc>
          <w:tcPr>
            <w:tcW w:w="3600" w:type="dxa"/>
            <w:tcBorders>
              <w:top w:val="double" w:sz="4" w:space="0" w:color="auto"/>
            </w:tcBorders>
            <w:shd w:val="clear" w:color="auto" w:fill="D9D9D9"/>
            <w:vAlign w:val="center"/>
          </w:tcPr>
          <w:p w14:paraId="0D7194D2" w14:textId="77777777" w:rsidR="001762EE" w:rsidRPr="0043657F" w:rsidRDefault="001762EE" w:rsidP="00A008FF">
            <w:pPr>
              <w:spacing w:before="40" w:after="40"/>
              <w:jc w:val="center"/>
              <w:rPr>
                <w:b/>
                <w:i/>
                <w:sz w:val="22"/>
                <w:szCs w:val="22"/>
              </w:rPr>
            </w:pPr>
            <w:r w:rsidRPr="0043657F">
              <w:rPr>
                <w:b/>
                <w:i/>
                <w:sz w:val="22"/>
                <w:szCs w:val="22"/>
              </w:rPr>
              <w:t>Indicator / Dimension</w:t>
            </w:r>
          </w:p>
        </w:tc>
        <w:tc>
          <w:tcPr>
            <w:tcW w:w="1843" w:type="dxa"/>
            <w:tcBorders>
              <w:top w:val="double" w:sz="4" w:space="0" w:color="auto"/>
            </w:tcBorders>
            <w:shd w:val="clear" w:color="auto" w:fill="D9D9D9"/>
            <w:vAlign w:val="center"/>
          </w:tcPr>
          <w:p w14:paraId="5966FB01" w14:textId="77777777" w:rsidR="001762EE" w:rsidRPr="0043657F" w:rsidRDefault="001762EE" w:rsidP="00A008FF">
            <w:pPr>
              <w:spacing w:before="40" w:after="40"/>
              <w:jc w:val="center"/>
              <w:rPr>
                <w:b/>
                <w:i/>
                <w:sz w:val="22"/>
                <w:szCs w:val="22"/>
              </w:rPr>
            </w:pPr>
            <w:r w:rsidRPr="0043657F">
              <w:rPr>
                <w:b/>
                <w:i/>
                <w:sz w:val="22"/>
                <w:szCs w:val="22"/>
              </w:rPr>
              <w:t>Score</w:t>
            </w:r>
          </w:p>
        </w:tc>
        <w:tc>
          <w:tcPr>
            <w:tcW w:w="3913" w:type="dxa"/>
            <w:tcBorders>
              <w:top w:val="double" w:sz="4" w:space="0" w:color="auto"/>
            </w:tcBorders>
            <w:shd w:val="clear" w:color="auto" w:fill="D9D9D9"/>
            <w:vAlign w:val="center"/>
          </w:tcPr>
          <w:p w14:paraId="5EB83079" w14:textId="77777777" w:rsidR="001762EE" w:rsidRPr="0043657F" w:rsidRDefault="001762EE" w:rsidP="00A008FF">
            <w:pPr>
              <w:spacing w:before="40" w:after="40"/>
              <w:jc w:val="center"/>
              <w:rPr>
                <w:b/>
                <w:i/>
                <w:sz w:val="22"/>
                <w:szCs w:val="22"/>
              </w:rPr>
            </w:pPr>
            <w:r w:rsidRPr="0043657F">
              <w:rPr>
                <w:b/>
                <w:i/>
                <w:sz w:val="22"/>
                <w:szCs w:val="22"/>
              </w:rPr>
              <w:t>Brief Explanation</w:t>
            </w:r>
          </w:p>
        </w:tc>
      </w:tr>
      <w:tr w:rsidR="001762EE" w:rsidRPr="005A497D" w14:paraId="68AC498D" w14:textId="77777777" w:rsidTr="001D4500">
        <w:trPr>
          <w:trHeight w:val="1617"/>
        </w:trPr>
        <w:tc>
          <w:tcPr>
            <w:tcW w:w="3600" w:type="dxa"/>
            <w:tcBorders>
              <w:top w:val="double" w:sz="4" w:space="0" w:color="auto"/>
              <w:bottom w:val="double" w:sz="4" w:space="0" w:color="auto"/>
            </w:tcBorders>
          </w:tcPr>
          <w:p w14:paraId="3DC408D8" w14:textId="1DB526CB" w:rsidR="001762EE" w:rsidRPr="005A497D" w:rsidRDefault="001762EE" w:rsidP="00CF29C4">
            <w:pPr>
              <w:spacing w:before="20" w:after="20"/>
              <w:rPr>
                <w:b/>
                <w:sz w:val="22"/>
                <w:szCs w:val="22"/>
              </w:rPr>
            </w:pPr>
            <w:r w:rsidRPr="005A497D">
              <w:rPr>
                <w:b/>
                <w:sz w:val="22"/>
                <w:szCs w:val="22"/>
              </w:rPr>
              <w:t xml:space="preserve">PI-4 </w:t>
            </w:r>
            <w:r>
              <w:rPr>
                <w:b/>
                <w:sz w:val="22"/>
                <w:szCs w:val="22"/>
              </w:rPr>
              <w:t>Budget c</w:t>
            </w:r>
            <w:r w:rsidRPr="005A497D">
              <w:rPr>
                <w:b/>
                <w:sz w:val="22"/>
                <w:szCs w:val="22"/>
              </w:rPr>
              <w:t>lassification</w:t>
            </w:r>
          </w:p>
        </w:tc>
        <w:tc>
          <w:tcPr>
            <w:tcW w:w="1843" w:type="dxa"/>
            <w:tcBorders>
              <w:top w:val="double" w:sz="4" w:space="0" w:color="auto"/>
              <w:bottom w:val="double" w:sz="4" w:space="0" w:color="auto"/>
            </w:tcBorders>
          </w:tcPr>
          <w:p w14:paraId="24941B11" w14:textId="77777777" w:rsidR="001762EE" w:rsidRPr="005A497D" w:rsidRDefault="001762EE" w:rsidP="00FE561C">
            <w:pPr>
              <w:spacing w:before="20" w:after="20"/>
              <w:jc w:val="center"/>
              <w:rPr>
                <w:b/>
                <w:sz w:val="22"/>
                <w:szCs w:val="22"/>
              </w:rPr>
            </w:pPr>
            <w:r w:rsidRPr="005A497D">
              <w:rPr>
                <w:b/>
                <w:sz w:val="22"/>
                <w:szCs w:val="22"/>
              </w:rPr>
              <w:t>C</w:t>
            </w:r>
          </w:p>
        </w:tc>
        <w:tc>
          <w:tcPr>
            <w:tcW w:w="3913" w:type="dxa"/>
            <w:tcBorders>
              <w:top w:val="double" w:sz="4" w:space="0" w:color="auto"/>
              <w:bottom w:val="double" w:sz="4" w:space="0" w:color="auto"/>
            </w:tcBorders>
          </w:tcPr>
          <w:p w14:paraId="60DF116C" w14:textId="39BD66E8" w:rsidR="001762EE" w:rsidRPr="005A497D" w:rsidRDefault="001762EE" w:rsidP="0043657F">
            <w:pPr>
              <w:spacing w:before="20" w:after="20"/>
              <w:rPr>
                <w:rFonts w:asciiTheme="majorHAnsi" w:eastAsiaTheme="majorEastAsia" w:hAnsiTheme="majorHAnsi" w:cstheme="majorBidi"/>
                <w:b/>
                <w:bCs/>
                <w:color w:val="404040" w:themeColor="text1" w:themeTint="BF"/>
                <w:sz w:val="22"/>
                <w:szCs w:val="22"/>
              </w:rPr>
            </w:pPr>
            <w:r w:rsidRPr="005A497D">
              <w:rPr>
                <w:sz w:val="22"/>
                <w:szCs w:val="22"/>
              </w:rPr>
              <w:t>The Unified Accounts Code Structure was implemented in 2014 for budget formulation, execution and reporting. It applies GFS administrative and economic classification.</w:t>
            </w:r>
            <w:r w:rsidR="001D4E1B">
              <w:rPr>
                <w:sz w:val="22"/>
                <w:szCs w:val="22"/>
              </w:rPr>
              <w:t xml:space="preserve"> Full rollout to execution is still underway and reporting is adjusted for compliance at aggregate level.</w:t>
            </w:r>
          </w:p>
        </w:tc>
      </w:tr>
    </w:tbl>
    <w:p w14:paraId="348EA6F3" w14:textId="77777777" w:rsidR="001762EE" w:rsidRPr="005A497D" w:rsidRDefault="001762EE" w:rsidP="008757CC">
      <w:pPr>
        <w:pStyle w:val="NormalWeb"/>
        <w:autoSpaceDE w:val="0"/>
        <w:autoSpaceDN w:val="0"/>
        <w:adjustRightInd w:val="0"/>
        <w:spacing w:before="0" w:beforeAutospacing="0" w:after="0" w:afterAutospacing="0"/>
        <w:contextualSpacing/>
        <w:jc w:val="both"/>
      </w:pPr>
    </w:p>
    <w:p w14:paraId="5FA7945D" w14:textId="15E0A0D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the Philippine budget, the basic structure of appropriations is the </w:t>
      </w:r>
      <w:r>
        <w:t>p</w:t>
      </w:r>
      <w:r w:rsidRPr="005A497D">
        <w:t xml:space="preserve">rogram, </w:t>
      </w:r>
      <w:r>
        <w:t>a</w:t>
      </w:r>
      <w:r w:rsidRPr="005A497D">
        <w:t>ctivit</w:t>
      </w:r>
      <w:r>
        <w:t>y,</w:t>
      </w:r>
      <w:r w:rsidRPr="005A497D">
        <w:t xml:space="preserve"> and </w:t>
      </w:r>
      <w:r>
        <w:t>p</w:t>
      </w:r>
      <w:r w:rsidRPr="005A497D">
        <w:t>roject (</w:t>
      </w:r>
      <w:r w:rsidRPr="00D661D7">
        <w:t>PAP</w:t>
      </w:r>
      <w:r w:rsidRPr="005A497D">
        <w:t>)</w:t>
      </w:r>
      <w:r>
        <w:t xml:space="preserve"> code</w:t>
      </w:r>
      <w:r w:rsidRPr="005A497D">
        <w:t xml:space="preserve"> for each administrative unit. These are further subdivided by “object”. The classification by </w:t>
      </w:r>
      <w:r>
        <w:t>function and sub-function is compliant with C</w:t>
      </w:r>
      <w:r w:rsidRPr="005A497D">
        <w:t xml:space="preserve">lassification of the </w:t>
      </w:r>
      <w:r>
        <w:t>F</w:t>
      </w:r>
      <w:r w:rsidRPr="005A497D">
        <w:t>unctions of Government</w:t>
      </w:r>
      <w:r>
        <w:t xml:space="preserve"> (COFOG) classification at the structure under the Government Finance Statistics (GFS) Manual 2001</w:t>
      </w:r>
      <w:r w:rsidRPr="005A497D">
        <w:t>.</w:t>
      </w:r>
      <w:r>
        <w:t xml:space="preserve"> </w:t>
      </w:r>
      <w:r w:rsidRPr="005A497D">
        <w:t>At its most aggregated form, it lumps together</w:t>
      </w:r>
      <w:r>
        <w:t>,</w:t>
      </w:r>
      <w:r w:rsidRPr="005A497D">
        <w:t xml:space="preserve"> under the broad </w:t>
      </w:r>
      <w:r>
        <w:t>maintenance and other operating expenses,</w:t>
      </w:r>
      <w:r w:rsidRPr="005A497D">
        <w:t xml:space="preserve"> a range of various expenditures such as subsidies, current transfers, interest payments, and other operating expenses. The </w:t>
      </w:r>
      <w:r w:rsidRPr="005A497D">
        <w:rPr>
          <w:sz w:val="22"/>
          <w:szCs w:val="22"/>
        </w:rPr>
        <w:t xml:space="preserve">Unified Accounts Code Structure </w:t>
      </w:r>
      <w:r>
        <w:rPr>
          <w:sz w:val="22"/>
          <w:szCs w:val="22"/>
        </w:rPr>
        <w:t>(</w:t>
      </w:r>
      <w:r w:rsidRPr="005A497D">
        <w:t>UACS</w:t>
      </w:r>
      <w:r>
        <w:t>)</w:t>
      </w:r>
      <w:r w:rsidRPr="005A497D">
        <w:t xml:space="preserve"> addresses the disaggregated presentation of the different types of expenditures mentioned. It identifies the following </w:t>
      </w:r>
      <w:r>
        <w:t xml:space="preserve">three </w:t>
      </w:r>
      <w:r w:rsidRPr="005A497D">
        <w:t xml:space="preserve">key elements: </w:t>
      </w:r>
      <w:r>
        <w:t>s</w:t>
      </w:r>
      <w:r w:rsidRPr="005A497D">
        <w:t>ource of funding, level of organization it belongs to, and location area of the activity undertaken.</w:t>
      </w:r>
      <w:r>
        <w:t xml:space="preserve"> The object codes are largely aligned with the GFS Manual 2001.</w:t>
      </w:r>
    </w:p>
    <w:p w14:paraId="3AF396B1" w14:textId="77777777" w:rsidR="001762EE" w:rsidRPr="005A497D" w:rsidRDefault="001762EE" w:rsidP="008757CC">
      <w:pPr>
        <w:pStyle w:val="NormalWeb"/>
        <w:autoSpaceDE w:val="0"/>
        <w:autoSpaceDN w:val="0"/>
        <w:adjustRightInd w:val="0"/>
        <w:spacing w:before="0" w:beforeAutospacing="0" w:after="0" w:afterAutospacing="0"/>
        <w:contextualSpacing/>
        <w:jc w:val="both"/>
      </w:pPr>
    </w:p>
    <w:p w14:paraId="2DE8D526" w14:textId="1421026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w:t>
      </w:r>
      <w:r w:rsidR="001D4E1B">
        <w:t>UACS</w:t>
      </w:r>
      <w:r w:rsidRPr="005A497D">
        <w:t xml:space="preserve"> has officially been issued for use in the budget formulation, execution</w:t>
      </w:r>
      <w:r>
        <w:t>,</w:t>
      </w:r>
      <w:r w:rsidRPr="005A497D">
        <w:t xml:space="preserve"> and reporting.</w:t>
      </w:r>
      <w:r w:rsidRPr="005A497D">
        <w:rPr>
          <w:rStyle w:val="EndnoteReference"/>
        </w:rPr>
        <w:endnoteReference w:id="9"/>
      </w:r>
      <w:r w:rsidRPr="005A497D">
        <w:t xml:space="preserve"> </w:t>
      </w:r>
      <w:r>
        <w:t>It w</w:t>
      </w:r>
      <w:r w:rsidRPr="005A497D">
        <w:t>as used in the preparation of the 2014</w:t>
      </w:r>
      <w:r>
        <w:t>, 2015,</w:t>
      </w:r>
      <w:r w:rsidRPr="005A497D">
        <w:t xml:space="preserve"> and 201</w:t>
      </w:r>
      <w:r>
        <w:t>6</w:t>
      </w:r>
      <w:r w:rsidRPr="005A497D">
        <w:t xml:space="preserve"> budget proposal. As for execution and reporting, the review noted compliance in the available 2014 </w:t>
      </w:r>
      <w:r>
        <w:t>CoA</w:t>
      </w:r>
      <w:r w:rsidRPr="005A497D">
        <w:t xml:space="preserve"> annual audited reports, otherwise the agency’s non-compliance is tagged as a finding </w:t>
      </w:r>
      <w:r>
        <w:t>[</w:t>
      </w:r>
      <w:r w:rsidRPr="005A497D">
        <w:t>e.g., National Youth Commission under</w:t>
      </w:r>
      <w:r>
        <w:t xml:space="preserve"> the Department of Social Welfare and Development</w:t>
      </w:r>
      <w:r w:rsidRPr="005A497D">
        <w:t xml:space="preserve"> </w:t>
      </w:r>
      <w:r>
        <w:t>(</w:t>
      </w:r>
      <w:r w:rsidRPr="005A497D">
        <w:t>DSWD)</w:t>
      </w:r>
      <w:r>
        <w:t>].</w:t>
      </w:r>
      <w:r w:rsidRPr="005A497D">
        <w:t xml:space="preserve"> Regarding the use of </w:t>
      </w:r>
      <w:r>
        <w:t xml:space="preserve">the </w:t>
      </w:r>
      <w:r w:rsidR="00402C09">
        <w:t xml:space="preserve">Unified </w:t>
      </w:r>
      <w:r>
        <w:t>Accounts Code Structure</w:t>
      </w:r>
      <w:r w:rsidRPr="005A497D">
        <w:t xml:space="preserve"> in reporting, the following was observed: (</w:t>
      </w:r>
      <w:r>
        <w:t>a</w:t>
      </w:r>
      <w:r w:rsidRPr="005A497D">
        <w:t xml:space="preserve">) </w:t>
      </w:r>
      <w:r w:rsidR="004E37BF">
        <w:t xml:space="preserve">the </w:t>
      </w:r>
      <w:r w:rsidRPr="005A497D">
        <w:t xml:space="preserve">BESF and </w:t>
      </w:r>
      <w:r w:rsidR="004E37BF">
        <w:t xml:space="preserve">General </w:t>
      </w:r>
      <w:r w:rsidR="00024F47">
        <w:t>Appropriations Act (</w:t>
      </w:r>
      <w:r w:rsidRPr="005A497D">
        <w:t>GAA</w:t>
      </w:r>
      <w:r w:rsidR="00024F47">
        <w:t>)</w:t>
      </w:r>
      <w:r w:rsidRPr="005A497D">
        <w:t xml:space="preserve"> report on details of budget execution on obligation basis</w:t>
      </w:r>
      <w:r>
        <w:t>;</w:t>
      </w:r>
      <w:r w:rsidRPr="005A497D">
        <w:t xml:space="preserve"> (</w:t>
      </w:r>
      <w:r>
        <w:t>b</w:t>
      </w:r>
      <w:r w:rsidRPr="005A497D">
        <w:t xml:space="preserve">) </w:t>
      </w:r>
      <w:r>
        <w:t>CoA</w:t>
      </w:r>
      <w:r w:rsidRPr="005A497D">
        <w:t xml:space="preserve"> reports reflect the actual payments and disbursements as per transaction and organize the annual report on allotment, obligations</w:t>
      </w:r>
      <w:r>
        <w:t>,</w:t>
      </w:r>
      <w:r w:rsidRPr="005A497D">
        <w:t xml:space="preserve"> and disbursements via responsibility centers</w:t>
      </w:r>
      <w:r>
        <w:t xml:space="preserve">; and (c) at the agency level every transaction is to be recorded through </w:t>
      </w:r>
      <w:r w:rsidRPr="000D0E8D">
        <w:rPr>
          <w:i/>
        </w:rPr>
        <w:t>e</w:t>
      </w:r>
      <w:r>
        <w:t xml:space="preserve">NGAS, which generates </w:t>
      </w:r>
      <w:r w:rsidR="001D4E1B">
        <w:t xml:space="preserve">the Journal Entry Voucher while every transaction requiring the utilization of allotments is recorded and monitored through </w:t>
      </w:r>
      <w:r w:rsidR="001D4E1B" w:rsidRPr="007C3883">
        <w:rPr>
          <w:i/>
        </w:rPr>
        <w:t>e</w:t>
      </w:r>
      <w:r w:rsidR="001D4E1B">
        <w:t xml:space="preserve">Budget System, which generates </w:t>
      </w:r>
      <w:r>
        <w:t>the Obligation Request and Status showing the UACS codes</w:t>
      </w:r>
      <w:r w:rsidRPr="005A497D">
        <w:t xml:space="preserve">. </w:t>
      </w:r>
      <w:r>
        <w:t xml:space="preserve">However UACS </w:t>
      </w:r>
      <w:r w:rsidR="003E0B64">
        <w:t xml:space="preserve">procedures are </w:t>
      </w:r>
      <w:r>
        <w:t xml:space="preserve">fully available only in version 2 of </w:t>
      </w:r>
      <w:r w:rsidRPr="000D0E8D">
        <w:rPr>
          <w:i/>
        </w:rPr>
        <w:t>e</w:t>
      </w:r>
      <w:r>
        <w:t>NGAS</w:t>
      </w:r>
      <w:r w:rsidR="001D4E1B">
        <w:t xml:space="preserve"> and </w:t>
      </w:r>
      <w:r w:rsidR="001D4E1B" w:rsidRPr="000D0E8D">
        <w:rPr>
          <w:i/>
        </w:rPr>
        <w:t>e</w:t>
      </w:r>
      <w:r w:rsidR="001D4E1B">
        <w:t>Budget</w:t>
      </w:r>
      <w:r>
        <w:t>, which ha</w:t>
      </w:r>
      <w:r w:rsidR="001D4E1B">
        <w:t>ve</w:t>
      </w:r>
      <w:r>
        <w:t xml:space="preserve"> only been partially rolled out. At the time of assessment, no department had fully rolled out version 2</w:t>
      </w:r>
      <w:r w:rsidR="001D4E1B">
        <w:t xml:space="preserve"> except CoA</w:t>
      </w:r>
      <w:r>
        <w:t xml:space="preserve">. Fields for </w:t>
      </w:r>
      <w:r w:rsidR="003E0B64">
        <w:t xml:space="preserve">location </w:t>
      </w:r>
      <w:r>
        <w:t xml:space="preserve">code are not available in this version either, but remaining 45 digits can be entered at transaction level. </w:t>
      </w:r>
    </w:p>
    <w:p w14:paraId="5845EC45" w14:textId="77777777" w:rsidR="001762EE" w:rsidRPr="005A497D" w:rsidRDefault="001762EE" w:rsidP="006D390B">
      <w:pPr>
        <w:pStyle w:val="NormalWeb"/>
        <w:autoSpaceDE w:val="0"/>
        <w:autoSpaceDN w:val="0"/>
        <w:adjustRightInd w:val="0"/>
        <w:spacing w:before="0" w:beforeAutospacing="0" w:after="0" w:afterAutospacing="0"/>
        <w:contextualSpacing/>
        <w:jc w:val="both"/>
      </w:pPr>
    </w:p>
    <w:p w14:paraId="0D85E843" w14:textId="08B9462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UACS Manual indicated that the GFS coding is not generally shown to be part of the </w:t>
      </w:r>
      <w:r w:rsidR="00402C09">
        <w:t xml:space="preserve">Unified </w:t>
      </w:r>
      <w:r>
        <w:t>Accounts Code Structure;</w:t>
      </w:r>
      <w:r w:rsidRPr="005A497D">
        <w:t xml:space="preserve"> nevertheless, GFS</w:t>
      </w:r>
      <w:r>
        <w:t>-</w:t>
      </w:r>
      <w:r w:rsidRPr="005A497D">
        <w:t>compliant data can be obtained from the reference table inside the system mapping the GFS function from the MFO/PAP codes, including GFS economic classification coding from the object codes for non-financial assets, financial assets, liabilities, revenues</w:t>
      </w:r>
      <w:r>
        <w:t>,</w:t>
      </w:r>
      <w:r w:rsidRPr="005A497D">
        <w:t xml:space="preserve"> and expenses.</w:t>
      </w:r>
      <w:r>
        <w:t xml:space="preserve"> A separate exercise to map PAP codes with COFOG was undertaken for the 2016 budget proposal, but it is yet to be rolled out for reporting. Score for PI-4 is assessed at “C”. In the absence of an integrated financial management information system, it is difficult to apply the full 54 digit UACS codes at the transaction level.</w:t>
      </w:r>
    </w:p>
    <w:p w14:paraId="652C19F8" w14:textId="77777777" w:rsidR="001762EE" w:rsidRPr="005A497D" w:rsidRDefault="001762EE" w:rsidP="00BD5B4C">
      <w:pPr>
        <w:pStyle w:val="NormalWeb"/>
        <w:autoSpaceDE w:val="0"/>
        <w:autoSpaceDN w:val="0"/>
        <w:adjustRightInd w:val="0"/>
        <w:spacing w:before="0" w:beforeAutospacing="0" w:after="0" w:afterAutospacing="0"/>
        <w:contextualSpacing/>
        <w:jc w:val="both"/>
      </w:pPr>
    </w:p>
    <w:p w14:paraId="67ED31CF" w14:textId="68C01894" w:rsidR="001762EE" w:rsidRPr="005A497D" w:rsidRDefault="001762EE" w:rsidP="00411651">
      <w:pPr>
        <w:pStyle w:val="Heading3"/>
      </w:pPr>
      <w:bookmarkStart w:id="79" w:name="_Toc454811649"/>
      <w:bookmarkStart w:id="80" w:name="_Toc454888794"/>
      <w:r w:rsidRPr="005A497D">
        <w:t xml:space="preserve">PI-5 </w:t>
      </w:r>
      <w:r>
        <w:t xml:space="preserve">Budget </w:t>
      </w:r>
      <w:r w:rsidRPr="005A497D">
        <w:t>documentation</w:t>
      </w:r>
      <w:bookmarkEnd w:id="79"/>
      <w:bookmarkEnd w:id="80"/>
    </w:p>
    <w:p w14:paraId="119CAF90" w14:textId="77777777" w:rsidR="001762EE" w:rsidRPr="005A497D" w:rsidRDefault="001762EE"/>
    <w:p w14:paraId="4307E73A" w14:textId="681E39B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indicator assesses the comp</w:t>
      </w:r>
      <w:r>
        <w:t xml:space="preserve">rehensiveness of the </w:t>
      </w:r>
      <w:r w:rsidRPr="005A497D">
        <w:t>information included in the annual budget documentation as submitted to the legislature for scrutiny and approval.</w:t>
      </w:r>
      <w:r w:rsidRPr="005A497D">
        <w:rPr>
          <w:rStyle w:val="EndnoteReference"/>
        </w:rPr>
        <w:endnoteReference w:id="10"/>
      </w:r>
    </w:p>
    <w:p w14:paraId="213E7397" w14:textId="77777777" w:rsidR="001762EE" w:rsidRPr="005A497D" w:rsidRDefault="001762EE" w:rsidP="00BD5B4C">
      <w:pPr>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21EEFC3A" w14:textId="77777777" w:rsidTr="00247049">
        <w:trPr>
          <w:trHeight w:val="604"/>
        </w:trPr>
        <w:tc>
          <w:tcPr>
            <w:tcW w:w="3600" w:type="dxa"/>
            <w:tcBorders>
              <w:top w:val="double" w:sz="4" w:space="0" w:color="auto"/>
            </w:tcBorders>
            <w:shd w:val="clear" w:color="auto" w:fill="D9D9D9"/>
            <w:vAlign w:val="center"/>
          </w:tcPr>
          <w:p w14:paraId="73E52153" w14:textId="77777777" w:rsidR="001762EE" w:rsidRPr="00460DCE" w:rsidRDefault="001762EE" w:rsidP="00247049">
            <w:pPr>
              <w:spacing w:before="40" w:after="40"/>
              <w:jc w:val="center"/>
              <w:rPr>
                <w:b/>
                <w:i/>
                <w:sz w:val="20"/>
                <w:szCs w:val="20"/>
              </w:rPr>
            </w:pPr>
            <w:r w:rsidRPr="00460DCE">
              <w:rPr>
                <w:b/>
                <w:i/>
                <w:sz w:val="20"/>
                <w:szCs w:val="20"/>
              </w:rPr>
              <w:t>Indicator / Dimension</w:t>
            </w:r>
          </w:p>
        </w:tc>
        <w:tc>
          <w:tcPr>
            <w:tcW w:w="1843" w:type="dxa"/>
            <w:tcBorders>
              <w:top w:val="double" w:sz="4" w:space="0" w:color="auto"/>
            </w:tcBorders>
            <w:shd w:val="clear" w:color="auto" w:fill="D9D9D9"/>
            <w:vAlign w:val="center"/>
          </w:tcPr>
          <w:p w14:paraId="383C5335" w14:textId="77777777" w:rsidR="001762EE" w:rsidRPr="00460DCE" w:rsidRDefault="001762EE" w:rsidP="00247049">
            <w:pPr>
              <w:spacing w:before="40" w:after="40"/>
              <w:jc w:val="center"/>
              <w:rPr>
                <w:b/>
                <w:i/>
                <w:sz w:val="20"/>
                <w:szCs w:val="20"/>
              </w:rPr>
            </w:pPr>
            <w:r w:rsidRPr="00460DCE">
              <w:rPr>
                <w:b/>
                <w:i/>
                <w:sz w:val="20"/>
                <w:szCs w:val="20"/>
              </w:rPr>
              <w:t>Score</w:t>
            </w:r>
          </w:p>
        </w:tc>
        <w:tc>
          <w:tcPr>
            <w:tcW w:w="3913" w:type="dxa"/>
            <w:tcBorders>
              <w:top w:val="double" w:sz="4" w:space="0" w:color="auto"/>
            </w:tcBorders>
            <w:shd w:val="clear" w:color="auto" w:fill="D9D9D9"/>
            <w:vAlign w:val="center"/>
          </w:tcPr>
          <w:p w14:paraId="7D50DB03" w14:textId="77777777" w:rsidR="001762EE" w:rsidRPr="00460DCE" w:rsidRDefault="001762EE" w:rsidP="00247049">
            <w:pPr>
              <w:spacing w:before="40" w:after="40"/>
              <w:jc w:val="center"/>
              <w:rPr>
                <w:b/>
                <w:i/>
                <w:sz w:val="20"/>
                <w:szCs w:val="20"/>
              </w:rPr>
            </w:pPr>
            <w:r w:rsidRPr="00460DCE">
              <w:rPr>
                <w:b/>
                <w:i/>
                <w:sz w:val="20"/>
                <w:szCs w:val="20"/>
              </w:rPr>
              <w:t>Brief Explanation</w:t>
            </w:r>
          </w:p>
        </w:tc>
      </w:tr>
      <w:tr w:rsidR="001762EE" w:rsidRPr="005A497D" w14:paraId="62F5D672" w14:textId="77777777" w:rsidTr="00247049">
        <w:tc>
          <w:tcPr>
            <w:tcW w:w="3600" w:type="dxa"/>
            <w:tcBorders>
              <w:top w:val="double" w:sz="4" w:space="0" w:color="auto"/>
              <w:bottom w:val="double" w:sz="4" w:space="0" w:color="auto"/>
            </w:tcBorders>
            <w:vAlign w:val="center"/>
          </w:tcPr>
          <w:p w14:paraId="684EF38B" w14:textId="2E00C8A1" w:rsidR="001762EE" w:rsidRPr="005A497D" w:rsidRDefault="001762EE" w:rsidP="00470340">
            <w:pPr>
              <w:spacing w:before="40" w:after="40"/>
              <w:rPr>
                <w:b/>
                <w:sz w:val="22"/>
                <w:szCs w:val="22"/>
              </w:rPr>
            </w:pPr>
            <w:r w:rsidRPr="005A497D">
              <w:rPr>
                <w:b/>
                <w:sz w:val="22"/>
                <w:szCs w:val="22"/>
              </w:rPr>
              <w:t xml:space="preserve">PI-5 </w:t>
            </w:r>
            <w:r>
              <w:rPr>
                <w:b/>
                <w:sz w:val="22"/>
                <w:szCs w:val="22"/>
              </w:rPr>
              <w:t>B</w:t>
            </w:r>
            <w:r w:rsidRPr="005A497D">
              <w:rPr>
                <w:b/>
                <w:sz w:val="22"/>
                <w:szCs w:val="22"/>
              </w:rPr>
              <w:t>udget documentation</w:t>
            </w:r>
          </w:p>
        </w:tc>
        <w:tc>
          <w:tcPr>
            <w:tcW w:w="1843" w:type="dxa"/>
            <w:tcBorders>
              <w:top w:val="double" w:sz="4" w:space="0" w:color="auto"/>
              <w:bottom w:val="double" w:sz="4" w:space="0" w:color="auto"/>
            </w:tcBorders>
            <w:vAlign w:val="center"/>
          </w:tcPr>
          <w:p w14:paraId="37E1F75C" w14:textId="2EAA1FAE" w:rsidR="001762EE" w:rsidRPr="005A497D" w:rsidRDefault="001762EE" w:rsidP="00247049">
            <w:pPr>
              <w:spacing w:before="40" w:after="40"/>
              <w:jc w:val="center"/>
              <w:rPr>
                <w:b/>
                <w:sz w:val="22"/>
                <w:szCs w:val="22"/>
              </w:rPr>
            </w:pPr>
            <w:r>
              <w:rPr>
                <w:b/>
                <w:sz w:val="22"/>
                <w:szCs w:val="22"/>
              </w:rPr>
              <w:t>A</w:t>
            </w:r>
          </w:p>
        </w:tc>
        <w:tc>
          <w:tcPr>
            <w:tcW w:w="3913" w:type="dxa"/>
            <w:tcBorders>
              <w:top w:val="double" w:sz="4" w:space="0" w:color="auto"/>
              <w:bottom w:val="double" w:sz="4" w:space="0" w:color="auto"/>
            </w:tcBorders>
            <w:vAlign w:val="center"/>
          </w:tcPr>
          <w:p w14:paraId="72DB526B" w14:textId="399A5F8C" w:rsidR="001762EE" w:rsidRPr="005A497D" w:rsidRDefault="001762EE" w:rsidP="00460DCE">
            <w:pPr>
              <w:spacing w:before="40" w:after="40"/>
              <w:rPr>
                <w:sz w:val="22"/>
                <w:szCs w:val="22"/>
              </w:rPr>
            </w:pPr>
            <w:r w:rsidRPr="005A497D">
              <w:rPr>
                <w:sz w:val="22"/>
                <w:szCs w:val="22"/>
              </w:rPr>
              <w:t>The 2016 budget documentation fulfil</w:t>
            </w:r>
            <w:r>
              <w:rPr>
                <w:sz w:val="22"/>
                <w:szCs w:val="22"/>
              </w:rPr>
              <w:t>l</w:t>
            </w:r>
            <w:r w:rsidRPr="005A497D">
              <w:rPr>
                <w:sz w:val="22"/>
                <w:szCs w:val="22"/>
              </w:rPr>
              <w:t xml:space="preserve">s </w:t>
            </w:r>
            <w:r>
              <w:rPr>
                <w:sz w:val="22"/>
                <w:szCs w:val="22"/>
              </w:rPr>
              <w:t>10</w:t>
            </w:r>
            <w:r w:rsidRPr="005A497D">
              <w:rPr>
                <w:sz w:val="22"/>
                <w:szCs w:val="22"/>
              </w:rPr>
              <w:t xml:space="preserve"> of </w:t>
            </w:r>
            <w:r>
              <w:rPr>
                <w:sz w:val="22"/>
                <w:szCs w:val="22"/>
              </w:rPr>
              <w:t>12</w:t>
            </w:r>
            <w:r w:rsidRPr="005A497D">
              <w:rPr>
                <w:sz w:val="22"/>
                <w:szCs w:val="22"/>
              </w:rPr>
              <w:t xml:space="preserve"> information benchmarks</w:t>
            </w:r>
            <w:r>
              <w:rPr>
                <w:sz w:val="22"/>
                <w:szCs w:val="22"/>
              </w:rPr>
              <w:t>,</w:t>
            </w:r>
            <w:r w:rsidRPr="005A497D">
              <w:rPr>
                <w:sz w:val="22"/>
                <w:szCs w:val="22"/>
              </w:rPr>
              <w:t xml:space="preserve"> </w:t>
            </w:r>
            <w:r>
              <w:rPr>
                <w:sz w:val="22"/>
                <w:szCs w:val="22"/>
              </w:rPr>
              <w:t>including all the basic elements.</w:t>
            </w:r>
          </w:p>
        </w:tc>
      </w:tr>
    </w:tbl>
    <w:p w14:paraId="0C30ABC2" w14:textId="77777777" w:rsidR="001762EE" w:rsidRPr="005A497D" w:rsidRDefault="001762EE" w:rsidP="00BD5B4C">
      <w:pPr>
        <w:pStyle w:val="NormalWeb"/>
        <w:autoSpaceDE w:val="0"/>
        <w:autoSpaceDN w:val="0"/>
        <w:adjustRightInd w:val="0"/>
        <w:spacing w:before="0" w:beforeAutospacing="0" w:after="0" w:afterAutospacing="0"/>
        <w:contextualSpacing/>
        <w:jc w:val="both"/>
      </w:pPr>
    </w:p>
    <w:p w14:paraId="4239EADF" w14:textId="76C1D79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Pr>
          <w:iCs/>
        </w:rPr>
        <w:t>The Department of Budget and Management</w:t>
      </w:r>
      <w:r w:rsidRPr="005A497D">
        <w:rPr>
          <w:iCs/>
        </w:rPr>
        <w:t xml:space="preserve"> issues the Budget Call for the preparation of departments and agencies to submit their budget proposals. </w:t>
      </w:r>
      <w:r>
        <w:rPr>
          <w:iCs/>
        </w:rPr>
        <w:t xml:space="preserve">The Department </w:t>
      </w:r>
      <w:r w:rsidRPr="005A497D">
        <w:rPr>
          <w:iCs/>
        </w:rPr>
        <w:t>reviews the proposals and prepares a consolidated budget proposal for scrutiny and approval of the President and the Cabinet.</w:t>
      </w:r>
    </w:p>
    <w:p w14:paraId="42F44C19" w14:textId="77777777" w:rsidR="001762EE" w:rsidRPr="005A497D" w:rsidRDefault="001762EE" w:rsidP="00CA5D3E">
      <w:pPr>
        <w:pStyle w:val="NormalWeb"/>
        <w:autoSpaceDE w:val="0"/>
        <w:autoSpaceDN w:val="0"/>
        <w:adjustRightInd w:val="0"/>
        <w:spacing w:before="0" w:beforeAutospacing="0" w:after="0" w:afterAutospacing="0"/>
        <w:contextualSpacing/>
        <w:jc w:val="both"/>
      </w:pPr>
    </w:p>
    <w:p w14:paraId="311821D1" w14:textId="364391E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w:t>
      </w:r>
      <w:r w:rsidRPr="005A497D">
        <w:t xml:space="preserve"> President </w:t>
      </w:r>
      <w:r>
        <w:t xml:space="preserve">is mandated to </w:t>
      </w:r>
      <w:r w:rsidRPr="005A497D">
        <w:t>submit to Congress the National Expenditure Program (NEP), Budget of Expenditures and Sources of Financing, and President’s Budget Message.</w:t>
      </w:r>
      <w:r w:rsidRPr="005A497D">
        <w:rPr>
          <w:rStyle w:val="EndnoteReference"/>
        </w:rPr>
        <w:endnoteReference w:id="11"/>
      </w:r>
      <w:r w:rsidRPr="005A497D">
        <w:t xml:space="preserve"> The Budget of Expenditures and Sources of Financing</w:t>
      </w:r>
      <w:r w:rsidRPr="005A497D" w:rsidDel="006B175E">
        <w:t xml:space="preserve"> </w:t>
      </w:r>
      <w:r w:rsidRPr="005A497D">
        <w:t>reflects the annual budget and the estimates and sources of financing.</w:t>
      </w:r>
      <w:r w:rsidRPr="005A497D">
        <w:rPr>
          <w:rStyle w:val="EndnoteReference"/>
          <w:iCs/>
        </w:rPr>
        <w:endnoteReference w:id="12"/>
      </w:r>
    </w:p>
    <w:p w14:paraId="05D61463" w14:textId="77777777" w:rsidR="001762EE" w:rsidRPr="005A497D" w:rsidRDefault="001762EE" w:rsidP="00CA5D3E">
      <w:pPr>
        <w:pStyle w:val="NormalWeb"/>
        <w:autoSpaceDE w:val="0"/>
        <w:autoSpaceDN w:val="0"/>
        <w:adjustRightInd w:val="0"/>
        <w:spacing w:before="0" w:beforeAutospacing="0" w:after="0" w:afterAutospacing="0"/>
        <w:contextualSpacing/>
        <w:jc w:val="both"/>
      </w:pPr>
    </w:p>
    <w:p w14:paraId="00D8DC0E" w14:textId="7777777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Government publishes several annual budget documents, which include:</w:t>
      </w:r>
    </w:p>
    <w:p w14:paraId="1A7EC082" w14:textId="77777777" w:rsidR="001762EE" w:rsidRPr="005A497D" w:rsidRDefault="001762EE" w:rsidP="00CA5D3E">
      <w:pPr>
        <w:pStyle w:val="NormalWeb"/>
        <w:autoSpaceDE w:val="0"/>
        <w:autoSpaceDN w:val="0"/>
        <w:adjustRightInd w:val="0"/>
        <w:spacing w:before="0" w:beforeAutospacing="0" w:after="0" w:afterAutospacing="0"/>
        <w:contextualSpacing/>
        <w:jc w:val="both"/>
      </w:pPr>
    </w:p>
    <w:p w14:paraId="0BABF048" w14:textId="5166A314" w:rsidR="001762EE" w:rsidRPr="005A497D" w:rsidRDefault="001762EE" w:rsidP="00C443FD">
      <w:pPr>
        <w:pStyle w:val="ListParagraph"/>
        <w:numPr>
          <w:ilvl w:val="1"/>
          <w:numId w:val="14"/>
        </w:numPr>
        <w:spacing w:after="0" w:line="240" w:lineRule="auto"/>
        <w:ind w:left="720" w:hanging="357"/>
        <w:contextualSpacing w:val="0"/>
        <w:jc w:val="both"/>
      </w:pPr>
      <w:r w:rsidRPr="0043657F">
        <w:rPr>
          <w:b/>
          <w:i/>
        </w:rPr>
        <w:t>National Expenditure Program</w:t>
      </w:r>
      <w:r>
        <w:rPr>
          <w:b/>
        </w:rPr>
        <w:t xml:space="preserve"> </w:t>
      </w:r>
      <w:r w:rsidRPr="000D0E8D">
        <w:t>p</w:t>
      </w:r>
      <w:r w:rsidRPr="005A497D">
        <w:t xml:space="preserve">rovides the prior year’s </w:t>
      </w:r>
      <w:r>
        <w:t>outturn</w:t>
      </w:r>
      <w:r w:rsidRPr="005A497D">
        <w:t>, revised budget for the current year</w:t>
      </w:r>
      <w:r>
        <w:t>,</w:t>
      </w:r>
      <w:r w:rsidRPr="005A497D">
        <w:t xml:space="preserve"> and proposed budget for the next year on an obligation basis</w:t>
      </w:r>
      <w:r w:rsidR="004E37BF">
        <w:t xml:space="preserve"> for the details of the budget of each department and agency, by program, activity or project. It also includes the agency’s mandates, strategies and performance targets.</w:t>
      </w:r>
    </w:p>
    <w:p w14:paraId="5E2DA9D9" w14:textId="698B18CB" w:rsidR="001762EE" w:rsidRPr="005A497D" w:rsidRDefault="001762EE" w:rsidP="00C443FD">
      <w:pPr>
        <w:pStyle w:val="ListParagraph"/>
        <w:numPr>
          <w:ilvl w:val="1"/>
          <w:numId w:val="14"/>
        </w:numPr>
        <w:spacing w:after="0" w:line="240" w:lineRule="auto"/>
        <w:ind w:left="720" w:hanging="357"/>
        <w:contextualSpacing w:val="0"/>
        <w:jc w:val="both"/>
      </w:pPr>
      <w:r w:rsidRPr="0043657F">
        <w:rPr>
          <w:b/>
          <w:i/>
        </w:rPr>
        <w:t>Budget of Expenditure and Sources of Financ</w:t>
      </w:r>
      <w:r w:rsidR="004E37BF">
        <w:rPr>
          <w:b/>
          <w:i/>
        </w:rPr>
        <w:t>ing</w:t>
      </w:r>
      <w:r>
        <w:rPr>
          <w:b/>
        </w:rPr>
        <w:t xml:space="preserve"> </w:t>
      </w:r>
      <w:r w:rsidRPr="004521BD">
        <w:t>p</w:t>
      </w:r>
      <w:r w:rsidRPr="005A497D">
        <w:t xml:space="preserve">rovides </w:t>
      </w:r>
      <w:r w:rsidR="004E37BF">
        <w:t xml:space="preserve">the underlying macroeconomic assumptions and fiscal and financial projections for the national government, local government, and corporate sectors, and </w:t>
      </w:r>
      <w:r w:rsidRPr="005A497D">
        <w:t xml:space="preserve">details of </w:t>
      </w:r>
      <w:r w:rsidR="004E37BF">
        <w:t xml:space="preserve">national </w:t>
      </w:r>
      <w:r w:rsidRPr="005A497D">
        <w:t>expenditure</w:t>
      </w:r>
      <w:r w:rsidR="004E37BF">
        <w:t>s</w:t>
      </w:r>
      <w:r w:rsidRPr="005A497D">
        <w:t xml:space="preserve"> and revenue</w:t>
      </w:r>
      <w:r w:rsidR="004E37BF">
        <w:t>s</w:t>
      </w:r>
      <w:r w:rsidRPr="005A497D">
        <w:t xml:space="preserve"> on a functional basis and per organizational entity (prior year, adjusted budget for the current year, and budget year on an obligation basis).</w:t>
      </w:r>
    </w:p>
    <w:p w14:paraId="18D9C80F" w14:textId="24259FF3" w:rsidR="001762EE" w:rsidRPr="005A497D" w:rsidRDefault="001762EE" w:rsidP="00C443FD">
      <w:pPr>
        <w:pStyle w:val="ListParagraph"/>
        <w:numPr>
          <w:ilvl w:val="1"/>
          <w:numId w:val="14"/>
        </w:numPr>
        <w:spacing w:after="0" w:line="240" w:lineRule="auto"/>
        <w:ind w:left="720" w:hanging="357"/>
        <w:contextualSpacing w:val="0"/>
        <w:jc w:val="both"/>
      </w:pPr>
      <w:r w:rsidRPr="0043657F">
        <w:rPr>
          <w:b/>
          <w:i/>
        </w:rPr>
        <w:t>President’s Budget Message</w:t>
      </w:r>
      <w:r w:rsidRPr="005A497D">
        <w:rPr>
          <w:b/>
        </w:rPr>
        <w:t xml:space="preserve"> </w:t>
      </w:r>
      <w:r w:rsidRPr="005A497D">
        <w:t xml:space="preserve">provides </w:t>
      </w:r>
      <w:r w:rsidR="004E37BF" w:rsidRPr="004E37BF">
        <w:t xml:space="preserve">a preview of the National Expenditure </w:t>
      </w:r>
      <w:r w:rsidR="001610D9" w:rsidRPr="004E37BF">
        <w:t>Program including</w:t>
      </w:r>
      <w:r w:rsidR="004E37BF" w:rsidRPr="004E37BF">
        <w:t xml:space="preserve"> the principles, policies and priorities of the proposed National Budget. </w:t>
      </w:r>
    </w:p>
    <w:p w14:paraId="75DC978D" w14:textId="2AE08EEB" w:rsidR="001762EE" w:rsidRPr="005A497D" w:rsidRDefault="001762EE" w:rsidP="00C443FD">
      <w:pPr>
        <w:pStyle w:val="ListParagraph"/>
        <w:numPr>
          <w:ilvl w:val="1"/>
          <w:numId w:val="14"/>
        </w:numPr>
        <w:spacing w:after="0" w:line="240" w:lineRule="auto"/>
        <w:ind w:left="720" w:hanging="357"/>
        <w:contextualSpacing w:val="0"/>
        <w:jc w:val="both"/>
      </w:pPr>
      <w:r w:rsidRPr="0043657F">
        <w:rPr>
          <w:b/>
          <w:i/>
        </w:rPr>
        <w:t>Budget priorities framework</w:t>
      </w:r>
      <w:r w:rsidRPr="005A497D">
        <w:rPr>
          <w:b/>
        </w:rPr>
        <w:t xml:space="preserve"> </w:t>
      </w:r>
      <w:r w:rsidR="004E37BF">
        <w:t xml:space="preserve">outlines the key programs, projects and activities </w:t>
      </w:r>
      <w:r w:rsidR="001610D9">
        <w:t>based on</w:t>
      </w:r>
      <w:r w:rsidR="004E37BF">
        <w:t xml:space="preserve"> the national development </w:t>
      </w:r>
      <w:r w:rsidR="001610D9">
        <w:t>plan to</w:t>
      </w:r>
      <w:r w:rsidR="004E37BF">
        <w:t xml:space="preserve"> </w:t>
      </w:r>
      <w:r w:rsidR="001610D9">
        <w:t>be supported</w:t>
      </w:r>
      <w:r w:rsidR="004E37BF">
        <w:t xml:space="preserve"> by the National Budget.</w:t>
      </w:r>
      <w:r w:rsidR="004E37BF" w:rsidRPr="0043657F">
        <w:t xml:space="preserve"> </w:t>
      </w:r>
    </w:p>
    <w:p w14:paraId="2AAEED97" w14:textId="6E1BFE70" w:rsidR="001762EE" w:rsidRPr="005A497D" w:rsidRDefault="001762EE" w:rsidP="00C443FD">
      <w:pPr>
        <w:pStyle w:val="ListParagraph"/>
        <w:numPr>
          <w:ilvl w:val="1"/>
          <w:numId w:val="14"/>
        </w:numPr>
        <w:spacing w:after="0" w:line="240" w:lineRule="auto"/>
        <w:ind w:left="720" w:hanging="357"/>
        <w:contextualSpacing w:val="0"/>
        <w:jc w:val="both"/>
      </w:pPr>
      <w:r w:rsidRPr="0043657F">
        <w:rPr>
          <w:b/>
          <w:i/>
          <w:iCs/>
        </w:rPr>
        <w:t>Staffing Summary</w:t>
      </w:r>
      <w:r>
        <w:rPr>
          <w:b/>
          <w:iCs/>
        </w:rPr>
        <w:t xml:space="preserve"> </w:t>
      </w:r>
      <w:r w:rsidRPr="0043657F">
        <w:t>provides</w:t>
      </w:r>
      <w:r>
        <w:rPr>
          <w:b/>
        </w:rPr>
        <w:t xml:space="preserve"> </w:t>
      </w:r>
      <w:r w:rsidRPr="005A497D">
        <w:t>detailed repor</w:t>
      </w:r>
      <w:r>
        <w:t>ting</w:t>
      </w:r>
      <w:r w:rsidRPr="005A497D">
        <w:t xml:space="preserve"> on the number and cost of permanent positions by agency, including unfilled positions</w:t>
      </w:r>
      <w:r>
        <w:t>.</w:t>
      </w:r>
    </w:p>
    <w:p w14:paraId="13DD8CF4" w14:textId="15EA425A" w:rsidR="001762EE" w:rsidRPr="005A497D" w:rsidRDefault="001762EE" w:rsidP="00C443FD">
      <w:pPr>
        <w:pStyle w:val="ListParagraph"/>
        <w:numPr>
          <w:ilvl w:val="1"/>
          <w:numId w:val="14"/>
        </w:numPr>
        <w:spacing w:after="0" w:line="240" w:lineRule="auto"/>
        <w:ind w:left="720" w:hanging="357"/>
        <w:contextualSpacing w:val="0"/>
        <w:jc w:val="both"/>
        <w:rPr>
          <w:b/>
        </w:rPr>
      </w:pPr>
      <w:r w:rsidRPr="0043657F">
        <w:rPr>
          <w:b/>
          <w:i/>
        </w:rPr>
        <w:t>People’s Budget</w:t>
      </w:r>
      <w:r w:rsidRPr="005A497D">
        <w:rPr>
          <w:b/>
        </w:rPr>
        <w:t xml:space="preserve"> </w:t>
      </w:r>
      <w:r w:rsidRPr="005A497D">
        <w:t xml:space="preserve">provides informational material </w:t>
      </w:r>
      <w:r w:rsidR="004E37BF">
        <w:t xml:space="preserve">in an easily understandable format </w:t>
      </w:r>
      <w:r w:rsidRPr="005A497D">
        <w:t>about the Philippine budget</w:t>
      </w:r>
      <w:r>
        <w:t>,</w:t>
      </w:r>
      <w:r w:rsidRPr="005A497D">
        <w:t xml:space="preserve"> its process</w:t>
      </w:r>
      <w:r>
        <w:t>,</w:t>
      </w:r>
      <w:r w:rsidRPr="005A497D">
        <w:t xml:space="preserve"> </w:t>
      </w:r>
      <w:r w:rsidR="004E37BF">
        <w:t xml:space="preserve">principles, </w:t>
      </w:r>
      <w:r w:rsidR="001610D9">
        <w:t>priority</w:t>
      </w:r>
      <w:r w:rsidR="004E37BF">
        <w:t xml:space="preserve"> expenditures </w:t>
      </w:r>
      <w:r w:rsidRPr="005A497D">
        <w:t>and the public expenditure reforms</w:t>
      </w:r>
      <w:r w:rsidR="004E37BF">
        <w:t xml:space="preserve"> embodied in the National Budget</w:t>
      </w:r>
      <w:r w:rsidRPr="005A497D">
        <w:t>.</w:t>
      </w:r>
    </w:p>
    <w:p w14:paraId="357530FA" w14:textId="7B2EC003" w:rsidR="001762EE" w:rsidRPr="005A497D" w:rsidRDefault="001762EE" w:rsidP="00C443FD">
      <w:pPr>
        <w:pStyle w:val="ListParagraph"/>
        <w:numPr>
          <w:ilvl w:val="1"/>
          <w:numId w:val="14"/>
        </w:numPr>
        <w:autoSpaceDE w:val="0"/>
        <w:autoSpaceDN w:val="0"/>
        <w:adjustRightInd w:val="0"/>
        <w:spacing w:after="0" w:line="240" w:lineRule="auto"/>
        <w:ind w:left="720" w:hanging="357"/>
        <w:jc w:val="both"/>
      </w:pPr>
      <w:r w:rsidRPr="0043657F">
        <w:rPr>
          <w:b/>
          <w:i/>
          <w:iCs/>
        </w:rPr>
        <w:t>General Appropriations Act</w:t>
      </w:r>
      <w:r w:rsidRPr="005A497D">
        <w:rPr>
          <w:b/>
          <w:iCs/>
        </w:rPr>
        <w:t xml:space="preserve"> </w:t>
      </w:r>
      <w:r w:rsidR="004E37BF" w:rsidRPr="000D0E8D">
        <w:rPr>
          <w:iCs/>
        </w:rPr>
        <w:t>is the legislative authorization containing the new annual appropriations authorized by Congress in specific amounts for the implementation of programs and activities of departments and offices of government for a given year</w:t>
      </w:r>
      <w:r w:rsidRPr="005A497D">
        <w:rPr>
          <w:iCs/>
        </w:rPr>
        <w:t xml:space="preserve"> which comes into effect when the President approves and signs the </w:t>
      </w:r>
      <w:r>
        <w:rPr>
          <w:iCs/>
        </w:rPr>
        <w:t>General Appropriations Bill</w:t>
      </w:r>
      <w:r w:rsidRPr="005A497D">
        <w:rPr>
          <w:iCs/>
        </w:rPr>
        <w:t xml:space="preserve">. </w:t>
      </w:r>
    </w:p>
    <w:p w14:paraId="6BE4B378" w14:textId="77777777" w:rsidR="001762EE" w:rsidRPr="005A497D" w:rsidRDefault="001762EE" w:rsidP="00CA5D3E">
      <w:pPr>
        <w:pStyle w:val="NormalWeb"/>
        <w:autoSpaceDE w:val="0"/>
        <w:autoSpaceDN w:val="0"/>
        <w:adjustRightInd w:val="0"/>
        <w:spacing w:before="0" w:beforeAutospacing="0" w:after="0" w:afterAutospacing="0"/>
        <w:contextualSpacing/>
        <w:jc w:val="both"/>
      </w:pPr>
    </w:p>
    <w:p w14:paraId="02DAAA22" w14:textId="50BBAA4F" w:rsidR="001762EE" w:rsidRPr="005A497D" w:rsidRDefault="001762EE" w:rsidP="0043657F">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comprehensiveness of the information included in the 2015/2016 budget documents vis-à-vis the elements considered is shown </w:t>
      </w:r>
      <w:r>
        <w:t>in table 3.13</w:t>
      </w:r>
      <w:r w:rsidRPr="005A497D">
        <w:t>.</w:t>
      </w:r>
      <w:r>
        <w:t xml:space="preserve"> </w:t>
      </w:r>
      <w:r w:rsidRPr="005A497D">
        <w:t xml:space="preserve">The table shows that the 2015/2016 budget documents fulfill </w:t>
      </w:r>
      <w:r>
        <w:t>10</w:t>
      </w:r>
      <w:r w:rsidRPr="005A497D">
        <w:t xml:space="preserve"> of </w:t>
      </w:r>
      <w:r>
        <w:t>12</w:t>
      </w:r>
      <w:r w:rsidRPr="005A497D">
        <w:t xml:space="preserve"> information benchmarks</w:t>
      </w:r>
      <w:r>
        <w:t xml:space="preserve"> including the first 4 basic elements</w:t>
      </w:r>
      <w:r w:rsidRPr="005A497D">
        <w:t xml:space="preserve">. The </w:t>
      </w:r>
      <w:r>
        <w:t>scores for PI-5 is thus assigned as “A”.</w:t>
      </w:r>
    </w:p>
    <w:p w14:paraId="295AC9F6" w14:textId="77777777" w:rsidR="001762EE" w:rsidRPr="005A497D" w:rsidRDefault="001762EE" w:rsidP="00BD5B4C">
      <w:pPr>
        <w:pStyle w:val="NormalWeb"/>
        <w:autoSpaceDE w:val="0"/>
        <w:autoSpaceDN w:val="0"/>
        <w:adjustRightInd w:val="0"/>
        <w:spacing w:before="0" w:beforeAutospacing="0" w:after="0" w:afterAutospacing="0"/>
        <w:contextualSpacing/>
        <w:jc w:val="both"/>
      </w:pPr>
    </w:p>
    <w:p w14:paraId="71EE1465" w14:textId="77777777" w:rsidR="001805CA" w:rsidRDefault="001805CA" w:rsidP="002613F5">
      <w:pPr>
        <w:pStyle w:val="PEFATable"/>
        <w:spacing w:after="40"/>
        <w:jc w:val="both"/>
        <w:rPr>
          <w:sz w:val="24"/>
          <w:szCs w:val="24"/>
        </w:rPr>
      </w:pPr>
    </w:p>
    <w:p w14:paraId="55916193" w14:textId="77777777" w:rsidR="001805CA" w:rsidRDefault="001805CA" w:rsidP="002613F5">
      <w:pPr>
        <w:pStyle w:val="PEFATable"/>
        <w:spacing w:after="40"/>
        <w:jc w:val="both"/>
        <w:rPr>
          <w:sz w:val="24"/>
          <w:szCs w:val="24"/>
        </w:rPr>
      </w:pPr>
    </w:p>
    <w:p w14:paraId="45591A0C" w14:textId="77777777" w:rsidR="001805CA" w:rsidRDefault="001805CA" w:rsidP="002613F5">
      <w:pPr>
        <w:pStyle w:val="PEFATable"/>
        <w:spacing w:after="40"/>
        <w:jc w:val="both"/>
        <w:rPr>
          <w:sz w:val="24"/>
          <w:szCs w:val="24"/>
        </w:rPr>
      </w:pPr>
    </w:p>
    <w:p w14:paraId="06490971" w14:textId="77777777" w:rsidR="001805CA" w:rsidRDefault="001805CA" w:rsidP="002613F5">
      <w:pPr>
        <w:pStyle w:val="PEFATable"/>
        <w:spacing w:after="40"/>
        <w:jc w:val="both"/>
        <w:rPr>
          <w:sz w:val="24"/>
          <w:szCs w:val="24"/>
        </w:rPr>
      </w:pPr>
    </w:p>
    <w:p w14:paraId="3AFBE7AD" w14:textId="77777777" w:rsidR="001805CA" w:rsidRDefault="001805CA" w:rsidP="002613F5">
      <w:pPr>
        <w:pStyle w:val="PEFATable"/>
        <w:spacing w:after="40"/>
        <w:jc w:val="both"/>
        <w:rPr>
          <w:sz w:val="24"/>
          <w:szCs w:val="24"/>
        </w:rPr>
      </w:pPr>
    </w:p>
    <w:p w14:paraId="6CF3B774" w14:textId="77777777" w:rsidR="001805CA" w:rsidRDefault="001805CA" w:rsidP="002613F5">
      <w:pPr>
        <w:pStyle w:val="PEFATable"/>
        <w:spacing w:after="40"/>
        <w:jc w:val="both"/>
        <w:rPr>
          <w:sz w:val="24"/>
          <w:szCs w:val="24"/>
        </w:rPr>
      </w:pPr>
    </w:p>
    <w:p w14:paraId="5CD1D4A6" w14:textId="77777777" w:rsidR="001805CA" w:rsidRDefault="001805CA" w:rsidP="002613F5">
      <w:pPr>
        <w:pStyle w:val="PEFATable"/>
        <w:spacing w:after="40"/>
        <w:jc w:val="both"/>
        <w:rPr>
          <w:sz w:val="24"/>
          <w:szCs w:val="24"/>
        </w:rPr>
      </w:pPr>
    </w:p>
    <w:p w14:paraId="1B02A2F5" w14:textId="4B8921D5" w:rsidR="001762EE" w:rsidRPr="005A497D" w:rsidRDefault="001762EE" w:rsidP="002613F5">
      <w:pPr>
        <w:pStyle w:val="PEFATable"/>
        <w:spacing w:after="40"/>
        <w:jc w:val="both"/>
        <w:rPr>
          <w:sz w:val="24"/>
          <w:szCs w:val="24"/>
        </w:rPr>
      </w:pPr>
      <w:bookmarkStart w:id="81" w:name="_Toc454889249"/>
      <w:r w:rsidRPr="005A497D">
        <w:rPr>
          <w:sz w:val="24"/>
          <w:szCs w:val="24"/>
        </w:rPr>
        <w:t>Table 3.</w:t>
      </w:r>
      <w:r w:rsidR="00A85C58">
        <w:rPr>
          <w:sz w:val="24"/>
          <w:szCs w:val="24"/>
        </w:rPr>
        <w:t>7</w:t>
      </w:r>
      <w:r w:rsidRPr="005A497D">
        <w:rPr>
          <w:sz w:val="24"/>
          <w:szCs w:val="24"/>
        </w:rPr>
        <w:t xml:space="preserve">: Summary of </w:t>
      </w:r>
      <w:r>
        <w:rPr>
          <w:sz w:val="24"/>
          <w:szCs w:val="24"/>
        </w:rPr>
        <w:t>information included in b</w:t>
      </w:r>
      <w:r w:rsidRPr="005A497D">
        <w:rPr>
          <w:sz w:val="24"/>
          <w:szCs w:val="24"/>
        </w:rPr>
        <w:t xml:space="preserve">udget </w:t>
      </w:r>
      <w:r>
        <w:rPr>
          <w:sz w:val="24"/>
          <w:szCs w:val="24"/>
        </w:rPr>
        <w:t>documentation</w:t>
      </w:r>
      <w:bookmarkEnd w:id="81"/>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119"/>
        <w:gridCol w:w="1134"/>
        <w:gridCol w:w="5103"/>
      </w:tblGrid>
      <w:tr w:rsidR="001762EE" w:rsidRPr="005A497D" w14:paraId="26ADC59E" w14:textId="77777777" w:rsidTr="00B65365">
        <w:trPr>
          <w:trHeight w:val="397"/>
          <w:tblHeader/>
        </w:trPr>
        <w:tc>
          <w:tcPr>
            <w:tcW w:w="3119" w:type="dxa"/>
            <w:tcBorders>
              <w:top w:val="double" w:sz="4" w:space="0" w:color="auto"/>
              <w:bottom w:val="double" w:sz="4" w:space="0" w:color="auto"/>
            </w:tcBorders>
            <w:shd w:val="clear" w:color="auto" w:fill="E0E0E0"/>
            <w:vAlign w:val="center"/>
          </w:tcPr>
          <w:p w14:paraId="4F325A82" w14:textId="77777777" w:rsidR="001762EE" w:rsidRPr="0043657F" w:rsidRDefault="001762EE" w:rsidP="00247049">
            <w:pPr>
              <w:pStyle w:val="TableText"/>
              <w:spacing w:before="40" w:after="40" w:line="240" w:lineRule="auto"/>
              <w:ind w:left="0"/>
              <w:jc w:val="center"/>
              <w:rPr>
                <w:rFonts w:ascii="Times New Roman" w:hAnsi="Times New Roman"/>
                <w:b/>
                <w:bCs/>
                <w:i/>
                <w:sz w:val="20"/>
                <w:szCs w:val="20"/>
                <w:lang w:val="en-US"/>
              </w:rPr>
            </w:pPr>
            <w:r w:rsidRPr="0043657F">
              <w:rPr>
                <w:rFonts w:ascii="Times New Roman" w:hAnsi="Times New Roman"/>
                <w:b/>
                <w:bCs/>
                <w:i/>
                <w:sz w:val="20"/>
                <w:szCs w:val="20"/>
                <w:lang w:val="en-US"/>
              </w:rPr>
              <w:t>Elements of Annual Budget Documentation</w:t>
            </w:r>
          </w:p>
        </w:tc>
        <w:tc>
          <w:tcPr>
            <w:tcW w:w="1134" w:type="dxa"/>
            <w:tcBorders>
              <w:top w:val="double" w:sz="4" w:space="0" w:color="auto"/>
              <w:bottom w:val="double" w:sz="4" w:space="0" w:color="auto"/>
            </w:tcBorders>
            <w:shd w:val="clear" w:color="auto" w:fill="E0E0E0"/>
            <w:vAlign w:val="center"/>
          </w:tcPr>
          <w:p w14:paraId="59C70E55" w14:textId="7679437D" w:rsidR="001762EE" w:rsidRPr="0043657F" w:rsidRDefault="001762EE" w:rsidP="00247049">
            <w:pPr>
              <w:pStyle w:val="TableText"/>
              <w:spacing w:before="40" w:after="40" w:line="240" w:lineRule="auto"/>
              <w:ind w:left="0"/>
              <w:jc w:val="center"/>
              <w:rPr>
                <w:rFonts w:ascii="Times New Roman" w:hAnsi="Times New Roman"/>
                <w:b/>
                <w:bCs/>
                <w:i/>
                <w:sz w:val="20"/>
                <w:szCs w:val="20"/>
                <w:lang w:val="en-US"/>
              </w:rPr>
            </w:pPr>
            <w:r w:rsidRPr="0043657F">
              <w:rPr>
                <w:rFonts w:ascii="Times New Roman" w:hAnsi="Times New Roman"/>
                <w:b/>
                <w:bCs/>
                <w:i/>
                <w:sz w:val="20"/>
                <w:szCs w:val="20"/>
                <w:lang w:val="en-US"/>
              </w:rPr>
              <w:t>Criteria met</w:t>
            </w:r>
          </w:p>
        </w:tc>
        <w:tc>
          <w:tcPr>
            <w:tcW w:w="5103" w:type="dxa"/>
            <w:tcBorders>
              <w:top w:val="double" w:sz="4" w:space="0" w:color="auto"/>
              <w:bottom w:val="double" w:sz="4" w:space="0" w:color="auto"/>
            </w:tcBorders>
            <w:shd w:val="clear" w:color="auto" w:fill="E0E0E0"/>
            <w:vAlign w:val="center"/>
          </w:tcPr>
          <w:p w14:paraId="447DBC4E" w14:textId="77777777" w:rsidR="001762EE" w:rsidRPr="0043657F" w:rsidRDefault="001762EE" w:rsidP="00247049">
            <w:pPr>
              <w:pStyle w:val="TableText"/>
              <w:spacing w:before="40" w:after="40" w:line="240" w:lineRule="auto"/>
              <w:ind w:left="0"/>
              <w:jc w:val="center"/>
              <w:rPr>
                <w:rFonts w:ascii="Times New Roman" w:hAnsi="Times New Roman"/>
                <w:b/>
                <w:bCs/>
                <w:i/>
                <w:sz w:val="20"/>
                <w:szCs w:val="20"/>
                <w:lang w:val="en-US"/>
              </w:rPr>
            </w:pPr>
            <w:r w:rsidRPr="0043657F">
              <w:rPr>
                <w:rFonts w:ascii="Times New Roman" w:hAnsi="Times New Roman"/>
                <w:b/>
                <w:bCs/>
                <w:i/>
                <w:sz w:val="20"/>
                <w:szCs w:val="20"/>
                <w:lang w:val="en-US"/>
              </w:rPr>
              <w:t>Comments</w:t>
            </w:r>
          </w:p>
        </w:tc>
      </w:tr>
      <w:tr w:rsidR="001762EE" w:rsidRPr="005A497D" w14:paraId="00B257E4" w14:textId="77777777" w:rsidTr="001805CA">
        <w:trPr>
          <w:trHeight w:val="1815"/>
        </w:trPr>
        <w:tc>
          <w:tcPr>
            <w:tcW w:w="3119" w:type="dxa"/>
            <w:tcBorders>
              <w:top w:val="single" w:sz="4" w:space="0" w:color="auto"/>
              <w:bottom w:val="single" w:sz="4" w:space="0" w:color="auto"/>
            </w:tcBorders>
          </w:tcPr>
          <w:p w14:paraId="73830A99" w14:textId="0CDA7A6A" w:rsidR="001762EE" w:rsidRPr="00470340" w:rsidRDefault="001762EE" w:rsidP="0043657F">
            <w:pPr>
              <w:pStyle w:val="TableText"/>
              <w:spacing w:line="240" w:lineRule="auto"/>
              <w:ind w:left="0"/>
              <w:rPr>
                <w:rFonts w:ascii="Times New Roman" w:hAnsi="Times New Roman" w:cstheme="majorBidi"/>
                <w:b/>
                <w:bCs/>
                <w:color w:val="404040" w:themeColor="text1" w:themeTint="BF"/>
                <w:sz w:val="21"/>
                <w:szCs w:val="21"/>
                <w:lang w:val="en-US"/>
              </w:rPr>
            </w:pPr>
            <w:r w:rsidRPr="00470340">
              <w:rPr>
                <w:rFonts w:ascii="Times New Roman" w:hAnsi="Times New Roman"/>
                <w:bCs/>
                <w:sz w:val="21"/>
                <w:szCs w:val="21"/>
                <w:lang w:val="en-US"/>
              </w:rPr>
              <w:t>1. Forecast of the fiscal deficit or surplus, defined according to GFS or other internationally recognized standard.</w:t>
            </w:r>
            <w:r w:rsidRPr="0043657F">
              <w:rPr>
                <w:rFonts w:ascii="Times New Roman" w:hAnsi="Times New Roman"/>
                <w:bCs/>
                <w:sz w:val="21"/>
                <w:szCs w:val="21"/>
                <w:vertAlign w:val="superscript"/>
                <w:lang w:val="en-US"/>
              </w:rPr>
              <w:t>/a</w:t>
            </w:r>
          </w:p>
        </w:tc>
        <w:tc>
          <w:tcPr>
            <w:tcW w:w="1134" w:type="dxa"/>
            <w:tcBorders>
              <w:top w:val="single" w:sz="4" w:space="0" w:color="auto"/>
              <w:bottom w:val="single" w:sz="4" w:space="0" w:color="auto"/>
            </w:tcBorders>
          </w:tcPr>
          <w:p w14:paraId="053A8560" w14:textId="77777777" w:rsidR="001762EE" w:rsidRPr="005A497D" w:rsidRDefault="001762EE" w:rsidP="00882C4F">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top w:val="single" w:sz="4" w:space="0" w:color="auto"/>
              <w:bottom w:val="single" w:sz="4" w:space="0" w:color="auto"/>
            </w:tcBorders>
          </w:tcPr>
          <w:p w14:paraId="311B55AB" w14:textId="154E20A6" w:rsidR="001762EE" w:rsidRPr="00B219B6" w:rsidRDefault="001762EE" w:rsidP="004E37BF">
            <w:pPr>
              <w:spacing w:before="40" w:after="40"/>
              <w:rPr>
                <w:rFonts w:asciiTheme="majorHAnsi" w:eastAsiaTheme="majorEastAsia" w:hAnsiTheme="majorHAnsi" w:cstheme="majorBidi"/>
                <w:b/>
                <w:bCs/>
                <w:color w:val="404040" w:themeColor="text1" w:themeTint="BF"/>
                <w:sz w:val="21"/>
                <w:szCs w:val="21"/>
              </w:rPr>
            </w:pPr>
            <w:r w:rsidRPr="00B219B6">
              <w:rPr>
                <w:sz w:val="21"/>
                <w:szCs w:val="21"/>
              </w:rPr>
              <w:t xml:space="preserve">The </w:t>
            </w:r>
            <w:r w:rsidR="004E37BF">
              <w:rPr>
                <w:sz w:val="21"/>
                <w:szCs w:val="21"/>
              </w:rPr>
              <w:t xml:space="preserve">past year, current year and </w:t>
            </w:r>
            <w:r w:rsidRPr="00B219B6">
              <w:rPr>
                <w:sz w:val="21"/>
                <w:szCs w:val="21"/>
              </w:rPr>
              <w:t xml:space="preserve">forecast </w:t>
            </w:r>
            <w:r w:rsidR="004E37BF">
              <w:rPr>
                <w:sz w:val="21"/>
                <w:szCs w:val="21"/>
              </w:rPr>
              <w:t xml:space="preserve">for the budget year </w:t>
            </w:r>
            <w:r w:rsidRPr="00B219B6">
              <w:rPr>
                <w:sz w:val="21"/>
                <w:szCs w:val="21"/>
              </w:rPr>
              <w:t xml:space="preserve">of the fiscal </w:t>
            </w:r>
            <w:r w:rsidR="004E37BF">
              <w:rPr>
                <w:sz w:val="21"/>
                <w:szCs w:val="21"/>
              </w:rPr>
              <w:t>position</w:t>
            </w:r>
            <w:r w:rsidR="004E37BF" w:rsidRPr="00B219B6">
              <w:rPr>
                <w:sz w:val="21"/>
                <w:szCs w:val="21"/>
              </w:rPr>
              <w:t xml:space="preserve"> </w:t>
            </w:r>
            <w:r w:rsidRPr="00B219B6">
              <w:rPr>
                <w:sz w:val="21"/>
                <w:szCs w:val="21"/>
              </w:rPr>
              <w:t xml:space="preserve">is </w:t>
            </w:r>
            <w:r w:rsidR="004E37BF">
              <w:rPr>
                <w:sz w:val="21"/>
                <w:szCs w:val="21"/>
              </w:rPr>
              <w:t xml:space="preserve">reported in the BESF and </w:t>
            </w:r>
            <w:r w:rsidRPr="00B219B6">
              <w:rPr>
                <w:sz w:val="21"/>
                <w:szCs w:val="21"/>
              </w:rPr>
              <w:t>available in DBM website.</w:t>
            </w:r>
            <w:r w:rsidRPr="004521BD">
              <w:rPr>
                <w:sz w:val="21"/>
                <w:szCs w:val="21"/>
                <w:vertAlign w:val="superscript"/>
              </w:rPr>
              <w:t>/b</w:t>
            </w:r>
            <w:r w:rsidRPr="00B219B6">
              <w:rPr>
                <w:sz w:val="21"/>
                <w:szCs w:val="21"/>
              </w:rPr>
              <w:t xml:space="preserve"> The </w:t>
            </w:r>
            <w:r>
              <w:rPr>
                <w:sz w:val="21"/>
                <w:szCs w:val="21"/>
              </w:rPr>
              <w:t>Government</w:t>
            </w:r>
            <w:r w:rsidRPr="00B219B6">
              <w:rPr>
                <w:sz w:val="21"/>
                <w:szCs w:val="21"/>
              </w:rPr>
              <w:t xml:space="preserve"> calculates the deficit as revenues (tax, non-tax</w:t>
            </w:r>
            <w:r>
              <w:rPr>
                <w:sz w:val="21"/>
                <w:szCs w:val="21"/>
              </w:rPr>
              <w:t>,</w:t>
            </w:r>
            <w:r w:rsidRPr="00B219B6">
              <w:rPr>
                <w:sz w:val="21"/>
                <w:szCs w:val="21"/>
              </w:rPr>
              <w:t xml:space="preserve"> and privatization) minus disbursements (current operating expenditures, including interest payments, and capital outlays) and</w:t>
            </w:r>
            <w:r>
              <w:rPr>
                <w:sz w:val="21"/>
                <w:szCs w:val="21"/>
              </w:rPr>
              <w:t xml:space="preserve"> the </w:t>
            </w:r>
            <w:r w:rsidRPr="005A497D">
              <w:rPr>
                <w:sz w:val="21"/>
                <w:szCs w:val="21"/>
              </w:rPr>
              <w:t xml:space="preserve">forecast includes a </w:t>
            </w:r>
            <w:r>
              <w:rPr>
                <w:sz w:val="21"/>
                <w:szCs w:val="21"/>
              </w:rPr>
              <w:t>three</w:t>
            </w:r>
            <w:r w:rsidRPr="005A497D">
              <w:rPr>
                <w:sz w:val="21"/>
                <w:szCs w:val="21"/>
              </w:rPr>
              <w:t>-year projection.</w:t>
            </w:r>
          </w:p>
        </w:tc>
      </w:tr>
      <w:tr w:rsidR="001762EE" w:rsidRPr="005A497D" w14:paraId="503ED99E" w14:textId="77777777" w:rsidTr="00470340">
        <w:trPr>
          <w:trHeight w:val="890"/>
        </w:trPr>
        <w:tc>
          <w:tcPr>
            <w:tcW w:w="3119" w:type="dxa"/>
            <w:tcBorders>
              <w:top w:val="single" w:sz="4" w:space="0" w:color="auto"/>
              <w:bottom w:val="single" w:sz="4" w:space="0" w:color="auto"/>
            </w:tcBorders>
          </w:tcPr>
          <w:p w14:paraId="54E28657" w14:textId="2FC6B7B9" w:rsidR="001762EE" w:rsidRPr="00470340" w:rsidRDefault="001762EE" w:rsidP="00882C4F">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 xml:space="preserve">2. Previous year’s budget </w:t>
            </w:r>
            <w:r>
              <w:rPr>
                <w:rFonts w:ascii="Times New Roman" w:hAnsi="Times New Roman"/>
                <w:bCs/>
                <w:sz w:val="21"/>
                <w:szCs w:val="21"/>
                <w:lang w:val="en-US"/>
              </w:rPr>
              <w:t>outturn</w:t>
            </w:r>
            <w:r w:rsidRPr="00470340">
              <w:rPr>
                <w:rFonts w:ascii="Times New Roman" w:hAnsi="Times New Roman"/>
                <w:bCs/>
                <w:sz w:val="21"/>
                <w:szCs w:val="21"/>
                <w:lang w:val="en-US"/>
              </w:rPr>
              <w:t xml:space="preserve"> presented in the same format as the budget proposal.</w:t>
            </w:r>
          </w:p>
        </w:tc>
        <w:tc>
          <w:tcPr>
            <w:tcW w:w="1134" w:type="dxa"/>
            <w:tcBorders>
              <w:top w:val="single" w:sz="4" w:space="0" w:color="auto"/>
              <w:bottom w:val="single" w:sz="4" w:space="0" w:color="auto"/>
            </w:tcBorders>
          </w:tcPr>
          <w:p w14:paraId="1148A082" w14:textId="77777777" w:rsidR="001762EE" w:rsidRPr="005A497D" w:rsidRDefault="001762EE" w:rsidP="00882C4F">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top w:val="single" w:sz="4" w:space="0" w:color="auto"/>
              <w:bottom w:val="single" w:sz="4" w:space="0" w:color="auto"/>
            </w:tcBorders>
          </w:tcPr>
          <w:p w14:paraId="2A42658F" w14:textId="08F7A4FD" w:rsidR="001762EE" w:rsidRPr="005A497D" w:rsidRDefault="001762EE">
            <w:pPr>
              <w:rPr>
                <w:sz w:val="21"/>
                <w:szCs w:val="21"/>
                <w:u w:val="single"/>
              </w:rPr>
            </w:pPr>
            <w:r w:rsidRPr="00B219B6">
              <w:rPr>
                <w:sz w:val="21"/>
                <w:szCs w:val="21"/>
              </w:rPr>
              <w:t xml:space="preserve">The previous year’s </w:t>
            </w:r>
            <w:r>
              <w:rPr>
                <w:sz w:val="21"/>
                <w:szCs w:val="21"/>
              </w:rPr>
              <w:t>outturn</w:t>
            </w:r>
            <w:r w:rsidRPr="00B219B6">
              <w:rPr>
                <w:sz w:val="21"/>
                <w:szCs w:val="21"/>
              </w:rPr>
              <w:t xml:space="preserve"> is </w:t>
            </w:r>
            <w:r w:rsidR="00CA2A08">
              <w:rPr>
                <w:sz w:val="21"/>
                <w:szCs w:val="21"/>
              </w:rPr>
              <w:t xml:space="preserve">reported in the BESF </w:t>
            </w:r>
            <w:r w:rsidRPr="00B219B6">
              <w:rPr>
                <w:sz w:val="21"/>
                <w:szCs w:val="21"/>
              </w:rPr>
              <w:t>available in DBM website</w:t>
            </w:r>
            <w:r>
              <w:rPr>
                <w:sz w:val="21"/>
                <w:szCs w:val="21"/>
              </w:rPr>
              <w:t>.</w:t>
            </w:r>
            <w:r w:rsidRPr="0043657F">
              <w:rPr>
                <w:sz w:val="21"/>
                <w:szCs w:val="21"/>
                <w:vertAlign w:val="superscript"/>
              </w:rPr>
              <w:t>/c</w:t>
            </w:r>
            <w:r>
              <w:rPr>
                <w:rStyle w:val="EndnoteReference"/>
                <w:sz w:val="21"/>
                <w:szCs w:val="21"/>
              </w:rPr>
              <w:t xml:space="preserve"> </w:t>
            </w:r>
            <w:r>
              <w:rPr>
                <w:sz w:val="21"/>
                <w:szCs w:val="21"/>
              </w:rPr>
              <w:t>The</w:t>
            </w:r>
            <w:r w:rsidRPr="00B219B6">
              <w:rPr>
                <w:sz w:val="21"/>
                <w:szCs w:val="21"/>
              </w:rPr>
              <w:t xml:space="preserve"> presentation in the NEP and BESF is consistent with</w:t>
            </w:r>
            <w:r w:rsidRPr="005A497D">
              <w:rPr>
                <w:sz w:val="21"/>
                <w:szCs w:val="21"/>
              </w:rPr>
              <w:t xml:space="preserve"> the budget proposal.</w:t>
            </w:r>
          </w:p>
        </w:tc>
      </w:tr>
      <w:tr w:rsidR="001762EE" w:rsidRPr="005A497D" w14:paraId="22B8B81D" w14:textId="77777777" w:rsidTr="0015142A">
        <w:trPr>
          <w:trHeight w:val="1043"/>
        </w:trPr>
        <w:tc>
          <w:tcPr>
            <w:tcW w:w="3119" w:type="dxa"/>
            <w:tcBorders>
              <w:top w:val="single" w:sz="4" w:space="0" w:color="auto"/>
              <w:bottom w:val="single" w:sz="4" w:space="0" w:color="auto"/>
            </w:tcBorders>
          </w:tcPr>
          <w:p w14:paraId="162F64DB" w14:textId="3DADCBD4" w:rsidR="001762EE" w:rsidRPr="00470340" w:rsidRDefault="001762EE" w:rsidP="0043657F">
            <w:pPr>
              <w:pStyle w:val="TableText"/>
              <w:spacing w:line="240" w:lineRule="auto"/>
              <w:ind w:left="0"/>
              <w:rPr>
                <w:rFonts w:ascii="Times New Roman" w:hAnsi="Times New Roman" w:cstheme="majorBidi"/>
                <w:b/>
                <w:bCs/>
                <w:color w:val="404040" w:themeColor="text1" w:themeTint="BF"/>
                <w:sz w:val="21"/>
                <w:szCs w:val="21"/>
                <w:lang w:val="en-US"/>
              </w:rPr>
            </w:pPr>
            <w:r w:rsidRPr="00470340">
              <w:rPr>
                <w:rFonts w:ascii="Times New Roman" w:hAnsi="Times New Roman"/>
                <w:bCs/>
                <w:sz w:val="21"/>
                <w:szCs w:val="21"/>
                <w:lang w:val="en-US"/>
              </w:rPr>
              <w:t xml:space="preserve">3. Current year’s budget (either revised budget or estimated </w:t>
            </w:r>
            <w:r>
              <w:rPr>
                <w:rFonts w:ascii="Times New Roman" w:hAnsi="Times New Roman"/>
                <w:bCs/>
                <w:sz w:val="21"/>
                <w:szCs w:val="21"/>
                <w:lang w:val="en-US"/>
              </w:rPr>
              <w:t>outturn</w:t>
            </w:r>
            <w:r w:rsidRPr="00470340">
              <w:rPr>
                <w:rFonts w:ascii="Times New Roman" w:hAnsi="Times New Roman"/>
                <w:bCs/>
                <w:sz w:val="21"/>
                <w:szCs w:val="21"/>
                <w:lang w:val="en-US"/>
              </w:rPr>
              <w:t>) presented in the same format as the budget proposal.</w:t>
            </w:r>
          </w:p>
        </w:tc>
        <w:tc>
          <w:tcPr>
            <w:tcW w:w="1134" w:type="dxa"/>
            <w:tcBorders>
              <w:top w:val="single" w:sz="4" w:space="0" w:color="auto"/>
              <w:bottom w:val="single" w:sz="4" w:space="0" w:color="auto"/>
            </w:tcBorders>
          </w:tcPr>
          <w:p w14:paraId="333CF2F6" w14:textId="77777777" w:rsidR="001762EE" w:rsidRPr="005A497D" w:rsidRDefault="001762EE" w:rsidP="00882C4F">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top w:val="single" w:sz="4" w:space="0" w:color="auto"/>
              <w:bottom w:val="single" w:sz="4" w:space="0" w:color="auto"/>
            </w:tcBorders>
          </w:tcPr>
          <w:p w14:paraId="44419332" w14:textId="0111F0C0" w:rsidR="001762EE" w:rsidRPr="005A497D" w:rsidRDefault="001762EE">
            <w:pPr>
              <w:rPr>
                <w:sz w:val="21"/>
                <w:szCs w:val="21"/>
                <w:u w:val="single"/>
              </w:rPr>
            </w:pPr>
            <w:r w:rsidRPr="00B219B6">
              <w:rPr>
                <w:sz w:val="21"/>
                <w:szCs w:val="21"/>
              </w:rPr>
              <w:t>The current year’s budget presentations of NEP and BESF in DBM website</w:t>
            </w:r>
            <w:r w:rsidRPr="0043657F">
              <w:rPr>
                <w:sz w:val="21"/>
                <w:szCs w:val="21"/>
                <w:vertAlign w:val="superscript"/>
              </w:rPr>
              <w:t>/d</w:t>
            </w:r>
            <w:r w:rsidRPr="00B219B6">
              <w:rPr>
                <w:sz w:val="21"/>
                <w:szCs w:val="21"/>
              </w:rPr>
              <w:t xml:space="preserve"> are in the same format as the budget proposal; however</w:t>
            </w:r>
            <w:r w:rsidRPr="005A497D">
              <w:rPr>
                <w:sz w:val="21"/>
                <w:szCs w:val="21"/>
              </w:rPr>
              <w:t>, the financial data is updated to reflect the adjusted expenditure level.</w:t>
            </w:r>
          </w:p>
        </w:tc>
      </w:tr>
      <w:tr w:rsidR="001762EE" w:rsidRPr="005A497D" w14:paraId="771E7121" w14:textId="77777777" w:rsidTr="00470340">
        <w:trPr>
          <w:trHeight w:val="2060"/>
        </w:trPr>
        <w:tc>
          <w:tcPr>
            <w:tcW w:w="3119" w:type="dxa"/>
            <w:tcBorders>
              <w:top w:val="single" w:sz="4" w:space="0" w:color="auto"/>
              <w:bottom w:val="single" w:sz="4" w:space="0" w:color="auto"/>
            </w:tcBorders>
          </w:tcPr>
          <w:p w14:paraId="237BE6EF" w14:textId="445F283A" w:rsidR="001762EE" w:rsidRPr="00470340" w:rsidRDefault="001762EE" w:rsidP="00D4359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4. Aggregate budget data for both revenue and expenditure according to the main heads of the classification used, including data for current and previous year, in addition to the detailed breakdown of revenue and expenditure estimates.</w:t>
            </w:r>
          </w:p>
        </w:tc>
        <w:tc>
          <w:tcPr>
            <w:tcW w:w="1134" w:type="dxa"/>
            <w:tcBorders>
              <w:top w:val="single" w:sz="4" w:space="0" w:color="auto"/>
              <w:bottom w:val="single" w:sz="4" w:space="0" w:color="auto"/>
            </w:tcBorders>
          </w:tcPr>
          <w:p w14:paraId="635733B7" w14:textId="77777777" w:rsidR="001762EE" w:rsidRPr="005A497D" w:rsidRDefault="001762EE" w:rsidP="00D4359B">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top w:val="single" w:sz="4" w:space="0" w:color="auto"/>
              <w:bottom w:val="single" w:sz="4" w:space="0" w:color="auto"/>
            </w:tcBorders>
          </w:tcPr>
          <w:p w14:paraId="3D97798A" w14:textId="1862789A" w:rsidR="001762EE" w:rsidRPr="005A497D" w:rsidRDefault="001762EE">
            <w:pPr>
              <w:rPr>
                <w:sz w:val="21"/>
                <w:szCs w:val="21"/>
              </w:rPr>
            </w:pPr>
            <w:r w:rsidRPr="005A497D">
              <w:rPr>
                <w:sz w:val="21"/>
                <w:szCs w:val="21"/>
              </w:rPr>
              <w:t xml:space="preserve">The </w:t>
            </w:r>
            <w:r>
              <w:rPr>
                <w:sz w:val="21"/>
                <w:szCs w:val="21"/>
              </w:rPr>
              <w:t>aggregate revenue data is presented by source</w:t>
            </w:r>
            <w:r w:rsidRPr="004521BD">
              <w:rPr>
                <w:sz w:val="21"/>
                <w:szCs w:val="21"/>
                <w:vertAlign w:val="superscript"/>
              </w:rPr>
              <w:t>/e</w:t>
            </w:r>
            <w:r w:rsidRPr="005A497D">
              <w:rPr>
                <w:sz w:val="21"/>
                <w:szCs w:val="21"/>
              </w:rPr>
              <w:t xml:space="preserve"> and collecting department</w:t>
            </w:r>
            <w:r w:rsidRPr="004521BD">
              <w:rPr>
                <w:sz w:val="21"/>
                <w:szCs w:val="21"/>
                <w:vertAlign w:val="superscript"/>
              </w:rPr>
              <w:t>/f</w:t>
            </w:r>
            <w:r w:rsidRPr="005A497D">
              <w:rPr>
                <w:sz w:val="21"/>
                <w:szCs w:val="21"/>
              </w:rPr>
              <w:t xml:space="preserve"> </w:t>
            </w:r>
            <w:r w:rsidR="00CA2A08">
              <w:rPr>
                <w:sz w:val="21"/>
                <w:szCs w:val="21"/>
              </w:rPr>
              <w:t xml:space="preserve">is reported in the BESF </w:t>
            </w:r>
            <w:r>
              <w:rPr>
                <w:sz w:val="21"/>
                <w:szCs w:val="21"/>
              </w:rPr>
              <w:t>in DBM website, while the e</w:t>
            </w:r>
            <w:r w:rsidRPr="005A497D">
              <w:rPr>
                <w:sz w:val="21"/>
                <w:szCs w:val="21"/>
              </w:rPr>
              <w:t xml:space="preserve">xpenditure </w:t>
            </w:r>
            <w:r>
              <w:rPr>
                <w:sz w:val="21"/>
                <w:szCs w:val="21"/>
              </w:rPr>
              <w:t>p</w:t>
            </w:r>
            <w:r w:rsidRPr="005A497D">
              <w:rPr>
                <w:sz w:val="21"/>
                <w:szCs w:val="21"/>
              </w:rPr>
              <w:t>rogram</w:t>
            </w:r>
            <w:r>
              <w:rPr>
                <w:sz w:val="21"/>
                <w:szCs w:val="21"/>
              </w:rPr>
              <w:t>s</w:t>
            </w:r>
            <w:r w:rsidRPr="005A497D">
              <w:rPr>
                <w:sz w:val="21"/>
                <w:szCs w:val="21"/>
              </w:rPr>
              <w:t xml:space="preserve"> are presented by </w:t>
            </w:r>
            <w:r>
              <w:rPr>
                <w:sz w:val="21"/>
                <w:szCs w:val="21"/>
              </w:rPr>
              <w:t>o</w:t>
            </w:r>
            <w:r w:rsidRPr="005A497D">
              <w:rPr>
                <w:sz w:val="21"/>
                <w:szCs w:val="21"/>
              </w:rPr>
              <w:t>bject</w:t>
            </w:r>
            <w:r>
              <w:rPr>
                <w:sz w:val="21"/>
                <w:szCs w:val="21"/>
              </w:rPr>
              <w:t>,</w:t>
            </w:r>
            <w:r w:rsidRPr="0043657F">
              <w:rPr>
                <w:sz w:val="21"/>
                <w:szCs w:val="21"/>
                <w:vertAlign w:val="superscript"/>
              </w:rPr>
              <w:t>/g</w:t>
            </w:r>
            <w:r w:rsidRPr="005A497D">
              <w:rPr>
                <w:sz w:val="21"/>
                <w:szCs w:val="21"/>
              </w:rPr>
              <w:t xml:space="preserve"> by </w:t>
            </w:r>
            <w:r>
              <w:rPr>
                <w:sz w:val="21"/>
                <w:szCs w:val="21"/>
              </w:rPr>
              <w:t>s</w:t>
            </w:r>
            <w:r w:rsidRPr="005A497D">
              <w:rPr>
                <w:sz w:val="21"/>
                <w:szCs w:val="21"/>
              </w:rPr>
              <w:t>ector</w:t>
            </w:r>
            <w:r>
              <w:rPr>
                <w:sz w:val="21"/>
                <w:szCs w:val="21"/>
              </w:rPr>
              <w:t>,</w:t>
            </w:r>
            <w:r w:rsidRPr="0043657F">
              <w:rPr>
                <w:sz w:val="21"/>
                <w:szCs w:val="21"/>
                <w:vertAlign w:val="superscript"/>
              </w:rPr>
              <w:t>/</w:t>
            </w:r>
            <w:r>
              <w:rPr>
                <w:sz w:val="21"/>
                <w:szCs w:val="21"/>
                <w:vertAlign w:val="superscript"/>
              </w:rPr>
              <w:t>h</w:t>
            </w:r>
            <w:r w:rsidRPr="005A497D">
              <w:rPr>
                <w:sz w:val="21"/>
                <w:szCs w:val="21"/>
              </w:rPr>
              <w:t xml:space="preserve"> and by </w:t>
            </w:r>
            <w:r>
              <w:rPr>
                <w:sz w:val="21"/>
                <w:szCs w:val="21"/>
              </w:rPr>
              <w:t>r</w:t>
            </w:r>
            <w:r w:rsidRPr="005A497D">
              <w:rPr>
                <w:sz w:val="21"/>
                <w:szCs w:val="21"/>
              </w:rPr>
              <w:t xml:space="preserve">ecipient </w:t>
            </w:r>
            <w:r>
              <w:rPr>
                <w:sz w:val="21"/>
                <w:szCs w:val="21"/>
              </w:rPr>
              <w:t>u</w:t>
            </w:r>
            <w:r w:rsidRPr="005A497D">
              <w:rPr>
                <w:sz w:val="21"/>
                <w:szCs w:val="21"/>
              </w:rPr>
              <w:t>nit.</w:t>
            </w:r>
            <w:r w:rsidRPr="0043657F">
              <w:rPr>
                <w:sz w:val="21"/>
                <w:szCs w:val="21"/>
                <w:vertAlign w:val="superscript"/>
              </w:rPr>
              <w:t>/</w:t>
            </w:r>
            <w:r>
              <w:rPr>
                <w:sz w:val="21"/>
                <w:szCs w:val="21"/>
                <w:vertAlign w:val="superscript"/>
              </w:rPr>
              <w:t>i</w:t>
            </w:r>
          </w:p>
        </w:tc>
      </w:tr>
      <w:tr w:rsidR="001762EE" w:rsidRPr="005A497D" w14:paraId="00DB98B0" w14:textId="77777777" w:rsidTr="0015142A">
        <w:trPr>
          <w:trHeight w:val="1043"/>
        </w:trPr>
        <w:tc>
          <w:tcPr>
            <w:tcW w:w="3119" w:type="dxa"/>
            <w:tcBorders>
              <w:top w:val="single" w:sz="4" w:space="0" w:color="auto"/>
              <w:bottom w:val="single" w:sz="4" w:space="0" w:color="auto"/>
            </w:tcBorders>
          </w:tcPr>
          <w:p w14:paraId="65E7028F" w14:textId="77777777" w:rsidR="001762EE" w:rsidRPr="00470340" w:rsidRDefault="001762EE" w:rsidP="00D4359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5. Deficit financing, describing anticipated composition.</w:t>
            </w:r>
          </w:p>
        </w:tc>
        <w:tc>
          <w:tcPr>
            <w:tcW w:w="1134" w:type="dxa"/>
            <w:tcBorders>
              <w:top w:val="single" w:sz="4" w:space="0" w:color="auto"/>
              <w:bottom w:val="single" w:sz="4" w:space="0" w:color="auto"/>
            </w:tcBorders>
          </w:tcPr>
          <w:p w14:paraId="6A5A26A7" w14:textId="77777777" w:rsidR="001762EE" w:rsidRPr="005A497D" w:rsidRDefault="001762EE" w:rsidP="00D4359B">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top w:val="single" w:sz="4" w:space="0" w:color="auto"/>
              <w:bottom w:val="single" w:sz="4" w:space="0" w:color="auto"/>
            </w:tcBorders>
          </w:tcPr>
          <w:p w14:paraId="1F89B46E" w14:textId="284DA34F" w:rsidR="001762EE" w:rsidRPr="005A497D" w:rsidRDefault="001762EE" w:rsidP="00B17BB0">
            <w:pPr>
              <w:rPr>
                <w:sz w:val="21"/>
                <w:szCs w:val="21"/>
                <w:u w:val="single"/>
              </w:rPr>
            </w:pPr>
            <w:r w:rsidRPr="00534A62">
              <w:rPr>
                <w:sz w:val="21"/>
                <w:szCs w:val="21"/>
              </w:rPr>
              <w:t xml:space="preserve">The </w:t>
            </w:r>
            <w:r>
              <w:rPr>
                <w:sz w:val="21"/>
                <w:szCs w:val="21"/>
              </w:rPr>
              <w:t>Government</w:t>
            </w:r>
            <w:r w:rsidRPr="00534A62">
              <w:rPr>
                <w:sz w:val="21"/>
                <w:szCs w:val="21"/>
              </w:rPr>
              <w:t xml:space="preserve"> summarizes the net domestic and foreign borrowing and the detailed government</w:t>
            </w:r>
            <w:r>
              <w:rPr>
                <w:sz w:val="21"/>
                <w:szCs w:val="21"/>
              </w:rPr>
              <w:t>-</w:t>
            </w:r>
            <w:r w:rsidRPr="00534A62">
              <w:rPr>
                <w:sz w:val="21"/>
                <w:szCs w:val="21"/>
              </w:rPr>
              <w:t>financing requirement in the DBM website</w:t>
            </w:r>
            <w:r w:rsidRPr="004521BD">
              <w:rPr>
                <w:sz w:val="21"/>
                <w:szCs w:val="21"/>
                <w:vertAlign w:val="superscript"/>
              </w:rPr>
              <w:t>/j</w:t>
            </w:r>
            <w:r w:rsidRPr="005A497D">
              <w:rPr>
                <w:sz w:val="21"/>
                <w:szCs w:val="21"/>
              </w:rPr>
              <w:t xml:space="preserve"> </w:t>
            </w:r>
            <w:r>
              <w:rPr>
                <w:sz w:val="21"/>
                <w:szCs w:val="21"/>
              </w:rPr>
              <w:t xml:space="preserve">under the heading of </w:t>
            </w:r>
            <w:r w:rsidRPr="005A497D">
              <w:rPr>
                <w:sz w:val="21"/>
                <w:szCs w:val="21"/>
              </w:rPr>
              <w:t>National Government Financing.</w:t>
            </w:r>
          </w:p>
        </w:tc>
      </w:tr>
      <w:tr w:rsidR="001762EE" w:rsidRPr="005A497D" w14:paraId="7354FCB3" w14:textId="77777777" w:rsidTr="0015142A">
        <w:trPr>
          <w:trHeight w:val="953"/>
        </w:trPr>
        <w:tc>
          <w:tcPr>
            <w:tcW w:w="3119" w:type="dxa"/>
            <w:tcBorders>
              <w:top w:val="single" w:sz="4" w:space="0" w:color="auto"/>
            </w:tcBorders>
          </w:tcPr>
          <w:p w14:paraId="037D3850" w14:textId="457EDD75" w:rsidR="001762EE" w:rsidRPr="00470340" w:rsidRDefault="001762EE" w:rsidP="0043657F">
            <w:pPr>
              <w:pStyle w:val="TableText"/>
              <w:spacing w:line="240" w:lineRule="auto"/>
              <w:ind w:left="0"/>
              <w:rPr>
                <w:rFonts w:ascii="Times New Roman" w:hAnsi="Times New Roman" w:cstheme="majorBidi"/>
                <w:b/>
                <w:bCs/>
                <w:color w:val="404040" w:themeColor="text1" w:themeTint="BF"/>
                <w:sz w:val="21"/>
                <w:szCs w:val="21"/>
                <w:lang w:val="en-US"/>
              </w:rPr>
            </w:pPr>
            <w:r w:rsidRPr="00470340">
              <w:rPr>
                <w:rFonts w:ascii="Times New Roman" w:hAnsi="Times New Roman"/>
                <w:bCs/>
                <w:sz w:val="21"/>
                <w:szCs w:val="21"/>
                <w:lang w:val="en-US"/>
              </w:rPr>
              <w:t xml:space="preserve">6. Macro-economic assumptions, including at least estimates of </w:t>
            </w:r>
            <w:r>
              <w:rPr>
                <w:rFonts w:ascii="Times New Roman" w:hAnsi="Times New Roman"/>
                <w:bCs/>
                <w:sz w:val="21"/>
                <w:szCs w:val="21"/>
                <w:lang w:val="en-US"/>
              </w:rPr>
              <w:t xml:space="preserve">GDP growth, inflation, interest rates, and </w:t>
            </w:r>
            <w:r w:rsidRPr="00470340">
              <w:rPr>
                <w:rFonts w:ascii="Times New Roman" w:hAnsi="Times New Roman"/>
                <w:bCs/>
                <w:sz w:val="21"/>
                <w:szCs w:val="21"/>
                <w:lang w:val="en-US"/>
              </w:rPr>
              <w:t>exchange rate.</w:t>
            </w:r>
          </w:p>
        </w:tc>
        <w:tc>
          <w:tcPr>
            <w:tcW w:w="1134" w:type="dxa"/>
            <w:tcBorders>
              <w:top w:val="single" w:sz="4" w:space="0" w:color="auto"/>
            </w:tcBorders>
          </w:tcPr>
          <w:p w14:paraId="75E5F428" w14:textId="77777777" w:rsidR="001762EE" w:rsidRPr="005A497D" w:rsidRDefault="001762EE" w:rsidP="00D4359B">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top w:val="single" w:sz="4" w:space="0" w:color="auto"/>
            </w:tcBorders>
          </w:tcPr>
          <w:p w14:paraId="239DAF26" w14:textId="14B97095" w:rsidR="001762EE" w:rsidRPr="00D4359B" w:rsidRDefault="001762EE" w:rsidP="00B17BB0">
            <w:pPr>
              <w:spacing w:before="40" w:after="40"/>
              <w:rPr>
                <w:sz w:val="21"/>
                <w:szCs w:val="21"/>
              </w:rPr>
            </w:pPr>
            <w:r w:rsidRPr="00D4359B">
              <w:rPr>
                <w:sz w:val="21"/>
                <w:szCs w:val="21"/>
              </w:rPr>
              <w:t>The macro-economic assumptions</w:t>
            </w:r>
            <w:r w:rsidRPr="0043657F">
              <w:rPr>
                <w:sz w:val="21"/>
                <w:szCs w:val="21"/>
                <w:vertAlign w:val="superscript"/>
              </w:rPr>
              <w:t>/k</w:t>
            </w:r>
            <w:r w:rsidRPr="00D4359B">
              <w:rPr>
                <w:sz w:val="21"/>
                <w:szCs w:val="21"/>
              </w:rPr>
              <w:t xml:space="preserve"> as well as budget sensitivity to key macroeconomic variables</w:t>
            </w:r>
            <w:r w:rsidRPr="0043657F">
              <w:rPr>
                <w:sz w:val="21"/>
                <w:szCs w:val="21"/>
                <w:vertAlign w:val="superscript"/>
              </w:rPr>
              <w:t>/l</w:t>
            </w:r>
            <w:r>
              <w:rPr>
                <w:sz w:val="21"/>
                <w:szCs w:val="21"/>
              </w:rPr>
              <w:t xml:space="preserve"> </w:t>
            </w:r>
            <w:r w:rsidRPr="00D4359B">
              <w:rPr>
                <w:sz w:val="21"/>
                <w:szCs w:val="21"/>
              </w:rPr>
              <w:t xml:space="preserve">are also </w:t>
            </w:r>
            <w:r w:rsidR="00CA2A08">
              <w:rPr>
                <w:sz w:val="21"/>
                <w:szCs w:val="21"/>
              </w:rPr>
              <w:t xml:space="preserve">included in BESF </w:t>
            </w:r>
            <w:r w:rsidRPr="00D4359B">
              <w:rPr>
                <w:sz w:val="21"/>
                <w:szCs w:val="21"/>
              </w:rPr>
              <w:t>available in DBM website.</w:t>
            </w:r>
          </w:p>
        </w:tc>
      </w:tr>
      <w:tr w:rsidR="001762EE" w:rsidRPr="005A497D" w14:paraId="5AF00624" w14:textId="77777777" w:rsidTr="001805CA">
        <w:trPr>
          <w:trHeight w:val="1412"/>
        </w:trPr>
        <w:tc>
          <w:tcPr>
            <w:tcW w:w="3119" w:type="dxa"/>
          </w:tcPr>
          <w:p w14:paraId="1E6F4C33" w14:textId="109D32B1" w:rsidR="001762EE" w:rsidRPr="00470340" w:rsidRDefault="001762EE" w:rsidP="00D4359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7. Debt stock, including details at least for the beginning of the current year</w:t>
            </w:r>
            <w:r>
              <w:rPr>
                <w:rFonts w:ascii="Times New Roman" w:hAnsi="Times New Roman"/>
                <w:bCs/>
                <w:sz w:val="21"/>
                <w:szCs w:val="21"/>
                <w:lang w:val="en-US"/>
              </w:rPr>
              <w:t>, presented as per GFS or other comparable standard</w:t>
            </w:r>
            <w:r w:rsidRPr="00470340">
              <w:rPr>
                <w:rFonts w:ascii="Times New Roman" w:hAnsi="Times New Roman"/>
                <w:bCs/>
                <w:sz w:val="21"/>
                <w:szCs w:val="21"/>
                <w:lang w:val="en-US"/>
              </w:rPr>
              <w:t>.</w:t>
            </w:r>
          </w:p>
        </w:tc>
        <w:tc>
          <w:tcPr>
            <w:tcW w:w="1134" w:type="dxa"/>
          </w:tcPr>
          <w:p w14:paraId="2ECB0D08" w14:textId="77777777" w:rsidR="001762EE" w:rsidRPr="005A497D" w:rsidRDefault="001762EE" w:rsidP="00D4359B">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Pr>
          <w:p w14:paraId="3EBFB0D7" w14:textId="2920C64B" w:rsidR="001762EE" w:rsidRPr="005A497D" w:rsidRDefault="001762EE" w:rsidP="0043657F">
            <w:pPr>
              <w:rPr>
                <w:rFonts w:asciiTheme="majorHAnsi" w:eastAsiaTheme="majorEastAsia" w:hAnsiTheme="majorHAnsi" w:cstheme="majorBidi"/>
                <w:b/>
                <w:bCs/>
                <w:i/>
                <w:iCs/>
                <w:color w:val="404040" w:themeColor="text1" w:themeTint="BF"/>
                <w:sz w:val="21"/>
                <w:szCs w:val="21"/>
              </w:rPr>
            </w:pPr>
            <w:r w:rsidRPr="00D4359B">
              <w:rPr>
                <w:sz w:val="21"/>
                <w:szCs w:val="21"/>
              </w:rPr>
              <w:t xml:space="preserve">The data of debt stock of the </w:t>
            </w:r>
            <w:r>
              <w:rPr>
                <w:sz w:val="21"/>
                <w:szCs w:val="21"/>
              </w:rPr>
              <w:t>n</w:t>
            </w:r>
            <w:r w:rsidRPr="00D4359B">
              <w:rPr>
                <w:sz w:val="21"/>
                <w:szCs w:val="21"/>
              </w:rPr>
              <w:t xml:space="preserve">ational </w:t>
            </w:r>
            <w:r>
              <w:rPr>
                <w:sz w:val="21"/>
                <w:szCs w:val="21"/>
              </w:rPr>
              <w:t>g</w:t>
            </w:r>
            <w:r w:rsidRPr="00D4359B">
              <w:rPr>
                <w:sz w:val="21"/>
                <w:szCs w:val="21"/>
              </w:rPr>
              <w:t xml:space="preserve">overnment is </w:t>
            </w:r>
            <w:r w:rsidR="00CA2A08">
              <w:rPr>
                <w:sz w:val="21"/>
                <w:szCs w:val="21"/>
              </w:rPr>
              <w:t xml:space="preserve">reported in the BESF </w:t>
            </w:r>
            <w:r w:rsidRPr="00D4359B">
              <w:rPr>
                <w:sz w:val="21"/>
                <w:szCs w:val="21"/>
              </w:rPr>
              <w:t>presented in DBM websit</w:t>
            </w:r>
            <w:r>
              <w:rPr>
                <w:sz w:val="21"/>
                <w:szCs w:val="21"/>
              </w:rPr>
              <w:t>e.</w:t>
            </w:r>
            <w:r w:rsidRPr="004521BD">
              <w:rPr>
                <w:sz w:val="21"/>
                <w:szCs w:val="21"/>
                <w:vertAlign w:val="superscript"/>
              </w:rPr>
              <w:t>/m</w:t>
            </w:r>
            <w:r w:rsidRPr="00D4359B">
              <w:rPr>
                <w:sz w:val="21"/>
                <w:szCs w:val="21"/>
              </w:rPr>
              <w:t xml:space="preserve"> The information shown is the beginning outs</w:t>
            </w:r>
            <w:r w:rsidRPr="005A497D">
              <w:rPr>
                <w:sz w:val="21"/>
                <w:szCs w:val="21"/>
              </w:rPr>
              <w:t xml:space="preserve">tanding </w:t>
            </w:r>
            <w:r>
              <w:rPr>
                <w:sz w:val="21"/>
                <w:szCs w:val="21"/>
              </w:rPr>
              <w:t>d</w:t>
            </w:r>
            <w:r w:rsidRPr="005A497D">
              <w:rPr>
                <w:sz w:val="21"/>
                <w:szCs w:val="21"/>
              </w:rPr>
              <w:t xml:space="preserve">ebt of the </w:t>
            </w:r>
            <w:r>
              <w:rPr>
                <w:sz w:val="21"/>
                <w:szCs w:val="21"/>
              </w:rPr>
              <w:t>n</w:t>
            </w:r>
            <w:r w:rsidRPr="005A497D">
              <w:rPr>
                <w:sz w:val="21"/>
                <w:szCs w:val="21"/>
              </w:rPr>
              <w:t xml:space="preserve">ational </w:t>
            </w:r>
            <w:r>
              <w:rPr>
                <w:sz w:val="21"/>
                <w:szCs w:val="21"/>
              </w:rPr>
              <w:t>g</w:t>
            </w:r>
            <w:r w:rsidRPr="005A497D">
              <w:rPr>
                <w:sz w:val="21"/>
                <w:szCs w:val="21"/>
              </w:rPr>
              <w:t>overnment</w:t>
            </w:r>
            <w:r>
              <w:rPr>
                <w:sz w:val="21"/>
                <w:szCs w:val="21"/>
              </w:rPr>
              <w:t xml:space="preserve"> plus the additional </w:t>
            </w:r>
            <w:r w:rsidRPr="005A497D">
              <w:rPr>
                <w:sz w:val="21"/>
                <w:szCs w:val="21"/>
              </w:rPr>
              <w:t>borrowings</w:t>
            </w:r>
            <w:r>
              <w:rPr>
                <w:sz w:val="21"/>
                <w:szCs w:val="21"/>
              </w:rPr>
              <w:t xml:space="preserve"> for the year and the </w:t>
            </w:r>
            <w:r w:rsidRPr="005A497D">
              <w:rPr>
                <w:sz w:val="21"/>
                <w:szCs w:val="21"/>
              </w:rPr>
              <w:t>principal payments.</w:t>
            </w:r>
          </w:p>
        </w:tc>
      </w:tr>
      <w:tr w:rsidR="001762EE" w:rsidRPr="005A497D" w14:paraId="497D5FEE" w14:textId="77777777" w:rsidTr="00D4359B">
        <w:trPr>
          <w:trHeight w:val="1070"/>
        </w:trPr>
        <w:tc>
          <w:tcPr>
            <w:tcW w:w="3119" w:type="dxa"/>
          </w:tcPr>
          <w:p w14:paraId="45286B58" w14:textId="7EA85DBE" w:rsidR="001762EE" w:rsidRPr="00470340" w:rsidRDefault="001762EE" w:rsidP="00D4359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8. Financial assets, including details at least for the beginning of the current year</w:t>
            </w:r>
            <w:r>
              <w:rPr>
                <w:rFonts w:ascii="Times New Roman" w:hAnsi="Times New Roman"/>
                <w:bCs/>
                <w:sz w:val="21"/>
                <w:szCs w:val="21"/>
                <w:lang w:val="en-US"/>
              </w:rPr>
              <w:t xml:space="preserve"> as per GFS or other comparable standard</w:t>
            </w:r>
            <w:r w:rsidRPr="00470340">
              <w:rPr>
                <w:rFonts w:ascii="Times New Roman" w:hAnsi="Times New Roman"/>
                <w:bCs/>
                <w:sz w:val="21"/>
                <w:szCs w:val="21"/>
                <w:lang w:val="en-US"/>
              </w:rPr>
              <w:t>.</w:t>
            </w:r>
          </w:p>
        </w:tc>
        <w:tc>
          <w:tcPr>
            <w:tcW w:w="1134" w:type="dxa"/>
          </w:tcPr>
          <w:p w14:paraId="3AAAE7C2" w14:textId="77777777" w:rsidR="001762EE" w:rsidRPr="005A497D" w:rsidRDefault="001762EE" w:rsidP="00D4359B">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No</w:t>
            </w:r>
          </w:p>
        </w:tc>
        <w:tc>
          <w:tcPr>
            <w:tcW w:w="5103" w:type="dxa"/>
          </w:tcPr>
          <w:p w14:paraId="4989E0AE" w14:textId="0ED420BE" w:rsidR="001762EE" w:rsidRPr="005A497D" w:rsidRDefault="001762EE" w:rsidP="00B17BB0">
            <w:pPr>
              <w:rPr>
                <w:sz w:val="21"/>
                <w:szCs w:val="21"/>
              </w:rPr>
            </w:pPr>
            <w:r>
              <w:rPr>
                <w:sz w:val="21"/>
                <w:szCs w:val="21"/>
              </w:rPr>
              <w:t>There is no summary data of the aggregate national government financial assets</w:t>
            </w:r>
            <w:r w:rsidRPr="005A497D">
              <w:rPr>
                <w:sz w:val="21"/>
                <w:szCs w:val="21"/>
              </w:rPr>
              <w:t>.</w:t>
            </w:r>
            <w:r w:rsidRPr="0043657F">
              <w:rPr>
                <w:sz w:val="21"/>
                <w:szCs w:val="21"/>
                <w:vertAlign w:val="superscript"/>
              </w:rPr>
              <w:t>/</w:t>
            </w:r>
            <w:r w:rsidR="001610D9" w:rsidRPr="0043657F">
              <w:rPr>
                <w:sz w:val="21"/>
                <w:szCs w:val="21"/>
                <w:vertAlign w:val="superscript"/>
              </w:rPr>
              <w:t>n</w:t>
            </w:r>
            <w:r w:rsidR="001610D9">
              <w:rPr>
                <w:sz w:val="21"/>
                <w:szCs w:val="21"/>
              </w:rPr>
              <w:t xml:space="preserve"> The</w:t>
            </w:r>
            <w:r>
              <w:rPr>
                <w:sz w:val="21"/>
                <w:szCs w:val="21"/>
              </w:rPr>
              <w:t xml:space="preserve"> information noted is per department as presented in their respective Annual Financial Report.</w:t>
            </w:r>
          </w:p>
        </w:tc>
      </w:tr>
      <w:tr w:rsidR="001762EE" w:rsidRPr="005A497D" w14:paraId="5B71B276" w14:textId="77777777" w:rsidTr="001805CA">
        <w:trPr>
          <w:trHeight w:val="2060"/>
        </w:trPr>
        <w:tc>
          <w:tcPr>
            <w:tcW w:w="3119" w:type="dxa"/>
          </w:tcPr>
          <w:p w14:paraId="69D61CCD" w14:textId="6F645661" w:rsidR="001762EE" w:rsidRPr="00470340" w:rsidRDefault="001762EE" w:rsidP="00B17BB0">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9. Summary information of fiscal risks</w:t>
            </w:r>
            <w:r>
              <w:rPr>
                <w:rFonts w:ascii="Times New Roman" w:hAnsi="Times New Roman"/>
                <w:bCs/>
                <w:sz w:val="21"/>
                <w:szCs w:val="21"/>
                <w:lang w:val="en-US"/>
              </w:rPr>
              <w:t xml:space="preserve">, </w:t>
            </w:r>
            <w:r w:rsidRPr="00470340">
              <w:rPr>
                <w:rFonts w:ascii="Times New Roman" w:hAnsi="Times New Roman"/>
                <w:bCs/>
                <w:sz w:val="21"/>
                <w:szCs w:val="21"/>
                <w:lang w:val="en-US"/>
              </w:rPr>
              <w:t>including contingent liabilities</w:t>
            </w:r>
            <w:r w:rsidRPr="0043657F">
              <w:rPr>
                <w:rFonts w:ascii="Times New Roman" w:hAnsi="Times New Roman"/>
                <w:bCs/>
                <w:sz w:val="21"/>
                <w:szCs w:val="21"/>
                <w:vertAlign w:val="superscript"/>
                <w:lang w:val="en-US"/>
              </w:rPr>
              <w:t>/n</w:t>
            </w:r>
            <w:r>
              <w:rPr>
                <w:rFonts w:ascii="Times New Roman" w:hAnsi="Times New Roman"/>
                <w:bCs/>
                <w:sz w:val="21"/>
                <w:szCs w:val="21"/>
                <w:lang w:val="en-US"/>
              </w:rPr>
              <w:t xml:space="preserve"> such as guarantees and contingent obligations, embedded in structure financing instruments such as public-private partnerships. </w:t>
            </w:r>
          </w:p>
        </w:tc>
        <w:tc>
          <w:tcPr>
            <w:tcW w:w="1134" w:type="dxa"/>
          </w:tcPr>
          <w:p w14:paraId="561BE187" w14:textId="389489D7" w:rsidR="001762EE" w:rsidRPr="005A497D" w:rsidRDefault="001762EE" w:rsidP="00D4359B">
            <w:pPr>
              <w:pStyle w:val="TableText"/>
              <w:spacing w:line="240" w:lineRule="auto"/>
              <w:ind w:left="0"/>
              <w:jc w:val="center"/>
              <w:rPr>
                <w:rFonts w:ascii="Times New Roman" w:hAnsi="Times New Roman"/>
                <w:bCs/>
                <w:sz w:val="21"/>
                <w:szCs w:val="21"/>
                <w:lang w:val="en-US"/>
              </w:rPr>
            </w:pPr>
            <w:r>
              <w:rPr>
                <w:rFonts w:ascii="Times New Roman" w:hAnsi="Times New Roman"/>
                <w:bCs/>
                <w:sz w:val="21"/>
                <w:szCs w:val="21"/>
                <w:lang w:val="en-US"/>
              </w:rPr>
              <w:t>No</w:t>
            </w:r>
          </w:p>
        </w:tc>
        <w:tc>
          <w:tcPr>
            <w:tcW w:w="5103" w:type="dxa"/>
          </w:tcPr>
          <w:p w14:paraId="7014724C" w14:textId="12F24593" w:rsidR="001762EE" w:rsidRPr="00D4359B" w:rsidRDefault="001762EE" w:rsidP="00CA2A08">
            <w:pPr>
              <w:rPr>
                <w:sz w:val="21"/>
                <w:szCs w:val="21"/>
              </w:rPr>
            </w:pPr>
            <w:r w:rsidRPr="00D4359B">
              <w:rPr>
                <w:sz w:val="21"/>
                <w:szCs w:val="21"/>
              </w:rPr>
              <w:t>Fiscal risk</w:t>
            </w:r>
            <w:r>
              <w:rPr>
                <w:sz w:val="21"/>
                <w:szCs w:val="21"/>
              </w:rPr>
              <w:t>s</w:t>
            </w:r>
            <w:r w:rsidRPr="00D4359B">
              <w:rPr>
                <w:sz w:val="21"/>
                <w:szCs w:val="21"/>
              </w:rPr>
              <w:t xml:space="preserve"> of the government are presented in the </w:t>
            </w:r>
            <w:r>
              <w:rPr>
                <w:sz w:val="21"/>
                <w:szCs w:val="21"/>
              </w:rPr>
              <w:t>f</w:t>
            </w:r>
            <w:r w:rsidRPr="00D4359B">
              <w:rPr>
                <w:sz w:val="21"/>
                <w:szCs w:val="21"/>
              </w:rPr>
              <w:t xml:space="preserve">iscal risks statement published by </w:t>
            </w:r>
            <w:r w:rsidR="00CA2A08">
              <w:rPr>
                <w:sz w:val="21"/>
                <w:szCs w:val="21"/>
              </w:rPr>
              <w:t>the DBCC</w:t>
            </w:r>
            <w:r w:rsidRPr="0043657F">
              <w:rPr>
                <w:sz w:val="21"/>
                <w:szCs w:val="21"/>
                <w:vertAlign w:val="superscript"/>
              </w:rPr>
              <w:t>/o</w:t>
            </w:r>
            <w:r w:rsidRPr="00E66E6F">
              <w:rPr>
                <w:sz w:val="21"/>
                <w:szCs w:val="21"/>
              </w:rPr>
              <w:t xml:space="preserve"> but </w:t>
            </w:r>
            <w:r>
              <w:rPr>
                <w:sz w:val="21"/>
                <w:szCs w:val="21"/>
              </w:rPr>
              <w:t>there are</w:t>
            </w:r>
            <w:r w:rsidRPr="00E66E6F">
              <w:rPr>
                <w:sz w:val="21"/>
                <w:szCs w:val="21"/>
              </w:rPr>
              <w:t xml:space="preserve"> gaps in the presentation of contingent liabilities (PI-10.3)</w:t>
            </w:r>
            <w:r w:rsidRPr="00D4359B">
              <w:rPr>
                <w:sz w:val="21"/>
                <w:szCs w:val="21"/>
              </w:rPr>
              <w:t xml:space="preserve">. Information on domestic and foreign debt service for regular liabilities assumed by the </w:t>
            </w:r>
            <w:r>
              <w:rPr>
                <w:sz w:val="21"/>
                <w:szCs w:val="21"/>
              </w:rPr>
              <w:t>n</w:t>
            </w:r>
            <w:r w:rsidRPr="00D4359B">
              <w:rPr>
                <w:sz w:val="21"/>
                <w:szCs w:val="21"/>
              </w:rPr>
              <w:t xml:space="preserve">ational </w:t>
            </w:r>
            <w:r>
              <w:rPr>
                <w:sz w:val="21"/>
                <w:szCs w:val="21"/>
              </w:rPr>
              <w:t>g</w:t>
            </w:r>
            <w:r w:rsidRPr="00D4359B">
              <w:rPr>
                <w:sz w:val="21"/>
                <w:szCs w:val="21"/>
              </w:rPr>
              <w:t xml:space="preserve">overnment, and the sinking fund provision for the retirement of domestic debt are separately disclosed </w:t>
            </w:r>
            <w:r w:rsidR="00CA2A08">
              <w:rPr>
                <w:sz w:val="21"/>
                <w:szCs w:val="21"/>
              </w:rPr>
              <w:t>in the</w:t>
            </w:r>
            <w:r w:rsidRPr="00D4359B">
              <w:rPr>
                <w:sz w:val="21"/>
                <w:szCs w:val="21"/>
              </w:rPr>
              <w:t xml:space="preserve"> BESF </w:t>
            </w:r>
            <w:r w:rsidR="00CA2A08">
              <w:rPr>
                <w:sz w:val="21"/>
                <w:szCs w:val="21"/>
              </w:rPr>
              <w:t>published o</w:t>
            </w:r>
            <w:r w:rsidRPr="00D4359B">
              <w:rPr>
                <w:sz w:val="21"/>
                <w:szCs w:val="21"/>
              </w:rPr>
              <w:t>n DBM website</w:t>
            </w:r>
            <w:r>
              <w:rPr>
                <w:sz w:val="21"/>
                <w:szCs w:val="21"/>
              </w:rPr>
              <w:t>.</w:t>
            </w:r>
            <w:r w:rsidRPr="00D4359B">
              <w:rPr>
                <w:sz w:val="21"/>
                <w:szCs w:val="21"/>
              </w:rPr>
              <w:t xml:space="preserve"> </w:t>
            </w:r>
          </w:p>
        </w:tc>
      </w:tr>
      <w:tr w:rsidR="001762EE" w:rsidRPr="005A497D" w14:paraId="1FB08875" w14:textId="77777777" w:rsidTr="001805CA">
        <w:trPr>
          <w:trHeight w:val="2051"/>
        </w:trPr>
        <w:tc>
          <w:tcPr>
            <w:tcW w:w="3119" w:type="dxa"/>
          </w:tcPr>
          <w:p w14:paraId="33D84597" w14:textId="54DD3903" w:rsidR="001762EE" w:rsidRPr="00470340" w:rsidRDefault="001762EE" w:rsidP="005A0A7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10. Explanation of budget implications of new policy initiatives</w:t>
            </w:r>
            <w:r>
              <w:rPr>
                <w:rFonts w:ascii="Times New Roman" w:hAnsi="Times New Roman"/>
                <w:bCs/>
                <w:sz w:val="21"/>
                <w:szCs w:val="21"/>
                <w:lang w:val="en-US"/>
              </w:rPr>
              <w:t xml:space="preserve"> and major new public investments</w:t>
            </w:r>
            <w:r w:rsidRPr="00470340">
              <w:rPr>
                <w:rFonts w:ascii="Times New Roman" w:hAnsi="Times New Roman"/>
                <w:bCs/>
                <w:sz w:val="21"/>
                <w:szCs w:val="21"/>
                <w:lang w:val="en-US"/>
              </w:rPr>
              <w:t>, with estimates of the budgetary impact of all major revenue policy changes and/or some major changes to expenditure programs.</w:t>
            </w:r>
          </w:p>
        </w:tc>
        <w:tc>
          <w:tcPr>
            <w:tcW w:w="1134" w:type="dxa"/>
          </w:tcPr>
          <w:p w14:paraId="0AF27AD7" w14:textId="1B2D180B" w:rsidR="001762EE" w:rsidRPr="005A497D" w:rsidRDefault="001762EE" w:rsidP="005A0A7B">
            <w:pPr>
              <w:pStyle w:val="TableText"/>
              <w:spacing w:line="240" w:lineRule="auto"/>
              <w:ind w:left="0"/>
              <w:jc w:val="center"/>
              <w:rPr>
                <w:rFonts w:ascii="Times New Roman" w:hAnsi="Times New Roman"/>
                <w:bCs/>
                <w:sz w:val="21"/>
                <w:szCs w:val="21"/>
                <w:lang w:val="en-US"/>
              </w:rPr>
            </w:pPr>
            <w:r>
              <w:rPr>
                <w:rFonts w:ascii="Times New Roman" w:hAnsi="Times New Roman"/>
                <w:bCs/>
                <w:sz w:val="21"/>
                <w:szCs w:val="21"/>
                <w:lang w:val="en-US"/>
              </w:rPr>
              <w:t>Yes</w:t>
            </w:r>
          </w:p>
        </w:tc>
        <w:tc>
          <w:tcPr>
            <w:tcW w:w="5103" w:type="dxa"/>
          </w:tcPr>
          <w:p w14:paraId="4751943B" w14:textId="1711AC51" w:rsidR="001762EE" w:rsidRPr="005A497D" w:rsidRDefault="001762EE" w:rsidP="00B17BB0">
            <w:pPr>
              <w:rPr>
                <w:sz w:val="21"/>
                <w:szCs w:val="21"/>
              </w:rPr>
            </w:pPr>
            <w:r>
              <w:rPr>
                <w:sz w:val="21"/>
                <w:szCs w:val="21"/>
              </w:rPr>
              <w:t xml:space="preserve">The impact of major </w:t>
            </w:r>
            <w:r w:rsidRPr="005A497D">
              <w:rPr>
                <w:sz w:val="21"/>
                <w:szCs w:val="21"/>
              </w:rPr>
              <w:t xml:space="preserve">changes in the expenditure program </w:t>
            </w:r>
            <w:r>
              <w:rPr>
                <w:sz w:val="21"/>
                <w:szCs w:val="21"/>
              </w:rPr>
              <w:t xml:space="preserve">is noted </w:t>
            </w:r>
            <w:r w:rsidRPr="005A497D">
              <w:rPr>
                <w:sz w:val="21"/>
                <w:szCs w:val="21"/>
              </w:rPr>
              <w:t>such as the discontinuance of PDAF and DA</w:t>
            </w:r>
            <w:r>
              <w:rPr>
                <w:sz w:val="21"/>
                <w:szCs w:val="21"/>
              </w:rPr>
              <w:t>P</w:t>
            </w:r>
            <w:r w:rsidR="00CA2A08">
              <w:rPr>
                <w:sz w:val="21"/>
                <w:szCs w:val="21"/>
              </w:rPr>
              <w:t>, significant changes in agency performance outputs</w:t>
            </w:r>
            <w:r w:rsidRPr="005A497D">
              <w:rPr>
                <w:sz w:val="21"/>
                <w:szCs w:val="21"/>
              </w:rPr>
              <w:t xml:space="preserve"> and the new revenue reforms/initiatives. In 2014, the </w:t>
            </w:r>
            <w:r>
              <w:rPr>
                <w:sz w:val="21"/>
                <w:szCs w:val="21"/>
              </w:rPr>
              <w:t>f</w:t>
            </w:r>
            <w:r w:rsidRPr="005A497D">
              <w:rPr>
                <w:sz w:val="21"/>
                <w:szCs w:val="21"/>
              </w:rPr>
              <w:t xml:space="preserve">iscal </w:t>
            </w:r>
            <w:r>
              <w:rPr>
                <w:sz w:val="21"/>
                <w:szCs w:val="21"/>
              </w:rPr>
              <w:t>r</w:t>
            </w:r>
            <w:r w:rsidRPr="005A497D">
              <w:rPr>
                <w:sz w:val="21"/>
                <w:szCs w:val="21"/>
              </w:rPr>
              <w:t>isks</w:t>
            </w:r>
            <w:r>
              <w:rPr>
                <w:sz w:val="21"/>
                <w:szCs w:val="21"/>
              </w:rPr>
              <w:t xml:space="preserve"> statement</w:t>
            </w:r>
            <w:r w:rsidRPr="004521BD">
              <w:rPr>
                <w:sz w:val="21"/>
                <w:szCs w:val="21"/>
                <w:vertAlign w:val="superscript"/>
              </w:rPr>
              <w:t>/p</w:t>
            </w:r>
            <w:r w:rsidRPr="005A497D">
              <w:rPr>
                <w:sz w:val="21"/>
                <w:szCs w:val="21"/>
              </w:rPr>
              <w:t xml:space="preserve"> </w:t>
            </w:r>
            <w:r>
              <w:rPr>
                <w:sz w:val="21"/>
                <w:szCs w:val="21"/>
              </w:rPr>
              <w:t>(</w:t>
            </w:r>
            <w:r w:rsidRPr="005A497D">
              <w:rPr>
                <w:sz w:val="21"/>
                <w:szCs w:val="21"/>
              </w:rPr>
              <w:t>table 4</w:t>
            </w:r>
            <w:r>
              <w:rPr>
                <w:sz w:val="21"/>
                <w:szCs w:val="21"/>
              </w:rPr>
              <w:t>)</w:t>
            </w:r>
            <w:r w:rsidRPr="005A497D">
              <w:rPr>
                <w:sz w:val="21"/>
                <w:szCs w:val="21"/>
              </w:rPr>
              <w:t xml:space="preserve"> disclosed the forgone revenues from different tax measures and practices. </w:t>
            </w:r>
            <w:r>
              <w:rPr>
                <w:sz w:val="21"/>
                <w:szCs w:val="21"/>
              </w:rPr>
              <w:t xml:space="preserve">Similar disclosure was </w:t>
            </w:r>
            <w:r w:rsidRPr="005A497D">
              <w:rPr>
                <w:sz w:val="21"/>
                <w:szCs w:val="21"/>
              </w:rPr>
              <w:t xml:space="preserve">noted in </w:t>
            </w:r>
            <w:r>
              <w:rPr>
                <w:sz w:val="21"/>
                <w:szCs w:val="21"/>
              </w:rPr>
              <w:t xml:space="preserve">Fiscal Risks Statement </w:t>
            </w:r>
            <w:r w:rsidRPr="005A497D">
              <w:rPr>
                <w:sz w:val="21"/>
                <w:szCs w:val="21"/>
              </w:rPr>
              <w:t>2015</w:t>
            </w:r>
            <w:r>
              <w:rPr>
                <w:sz w:val="21"/>
                <w:szCs w:val="21"/>
              </w:rPr>
              <w:t>-</w:t>
            </w:r>
            <w:r w:rsidRPr="005A497D">
              <w:rPr>
                <w:sz w:val="21"/>
                <w:szCs w:val="21"/>
              </w:rPr>
              <w:t>2016.</w:t>
            </w:r>
          </w:p>
        </w:tc>
      </w:tr>
      <w:tr w:rsidR="001762EE" w:rsidRPr="005A497D" w14:paraId="7B2A954E" w14:textId="77777777" w:rsidTr="001805CA">
        <w:trPr>
          <w:trHeight w:val="809"/>
        </w:trPr>
        <w:tc>
          <w:tcPr>
            <w:tcW w:w="3119" w:type="dxa"/>
          </w:tcPr>
          <w:p w14:paraId="526FAEFE" w14:textId="6911FD1C" w:rsidR="001762EE" w:rsidRPr="00470340" w:rsidRDefault="001762EE" w:rsidP="00D4359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11. Documentation on the medium-term f</w:t>
            </w:r>
            <w:r>
              <w:rPr>
                <w:rFonts w:ascii="Times New Roman" w:hAnsi="Times New Roman"/>
                <w:bCs/>
                <w:sz w:val="21"/>
                <w:szCs w:val="21"/>
                <w:lang w:val="en-US"/>
              </w:rPr>
              <w:t>iscal forecasts</w:t>
            </w:r>
            <w:r w:rsidRPr="00470340">
              <w:rPr>
                <w:rFonts w:ascii="Times New Roman" w:hAnsi="Times New Roman"/>
                <w:bCs/>
                <w:sz w:val="21"/>
                <w:szCs w:val="21"/>
                <w:lang w:val="en-US"/>
              </w:rPr>
              <w:t>.</w:t>
            </w:r>
          </w:p>
        </w:tc>
        <w:tc>
          <w:tcPr>
            <w:tcW w:w="1134" w:type="dxa"/>
          </w:tcPr>
          <w:p w14:paraId="219932D9" w14:textId="5B3439D1" w:rsidR="001762EE" w:rsidRPr="005A497D" w:rsidRDefault="001762EE" w:rsidP="00D4359B">
            <w:pPr>
              <w:pStyle w:val="TableText"/>
              <w:spacing w:line="240" w:lineRule="auto"/>
              <w:ind w:left="0"/>
              <w:jc w:val="center"/>
              <w:rPr>
                <w:rFonts w:ascii="Times New Roman" w:hAnsi="Times New Roman"/>
                <w:bCs/>
                <w:sz w:val="21"/>
                <w:szCs w:val="21"/>
                <w:lang w:val="en-US"/>
              </w:rPr>
            </w:pPr>
            <w:r>
              <w:rPr>
                <w:rFonts w:ascii="Times New Roman" w:hAnsi="Times New Roman"/>
                <w:bCs/>
                <w:sz w:val="21"/>
                <w:szCs w:val="21"/>
                <w:lang w:val="en-US"/>
              </w:rPr>
              <w:t>Yes</w:t>
            </w:r>
          </w:p>
        </w:tc>
        <w:tc>
          <w:tcPr>
            <w:tcW w:w="5103" w:type="dxa"/>
          </w:tcPr>
          <w:p w14:paraId="0D4069E1" w14:textId="44C56A14" w:rsidR="001762EE" w:rsidRPr="005A497D" w:rsidRDefault="001762EE" w:rsidP="00CA2A08">
            <w:pPr>
              <w:rPr>
                <w:sz w:val="21"/>
                <w:szCs w:val="21"/>
              </w:rPr>
            </w:pPr>
            <w:r>
              <w:rPr>
                <w:sz w:val="21"/>
                <w:szCs w:val="21"/>
              </w:rPr>
              <w:t>Medium-term fiscal information are published in DBM website as approved by Development Budget Coordination Committee</w:t>
            </w:r>
            <w:r w:rsidR="00CA2A08">
              <w:rPr>
                <w:sz w:val="21"/>
                <w:szCs w:val="21"/>
              </w:rPr>
              <w:t xml:space="preserve"> as part of the BESF</w:t>
            </w:r>
            <w:r>
              <w:rPr>
                <w:sz w:val="21"/>
                <w:szCs w:val="21"/>
              </w:rPr>
              <w:t>.</w:t>
            </w:r>
          </w:p>
        </w:tc>
      </w:tr>
      <w:tr w:rsidR="001762EE" w:rsidRPr="005A497D" w14:paraId="37C035A0" w14:textId="77777777" w:rsidTr="001805CA">
        <w:trPr>
          <w:trHeight w:val="611"/>
        </w:trPr>
        <w:tc>
          <w:tcPr>
            <w:tcW w:w="3119" w:type="dxa"/>
            <w:tcBorders>
              <w:bottom w:val="single" w:sz="4" w:space="0" w:color="auto"/>
            </w:tcBorders>
          </w:tcPr>
          <w:p w14:paraId="2BAED6DC" w14:textId="77777777" w:rsidR="001762EE" w:rsidRPr="00470340" w:rsidRDefault="001762EE" w:rsidP="00D4359B">
            <w:pPr>
              <w:pStyle w:val="TableText"/>
              <w:spacing w:line="240" w:lineRule="auto"/>
              <w:ind w:left="0"/>
              <w:rPr>
                <w:rFonts w:ascii="Times New Roman" w:hAnsi="Times New Roman"/>
                <w:bCs/>
                <w:sz w:val="21"/>
                <w:szCs w:val="21"/>
                <w:lang w:val="en-US"/>
              </w:rPr>
            </w:pPr>
            <w:r w:rsidRPr="00470340">
              <w:rPr>
                <w:rFonts w:ascii="Times New Roman" w:hAnsi="Times New Roman"/>
                <w:bCs/>
                <w:sz w:val="21"/>
                <w:szCs w:val="21"/>
                <w:lang w:val="en-US"/>
              </w:rPr>
              <w:t>12. Quantification of tax expenditures.</w:t>
            </w:r>
          </w:p>
        </w:tc>
        <w:tc>
          <w:tcPr>
            <w:tcW w:w="1134" w:type="dxa"/>
            <w:tcBorders>
              <w:bottom w:val="single" w:sz="4" w:space="0" w:color="auto"/>
            </w:tcBorders>
          </w:tcPr>
          <w:p w14:paraId="6D7583C5" w14:textId="77777777" w:rsidR="001762EE" w:rsidRPr="005A497D" w:rsidRDefault="001762EE" w:rsidP="00D4359B">
            <w:pPr>
              <w:pStyle w:val="TableText"/>
              <w:spacing w:line="240" w:lineRule="auto"/>
              <w:ind w:left="0"/>
              <w:jc w:val="center"/>
              <w:rPr>
                <w:rFonts w:ascii="Times New Roman" w:hAnsi="Times New Roman"/>
                <w:bCs/>
                <w:sz w:val="21"/>
                <w:szCs w:val="21"/>
                <w:lang w:val="en-US"/>
              </w:rPr>
            </w:pPr>
            <w:r w:rsidRPr="005A497D">
              <w:rPr>
                <w:rFonts w:ascii="Times New Roman" w:hAnsi="Times New Roman"/>
                <w:bCs/>
                <w:sz w:val="21"/>
                <w:szCs w:val="21"/>
                <w:lang w:val="en-US"/>
              </w:rPr>
              <w:t>Yes</w:t>
            </w:r>
          </w:p>
        </w:tc>
        <w:tc>
          <w:tcPr>
            <w:tcW w:w="5103" w:type="dxa"/>
            <w:tcBorders>
              <w:bottom w:val="single" w:sz="4" w:space="0" w:color="auto"/>
            </w:tcBorders>
          </w:tcPr>
          <w:p w14:paraId="504D1234" w14:textId="5987FB98" w:rsidR="001762EE" w:rsidRPr="00D4359B" w:rsidRDefault="001762EE" w:rsidP="00D4359B">
            <w:pPr>
              <w:rPr>
                <w:sz w:val="21"/>
                <w:szCs w:val="21"/>
              </w:rPr>
            </w:pPr>
            <w:r w:rsidRPr="00D4359B">
              <w:rPr>
                <w:sz w:val="21"/>
                <w:szCs w:val="21"/>
              </w:rPr>
              <w:t>The quantification of tax expenditures is available in DBM website.</w:t>
            </w:r>
          </w:p>
        </w:tc>
      </w:tr>
      <w:tr w:rsidR="001762EE" w:rsidRPr="005A497D" w14:paraId="3E0287C2" w14:textId="77777777" w:rsidTr="0043657F">
        <w:trPr>
          <w:cantSplit/>
          <w:trHeight w:val="629"/>
        </w:trPr>
        <w:tc>
          <w:tcPr>
            <w:tcW w:w="9356" w:type="dxa"/>
            <w:gridSpan w:val="3"/>
            <w:tcBorders>
              <w:top w:val="single" w:sz="4" w:space="0" w:color="auto"/>
              <w:left w:val="nil"/>
              <w:bottom w:val="single" w:sz="4" w:space="0" w:color="auto"/>
              <w:right w:val="nil"/>
            </w:tcBorders>
          </w:tcPr>
          <w:p w14:paraId="5A21258C" w14:textId="6C52839E" w:rsidR="001762EE" w:rsidRDefault="001762EE">
            <w:pPr>
              <w:rPr>
                <w:sz w:val="18"/>
                <w:szCs w:val="18"/>
              </w:rPr>
            </w:pPr>
            <w:r w:rsidRPr="0043657F">
              <w:rPr>
                <w:sz w:val="18"/>
                <w:szCs w:val="18"/>
                <w:vertAlign w:val="superscript"/>
              </w:rPr>
              <w:t>/a</w:t>
            </w:r>
            <w:r w:rsidRPr="0043657F">
              <w:rPr>
                <w:sz w:val="18"/>
                <w:szCs w:val="18"/>
              </w:rPr>
              <w:t xml:space="preserve">  </w:t>
            </w:r>
            <w:r w:rsidR="0015142A">
              <w:rPr>
                <w:sz w:val="18"/>
                <w:szCs w:val="18"/>
              </w:rPr>
              <w:t>F</w:t>
            </w:r>
            <w:r>
              <w:rPr>
                <w:sz w:val="18"/>
                <w:szCs w:val="18"/>
              </w:rPr>
              <w:t>iscal deficit is understood as the primary deficit (difference between current government spending on goods and services and total current revenue) plus debt service payments.</w:t>
            </w:r>
          </w:p>
          <w:p w14:paraId="1BC861C4" w14:textId="435065BA" w:rsidR="001762EE" w:rsidRDefault="001762EE">
            <w:pPr>
              <w:rPr>
                <w:sz w:val="18"/>
                <w:szCs w:val="18"/>
              </w:rPr>
            </w:pPr>
            <w:r w:rsidRPr="0043657F">
              <w:rPr>
                <w:sz w:val="18"/>
                <w:szCs w:val="18"/>
                <w:vertAlign w:val="superscript"/>
              </w:rPr>
              <w:t>/b</w:t>
            </w:r>
            <w:r>
              <w:rPr>
                <w:sz w:val="18"/>
                <w:szCs w:val="18"/>
              </w:rPr>
              <w:t xml:space="preserve"> BESF Table A.2</w:t>
            </w:r>
          </w:p>
          <w:p w14:paraId="3AC3B169" w14:textId="77777777" w:rsidR="001762EE" w:rsidRDefault="001762EE">
            <w:pPr>
              <w:rPr>
                <w:sz w:val="18"/>
                <w:szCs w:val="18"/>
              </w:rPr>
            </w:pPr>
            <w:r w:rsidRPr="0043657F">
              <w:rPr>
                <w:sz w:val="18"/>
                <w:szCs w:val="18"/>
                <w:vertAlign w:val="superscript"/>
              </w:rPr>
              <w:t>/c</w:t>
            </w:r>
            <w:r>
              <w:rPr>
                <w:sz w:val="18"/>
                <w:szCs w:val="18"/>
              </w:rPr>
              <w:t xml:space="preserve"> BESF Table B.1</w:t>
            </w:r>
          </w:p>
          <w:p w14:paraId="780EDFAC" w14:textId="77777777" w:rsidR="001762EE" w:rsidRDefault="001762EE">
            <w:pPr>
              <w:rPr>
                <w:sz w:val="18"/>
                <w:szCs w:val="18"/>
              </w:rPr>
            </w:pPr>
            <w:r w:rsidRPr="0043657F">
              <w:rPr>
                <w:sz w:val="18"/>
                <w:szCs w:val="18"/>
                <w:vertAlign w:val="superscript"/>
              </w:rPr>
              <w:t>/d</w:t>
            </w:r>
            <w:r>
              <w:rPr>
                <w:sz w:val="18"/>
                <w:szCs w:val="18"/>
              </w:rPr>
              <w:t xml:space="preserve"> BESF Table B.1</w:t>
            </w:r>
          </w:p>
          <w:p w14:paraId="6DA7B561" w14:textId="77777777" w:rsidR="001762EE" w:rsidRDefault="001762EE">
            <w:pPr>
              <w:rPr>
                <w:sz w:val="18"/>
                <w:szCs w:val="18"/>
              </w:rPr>
            </w:pPr>
            <w:r w:rsidRPr="0043657F">
              <w:rPr>
                <w:sz w:val="18"/>
                <w:szCs w:val="18"/>
                <w:vertAlign w:val="superscript"/>
              </w:rPr>
              <w:t>/e</w:t>
            </w:r>
            <w:r>
              <w:rPr>
                <w:sz w:val="18"/>
                <w:szCs w:val="18"/>
              </w:rPr>
              <w:t xml:space="preserve"> BESF Table C.1</w:t>
            </w:r>
          </w:p>
          <w:p w14:paraId="3E80293E" w14:textId="500260F4" w:rsidR="001762EE" w:rsidRDefault="001762EE">
            <w:pPr>
              <w:rPr>
                <w:sz w:val="18"/>
                <w:szCs w:val="18"/>
              </w:rPr>
            </w:pPr>
            <w:r w:rsidRPr="0043657F">
              <w:rPr>
                <w:sz w:val="18"/>
                <w:szCs w:val="18"/>
                <w:vertAlign w:val="superscript"/>
              </w:rPr>
              <w:t>/f</w:t>
            </w:r>
            <w:r>
              <w:rPr>
                <w:sz w:val="18"/>
                <w:szCs w:val="18"/>
              </w:rPr>
              <w:t xml:space="preserve"> BESF Table C.2</w:t>
            </w:r>
          </w:p>
          <w:p w14:paraId="22EC47CB" w14:textId="77777777" w:rsidR="001762EE" w:rsidRDefault="001762EE">
            <w:pPr>
              <w:rPr>
                <w:sz w:val="18"/>
                <w:szCs w:val="18"/>
              </w:rPr>
            </w:pPr>
            <w:r w:rsidRPr="0043657F">
              <w:rPr>
                <w:sz w:val="18"/>
                <w:szCs w:val="18"/>
                <w:vertAlign w:val="superscript"/>
              </w:rPr>
              <w:t>/g</w:t>
            </w:r>
            <w:r>
              <w:rPr>
                <w:sz w:val="18"/>
                <w:szCs w:val="18"/>
              </w:rPr>
              <w:t xml:space="preserve"> BESF Table B.1</w:t>
            </w:r>
          </w:p>
          <w:p w14:paraId="3A924CF8" w14:textId="06946AF4" w:rsidR="001762EE" w:rsidRDefault="001762EE">
            <w:pPr>
              <w:rPr>
                <w:sz w:val="18"/>
                <w:szCs w:val="18"/>
              </w:rPr>
            </w:pPr>
            <w:r w:rsidRPr="0043657F">
              <w:rPr>
                <w:sz w:val="18"/>
                <w:szCs w:val="18"/>
                <w:vertAlign w:val="superscript"/>
              </w:rPr>
              <w:t>/h</w:t>
            </w:r>
            <w:r>
              <w:rPr>
                <w:sz w:val="18"/>
                <w:szCs w:val="18"/>
              </w:rPr>
              <w:t xml:space="preserve"> BESF Table B.8</w:t>
            </w:r>
          </w:p>
          <w:p w14:paraId="1F3484D3" w14:textId="77777777" w:rsidR="001762EE" w:rsidRDefault="001762EE">
            <w:pPr>
              <w:rPr>
                <w:sz w:val="18"/>
                <w:szCs w:val="18"/>
              </w:rPr>
            </w:pPr>
            <w:r w:rsidRPr="0043657F">
              <w:rPr>
                <w:sz w:val="18"/>
                <w:szCs w:val="18"/>
                <w:vertAlign w:val="superscript"/>
              </w:rPr>
              <w:t>/i</w:t>
            </w:r>
            <w:r>
              <w:rPr>
                <w:sz w:val="18"/>
                <w:szCs w:val="18"/>
              </w:rPr>
              <w:t xml:space="preserve"> BESF Table B.10</w:t>
            </w:r>
          </w:p>
          <w:p w14:paraId="53BBC6FB" w14:textId="77777777" w:rsidR="001762EE" w:rsidRDefault="001762EE">
            <w:pPr>
              <w:rPr>
                <w:sz w:val="18"/>
                <w:szCs w:val="18"/>
              </w:rPr>
            </w:pPr>
            <w:r w:rsidRPr="0043657F">
              <w:rPr>
                <w:sz w:val="18"/>
                <w:szCs w:val="18"/>
                <w:vertAlign w:val="superscript"/>
              </w:rPr>
              <w:t>/j</w:t>
            </w:r>
            <w:r>
              <w:rPr>
                <w:sz w:val="18"/>
                <w:szCs w:val="18"/>
              </w:rPr>
              <w:t xml:space="preserve"> BESF Table D.1</w:t>
            </w:r>
          </w:p>
          <w:p w14:paraId="638505F0" w14:textId="5D76A256" w:rsidR="001762EE" w:rsidRPr="0043657F" w:rsidRDefault="001762EE" w:rsidP="0043657F">
            <w:pPr>
              <w:keepNext/>
              <w:keepLines/>
              <w:outlineLvl w:val="7"/>
              <w:rPr>
                <w:sz w:val="18"/>
                <w:szCs w:val="18"/>
              </w:rPr>
            </w:pPr>
            <w:r w:rsidRPr="0043657F">
              <w:rPr>
                <w:sz w:val="18"/>
                <w:szCs w:val="18"/>
                <w:vertAlign w:val="superscript"/>
              </w:rPr>
              <w:t>/k</w:t>
            </w:r>
            <w:r>
              <w:rPr>
                <w:sz w:val="18"/>
                <w:szCs w:val="18"/>
              </w:rPr>
              <w:t xml:space="preserve"> BESF </w:t>
            </w:r>
            <w:r w:rsidRPr="00B17BB0">
              <w:rPr>
                <w:sz w:val="18"/>
                <w:szCs w:val="18"/>
              </w:rPr>
              <w:t xml:space="preserve">Table A.1.The macro-economic parameters includes budget assumptions about nominal </w:t>
            </w:r>
            <w:r w:rsidR="0015142A">
              <w:rPr>
                <w:sz w:val="18"/>
                <w:szCs w:val="18"/>
              </w:rPr>
              <w:t>GNI</w:t>
            </w:r>
            <w:r w:rsidRPr="00B17BB0">
              <w:rPr>
                <w:sz w:val="18"/>
                <w:szCs w:val="18"/>
              </w:rPr>
              <w:t xml:space="preserve">, </w:t>
            </w:r>
            <w:r w:rsidRPr="0043657F">
              <w:rPr>
                <w:i/>
                <w:sz w:val="18"/>
                <w:szCs w:val="18"/>
              </w:rPr>
              <w:t>real GNI growth</w:t>
            </w:r>
            <w:r w:rsidRPr="0043657F">
              <w:rPr>
                <w:sz w:val="18"/>
                <w:szCs w:val="18"/>
              </w:rPr>
              <w:t xml:space="preserve">, nominal GDP and </w:t>
            </w:r>
            <w:r w:rsidRPr="0043657F">
              <w:rPr>
                <w:i/>
                <w:sz w:val="18"/>
                <w:szCs w:val="18"/>
              </w:rPr>
              <w:t>real GDP growth</w:t>
            </w:r>
            <w:r w:rsidRPr="0043657F">
              <w:rPr>
                <w:sz w:val="18"/>
                <w:szCs w:val="18"/>
              </w:rPr>
              <w:t xml:space="preserve"> as well as projections for </w:t>
            </w:r>
            <w:r w:rsidRPr="0043657F">
              <w:rPr>
                <w:i/>
                <w:sz w:val="18"/>
                <w:szCs w:val="18"/>
              </w:rPr>
              <w:t>inflation rate</w:t>
            </w:r>
            <w:r w:rsidRPr="0043657F">
              <w:rPr>
                <w:sz w:val="18"/>
                <w:szCs w:val="18"/>
              </w:rPr>
              <w:t xml:space="preserve">, population, unemployment rate, 364-day Treasury Bill rate, </w:t>
            </w:r>
            <w:r w:rsidRPr="0043657F">
              <w:rPr>
                <w:i/>
                <w:sz w:val="18"/>
                <w:szCs w:val="18"/>
              </w:rPr>
              <w:t>PhP/US$ exchange rate</w:t>
            </w:r>
            <w:r w:rsidRPr="0043657F">
              <w:rPr>
                <w:sz w:val="18"/>
                <w:szCs w:val="18"/>
              </w:rPr>
              <w:t>,</w:t>
            </w:r>
            <w:r w:rsidR="0015142A">
              <w:rPr>
                <w:sz w:val="18"/>
                <w:szCs w:val="18"/>
              </w:rPr>
              <w:t xml:space="preserve"> LIBOR</w:t>
            </w:r>
            <w:r w:rsidRPr="0043657F">
              <w:rPr>
                <w:sz w:val="18"/>
                <w:szCs w:val="18"/>
              </w:rPr>
              <w:t>, Dubai crude oil price, exports and import of goods levels and growth rates, current account balance level and % of GDP, and gross international reserves (year-end) level and equivalent importations income per month.</w:t>
            </w:r>
          </w:p>
          <w:p w14:paraId="2C08E29D" w14:textId="1DAF35DA" w:rsidR="001762EE" w:rsidRPr="0043657F" w:rsidRDefault="001762EE" w:rsidP="0043657F">
            <w:pPr>
              <w:keepNext/>
              <w:keepLines/>
              <w:outlineLvl w:val="7"/>
              <w:rPr>
                <w:sz w:val="18"/>
                <w:szCs w:val="18"/>
              </w:rPr>
            </w:pPr>
            <w:r w:rsidRPr="0043657F">
              <w:rPr>
                <w:sz w:val="19"/>
                <w:szCs w:val="19"/>
                <w:vertAlign w:val="superscript"/>
              </w:rPr>
              <w:t>/l</w:t>
            </w:r>
            <w:r>
              <w:rPr>
                <w:sz w:val="19"/>
                <w:szCs w:val="19"/>
              </w:rPr>
              <w:t xml:space="preserve"> </w:t>
            </w:r>
            <w:r w:rsidRPr="0043657F">
              <w:rPr>
                <w:sz w:val="18"/>
                <w:szCs w:val="18"/>
              </w:rPr>
              <w:t>BESF Table A. 6 Budget Sensitivity to Key Macro-Economic Variables which includes estimated effects of changes in exchange rate, Treasury Bill rate, LIBOR, inflation rate, real GDP growth rate, and import growth rate on revenues, disbursements and budget balance.</w:t>
            </w:r>
          </w:p>
          <w:p w14:paraId="196543FF" w14:textId="77777777" w:rsidR="001762EE" w:rsidRDefault="001762EE">
            <w:pPr>
              <w:rPr>
                <w:sz w:val="19"/>
                <w:szCs w:val="19"/>
              </w:rPr>
            </w:pPr>
            <w:r w:rsidRPr="0043657F">
              <w:rPr>
                <w:sz w:val="19"/>
                <w:szCs w:val="19"/>
                <w:vertAlign w:val="superscript"/>
              </w:rPr>
              <w:t>/m</w:t>
            </w:r>
            <w:r>
              <w:rPr>
                <w:sz w:val="19"/>
                <w:szCs w:val="19"/>
              </w:rPr>
              <w:t xml:space="preserve"> </w:t>
            </w:r>
            <w:r w:rsidRPr="0043657F">
              <w:rPr>
                <w:sz w:val="18"/>
                <w:szCs w:val="18"/>
              </w:rPr>
              <w:t>BESF Table D.3</w:t>
            </w:r>
          </w:p>
          <w:p w14:paraId="50C5CF93" w14:textId="73B57657" w:rsidR="001762EE" w:rsidRPr="0043657F" w:rsidRDefault="001762EE" w:rsidP="0043657F">
            <w:pPr>
              <w:keepNext/>
              <w:keepLines/>
              <w:outlineLvl w:val="7"/>
              <w:rPr>
                <w:sz w:val="18"/>
                <w:szCs w:val="18"/>
              </w:rPr>
            </w:pPr>
            <w:r w:rsidRPr="0043657F">
              <w:rPr>
                <w:sz w:val="19"/>
                <w:szCs w:val="19"/>
                <w:vertAlign w:val="superscript"/>
              </w:rPr>
              <w:t>/n</w:t>
            </w:r>
            <w:r>
              <w:rPr>
                <w:sz w:val="19"/>
                <w:szCs w:val="19"/>
              </w:rPr>
              <w:t xml:space="preserve"> </w:t>
            </w:r>
            <w:r w:rsidRPr="0043657F">
              <w:rPr>
                <w:sz w:val="18"/>
                <w:szCs w:val="18"/>
              </w:rPr>
              <w:t>Article VI Section 29 (1) states that no money shall be paid out of the Treasury except in pursuance of an appropriation made by law.</w:t>
            </w:r>
          </w:p>
          <w:p w14:paraId="275A53FB" w14:textId="0F804A56" w:rsidR="001762EE" w:rsidRDefault="001762EE">
            <w:pPr>
              <w:rPr>
                <w:sz w:val="19"/>
                <w:szCs w:val="19"/>
              </w:rPr>
            </w:pPr>
            <w:r w:rsidRPr="0043657F">
              <w:rPr>
                <w:sz w:val="19"/>
                <w:szCs w:val="19"/>
                <w:vertAlign w:val="superscript"/>
              </w:rPr>
              <w:t>/o</w:t>
            </w:r>
            <w:r>
              <w:rPr>
                <w:sz w:val="19"/>
                <w:szCs w:val="19"/>
              </w:rPr>
              <w:t xml:space="preserve"> </w:t>
            </w:r>
            <w:r w:rsidRPr="0043657F">
              <w:rPr>
                <w:sz w:val="18"/>
                <w:szCs w:val="18"/>
              </w:rPr>
              <w:t>The observation is consistent to the response in the International Budget Partnership Survey question no. 039</w:t>
            </w:r>
            <w:r>
              <w:rPr>
                <w:sz w:val="18"/>
                <w:szCs w:val="18"/>
              </w:rPr>
              <w:t>.</w:t>
            </w:r>
          </w:p>
          <w:p w14:paraId="665DF811" w14:textId="413526A4" w:rsidR="001762EE" w:rsidRPr="0043657F" w:rsidRDefault="001762EE" w:rsidP="0043657F">
            <w:pPr>
              <w:keepNext/>
              <w:keepLines/>
              <w:outlineLvl w:val="7"/>
              <w:rPr>
                <w:sz w:val="19"/>
                <w:szCs w:val="19"/>
              </w:rPr>
            </w:pPr>
            <w:r w:rsidRPr="0043657F">
              <w:rPr>
                <w:sz w:val="19"/>
                <w:szCs w:val="19"/>
                <w:vertAlign w:val="superscript"/>
              </w:rPr>
              <w:t>/p</w:t>
            </w:r>
            <w:r>
              <w:rPr>
                <w:sz w:val="19"/>
                <w:szCs w:val="19"/>
              </w:rPr>
              <w:t xml:space="preserve"> </w:t>
            </w:r>
            <w:hyperlink r:id="rId23" w:history="1">
              <w:r w:rsidRPr="0043657F">
                <w:rPr>
                  <w:rStyle w:val="Hyperlink"/>
                  <w:sz w:val="18"/>
                  <w:szCs w:val="18"/>
                </w:rPr>
                <w:t>http://www.dbm.gov.ph/?page_id=9010</w:t>
              </w:r>
            </w:hyperlink>
            <w:r>
              <w:rPr>
                <w:sz w:val="18"/>
                <w:szCs w:val="18"/>
              </w:rPr>
              <w:t xml:space="preserve"> </w:t>
            </w:r>
            <w:r w:rsidRPr="0043657F">
              <w:rPr>
                <w:sz w:val="18"/>
                <w:szCs w:val="18"/>
              </w:rPr>
              <w:t>.</w:t>
            </w:r>
          </w:p>
        </w:tc>
      </w:tr>
    </w:tbl>
    <w:p w14:paraId="1C94DC44" w14:textId="77777777" w:rsidR="001762EE" w:rsidRDefault="001762EE" w:rsidP="00411651">
      <w:pPr>
        <w:pStyle w:val="Heading3"/>
      </w:pPr>
    </w:p>
    <w:p w14:paraId="34902F06" w14:textId="77777777" w:rsidR="0015142A" w:rsidRDefault="0015142A" w:rsidP="0015142A"/>
    <w:p w14:paraId="79B9A17A" w14:textId="77777777" w:rsidR="001805CA" w:rsidRDefault="001805CA" w:rsidP="0015142A"/>
    <w:p w14:paraId="6174C871" w14:textId="77777777" w:rsidR="001805CA" w:rsidRDefault="001805CA" w:rsidP="0015142A"/>
    <w:p w14:paraId="583A9275" w14:textId="77777777" w:rsidR="001805CA" w:rsidRPr="0015142A" w:rsidRDefault="001805CA" w:rsidP="0015142A"/>
    <w:p w14:paraId="15B51851" w14:textId="57E3A3AF" w:rsidR="001762EE" w:rsidRDefault="001762EE" w:rsidP="00411651">
      <w:pPr>
        <w:pStyle w:val="Heading3"/>
      </w:pPr>
      <w:bookmarkStart w:id="82" w:name="_Toc454811650"/>
      <w:bookmarkStart w:id="83" w:name="_Toc454888795"/>
      <w:r w:rsidRPr="005A497D">
        <w:t xml:space="preserve">PI-6 </w:t>
      </w:r>
      <w:r>
        <w:t>Central government operations outside financial reports</w:t>
      </w:r>
      <w:bookmarkEnd w:id="82"/>
      <w:bookmarkEnd w:id="83"/>
    </w:p>
    <w:p w14:paraId="3639DF3B" w14:textId="77777777" w:rsidR="001762EE" w:rsidRPr="008B26F3" w:rsidRDefault="001762EE" w:rsidP="008B26F3"/>
    <w:p w14:paraId="1C2C905E" w14:textId="3DA19B5B" w:rsidR="001762EE" w:rsidRPr="005A497D"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sidRPr="00BB7395">
        <w:t>Ex</w:t>
      </w:r>
      <w:r>
        <w:t xml:space="preserve"> </w:t>
      </w:r>
      <w:r w:rsidRPr="00BB7395">
        <w:t>post financial reports available to the government should cover all budgetary and extra</w:t>
      </w:r>
      <w:r>
        <w:t>-</w:t>
      </w:r>
      <w:r w:rsidRPr="00BB7395">
        <w:t>budgetary activities of central government to allow a complete picture of revenue and expenditures</w:t>
      </w:r>
      <w:r w:rsidRPr="005A497D">
        <w:t>.</w:t>
      </w:r>
    </w:p>
    <w:p w14:paraId="4A2B96B8" w14:textId="77777777" w:rsidR="001762EE" w:rsidRPr="005A497D" w:rsidRDefault="001762EE" w:rsidP="000240C8">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294DF31A" w14:textId="77777777" w:rsidTr="004521BD">
        <w:trPr>
          <w:trHeight w:val="397"/>
          <w:tblHeader/>
        </w:trPr>
        <w:tc>
          <w:tcPr>
            <w:tcW w:w="3600" w:type="dxa"/>
            <w:tcBorders>
              <w:top w:val="double" w:sz="4" w:space="0" w:color="auto"/>
            </w:tcBorders>
            <w:shd w:val="clear" w:color="auto" w:fill="D9D9D9"/>
            <w:vAlign w:val="center"/>
          </w:tcPr>
          <w:p w14:paraId="0541DCAD" w14:textId="77777777" w:rsidR="001762EE" w:rsidRPr="0043657F" w:rsidRDefault="001762EE" w:rsidP="00A008FF">
            <w:pPr>
              <w:spacing w:before="40" w:after="40"/>
              <w:jc w:val="center"/>
              <w:rPr>
                <w:b/>
                <w:i/>
                <w:sz w:val="22"/>
                <w:szCs w:val="22"/>
              </w:rPr>
            </w:pPr>
            <w:r w:rsidRPr="0043657F">
              <w:rPr>
                <w:b/>
                <w:i/>
                <w:sz w:val="22"/>
                <w:szCs w:val="22"/>
              </w:rPr>
              <w:t>Indicator / Dimension</w:t>
            </w:r>
          </w:p>
        </w:tc>
        <w:tc>
          <w:tcPr>
            <w:tcW w:w="1843" w:type="dxa"/>
            <w:tcBorders>
              <w:top w:val="double" w:sz="4" w:space="0" w:color="auto"/>
            </w:tcBorders>
            <w:shd w:val="clear" w:color="auto" w:fill="D9D9D9"/>
            <w:vAlign w:val="center"/>
          </w:tcPr>
          <w:p w14:paraId="4ABB856E" w14:textId="77777777" w:rsidR="001762EE" w:rsidRPr="0043657F" w:rsidRDefault="001762EE" w:rsidP="00A008FF">
            <w:pPr>
              <w:spacing w:before="40" w:after="40"/>
              <w:jc w:val="center"/>
              <w:rPr>
                <w:b/>
                <w:i/>
                <w:sz w:val="22"/>
                <w:szCs w:val="22"/>
              </w:rPr>
            </w:pPr>
            <w:r w:rsidRPr="0043657F">
              <w:rPr>
                <w:b/>
                <w:i/>
                <w:sz w:val="22"/>
                <w:szCs w:val="22"/>
              </w:rPr>
              <w:t>Score</w:t>
            </w:r>
          </w:p>
        </w:tc>
        <w:tc>
          <w:tcPr>
            <w:tcW w:w="3913" w:type="dxa"/>
            <w:tcBorders>
              <w:top w:val="double" w:sz="4" w:space="0" w:color="auto"/>
            </w:tcBorders>
            <w:shd w:val="clear" w:color="auto" w:fill="D9D9D9"/>
            <w:vAlign w:val="center"/>
          </w:tcPr>
          <w:p w14:paraId="16FAA9BA" w14:textId="77777777" w:rsidR="001762EE" w:rsidRPr="0043657F" w:rsidRDefault="001762EE" w:rsidP="00A008FF">
            <w:pPr>
              <w:spacing w:before="40" w:after="40"/>
              <w:jc w:val="center"/>
              <w:rPr>
                <w:b/>
                <w:i/>
                <w:sz w:val="22"/>
                <w:szCs w:val="22"/>
              </w:rPr>
            </w:pPr>
            <w:r w:rsidRPr="0043657F">
              <w:rPr>
                <w:b/>
                <w:i/>
                <w:sz w:val="22"/>
                <w:szCs w:val="22"/>
              </w:rPr>
              <w:t>Brief Explanation</w:t>
            </w:r>
          </w:p>
        </w:tc>
      </w:tr>
      <w:tr w:rsidR="001762EE" w:rsidRPr="005A497D" w14:paraId="29D11E25" w14:textId="77777777" w:rsidTr="00CB0AB5">
        <w:tc>
          <w:tcPr>
            <w:tcW w:w="3600" w:type="dxa"/>
            <w:tcBorders>
              <w:top w:val="double" w:sz="4" w:space="0" w:color="auto"/>
              <w:bottom w:val="single" w:sz="4" w:space="0" w:color="auto"/>
            </w:tcBorders>
          </w:tcPr>
          <w:p w14:paraId="2E73FE91" w14:textId="06F21899" w:rsidR="001762EE" w:rsidRPr="005A497D" w:rsidRDefault="001762EE" w:rsidP="00D813BF">
            <w:pPr>
              <w:spacing w:before="20" w:after="20"/>
              <w:rPr>
                <w:sz w:val="22"/>
                <w:szCs w:val="22"/>
              </w:rPr>
            </w:pPr>
            <w:r w:rsidRPr="005A497D">
              <w:rPr>
                <w:b/>
                <w:bCs/>
                <w:sz w:val="22"/>
                <w:szCs w:val="22"/>
              </w:rPr>
              <w:t xml:space="preserve">PI-6 </w:t>
            </w:r>
            <w:r>
              <w:rPr>
                <w:b/>
                <w:bCs/>
                <w:sz w:val="22"/>
                <w:szCs w:val="22"/>
              </w:rPr>
              <w:t>Central government operations outside financial reports</w:t>
            </w:r>
          </w:p>
        </w:tc>
        <w:tc>
          <w:tcPr>
            <w:tcW w:w="1843" w:type="dxa"/>
            <w:tcBorders>
              <w:top w:val="double" w:sz="4" w:space="0" w:color="auto"/>
              <w:bottom w:val="single" w:sz="4" w:space="0" w:color="auto"/>
            </w:tcBorders>
          </w:tcPr>
          <w:p w14:paraId="32F9DD83" w14:textId="4D2EF03B" w:rsidR="001762EE" w:rsidRPr="005A497D" w:rsidRDefault="001762EE" w:rsidP="00B77FEA">
            <w:pPr>
              <w:spacing w:before="20" w:after="20"/>
              <w:jc w:val="center"/>
              <w:rPr>
                <w:b/>
                <w:sz w:val="22"/>
                <w:szCs w:val="22"/>
              </w:rPr>
            </w:pPr>
            <w:r>
              <w:rPr>
                <w:b/>
                <w:sz w:val="22"/>
                <w:szCs w:val="22"/>
              </w:rPr>
              <w:t>B+</w:t>
            </w:r>
          </w:p>
        </w:tc>
        <w:tc>
          <w:tcPr>
            <w:tcW w:w="3913" w:type="dxa"/>
            <w:tcBorders>
              <w:top w:val="double" w:sz="4" w:space="0" w:color="auto"/>
              <w:bottom w:val="single" w:sz="4" w:space="0" w:color="auto"/>
            </w:tcBorders>
          </w:tcPr>
          <w:p w14:paraId="36B3C674" w14:textId="77777777" w:rsidR="001762EE" w:rsidRPr="005A497D" w:rsidRDefault="001762EE" w:rsidP="00B77FEA">
            <w:pPr>
              <w:spacing w:before="20" w:after="20"/>
              <w:rPr>
                <w:sz w:val="22"/>
                <w:szCs w:val="22"/>
              </w:rPr>
            </w:pPr>
            <w:r w:rsidRPr="005A497D">
              <w:rPr>
                <w:sz w:val="22"/>
                <w:szCs w:val="22"/>
              </w:rPr>
              <w:t>Overall rating based on M2 methodology.</w:t>
            </w:r>
          </w:p>
        </w:tc>
      </w:tr>
      <w:tr w:rsidR="001762EE" w:rsidRPr="005A497D" w14:paraId="1996A551" w14:textId="77777777" w:rsidTr="00472AF1">
        <w:trPr>
          <w:trHeight w:val="786"/>
        </w:trPr>
        <w:tc>
          <w:tcPr>
            <w:tcW w:w="3600" w:type="dxa"/>
            <w:tcBorders>
              <w:top w:val="single" w:sz="4" w:space="0" w:color="auto"/>
              <w:bottom w:val="single" w:sz="4" w:space="0" w:color="auto"/>
            </w:tcBorders>
          </w:tcPr>
          <w:p w14:paraId="567E284A" w14:textId="3E03B2B6" w:rsidR="001762EE" w:rsidRPr="005A497D" w:rsidRDefault="001762EE" w:rsidP="00D813BF">
            <w:pPr>
              <w:pStyle w:val="Default"/>
              <w:spacing w:before="20" w:after="20"/>
              <w:rPr>
                <w:color w:val="auto"/>
                <w:sz w:val="22"/>
                <w:szCs w:val="22"/>
              </w:rPr>
            </w:pPr>
            <w:r>
              <w:rPr>
                <w:color w:val="auto"/>
                <w:sz w:val="22"/>
                <w:szCs w:val="22"/>
              </w:rPr>
              <w:t>6.1</w:t>
            </w:r>
            <w:r w:rsidRPr="005A497D">
              <w:rPr>
                <w:color w:val="auto"/>
                <w:sz w:val="22"/>
                <w:szCs w:val="22"/>
              </w:rPr>
              <w:t xml:space="preserve"> </w:t>
            </w:r>
            <w:r>
              <w:rPr>
                <w:color w:val="auto"/>
                <w:sz w:val="22"/>
                <w:szCs w:val="22"/>
              </w:rPr>
              <w:t>Expenditure outside financial reports</w:t>
            </w:r>
          </w:p>
        </w:tc>
        <w:tc>
          <w:tcPr>
            <w:tcW w:w="1843" w:type="dxa"/>
            <w:tcBorders>
              <w:top w:val="single" w:sz="4" w:space="0" w:color="auto"/>
              <w:bottom w:val="single" w:sz="4" w:space="0" w:color="auto"/>
            </w:tcBorders>
          </w:tcPr>
          <w:p w14:paraId="40DC7739" w14:textId="77777777" w:rsidR="001762EE" w:rsidRPr="005A497D" w:rsidRDefault="001762EE" w:rsidP="00B77FEA">
            <w:pPr>
              <w:spacing w:before="20" w:after="20"/>
              <w:jc w:val="center"/>
              <w:rPr>
                <w:sz w:val="22"/>
                <w:szCs w:val="22"/>
              </w:rPr>
            </w:pPr>
            <w:r w:rsidRPr="005A497D">
              <w:rPr>
                <w:sz w:val="22"/>
                <w:szCs w:val="22"/>
              </w:rPr>
              <w:t>A</w:t>
            </w:r>
          </w:p>
        </w:tc>
        <w:tc>
          <w:tcPr>
            <w:tcW w:w="3913" w:type="dxa"/>
            <w:tcBorders>
              <w:top w:val="single" w:sz="4" w:space="0" w:color="auto"/>
              <w:bottom w:val="single" w:sz="4" w:space="0" w:color="auto"/>
            </w:tcBorders>
          </w:tcPr>
          <w:p w14:paraId="64D6A577" w14:textId="7D16E914" w:rsidR="001762EE" w:rsidRPr="005A497D" w:rsidRDefault="001762EE" w:rsidP="00283600">
            <w:pPr>
              <w:spacing w:before="20" w:after="20"/>
              <w:rPr>
                <w:sz w:val="22"/>
                <w:szCs w:val="22"/>
              </w:rPr>
            </w:pPr>
            <w:r>
              <w:rPr>
                <w:sz w:val="22"/>
                <w:szCs w:val="22"/>
              </w:rPr>
              <w:t>Expenditure outside government financial reports is less than 1% of total expenditures.</w:t>
            </w:r>
          </w:p>
        </w:tc>
      </w:tr>
      <w:tr w:rsidR="001762EE" w:rsidRPr="005A497D" w14:paraId="42DDA95C" w14:textId="77777777" w:rsidTr="00472AF1">
        <w:trPr>
          <w:trHeight w:val="786"/>
        </w:trPr>
        <w:tc>
          <w:tcPr>
            <w:tcW w:w="3600" w:type="dxa"/>
            <w:tcBorders>
              <w:top w:val="single" w:sz="4" w:space="0" w:color="auto"/>
              <w:bottom w:val="single" w:sz="4" w:space="0" w:color="auto"/>
            </w:tcBorders>
          </w:tcPr>
          <w:p w14:paraId="61894A2A" w14:textId="23E0EE02" w:rsidR="001762EE" w:rsidRPr="005A497D" w:rsidRDefault="001762EE" w:rsidP="00B77FEA">
            <w:pPr>
              <w:pStyle w:val="Default"/>
              <w:spacing w:before="20" w:after="20"/>
              <w:rPr>
                <w:color w:val="auto"/>
                <w:sz w:val="22"/>
                <w:szCs w:val="22"/>
              </w:rPr>
            </w:pPr>
            <w:r>
              <w:rPr>
                <w:color w:val="auto"/>
                <w:sz w:val="22"/>
                <w:szCs w:val="22"/>
              </w:rPr>
              <w:t>6.2 Revenue outside financial reports</w:t>
            </w:r>
          </w:p>
        </w:tc>
        <w:tc>
          <w:tcPr>
            <w:tcW w:w="1843" w:type="dxa"/>
            <w:tcBorders>
              <w:top w:val="single" w:sz="4" w:space="0" w:color="auto"/>
              <w:bottom w:val="single" w:sz="4" w:space="0" w:color="auto"/>
            </w:tcBorders>
          </w:tcPr>
          <w:p w14:paraId="6AEF21EB" w14:textId="13A6786D" w:rsidR="001762EE" w:rsidRPr="005A497D" w:rsidRDefault="001762EE" w:rsidP="00B77FEA">
            <w:pPr>
              <w:spacing w:before="20" w:after="20"/>
              <w:jc w:val="center"/>
              <w:rPr>
                <w:sz w:val="22"/>
                <w:szCs w:val="22"/>
              </w:rPr>
            </w:pPr>
            <w:r>
              <w:rPr>
                <w:sz w:val="22"/>
                <w:szCs w:val="22"/>
              </w:rPr>
              <w:t>A</w:t>
            </w:r>
          </w:p>
        </w:tc>
        <w:tc>
          <w:tcPr>
            <w:tcW w:w="3913" w:type="dxa"/>
            <w:tcBorders>
              <w:top w:val="single" w:sz="4" w:space="0" w:color="auto"/>
              <w:bottom w:val="single" w:sz="4" w:space="0" w:color="auto"/>
            </w:tcBorders>
          </w:tcPr>
          <w:p w14:paraId="72F52D74" w14:textId="15734D7B" w:rsidR="001762EE" w:rsidRPr="005A497D" w:rsidRDefault="001762EE" w:rsidP="00B77FEA">
            <w:pPr>
              <w:spacing w:before="20" w:after="20"/>
              <w:rPr>
                <w:sz w:val="22"/>
                <w:szCs w:val="22"/>
              </w:rPr>
            </w:pPr>
            <w:r>
              <w:rPr>
                <w:sz w:val="22"/>
                <w:szCs w:val="22"/>
              </w:rPr>
              <w:t>Revenues outside government financial reports are less than 1% of total revenues.</w:t>
            </w:r>
          </w:p>
        </w:tc>
      </w:tr>
      <w:tr w:rsidR="001762EE" w:rsidRPr="005A497D" w14:paraId="29EF1F39" w14:textId="77777777" w:rsidTr="00283600">
        <w:trPr>
          <w:trHeight w:val="1142"/>
        </w:trPr>
        <w:tc>
          <w:tcPr>
            <w:tcW w:w="3600" w:type="dxa"/>
            <w:tcBorders>
              <w:top w:val="single" w:sz="4" w:space="0" w:color="auto"/>
              <w:bottom w:val="double" w:sz="4" w:space="0" w:color="auto"/>
            </w:tcBorders>
          </w:tcPr>
          <w:p w14:paraId="4350DB29" w14:textId="2EF842B2" w:rsidR="001762EE" w:rsidRPr="005A497D" w:rsidRDefault="001762EE" w:rsidP="00D813BF">
            <w:pPr>
              <w:pStyle w:val="Default"/>
              <w:spacing w:before="20" w:after="20"/>
              <w:rPr>
                <w:color w:val="auto"/>
                <w:sz w:val="22"/>
                <w:szCs w:val="22"/>
              </w:rPr>
            </w:pPr>
            <w:r>
              <w:rPr>
                <w:color w:val="auto"/>
                <w:sz w:val="22"/>
                <w:szCs w:val="22"/>
              </w:rPr>
              <w:t>6.3</w:t>
            </w:r>
            <w:r w:rsidRPr="005A497D">
              <w:rPr>
                <w:color w:val="auto"/>
                <w:sz w:val="22"/>
                <w:szCs w:val="22"/>
              </w:rPr>
              <w:t xml:space="preserve"> </w:t>
            </w:r>
            <w:r>
              <w:rPr>
                <w:color w:val="auto"/>
                <w:sz w:val="22"/>
                <w:szCs w:val="22"/>
              </w:rPr>
              <w:t>Financial reports of extra-budgetary units</w:t>
            </w:r>
          </w:p>
        </w:tc>
        <w:tc>
          <w:tcPr>
            <w:tcW w:w="1843" w:type="dxa"/>
            <w:tcBorders>
              <w:top w:val="single" w:sz="4" w:space="0" w:color="auto"/>
              <w:bottom w:val="double" w:sz="4" w:space="0" w:color="auto"/>
            </w:tcBorders>
          </w:tcPr>
          <w:p w14:paraId="0FF4795B" w14:textId="1947E087" w:rsidR="001762EE" w:rsidRPr="005A497D" w:rsidRDefault="001762EE" w:rsidP="00B77FEA">
            <w:pPr>
              <w:spacing w:before="20" w:after="20"/>
              <w:jc w:val="center"/>
              <w:rPr>
                <w:sz w:val="22"/>
                <w:szCs w:val="22"/>
              </w:rPr>
            </w:pPr>
            <w:r>
              <w:rPr>
                <w:sz w:val="22"/>
                <w:szCs w:val="22"/>
              </w:rPr>
              <w:t>C</w:t>
            </w:r>
          </w:p>
        </w:tc>
        <w:tc>
          <w:tcPr>
            <w:tcW w:w="3913" w:type="dxa"/>
            <w:tcBorders>
              <w:top w:val="single" w:sz="4" w:space="0" w:color="auto"/>
              <w:bottom w:val="double" w:sz="4" w:space="0" w:color="auto"/>
            </w:tcBorders>
          </w:tcPr>
          <w:p w14:paraId="30E05A26" w14:textId="01A300ED" w:rsidR="001762EE" w:rsidRPr="005A497D" w:rsidRDefault="001762EE" w:rsidP="007B3334">
            <w:pPr>
              <w:spacing w:before="20" w:after="20"/>
              <w:rPr>
                <w:sz w:val="22"/>
                <w:szCs w:val="22"/>
              </w:rPr>
            </w:pPr>
            <w:r w:rsidRPr="005A497D">
              <w:rPr>
                <w:sz w:val="22"/>
                <w:szCs w:val="22"/>
              </w:rPr>
              <w:t xml:space="preserve">Detailed financial </w:t>
            </w:r>
            <w:r>
              <w:rPr>
                <w:sz w:val="22"/>
                <w:szCs w:val="22"/>
              </w:rPr>
              <w:t>reports of the majority of extra-budgetary units are submitted within nine months of the end of the fiscal year.</w:t>
            </w:r>
          </w:p>
        </w:tc>
      </w:tr>
    </w:tbl>
    <w:p w14:paraId="558DA91E" w14:textId="77777777" w:rsidR="001762EE" w:rsidRPr="005A497D" w:rsidRDefault="001762EE" w:rsidP="000240C8">
      <w:pPr>
        <w:pStyle w:val="NormalWeb"/>
        <w:autoSpaceDE w:val="0"/>
        <w:autoSpaceDN w:val="0"/>
        <w:adjustRightInd w:val="0"/>
        <w:spacing w:before="0" w:beforeAutospacing="0" w:after="0" w:afterAutospacing="0"/>
        <w:contextualSpacing/>
        <w:jc w:val="both"/>
      </w:pPr>
    </w:p>
    <w:p w14:paraId="369DD4D1" w14:textId="18B8AF12" w:rsidR="001762EE" w:rsidRPr="0043657F" w:rsidRDefault="001762EE" w:rsidP="000240C8">
      <w:pPr>
        <w:pStyle w:val="NormalWeb"/>
        <w:autoSpaceDE w:val="0"/>
        <w:autoSpaceDN w:val="0"/>
        <w:adjustRightInd w:val="0"/>
        <w:spacing w:before="0" w:beforeAutospacing="0" w:after="0" w:afterAutospacing="0"/>
        <w:contextualSpacing/>
        <w:jc w:val="both"/>
        <w:rPr>
          <w:b/>
          <w:i/>
        </w:rPr>
      </w:pPr>
      <w:r w:rsidRPr="0043657F">
        <w:rPr>
          <w:b/>
          <w:i/>
        </w:rPr>
        <w:t>Dimension 6.1 Expenditure outside financial reports</w:t>
      </w:r>
    </w:p>
    <w:p w14:paraId="75F45BE8" w14:textId="6B339D3B" w:rsidR="001762EE" w:rsidRPr="0043657F" w:rsidRDefault="001762EE" w:rsidP="000240C8">
      <w:pPr>
        <w:pStyle w:val="NormalWeb"/>
        <w:autoSpaceDE w:val="0"/>
        <w:autoSpaceDN w:val="0"/>
        <w:adjustRightInd w:val="0"/>
        <w:spacing w:before="0" w:beforeAutospacing="0" w:after="0" w:afterAutospacing="0"/>
        <w:contextualSpacing/>
        <w:jc w:val="both"/>
        <w:rPr>
          <w:b/>
          <w:i/>
        </w:rPr>
      </w:pPr>
      <w:r w:rsidRPr="0043657F">
        <w:rPr>
          <w:b/>
          <w:i/>
        </w:rPr>
        <w:t>Dimension 6.2 Revenue outside financial reports</w:t>
      </w:r>
    </w:p>
    <w:p w14:paraId="4EF3B63C" w14:textId="77777777" w:rsidR="001762EE" w:rsidRPr="005A497D" w:rsidRDefault="001762EE" w:rsidP="000240C8">
      <w:pPr>
        <w:pStyle w:val="NormalWeb"/>
        <w:autoSpaceDE w:val="0"/>
        <w:autoSpaceDN w:val="0"/>
        <w:adjustRightInd w:val="0"/>
        <w:spacing w:before="0" w:beforeAutospacing="0" w:after="0" w:afterAutospacing="0"/>
        <w:contextualSpacing/>
        <w:jc w:val="both"/>
        <w:rPr>
          <w:u w:val="single"/>
        </w:rPr>
      </w:pPr>
    </w:p>
    <w:p w14:paraId="0A3BD74D" w14:textId="0F081D44" w:rsidR="001762EE" w:rsidRPr="005A497D"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Administrative Code </w:t>
      </w:r>
      <w:r w:rsidR="001D4E1B">
        <w:t xml:space="preserve">instituted through </w:t>
      </w:r>
      <w:r w:rsidRPr="005A497D">
        <w:t>Executive Order (EO) 292</w:t>
      </w:r>
      <w:r w:rsidR="001D4E1B">
        <w:t>,</w:t>
      </w:r>
      <w:r w:rsidRPr="005A497D">
        <w:t xml:space="preserve"> provides that all income and revenue of the government must accrue to the General Fund deposited in the National Treasury under the “one-fund” concept.</w:t>
      </w:r>
      <w:r w:rsidRPr="005A497D">
        <w:rPr>
          <w:rStyle w:val="EndnoteReference"/>
        </w:rPr>
        <w:endnoteReference w:id="13"/>
      </w:r>
      <w:r w:rsidRPr="005A497D">
        <w:t xml:space="preserve"> Because of the imposition of this restriction, the amount of unreported revenue and expenditure that </w:t>
      </w:r>
      <w:r>
        <w:t>is</w:t>
      </w:r>
      <w:r w:rsidRPr="005A497D">
        <w:t xml:space="preserve"> outside the budget framework </w:t>
      </w:r>
      <w:r>
        <w:t xml:space="preserve">is </w:t>
      </w:r>
      <w:r w:rsidRPr="005A497D">
        <w:t xml:space="preserve">small and </w:t>
      </w:r>
      <w:r>
        <w:t xml:space="preserve">would not </w:t>
      </w:r>
      <w:r w:rsidRPr="005A497D">
        <w:t>exceed 1</w:t>
      </w:r>
      <w:r>
        <w:t xml:space="preserve"> percent</w:t>
      </w:r>
      <w:r w:rsidRPr="005A497D">
        <w:t xml:space="preserve"> of total expenditure. </w:t>
      </w:r>
      <w:r>
        <w:t xml:space="preserve">An example of unreported revenue is the income derived from the sale of bidding documents, which are generated to recoup the administrative cost (i.e., printing expenses), and the excess is usually provided as an allowance to the technical evaluation committee. </w:t>
      </w:r>
    </w:p>
    <w:p w14:paraId="34BF5AD9" w14:textId="77777777" w:rsidR="001762EE" w:rsidRPr="005A497D" w:rsidRDefault="001762EE" w:rsidP="007B3334">
      <w:pPr>
        <w:pStyle w:val="NormalWeb"/>
        <w:autoSpaceDE w:val="0"/>
        <w:autoSpaceDN w:val="0"/>
        <w:adjustRightInd w:val="0"/>
        <w:spacing w:before="0" w:beforeAutospacing="0" w:after="0" w:afterAutospacing="0"/>
        <w:contextualSpacing/>
        <w:jc w:val="both"/>
      </w:pPr>
    </w:p>
    <w:p w14:paraId="2C0D0150" w14:textId="30498E50" w:rsidR="001762EE" w:rsidRPr="005A497D"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According to interviews in </w:t>
      </w:r>
      <w:r>
        <w:t xml:space="preserve">the </w:t>
      </w:r>
      <w:r w:rsidRPr="005A497D">
        <w:t>department and bureaus, all activities and operations are subject</w:t>
      </w:r>
      <w:r>
        <w:t>ed</w:t>
      </w:r>
      <w:r w:rsidRPr="005A497D">
        <w:t xml:space="preserve"> to accounting and auditing rules and regulations. The </w:t>
      </w:r>
      <w:r>
        <w:t xml:space="preserve">recorded </w:t>
      </w:r>
      <w:r w:rsidRPr="005A497D">
        <w:t xml:space="preserve">transactions are reported and disclosed in the annual audited report in line with the transparency and accountability thrust of the government. </w:t>
      </w:r>
      <w:r>
        <w:t xml:space="preserve">For the national government agencies, it is required that they </w:t>
      </w:r>
      <w:r w:rsidR="00CA2A08">
        <w:t xml:space="preserve">display prescribed set of information under </w:t>
      </w:r>
      <w:r w:rsidRPr="005A497D">
        <w:t xml:space="preserve">the </w:t>
      </w:r>
      <w:r>
        <w:t>T</w:t>
      </w:r>
      <w:r w:rsidRPr="005A497D">
        <w:t xml:space="preserve">ransparency </w:t>
      </w:r>
      <w:r>
        <w:t>S</w:t>
      </w:r>
      <w:r w:rsidRPr="005A497D">
        <w:t xml:space="preserve">eal </w:t>
      </w:r>
      <w:r w:rsidR="00CA2A08">
        <w:t xml:space="preserve">on their websites as </w:t>
      </w:r>
      <w:r w:rsidRPr="005A497D">
        <w:t xml:space="preserve">mandated by </w:t>
      </w:r>
      <w:r>
        <w:t>Department of Budget and Management</w:t>
      </w:r>
      <w:r w:rsidRPr="005A497D">
        <w:t xml:space="preserve">, while </w:t>
      </w:r>
      <w:r>
        <w:t>local government units</w:t>
      </w:r>
      <w:r w:rsidRPr="005A497D">
        <w:t xml:space="preserve"> </w:t>
      </w:r>
      <w:r>
        <w:t>follow</w:t>
      </w:r>
      <w:r w:rsidRPr="005A497D">
        <w:t xml:space="preserve"> the Seal of Good Housekeeping</w:t>
      </w:r>
      <w:r>
        <w:t xml:space="preserve"> managed </w:t>
      </w:r>
      <w:r w:rsidRPr="005A497D">
        <w:t>by the Department of Interior and Local Government (DILG).</w:t>
      </w:r>
    </w:p>
    <w:p w14:paraId="09F822AC" w14:textId="77777777" w:rsidR="001762EE" w:rsidRPr="005A497D" w:rsidRDefault="001762EE" w:rsidP="007B3334">
      <w:pPr>
        <w:pStyle w:val="NormalWeb"/>
        <w:autoSpaceDE w:val="0"/>
        <w:autoSpaceDN w:val="0"/>
        <w:adjustRightInd w:val="0"/>
        <w:spacing w:before="0" w:beforeAutospacing="0" w:after="0" w:afterAutospacing="0"/>
        <w:contextualSpacing/>
        <w:jc w:val="both"/>
      </w:pPr>
    </w:p>
    <w:p w14:paraId="0F56D457" w14:textId="4856DC37" w:rsidR="001762EE"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sidRPr="005A497D">
        <w:t>All information, activities</w:t>
      </w:r>
      <w:r>
        <w:t>,</w:t>
      </w:r>
      <w:r w:rsidRPr="005A497D">
        <w:t xml:space="preserve"> and operations of departments and agencies are disclosed in the</w:t>
      </w:r>
      <w:r>
        <w:t>ir</w:t>
      </w:r>
      <w:r w:rsidRPr="005A497D">
        <w:t xml:space="preserve"> annual audit reports. </w:t>
      </w:r>
      <w:r>
        <w:t>Audit</w:t>
      </w:r>
      <w:r w:rsidR="00CA2A08">
        <w:t>ed financial statements</w:t>
      </w:r>
      <w:r>
        <w:t xml:space="preserve"> are consolidated by the Commission on Audit through the Annual Financial Report per Constitutional requirement (addressed in PI-29.1). The Commission on Audit </w:t>
      </w:r>
      <w:r w:rsidRPr="005A497D">
        <w:t xml:space="preserve">consolidates the report to three categories by </w:t>
      </w:r>
      <w:r>
        <w:t>national government agencies</w:t>
      </w:r>
      <w:r w:rsidRPr="005A497D">
        <w:rPr>
          <w:shd w:val="clear" w:color="auto" w:fill="FFFFFF"/>
        </w:rPr>
        <w:t xml:space="preserve">, </w:t>
      </w:r>
      <w:r>
        <w:rPr>
          <w:shd w:val="clear" w:color="auto" w:fill="FFFFFF"/>
        </w:rPr>
        <w:t>local government units,</w:t>
      </w:r>
      <w:r w:rsidRPr="005A497D">
        <w:rPr>
          <w:shd w:val="clear" w:color="auto" w:fill="FFFFFF"/>
        </w:rPr>
        <w:t xml:space="preserve"> and GOCCs</w:t>
      </w:r>
      <w:r>
        <w:t xml:space="preserve">. </w:t>
      </w:r>
      <w:r w:rsidRPr="005A497D">
        <w:t>In case</w:t>
      </w:r>
      <w:r>
        <w:t>s</w:t>
      </w:r>
      <w:r w:rsidRPr="005A497D">
        <w:t xml:space="preserve"> of special projects such as grant and foreign funding</w:t>
      </w:r>
      <w:r>
        <w:t>,</w:t>
      </w:r>
      <w:r w:rsidRPr="005A497D">
        <w:t xml:space="preserve"> a separate annual audit is required and the</w:t>
      </w:r>
      <w:r>
        <w:t xml:space="preserve"> aggregate amount of such special projects is</w:t>
      </w:r>
      <w:r w:rsidRPr="005A497D">
        <w:t xml:space="preserve"> </w:t>
      </w:r>
      <w:r>
        <w:t xml:space="preserve">presented </w:t>
      </w:r>
      <w:r w:rsidRPr="005A497D">
        <w:t xml:space="preserve">in </w:t>
      </w:r>
      <w:r>
        <w:t xml:space="preserve">a separate table in the </w:t>
      </w:r>
      <w:r w:rsidRPr="005A497D">
        <w:t>BESF.</w:t>
      </w:r>
      <w:r>
        <w:t xml:space="preserve"> This information is aggregated in the Government’s Annual Financial Report. The annual audited reports of official development assistance (ODA) programs and project activities are also consolidated by the Commission on Audit pursuant to the ODA Law.</w:t>
      </w:r>
      <w:r>
        <w:rPr>
          <w:rStyle w:val="EndnoteReference"/>
        </w:rPr>
        <w:endnoteReference w:id="14"/>
      </w:r>
      <w:r>
        <w:t xml:space="preserve"> Both dimensions are thus assessed at “A”.</w:t>
      </w:r>
    </w:p>
    <w:p w14:paraId="03749F56" w14:textId="77777777" w:rsidR="002167BB" w:rsidRDefault="002167BB" w:rsidP="00E43B95">
      <w:pPr>
        <w:pStyle w:val="NormalWeb"/>
        <w:autoSpaceDE w:val="0"/>
        <w:autoSpaceDN w:val="0"/>
        <w:adjustRightInd w:val="0"/>
        <w:spacing w:before="0" w:beforeAutospacing="0" w:after="0" w:afterAutospacing="0"/>
        <w:contextualSpacing/>
        <w:jc w:val="both"/>
        <w:rPr>
          <w:b/>
          <w:i/>
        </w:rPr>
      </w:pPr>
    </w:p>
    <w:p w14:paraId="74CFDCF7" w14:textId="59127F87" w:rsidR="001762EE" w:rsidRPr="0043657F" w:rsidRDefault="001762EE" w:rsidP="00E43B95">
      <w:pPr>
        <w:pStyle w:val="NormalWeb"/>
        <w:autoSpaceDE w:val="0"/>
        <w:autoSpaceDN w:val="0"/>
        <w:adjustRightInd w:val="0"/>
        <w:spacing w:before="0" w:beforeAutospacing="0" w:after="0" w:afterAutospacing="0"/>
        <w:contextualSpacing/>
        <w:jc w:val="both"/>
        <w:rPr>
          <w:b/>
          <w:i/>
        </w:rPr>
      </w:pPr>
      <w:r w:rsidRPr="0043657F">
        <w:rPr>
          <w:b/>
          <w:i/>
        </w:rPr>
        <w:t>Dimension 6.3 Financial reports of extra</w:t>
      </w:r>
      <w:r>
        <w:rPr>
          <w:b/>
          <w:i/>
        </w:rPr>
        <w:t>-</w:t>
      </w:r>
      <w:r w:rsidRPr="0043657F">
        <w:rPr>
          <w:b/>
          <w:i/>
        </w:rPr>
        <w:t>budgetary units</w:t>
      </w:r>
    </w:p>
    <w:p w14:paraId="789A5FAB" w14:textId="77777777" w:rsidR="001762EE" w:rsidRPr="008B26F3" w:rsidRDefault="001762EE" w:rsidP="00E43B95">
      <w:pPr>
        <w:pStyle w:val="NormalWeb"/>
        <w:autoSpaceDE w:val="0"/>
        <w:autoSpaceDN w:val="0"/>
        <w:adjustRightInd w:val="0"/>
        <w:spacing w:before="0" w:beforeAutospacing="0" w:after="0" w:afterAutospacing="0"/>
        <w:contextualSpacing/>
        <w:jc w:val="both"/>
        <w:rPr>
          <w:i/>
        </w:rPr>
      </w:pPr>
    </w:p>
    <w:p w14:paraId="573E21E8" w14:textId="3D69D138"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Regarding </w:t>
      </w:r>
      <w:r w:rsidRPr="005A497D">
        <w:t xml:space="preserve">the year-end Annual Financial Report, Section 41 (1) of </w:t>
      </w:r>
      <w:r>
        <w:t>Presidential Decree</w:t>
      </w:r>
      <w:r w:rsidRPr="005A497D">
        <w:t xml:space="preserve"> 1445 specifically states that the deadline for its submission to the President and Congress </w:t>
      </w:r>
      <w:r>
        <w:t>is</w:t>
      </w:r>
      <w:r w:rsidRPr="005A497D">
        <w:t xml:space="preserve"> the last day of September of each year (i.e.</w:t>
      </w:r>
      <w:r>
        <w:t>,</w:t>
      </w:r>
      <w:r w:rsidRPr="005A497D">
        <w:t xml:space="preserve"> nine months after year-end). </w:t>
      </w:r>
      <w:r>
        <w:t>The Commission on Audit</w:t>
      </w:r>
      <w:r w:rsidRPr="005A497D">
        <w:t xml:space="preserve"> consolidates the report by </w:t>
      </w:r>
      <w:r>
        <w:t>national government agencies</w:t>
      </w:r>
      <w:r w:rsidRPr="005A497D">
        <w:rPr>
          <w:shd w:val="clear" w:color="auto" w:fill="FFFFFF"/>
        </w:rPr>
        <w:t xml:space="preserve"> and GOCCs</w:t>
      </w:r>
      <w:r>
        <w:rPr>
          <w:shd w:val="clear" w:color="auto" w:fill="FFFFFF"/>
        </w:rPr>
        <w:t>, including the extra-budgetary units</w:t>
      </w:r>
      <w:r w:rsidRPr="005A497D">
        <w:rPr>
          <w:shd w:val="clear" w:color="auto" w:fill="FFFFFF"/>
        </w:rPr>
        <w:t xml:space="preserve">. As of </w:t>
      </w:r>
      <w:r>
        <w:rPr>
          <w:shd w:val="clear" w:color="auto" w:fill="FFFFFF"/>
        </w:rPr>
        <w:t xml:space="preserve">this </w:t>
      </w:r>
      <w:r w:rsidRPr="005A497D">
        <w:rPr>
          <w:shd w:val="clear" w:color="auto" w:fill="FFFFFF"/>
        </w:rPr>
        <w:t xml:space="preserve">assessment date, the </w:t>
      </w:r>
      <w:r w:rsidRPr="005A497D">
        <w:t>201</w:t>
      </w:r>
      <w:r>
        <w:t>4</w:t>
      </w:r>
      <w:r w:rsidRPr="005A497D">
        <w:t xml:space="preserve"> </w:t>
      </w:r>
      <w:r>
        <w:t>Annual Financial Reports</w:t>
      </w:r>
      <w:r w:rsidRPr="005A497D">
        <w:t xml:space="preserve"> </w:t>
      </w:r>
      <w:r>
        <w:t>were</w:t>
      </w:r>
      <w:r w:rsidRPr="005A497D">
        <w:t xml:space="preserve"> posted </w:t>
      </w:r>
      <w:r>
        <w:t>on the</w:t>
      </w:r>
      <w:r w:rsidRPr="005A497D">
        <w:t xml:space="preserve"> </w:t>
      </w:r>
      <w:r>
        <w:t>CoA</w:t>
      </w:r>
      <w:r w:rsidRPr="005A497D">
        <w:t xml:space="preserve"> website</w:t>
      </w:r>
      <w:r>
        <w:t xml:space="preserve"> in October and November 2015.</w:t>
      </w:r>
    </w:p>
    <w:p w14:paraId="05A7A89C" w14:textId="77777777" w:rsidR="001762EE" w:rsidRPr="005A497D" w:rsidRDefault="001762EE" w:rsidP="00FC3597">
      <w:pPr>
        <w:pStyle w:val="NormalWeb"/>
        <w:autoSpaceDE w:val="0"/>
        <w:autoSpaceDN w:val="0"/>
        <w:adjustRightInd w:val="0"/>
        <w:spacing w:before="0" w:beforeAutospacing="0" w:after="0" w:afterAutospacing="0"/>
        <w:contextualSpacing/>
        <w:jc w:val="both"/>
      </w:pPr>
    </w:p>
    <w:p w14:paraId="437E85F2" w14:textId="4E164E6E"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While all transactions are reported </w:t>
      </w:r>
      <w:r w:rsidRPr="005A497D">
        <w:t>by the respective department</w:t>
      </w:r>
      <w:r>
        <w:t xml:space="preserve">s and </w:t>
      </w:r>
      <w:r w:rsidRPr="005A497D">
        <w:t>GOCCs</w:t>
      </w:r>
      <w:r>
        <w:t>, the timeliness of submission of the Annual Financial Reports varies</w:t>
      </w:r>
      <w:r w:rsidRPr="005A497D">
        <w:t xml:space="preserve">. </w:t>
      </w:r>
      <w:r>
        <w:t>A majority of the financial reports by the extra-budgetary units were submitted within nine months of the fiscal year-end. Dimension 6.3 is rated “C”.</w:t>
      </w:r>
      <w:r w:rsidRPr="005A497D">
        <w:t xml:space="preserve"> </w:t>
      </w:r>
    </w:p>
    <w:p w14:paraId="36BB949C" w14:textId="77777777" w:rsidR="001762EE" w:rsidRPr="005A497D" w:rsidRDefault="001762EE" w:rsidP="00E24D79">
      <w:pPr>
        <w:contextualSpacing/>
        <w:jc w:val="both"/>
      </w:pPr>
    </w:p>
    <w:p w14:paraId="5540FCA3" w14:textId="3EB8EEE3" w:rsidR="001762EE" w:rsidRDefault="001762EE" w:rsidP="00411651">
      <w:pPr>
        <w:pStyle w:val="Heading3"/>
      </w:pPr>
      <w:bookmarkStart w:id="84" w:name="_Toc454811651"/>
      <w:bookmarkStart w:id="85" w:name="_Toc454888796"/>
      <w:r w:rsidRPr="005A497D">
        <w:t>PI-7 Trans</w:t>
      </w:r>
      <w:r>
        <w:t>fers to subnational governments</w:t>
      </w:r>
      <w:bookmarkEnd w:id="84"/>
      <w:bookmarkEnd w:id="85"/>
    </w:p>
    <w:p w14:paraId="1CC2DE5A" w14:textId="77777777" w:rsidR="001762EE" w:rsidRPr="00283600" w:rsidRDefault="001762EE" w:rsidP="00283600"/>
    <w:p w14:paraId="6FA65BB1" w14:textId="260C07E0" w:rsidR="001762EE" w:rsidRPr="005A497D" w:rsidRDefault="001762EE" w:rsidP="006F78DF">
      <w:pPr>
        <w:pStyle w:val="NormalWeb"/>
        <w:numPr>
          <w:ilvl w:val="0"/>
          <w:numId w:val="6"/>
        </w:numPr>
        <w:autoSpaceDE w:val="0"/>
        <w:autoSpaceDN w:val="0"/>
        <w:adjustRightInd w:val="0"/>
        <w:spacing w:before="0" w:beforeAutospacing="0" w:after="0" w:afterAutospacing="0"/>
        <w:ind w:left="0" w:firstLine="0"/>
        <w:jc w:val="both"/>
      </w:pPr>
      <w:r w:rsidRPr="005A497D">
        <w:t xml:space="preserve">While the assessment is focused on the national government, it is recognized that </w:t>
      </w:r>
      <w:r>
        <w:t>subnational</w:t>
      </w:r>
      <w:r w:rsidRPr="005A497D">
        <w:t xml:space="preserve"> governments also have wide-ranging expenditure responsibilities. </w:t>
      </w:r>
      <w:r>
        <w:t>This indicator assesses the transparency and timeliness of transfers to local government units.</w:t>
      </w:r>
      <w:r w:rsidRPr="006F78DF">
        <w:t xml:space="preserve"> </w:t>
      </w:r>
      <w:r w:rsidRPr="005A497D">
        <w:t>In the Philippines, local government units consist of provinces, cities, municipalities</w:t>
      </w:r>
      <w:r>
        <w:t>,</w:t>
      </w:r>
      <w:r w:rsidRPr="005A497D">
        <w:t xml:space="preserve"> and barangays. </w:t>
      </w:r>
      <w:r>
        <w:t>As of December 31, 2015, t</w:t>
      </w:r>
      <w:r w:rsidRPr="005A497D">
        <w:t>he total number is 8</w:t>
      </w:r>
      <w:r>
        <w:t>1</w:t>
      </w:r>
      <w:r w:rsidRPr="005A497D">
        <w:t xml:space="preserve"> provinces, 14</w:t>
      </w:r>
      <w:r w:rsidR="001D4E1B">
        <w:t>5</w:t>
      </w:r>
      <w:r w:rsidRPr="005A497D">
        <w:t xml:space="preserve"> cities, 1,4</w:t>
      </w:r>
      <w:r w:rsidR="001D4E1B">
        <w:t>8</w:t>
      </w:r>
      <w:r w:rsidRPr="005A497D">
        <w:t>9 municipalities</w:t>
      </w:r>
      <w:r>
        <w:t>,</w:t>
      </w:r>
      <w:r w:rsidRPr="005A497D">
        <w:t xml:space="preserve"> and 42,0</w:t>
      </w:r>
      <w:r>
        <w:t>3</w:t>
      </w:r>
      <w:r w:rsidRPr="005A497D">
        <w:t>6 barangays.</w:t>
      </w:r>
    </w:p>
    <w:p w14:paraId="3928DC7F" w14:textId="61A90C2B" w:rsidR="001762EE" w:rsidRPr="005A497D" w:rsidRDefault="001762EE" w:rsidP="0043657F">
      <w:pPr>
        <w:pStyle w:val="NormalWeb"/>
        <w:autoSpaceDE w:val="0"/>
        <w:autoSpaceDN w:val="0"/>
        <w:adjustRightInd w:val="0"/>
        <w:spacing w:before="0" w:beforeAutospacing="0" w:after="0" w:afterAutospacing="0"/>
        <w:contextualSpacing/>
        <w:jc w:val="both"/>
      </w:pPr>
    </w:p>
    <w:p w14:paraId="6F9FC176" w14:textId="77777777" w:rsidR="001762EE" w:rsidRPr="005A497D" w:rsidRDefault="001762EE" w:rsidP="0012465F">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5544F911" w14:textId="77777777" w:rsidTr="0062703A">
        <w:trPr>
          <w:trHeight w:val="397"/>
        </w:trPr>
        <w:tc>
          <w:tcPr>
            <w:tcW w:w="3600" w:type="dxa"/>
            <w:tcBorders>
              <w:top w:val="double" w:sz="4" w:space="0" w:color="auto"/>
            </w:tcBorders>
            <w:shd w:val="clear" w:color="auto" w:fill="D9D9D9"/>
            <w:vAlign w:val="center"/>
          </w:tcPr>
          <w:p w14:paraId="5ECDB717" w14:textId="77777777" w:rsidR="001762EE" w:rsidRPr="0043657F" w:rsidRDefault="001762EE" w:rsidP="0062703A">
            <w:pPr>
              <w:spacing w:before="40" w:after="40"/>
              <w:jc w:val="center"/>
              <w:rPr>
                <w:b/>
                <w:i/>
              </w:rPr>
            </w:pPr>
            <w:r w:rsidRPr="0043657F">
              <w:rPr>
                <w:b/>
                <w:i/>
                <w:sz w:val="22"/>
                <w:szCs w:val="22"/>
              </w:rPr>
              <w:t>Indicator / Dimension</w:t>
            </w:r>
          </w:p>
        </w:tc>
        <w:tc>
          <w:tcPr>
            <w:tcW w:w="1843" w:type="dxa"/>
            <w:tcBorders>
              <w:top w:val="double" w:sz="4" w:space="0" w:color="auto"/>
            </w:tcBorders>
            <w:shd w:val="clear" w:color="auto" w:fill="D9D9D9"/>
            <w:vAlign w:val="center"/>
          </w:tcPr>
          <w:p w14:paraId="14F5C480" w14:textId="77777777" w:rsidR="001762EE" w:rsidRPr="0043657F" w:rsidRDefault="001762EE" w:rsidP="0062703A">
            <w:pPr>
              <w:spacing w:before="40" w:after="40"/>
              <w:jc w:val="center"/>
              <w:rPr>
                <w:b/>
                <w:i/>
              </w:rPr>
            </w:pPr>
            <w:r w:rsidRPr="0043657F">
              <w:rPr>
                <w:b/>
                <w:i/>
                <w:sz w:val="22"/>
                <w:szCs w:val="22"/>
              </w:rPr>
              <w:t>Score</w:t>
            </w:r>
          </w:p>
        </w:tc>
        <w:tc>
          <w:tcPr>
            <w:tcW w:w="3913" w:type="dxa"/>
            <w:tcBorders>
              <w:top w:val="double" w:sz="4" w:space="0" w:color="auto"/>
            </w:tcBorders>
            <w:shd w:val="clear" w:color="auto" w:fill="D9D9D9"/>
            <w:vAlign w:val="center"/>
          </w:tcPr>
          <w:p w14:paraId="33801F7E" w14:textId="77777777" w:rsidR="001762EE" w:rsidRPr="0043657F" w:rsidRDefault="001762EE" w:rsidP="0062703A">
            <w:pPr>
              <w:spacing w:before="40" w:after="40"/>
              <w:jc w:val="center"/>
              <w:rPr>
                <w:b/>
                <w:i/>
              </w:rPr>
            </w:pPr>
            <w:r w:rsidRPr="0043657F">
              <w:rPr>
                <w:b/>
                <w:i/>
                <w:sz w:val="22"/>
                <w:szCs w:val="22"/>
              </w:rPr>
              <w:t>Brief Explanation</w:t>
            </w:r>
          </w:p>
        </w:tc>
      </w:tr>
      <w:tr w:rsidR="001762EE" w:rsidRPr="005A497D" w14:paraId="6FBB1691" w14:textId="77777777" w:rsidTr="0062703A">
        <w:tc>
          <w:tcPr>
            <w:tcW w:w="3600" w:type="dxa"/>
            <w:tcBorders>
              <w:top w:val="double" w:sz="4" w:space="0" w:color="auto"/>
              <w:bottom w:val="single" w:sz="4" w:space="0" w:color="auto"/>
            </w:tcBorders>
          </w:tcPr>
          <w:p w14:paraId="5213E847" w14:textId="4557ED4C" w:rsidR="001762EE" w:rsidRPr="005A497D" w:rsidRDefault="001762EE" w:rsidP="00FC3597">
            <w:pPr>
              <w:spacing w:before="40" w:after="40"/>
              <w:rPr>
                <w:b/>
              </w:rPr>
            </w:pPr>
            <w:r w:rsidRPr="005A497D">
              <w:rPr>
                <w:b/>
                <w:bCs/>
                <w:sz w:val="22"/>
                <w:szCs w:val="22"/>
              </w:rPr>
              <w:t>PI-7 Trans</w:t>
            </w:r>
            <w:r>
              <w:rPr>
                <w:b/>
                <w:bCs/>
                <w:sz w:val="22"/>
                <w:szCs w:val="22"/>
              </w:rPr>
              <w:t>fers to subnational governments</w:t>
            </w:r>
          </w:p>
        </w:tc>
        <w:tc>
          <w:tcPr>
            <w:tcW w:w="1843" w:type="dxa"/>
            <w:tcBorders>
              <w:top w:val="double" w:sz="4" w:space="0" w:color="auto"/>
              <w:bottom w:val="single" w:sz="4" w:space="0" w:color="auto"/>
            </w:tcBorders>
          </w:tcPr>
          <w:p w14:paraId="60C2C33C" w14:textId="38875E69" w:rsidR="001762EE" w:rsidRPr="005A497D" w:rsidRDefault="001762EE" w:rsidP="0062703A">
            <w:pPr>
              <w:spacing w:before="40" w:after="40"/>
              <w:jc w:val="center"/>
              <w:rPr>
                <w:b/>
              </w:rPr>
            </w:pPr>
            <w:r>
              <w:rPr>
                <w:b/>
                <w:sz w:val="22"/>
                <w:szCs w:val="22"/>
              </w:rPr>
              <w:t>A</w:t>
            </w:r>
          </w:p>
        </w:tc>
        <w:tc>
          <w:tcPr>
            <w:tcW w:w="3913" w:type="dxa"/>
            <w:tcBorders>
              <w:top w:val="double" w:sz="4" w:space="0" w:color="auto"/>
              <w:bottom w:val="single" w:sz="4" w:space="0" w:color="auto"/>
            </w:tcBorders>
          </w:tcPr>
          <w:p w14:paraId="2AC8ADAA" w14:textId="77777777" w:rsidR="001762EE" w:rsidRPr="005A497D" w:rsidRDefault="001762EE" w:rsidP="0062703A">
            <w:pPr>
              <w:spacing w:before="40" w:after="40"/>
            </w:pPr>
            <w:r w:rsidRPr="005A497D">
              <w:rPr>
                <w:sz w:val="22"/>
                <w:szCs w:val="22"/>
              </w:rPr>
              <w:t>Overall rating based on M2 methodology.</w:t>
            </w:r>
          </w:p>
        </w:tc>
      </w:tr>
      <w:tr w:rsidR="001762EE" w:rsidRPr="005A497D" w14:paraId="4200CFFE" w14:textId="77777777" w:rsidTr="009E688C">
        <w:trPr>
          <w:trHeight w:val="917"/>
        </w:trPr>
        <w:tc>
          <w:tcPr>
            <w:tcW w:w="3600" w:type="dxa"/>
            <w:tcBorders>
              <w:top w:val="single" w:sz="4" w:space="0" w:color="auto"/>
              <w:bottom w:val="single" w:sz="4" w:space="0" w:color="auto"/>
            </w:tcBorders>
          </w:tcPr>
          <w:p w14:paraId="775DA146" w14:textId="64E6F971" w:rsidR="001762EE" w:rsidRPr="005A497D" w:rsidRDefault="001762EE" w:rsidP="009E688C">
            <w:pPr>
              <w:pStyle w:val="Default"/>
              <w:rPr>
                <w:color w:val="auto"/>
                <w:sz w:val="22"/>
                <w:szCs w:val="22"/>
              </w:rPr>
            </w:pPr>
            <w:r>
              <w:rPr>
                <w:color w:val="auto"/>
                <w:sz w:val="22"/>
                <w:szCs w:val="22"/>
              </w:rPr>
              <w:t>7.1</w:t>
            </w:r>
            <w:r w:rsidRPr="005A497D">
              <w:rPr>
                <w:color w:val="auto"/>
                <w:sz w:val="22"/>
                <w:szCs w:val="22"/>
              </w:rPr>
              <w:t xml:space="preserve"> </w:t>
            </w:r>
            <w:r>
              <w:rPr>
                <w:color w:val="auto"/>
                <w:sz w:val="22"/>
                <w:szCs w:val="22"/>
              </w:rPr>
              <w:t>System for allocating transfers</w:t>
            </w:r>
          </w:p>
        </w:tc>
        <w:tc>
          <w:tcPr>
            <w:tcW w:w="1843" w:type="dxa"/>
            <w:tcBorders>
              <w:top w:val="single" w:sz="4" w:space="0" w:color="auto"/>
              <w:bottom w:val="single" w:sz="4" w:space="0" w:color="auto"/>
            </w:tcBorders>
          </w:tcPr>
          <w:p w14:paraId="5E00EA25" w14:textId="3C3DA5BC" w:rsidR="001762EE" w:rsidRPr="005A497D" w:rsidRDefault="001762EE" w:rsidP="0062703A">
            <w:pPr>
              <w:spacing w:before="40" w:after="40"/>
              <w:jc w:val="center"/>
            </w:pPr>
            <w:r>
              <w:rPr>
                <w:sz w:val="22"/>
                <w:szCs w:val="22"/>
              </w:rPr>
              <w:t>A</w:t>
            </w:r>
          </w:p>
        </w:tc>
        <w:tc>
          <w:tcPr>
            <w:tcW w:w="3913" w:type="dxa"/>
            <w:tcBorders>
              <w:top w:val="single" w:sz="4" w:space="0" w:color="auto"/>
              <w:bottom w:val="single" w:sz="4" w:space="0" w:color="auto"/>
            </w:tcBorders>
          </w:tcPr>
          <w:p w14:paraId="6423870C" w14:textId="35C4D5F3" w:rsidR="001762EE" w:rsidRPr="005A497D" w:rsidRDefault="001762EE" w:rsidP="000B3172">
            <w:pPr>
              <w:autoSpaceDE w:val="0"/>
              <w:autoSpaceDN w:val="0"/>
              <w:adjustRightInd w:val="0"/>
            </w:pPr>
            <w:r>
              <w:rPr>
                <w:sz w:val="22"/>
                <w:szCs w:val="22"/>
              </w:rPr>
              <w:t xml:space="preserve">All transfers to the LGUs </w:t>
            </w:r>
            <w:r w:rsidRPr="005A497D">
              <w:rPr>
                <w:sz w:val="22"/>
                <w:szCs w:val="22"/>
              </w:rPr>
              <w:t xml:space="preserve">are based on </w:t>
            </w:r>
            <w:r>
              <w:rPr>
                <w:sz w:val="22"/>
                <w:szCs w:val="22"/>
              </w:rPr>
              <w:t>clearly defined set of rules and procedures</w:t>
            </w:r>
            <w:r w:rsidRPr="005A497D">
              <w:rPr>
                <w:sz w:val="22"/>
                <w:szCs w:val="22"/>
              </w:rPr>
              <w:t>.</w:t>
            </w:r>
          </w:p>
        </w:tc>
      </w:tr>
      <w:tr w:rsidR="001762EE" w:rsidRPr="005A497D" w14:paraId="5923964C" w14:textId="77777777" w:rsidTr="009E688C">
        <w:trPr>
          <w:trHeight w:val="728"/>
        </w:trPr>
        <w:tc>
          <w:tcPr>
            <w:tcW w:w="3600" w:type="dxa"/>
            <w:tcBorders>
              <w:top w:val="single" w:sz="4" w:space="0" w:color="auto"/>
              <w:bottom w:val="double" w:sz="4" w:space="0" w:color="auto"/>
            </w:tcBorders>
          </w:tcPr>
          <w:p w14:paraId="19F8DFC5" w14:textId="6A4EBDED" w:rsidR="001762EE" w:rsidRPr="005A497D" w:rsidRDefault="001762EE" w:rsidP="009E688C">
            <w:pPr>
              <w:pStyle w:val="Default"/>
              <w:rPr>
                <w:color w:val="auto"/>
                <w:sz w:val="22"/>
                <w:szCs w:val="22"/>
              </w:rPr>
            </w:pPr>
            <w:r>
              <w:rPr>
                <w:color w:val="auto"/>
                <w:sz w:val="22"/>
                <w:szCs w:val="22"/>
              </w:rPr>
              <w:t>7.2</w:t>
            </w:r>
            <w:r w:rsidRPr="005A497D">
              <w:rPr>
                <w:color w:val="auto"/>
                <w:sz w:val="22"/>
                <w:szCs w:val="22"/>
              </w:rPr>
              <w:t xml:space="preserve"> Timeliness of </w:t>
            </w:r>
            <w:r>
              <w:rPr>
                <w:color w:val="auto"/>
                <w:sz w:val="22"/>
                <w:szCs w:val="22"/>
              </w:rPr>
              <w:t>i</w:t>
            </w:r>
            <w:r w:rsidRPr="005A497D">
              <w:rPr>
                <w:color w:val="auto"/>
                <w:sz w:val="22"/>
                <w:szCs w:val="22"/>
              </w:rPr>
              <w:t xml:space="preserve">nformation </w:t>
            </w:r>
            <w:r>
              <w:rPr>
                <w:color w:val="auto"/>
                <w:sz w:val="22"/>
                <w:szCs w:val="22"/>
              </w:rPr>
              <w:t>on transfers</w:t>
            </w:r>
          </w:p>
        </w:tc>
        <w:tc>
          <w:tcPr>
            <w:tcW w:w="1843" w:type="dxa"/>
            <w:tcBorders>
              <w:top w:val="single" w:sz="4" w:space="0" w:color="auto"/>
              <w:bottom w:val="double" w:sz="4" w:space="0" w:color="auto"/>
            </w:tcBorders>
          </w:tcPr>
          <w:p w14:paraId="7BAD45C8" w14:textId="4134D9A2" w:rsidR="001762EE" w:rsidRPr="005A497D" w:rsidRDefault="001762EE" w:rsidP="009E688C">
            <w:pPr>
              <w:spacing w:before="40" w:after="40"/>
              <w:jc w:val="center"/>
            </w:pPr>
            <w:r>
              <w:rPr>
                <w:sz w:val="22"/>
                <w:szCs w:val="22"/>
              </w:rPr>
              <w:t>A</w:t>
            </w:r>
          </w:p>
        </w:tc>
        <w:tc>
          <w:tcPr>
            <w:tcW w:w="3913" w:type="dxa"/>
            <w:tcBorders>
              <w:top w:val="single" w:sz="4" w:space="0" w:color="auto"/>
              <w:bottom w:val="double" w:sz="4" w:space="0" w:color="auto"/>
            </w:tcBorders>
          </w:tcPr>
          <w:p w14:paraId="415AF2DB" w14:textId="76FD2A11" w:rsidR="001762EE" w:rsidRPr="005A497D" w:rsidRDefault="001762EE" w:rsidP="009E688C">
            <w:r w:rsidRPr="005A497D">
              <w:rPr>
                <w:sz w:val="22"/>
                <w:szCs w:val="22"/>
              </w:rPr>
              <w:t xml:space="preserve">Information on transfers is </w:t>
            </w:r>
            <w:r>
              <w:rPr>
                <w:sz w:val="22"/>
                <w:szCs w:val="22"/>
              </w:rPr>
              <w:t xml:space="preserve">provided </w:t>
            </w:r>
            <w:r w:rsidRPr="005A497D">
              <w:rPr>
                <w:sz w:val="22"/>
                <w:szCs w:val="22"/>
              </w:rPr>
              <w:t>by DBM early in the budget cycle.</w:t>
            </w:r>
          </w:p>
        </w:tc>
      </w:tr>
    </w:tbl>
    <w:p w14:paraId="733C9906" w14:textId="77777777" w:rsidR="001762EE" w:rsidRPr="005A497D" w:rsidRDefault="001762EE" w:rsidP="0012465F">
      <w:pPr>
        <w:jc w:val="both"/>
      </w:pPr>
    </w:p>
    <w:p w14:paraId="76C76965" w14:textId="3288AA74" w:rsidR="001762EE" w:rsidRPr="0043657F" w:rsidRDefault="001762EE" w:rsidP="0012465F">
      <w:pPr>
        <w:pStyle w:val="NormalWeb"/>
        <w:autoSpaceDE w:val="0"/>
        <w:autoSpaceDN w:val="0"/>
        <w:adjustRightInd w:val="0"/>
        <w:spacing w:before="0" w:beforeAutospacing="0" w:after="0" w:afterAutospacing="0"/>
        <w:contextualSpacing/>
        <w:jc w:val="both"/>
        <w:rPr>
          <w:b/>
          <w:i/>
        </w:rPr>
      </w:pPr>
      <w:r w:rsidRPr="0043657F">
        <w:rPr>
          <w:b/>
          <w:i/>
        </w:rPr>
        <w:t>Dimension 7.1 System for allocating transfers</w:t>
      </w:r>
    </w:p>
    <w:p w14:paraId="1390216C" w14:textId="77777777" w:rsidR="001762EE" w:rsidRPr="009E688C" w:rsidRDefault="001762EE" w:rsidP="0012465F">
      <w:pPr>
        <w:pStyle w:val="NormalWeb"/>
        <w:autoSpaceDE w:val="0"/>
        <w:autoSpaceDN w:val="0"/>
        <w:adjustRightInd w:val="0"/>
        <w:spacing w:before="0" w:beforeAutospacing="0" w:after="0" w:afterAutospacing="0"/>
        <w:contextualSpacing/>
        <w:jc w:val="both"/>
      </w:pPr>
    </w:p>
    <w:p w14:paraId="7BDEC89A" w14:textId="0E17D595" w:rsidR="001762EE" w:rsidRDefault="001762EE" w:rsidP="00873B06">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National government transfers to </w:t>
      </w:r>
      <w:r>
        <w:t>local government units</w:t>
      </w:r>
      <w:r w:rsidRPr="005A497D">
        <w:t xml:space="preserve"> are of three types: </w:t>
      </w:r>
      <w:r>
        <w:t xml:space="preserve">(a) </w:t>
      </w:r>
      <w:r w:rsidRPr="005A497D">
        <w:t xml:space="preserve">formula-based block grants </w:t>
      </w:r>
      <w:r>
        <w:t>(</w:t>
      </w:r>
      <w:r w:rsidRPr="005A497D">
        <w:t xml:space="preserve">i.e., </w:t>
      </w:r>
      <w:r>
        <w:t>internal revenue allotment</w:t>
      </w:r>
      <w:r w:rsidRPr="005A497D">
        <w:t>, which is the principal source of intergovernmental fiscal transfers in the Philippines</w:t>
      </w:r>
      <w:r>
        <w:t xml:space="preserve">; (b) </w:t>
      </w:r>
      <w:r w:rsidRPr="005A497D">
        <w:t>origin-based share o</w:t>
      </w:r>
      <w:r>
        <w:t>f</w:t>
      </w:r>
      <w:r w:rsidRPr="005A497D">
        <w:t xml:space="preserve"> national government revenues; and</w:t>
      </w:r>
      <w:r>
        <w:t xml:space="preserve"> (c) </w:t>
      </w:r>
      <w:r w:rsidRPr="005A497D">
        <w:t xml:space="preserve">ad hoc categorical grants. </w:t>
      </w:r>
    </w:p>
    <w:p w14:paraId="45CA0EC7" w14:textId="77777777" w:rsidR="001762EE" w:rsidRDefault="001762EE" w:rsidP="009E688C">
      <w:pPr>
        <w:pStyle w:val="NormalWeb"/>
        <w:autoSpaceDE w:val="0"/>
        <w:autoSpaceDN w:val="0"/>
        <w:adjustRightInd w:val="0"/>
        <w:spacing w:before="0" w:beforeAutospacing="0" w:after="0" w:afterAutospacing="0"/>
        <w:contextualSpacing/>
        <w:jc w:val="both"/>
      </w:pPr>
    </w:p>
    <w:p w14:paraId="5B234F63" w14:textId="2511C6A0"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Under the L</w:t>
      </w:r>
      <w:r>
        <w:t xml:space="preserve">ocal </w:t>
      </w:r>
      <w:r w:rsidRPr="005A497D">
        <w:t>G</w:t>
      </w:r>
      <w:r>
        <w:t xml:space="preserve">overnment </w:t>
      </w:r>
      <w:r w:rsidRPr="005A497D">
        <w:t>C</w:t>
      </w:r>
      <w:r>
        <w:t>ode</w:t>
      </w:r>
      <w:r w:rsidRPr="005A497D">
        <w:t xml:space="preserve">, the aggregate </w:t>
      </w:r>
      <w:r>
        <w:t>internal revenue allotment</w:t>
      </w:r>
      <w:r w:rsidRPr="005A497D">
        <w:t xml:space="preserve"> of </w:t>
      </w:r>
      <w:r>
        <w:t>local government units</w:t>
      </w:r>
      <w:r w:rsidRPr="005A497D">
        <w:t xml:space="preserve"> is set at 40</w:t>
      </w:r>
      <w:r>
        <w:t xml:space="preserve"> percent</w:t>
      </w:r>
      <w:r w:rsidRPr="005A497D">
        <w:t xml:space="preserve"> of the actual internal revenue tax collections of the national government three years prior to the current year. The aggregate </w:t>
      </w:r>
      <w:r>
        <w:t>internal revenue allotment</w:t>
      </w:r>
      <w:r w:rsidRPr="005A497D">
        <w:t xml:space="preserve"> is then divided among different local government levels as follows: 23</w:t>
      </w:r>
      <w:r>
        <w:t xml:space="preserve"> percent</w:t>
      </w:r>
      <w:r w:rsidRPr="005A497D">
        <w:t xml:space="preserve"> to provinces, 23</w:t>
      </w:r>
      <w:r>
        <w:t xml:space="preserve"> percent</w:t>
      </w:r>
      <w:r w:rsidRPr="005A497D">
        <w:t xml:space="preserve"> to cities, 34</w:t>
      </w:r>
      <w:r>
        <w:t xml:space="preserve"> percent</w:t>
      </w:r>
      <w:r w:rsidRPr="005A497D">
        <w:t xml:space="preserve"> to municipalities, and 20</w:t>
      </w:r>
      <w:r>
        <w:t xml:space="preserve"> percent</w:t>
      </w:r>
      <w:r w:rsidRPr="005A497D">
        <w:t xml:space="preserve"> to barangays. The </w:t>
      </w:r>
      <w:r>
        <w:t>internal revenue allotment</w:t>
      </w:r>
      <w:r w:rsidRPr="005A497D">
        <w:t xml:space="preserve"> share of each tier is then apportioned to individual </w:t>
      </w:r>
      <w:r>
        <w:t>local government units</w:t>
      </w:r>
      <w:r w:rsidRPr="005A497D">
        <w:t xml:space="preserve"> based on population (50</w:t>
      </w:r>
      <w:r>
        <w:t xml:space="preserve"> percent</w:t>
      </w:r>
      <w:r w:rsidRPr="005A497D">
        <w:t>), land area (25</w:t>
      </w:r>
      <w:r>
        <w:t xml:space="preserve"> percent</w:t>
      </w:r>
      <w:r w:rsidRPr="005A497D">
        <w:t>), and equal sharing (25</w:t>
      </w:r>
      <w:r>
        <w:t xml:space="preserve"> percent</w:t>
      </w:r>
      <w:r w:rsidRPr="005A497D">
        <w:t>) of the 40</w:t>
      </w:r>
      <w:r>
        <w:t xml:space="preserve"> percent</w:t>
      </w:r>
      <w:r w:rsidRPr="005A497D">
        <w:t xml:space="preserve"> of BIR revenue collections of the third quarter of the fiscal year preceding the current year. </w:t>
      </w:r>
      <w:r>
        <w:t>In accordance with a DBM local budget memorandum, the internal revenue allotment shares for FY2015 amount to PhP 389.860 billion while the LGU financial subsidy (also known as Local Government Support Fund), as per the 2015 Governance Appro</w:t>
      </w:r>
      <w:r w:rsidR="00024F47">
        <w:t>priations Act</w:t>
      </w:r>
      <w:r>
        <w:t>, has a total appropriation of PhP 3.129 billion. This total appropriation is comprised of PhP 200 million financial assistance to support various priority projects, PhP 2,828 million for bottom-up budgeting projects and PhP 100 million to cover any deficiency in the internal revenue allotment shares of local government units.</w:t>
      </w:r>
      <w:r w:rsidRPr="005A497D">
        <w:t xml:space="preserve"> In aggregate, </w:t>
      </w:r>
      <w:r>
        <w:t>internal revenue allotment</w:t>
      </w:r>
      <w:r w:rsidRPr="005A497D">
        <w:t xml:space="preserve"> is by far the dominant source of inter-governmental transfers.</w:t>
      </w:r>
    </w:p>
    <w:p w14:paraId="74A96101" w14:textId="77777777" w:rsidR="001762EE" w:rsidRPr="005A497D" w:rsidRDefault="001762EE" w:rsidP="0012465F">
      <w:pPr>
        <w:pStyle w:val="NormalWeb"/>
        <w:autoSpaceDE w:val="0"/>
        <w:autoSpaceDN w:val="0"/>
        <w:adjustRightInd w:val="0"/>
        <w:spacing w:before="0" w:beforeAutospacing="0" w:after="0" w:afterAutospacing="0"/>
        <w:contextualSpacing/>
        <w:jc w:val="both"/>
      </w:pPr>
    </w:p>
    <w:p w14:paraId="20FB4D9D" w14:textId="1706054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w:t>
      </w:r>
      <w:r>
        <w:t>addition to the internal revenue allotment, local government units are also entitled to shares (a) in utilization and development of natural wealth, (b) from gross income earned by all businesses and enterprises within the economic zone areas, (c) in value added taxes, (d) in tobacco excise taxes, (e) in proceeds of fire code fees, and (f) from Executive Order No. 115, on claim of Barangay officials from death benefits fund. These transfers are governed by a relevant set of rules, including the respective fund release procedures. Since all transfers to the local government units are governed by clear rules, the score for Dimension 7.1 is assessed at “A”.</w:t>
      </w:r>
    </w:p>
    <w:p w14:paraId="63DD4963" w14:textId="77777777" w:rsidR="001762EE" w:rsidRPr="005A497D" w:rsidRDefault="001762EE" w:rsidP="0012465F">
      <w:pPr>
        <w:pStyle w:val="NormalWeb"/>
        <w:autoSpaceDE w:val="0"/>
        <w:autoSpaceDN w:val="0"/>
        <w:adjustRightInd w:val="0"/>
        <w:spacing w:before="0" w:beforeAutospacing="0" w:after="0" w:afterAutospacing="0"/>
        <w:contextualSpacing/>
        <w:jc w:val="both"/>
      </w:pPr>
    </w:p>
    <w:p w14:paraId="3B555480" w14:textId="4C987D3B" w:rsidR="001762EE" w:rsidRPr="00BF1CCD" w:rsidRDefault="001762EE" w:rsidP="0012465F">
      <w:pPr>
        <w:pStyle w:val="NormalWeb"/>
        <w:autoSpaceDE w:val="0"/>
        <w:autoSpaceDN w:val="0"/>
        <w:adjustRightInd w:val="0"/>
        <w:spacing w:before="0" w:beforeAutospacing="0" w:after="0" w:afterAutospacing="0"/>
        <w:contextualSpacing/>
        <w:jc w:val="both"/>
        <w:rPr>
          <w:b/>
          <w:i/>
        </w:rPr>
      </w:pPr>
      <w:r w:rsidRPr="00BF1CCD">
        <w:rPr>
          <w:b/>
          <w:i/>
        </w:rPr>
        <w:t>Dimension 7.2 Timeliness of information on transfers</w:t>
      </w:r>
    </w:p>
    <w:p w14:paraId="06CBDBC4" w14:textId="77777777" w:rsidR="001762EE" w:rsidRPr="008E612F" w:rsidRDefault="001762EE" w:rsidP="0012465F">
      <w:pPr>
        <w:pStyle w:val="NormalWeb"/>
        <w:autoSpaceDE w:val="0"/>
        <w:autoSpaceDN w:val="0"/>
        <w:adjustRightInd w:val="0"/>
        <w:spacing w:before="0" w:beforeAutospacing="0" w:after="0" w:afterAutospacing="0"/>
        <w:contextualSpacing/>
        <w:jc w:val="both"/>
        <w:rPr>
          <w:i/>
        </w:rPr>
      </w:pPr>
    </w:p>
    <w:p w14:paraId="53977DCD" w14:textId="538B260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D801B5">
        <w:t>The Department of Budget and Management issues a Local Budget Memorandum (LBM) as guidance to prepare local budget</w:t>
      </w:r>
      <w:r w:rsidRPr="00873B06">
        <w:t>s</w:t>
      </w:r>
      <w:r w:rsidRPr="00D801B5">
        <w:t xml:space="preserve"> and to inform the local government units of their internal revenue allotment level for the budget year</w:t>
      </w:r>
      <w:r w:rsidRPr="00873B06">
        <w:t>. The allotment is</w:t>
      </w:r>
      <w:r w:rsidRPr="00D801B5">
        <w:t xml:space="preserve"> based on BIR certification on the computation of </w:t>
      </w:r>
      <w:r w:rsidRPr="00873B06">
        <w:t xml:space="preserve">the local unit’s </w:t>
      </w:r>
      <w:r w:rsidRPr="00D801B5">
        <w:t>respective share from the actual collection of national internal revenue taxes pursuant to the implementing rules and regulations of the Local Government Code.</w:t>
      </w:r>
      <w:r w:rsidRPr="00D801B5">
        <w:rPr>
          <w:rStyle w:val="EndnoteReference"/>
        </w:rPr>
        <w:endnoteReference w:id="15"/>
      </w:r>
      <w:r w:rsidRPr="00D801B5">
        <w:t xml:space="preserve"> For 2015, LBM No. 68 was issued </w:t>
      </w:r>
      <w:r w:rsidR="001D4E1B">
        <w:t>o</w:t>
      </w:r>
      <w:r w:rsidRPr="00D801B5">
        <w:t>n July 1, 2014,</w:t>
      </w:r>
      <w:r w:rsidRPr="00D801B5">
        <w:rPr>
          <w:rStyle w:val="EndnoteReference"/>
        </w:rPr>
        <w:endnoteReference w:id="16"/>
      </w:r>
      <w:r w:rsidRPr="00D801B5">
        <w:t xml:space="preserve"> and for 2016, LBM No. 70 was</w:t>
      </w:r>
      <w:r w:rsidRPr="005A497D">
        <w:t xml:space="preserve"> released </w:t>
      </w:r>
      <w:r w:rsidR="001D4E1B">
        <w:t>o</w:t>
      </w:r>
      <w:r w:rsidRPr="005A497D">
        <w:t>n June 15, 2015.</w:t>
      </w:r>
      <w:r w:rsidRPr="005A497D">
        <w:rPr>
          <w:rStyle w:val="EndnoteReference"/>
        </w:rPr>
        <w:endnoteReference w:id="17"/>
      </w:r>
      <w:r>
        <w:t xml:space="preserve"> This is six months before the start of the fiscal year. The score for Dimension 7.2 is assessed at “A”.</w:t>
      </w:r>
    </w:p>
    <w:p w14:paraId="75C2105D" w14:textId="77777777" w:rsidR="001762EE" w:rsidRPr="005A497D" w:rsidRDefault="001762EE" w:rsidP="0012465F">
      <w:pPr>
        <w:pStyle w:val="NormalWeb"/>
        <w:autoSpaceDE w:val="0"/>
        <w:autoSpaceDN w:val="0"/>
        <w:adjustRightInd w:val="0"/>
        <w:spacing w:before="0" w:beforeAutospacing="0" w:after="0" w:afterAutospacing="0"/>
        <w:contextualSpacing/>
        <w:jc w:val="both"/>
      </w:pPr>
    </w:p>
    <w:p w14:paraId="30FAB965" w14:textId="47D9804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Department of Budget and Management</w:t>
      </w:r>
      <w:r w:rsidRPr="005A497D">
        <w:t xml:space="preserve"> also issues guidance for the release and utilization of funds chargeable against the yearly </w:t>
      </w:r>
      <w:r w:rsidR="001D4E1B">
        <w:t>L</w:t>
      </w:r>
      <w:r w:rsidRPr="005A497D">
        <w:t xml:space="preserve">ocal </w:t>
      </w:r>
      <w:r w:rsidR="001D4E1B">
        <w:t>G</w:t>
      </w:r>
      <w:r w:rsidRPr="005A497D">
        <w:t xml:space="preserve">overnment </w:t>
      </w:r>
      <w:r w:rsidR="001D4E1B">
        <w:t>S</w:t>
      </w:r>
      <w:r w:rsidRPr="005A497D">
        <w:t xml:space="preserve">upport </w:t>
      </w:r>
      <w:r w:rsidR="001D4E1B">
        <w:t>F</w:t>
      </w:r>
      <w:r w:rsidRPr="005A497D">
        <w:t xml:space="preserve">und through </w:t>
      </w:r>
      <w:r>
        <w:t xml:space="preserve">the </w:t>
      </w:r>
      <w:r w:rsidRPr="005A497D">
        <w:t xml:space="preserve">Local Budget Circular (2014 </w:t>
      </w:r>
      <w:r w:rsidR="001D4E1B">
        <w:t>and</w:t>
      </w:r>
      <w:r w:rsidRPr="005A497D">
        <w:t xml:space="preserve"> 2015)</w:t>
      </w:r>
      <w:r w:rsidRPr="005A497D">
        <w:rPr>
          <w:rStyle w:val="EndnoteReference"/>
        </w:rPr>
        <w:endnoteReference w:id="18"/>
      </w:r>
      <w:r w:rsidRPr="005A497D">
        <w:t xml:space="preserve"> and the utilization of LGU shares on the collection of tobacco and cigarette excise taxes through </w:t>
      </w:r>
      <w:r>
        <w:t>the Local Budget Memorandum,</w:t>
      </w:r>
      <w:r w:rsidRPr="005A497D">
        <w:rPr>
          <w:rStyle w:val="EndnoteReference"/>
        </w:rPr>
        <w:endnoteReference w:id="19"/>
      </w:r>
      <w:r>
        <w:t xml:space="preserve"> which also provides any specific requirements that need to be met for release of certain funds.</w:t>
      </w:r>
    </w:p>
    <w:p w14:paraId="3224FD8E" w14:textId="77777777" w:rsidR="001762EE" w:rsidRPr="005A497D" w:rsidRDefault="001762EE" w:rsidP="0012465F"/>
    <w:p w14:paraId="50200EFF" w14:textId="607856F5" w:rsidR="001762EE" w:rsidRDefault="001762EE" w:rsidP="00411651">
      <w:pPr>
        <w:pStyle w:val="Heading3"/>
      </w:pPr>
      <w:bookmarkStart w:id="86" w:name="_Toc317506448"/>
      <w:bookmarkStart w:id="87" w:name="_Toc454811652"/>
      <w:bookmarkStart w:id="88" w:name="_Toc454888797"/>
      <w:r w:rsidRPr="00353B81">
        <w:t>PI-8</w:t>
      </w:r>
      <w:bookmarkEnd w:id="86"/>
      <w:r w:rsidRPr="00353B81">
        <w:t xml:space="preserve"> Performance information for service delivery</w:t>
      </w:r>
      <w:bookmarkEnd w:id="87"/>
      <w:bookmarkEnd w:id="88"/>
    </w:p>
    <w:p w14:paraId="01844FFE" w14:textId="77777777" w:rsidR="001762EE" w:rsidRPr="008C0EF8" w:rsidRDefault="001762EE" w:rsidP="008C0EF8"/>
    <w:p w14:paraId="78EC2161" w14:textId="001FC5A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examines the service delivery performance information in the executive’s budget proposal or its supporting documentation in year-end reports. It determines whether performance audits or evaluations are carried out. It also assesses the extent to which information on resources received by service delivery units is collected and recorded. </w:t>
      </w:r>
    </w:p>
    <w:p w14:paraId="40D0E6A1" w14:textId="77777777" w:rsidR="002167BB" w:rsidRPr="005A497D" w:rsidRDefault="002167BB" w:rsidP="00C36588">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8E777E" w14:paraId="289DC676" w14:textId="77777777" w:rsidTr="00615225">
        <w:trPr>
          <w:trHeight w:val="397"/>
        </w:trPr>
        <w:tc>
          <w:tcPr>
            <w:tcW w:w="3600" w:type="dxa"/>
            <w:tcBorders>
              <w:top w:val="double" w:sz="4" w:space="0" w:color="auto"/>
            </w:tcBorders>
            <w:shd w:val="clear" w:color="auto" w:fill="D9D9D9"/>
            <w:vAlign w:val="center"/>
          </w:tcPr>
          <w:p w14:paraId="6BF8B43F" w14:textId="77777777" w:rsidR="001762EE" w:rsidRPr="008E777E" w:rsidRDefault="001762EE" w:rsidP="00615225">
            <w:pPr>
              <w:spacing w:before="40" w:after="40"/>
              <w:jc w:val="center"/>
              <w:rPr>
                <w:b/>
                <w:i/>
                <w:sz w:val="22"/>
                <w:szCs w:val="22"/>
              </w:rPr>
            </w:pPr>
            <w:r w:rsidRPr="008E777E">
              <w:rPr>
                <w:b/>
                <w:i/>
                <w:sz w:val="22"/>
                <w:szCs w:val="22"/>
              </w:rPr>
              <w:t>Indicator / Dimension</w:t>
            </w:r>
          </w:p>
        </w:tc>
        <w:tc>
          <w:tcPr>
            <w:tcW w:w="1843" w:type="dxa"/>
            <w:tcBorders>
              <w:top w:val="double" w:sz="4" w:space="0" w:color="auto"/>
            </w:tcBorders>
            <w:shd w:val="clear" w:color="auto" w:fill="D9D9D9"/>
            <w:vAlign w:val="center"/>
          </w:tcPr>
          <w:p w14:paraId="3F27BDF0" w14:textId="77777777" w:rsidR="001762EE" w:rsidRPr="008E777E" w:rsidRDefault="001762EE" w:rsidP="00615225">
            <w:pPr>
              <w:spacing w:before="40" w:after="40"/>
              <w:jc w:val="center"/>
              <w:rPr>
                <w:b/>
                <w:i/>
                <w:sz w:val="22"/>
                <w:szCs w:val="22"/>
              </w:rPr>
            </w:pPr>
            <w:r w:rsidRPr="008E777E">
              <w:rPr>
                <w:b/>
                <w:i/>
                <w:sz w:val="22"/>
                <w:szCs w:val="22"/>
              </w:rPr>
              <w:t>Score</w:t>
            </w:r>
          </w:p>
        </w:tc>
        <w:tc>
          <w:tcPr>
            <w:tcW w:w="3913" w:type="dxa"/>
            <w:tcBorders>
              <w:top w:val="double" w:sz="4" w:space="0" w:color="auto"/>
            </w:tcBorders>
            <w:shd w:val="clear" w:color="auto" w:fill="D9D9D9"/>
            <w:vAlign w:val="center"/>
          </w:tcPr>
          <w:p w14:paraId="72AE6D23" w14:textId="77777777" w:rsidR="001762EE" w:rsidRPr="008E777E" w:rsidRDefault="001762EE" w:rsidP="00615225">
            <w:pPr>
              <w:spacing w:before="40" w:after="40"/>
              <w:jc w:val="center"/>
              <w:rPr>
                <w:b/>
                <w:i/>
                <w:sz w:val="22"/>
                <w:szCs w:val="22"/>
              </w:rPr>
            </w:pPr>
            <w:r w:rsidRPr="008E777E">
              <w:rPr>
                <w:b/>
                <w:i/>
                <w:sz w:val="22"/>
                <w:szCs w:val="22"/>
              </w:rPr>
              <w:t>Brief Explanation</w:t>
            </w:r>
          </w:p>
        </w:tc>
      </w:tr>
      <w:tr w:rsidR="001762EE" w:rsidRPr="005A497D" w14:paraId="4425BDFC" w14:textId="77777777" w:rsidTr="00E25B22">
        <w:tc>
          <w:tcPr>
            <w:tcW w:w="3600" w:type="dxa"/>
            <w:tcBorders>
              <w:top w:val="double" w:sz="4" w:space="0" w:color="auto"/>
              <w:bottom w:val="single" w:sz="4" w:space="0" w:color="auto"/>
            </w:tcBorders>
          </w:tcPr>
          <w:p w14:paraId="47D36253" w14:textId="6E9545C9" w:rsidR="001762EE" w:rsidRPr="005A497D" w:rsidRDefault="001762EE" w:rsidP="00883FA1">
            <w:pPr>
              <w:rPr>
                <w:b/>
                <w:sz w:val="22"/>
                <w:szCs w:val="22"/>
              </w:rPr>
            </w:pPr>
            <w:r w:rsidRPr="005A497D">
              <w:rPr>
                <w:b/>
                <w:sz w:val="22"/>
                <w:szCs w:val="22"/>
              </w:rPr>
              <w:t>PI-8 Performance information for service delivery</w:t>
            </w:r>
          </w:p>
        </w:tc>
        <w:tc>
          <w:tcPr>
            <w:tcW w:w="1843" w:type="dxa"/>
            <w:tcBorders>
              <w:top w:val="double" w:sz="4" w:space="0" w:color="auto"/>
              <w:bottom w:val="single" w:sz="4" w:space="0" w:color="auto"/>
            </w:tcBorders>
          </w:tcPr>
          <w:p w14:paraId="136FF29B" w14:textId="6FE621D9" w:rsidR="001762EE" w:rsidRPr="00F37094" w:rsidRDefault="001762EE" w:rsidP="00E25B22">
            <w:pPr>
              <w:jc w:val="center"/>
              <w:rPr>
                <w:b/>
                <w:sz w:val="22"/>
                <w:szCs w:val="22"/>
              </w:rPr>
            </w:pPr>
            <w:r w:rsidRPr="00F37094">
              <w:rPr>
                <w:b/>
                <w:sz w:val="22"/>
                <w:szCs w:val="22"/>
              </w:rPr>
              <w:t>B</w:t>
            </w:r>
            <w:r>
              <w:rPr>
                <w:b/>
                <w:sz w:val="22"/>
                <w:szCs w:val="22"/>
              </w:rPr>
              <w:t>+</w:t>
            </w:r>
          </w:p>
        </w:tc>
        <w:tc>
          <w:tcPr>
            <w:tcW w:w="3913" w:type="dxa"/>
            <w:tcBorders>
              <w:top w:val="double" w:sz="4" w:space="0" w:color="auto"/>
              <w:bottom w:val="single" w:sz="4" w:space="0" w:color="auto"/>
            </w:tcBorders>
          </w:tcPr>
          <w:p w14:paraId="48BADFBA" w14:textId="77777777" w:rsidR="001762EE" w:rsidRPr="005A497D" w:rsidRDefault="001762EE" w:rsidP="00E25B22">
            <w:pPr>
              <w:rPr>
                <w:sz w:val="22"/>
                <w:szCs w:val="22"/>
              </w:rPr>
            </w:pPr>
            <w:r w:rsidRPr="005A497D">
              <w:rPr>
                <w:sz w:val="22"/>
                <w:szCs w:val="22"/>
              </w:rPr>
              <w:t>Overall rating based on M2 methodology.</w:t>
            </w:r>
          </w:p>
        </w:tc>
      </w:tr>
      <w:tr w:rsidR="001762EE" w:rsidRPr="005A497D" w14:paraId="16C8C9EA" w14:textId="77777777" w:rsidTr="008C0EF8">
        <w:trPr>
          <w:trHeight w:val="845"/>
        </w:trPr>
        <w:tc>
          <w:tcPr>
            <w:tcW w:w="3600" w:type="dxa"/>
            <w:tcBorders>
              <w:top w:val="single" w:sz="4" w:space="0" w:color="auto"/>
              <w:bottom w:val="single" w:sz="4" w:space="0" w:color="auto"/>
            </w:tcBorders>
          </w:tcPr>
          <w:p w14:paraId="76F63719" w14:textId="26C5DB1C" w:rsidR="001762EE" w:rsidRPr="005A497D" w:rsidRDefault="001762EE" w:rsidP="00883FA1">
            <w:pPr>
              <w:pStyle w:val="BodyB"/>
              <w:rPr>
                <w:rFonts w:ascii="Times New Roman" w:hAnsi="Times New Roman"/>
                <w:sz w:val="22"/>
                <w:szCs w:val="22"/>
              </w:rPr>
            </w:pPr>
            <w:r>
              <w:rPr>
                <w:rFonts w:ascii="Times New Roman" w:hAnsi="Times New Roman"/>
                <w:sz w:val="22"/>
                <w:szCs w:val="22"/>
              </w:rPr>
              <w:t>8.1</w:t>
            </w:r>
            <w:r w:rsidRPr="005A497D">
              <w:rPr>
                <w:rFonts w:ascii="Times New Roman" w:hAnsi="Times New Roman"/>
                <w:sz w:val="22"/>
                <w:szCs w:val="22"/>
              </w:rPr>
              <w:t xml:space="preserve"> </w:t>
            </w:r>
            <w:r>
              <w:rPr>
                <w:rFonts w:ascii="Times New Roman" w:hAnsi="Times New Roman"/>
                <w:sz w:val="22"/>
                <w:szCs w:val="22"/>
              </w:rPr>
              <w:t xml:space="preserve">Performance plans for service delivery </w:t>
            </w:r>
          </w:p>
        </w:tc>
        <w:tc>
          <w:tcPr>
            <w:tcW w:w="1843" w:type="dxa"/>
            <w:tcBorders>
              <w:top w:val="single" w:sz="4" w:space="0" w:color="auto"/>
              <w:bottom w:val="single" w:sz="4" w:space="0" w:color="auto"/>
            </w:tcBorders>
          </w:tcPr>
          <w:p w14:paraId="5EACB005" w14:textId="4D29C79A" w:rsidR="001762EE" w:rsidRPr="005A497D" w:rsidRDefault="001762EE" w:rsidP="007F2325">
            <w:pPr>
              <w:pStyle w:val="BodyB"/>
              <w:jc w:val="center"/>
              <w:rPr>
                <w:rFonts w:ascii="Times New Roman" w:hAnsi="Times New Roman"/>
                <w:sz w:val="22"/>
                <w:szCs w:val="22"/>
              </w:rPr>
            </w:pPr>
            <w:r>
              <w:rPr>
                <w:rFonts w:ascii="Times New Roman" w:hAnsi="Times New Roman"/>
                <w:sz w:val="22"/>
                <w:szCs w:val="22"/>
              </w:rPr>
              <w:t>A</w:t>
            </w:r>
          </w:p>
        </w:tc>
        <w:tc>
          <w:tcPr>
            <w:tcW w:w="3913" w:type="dxa"/>
            <w:tcBorders>
              <w:top w:val="single" w:sz="4" w:space="0" w:color="auto"/>
              <w:bottom w:val="single" w:sz="4" w:space="0" w:color="auto"/>
            </w:tcBorders>
          </w:tcPr>
          <w:p w14:paraId="21E98610" w14:textId="56DB3A95" w:rsidR="001762EE" w:rsidRPr="005A497D" w:rsidRDefault="001762EE" w:rsidP="00D71ABB">
            <w:pPr>
              <w:pStyle w:val="FreeFormA"/>
              <w:rPr>
                <w:color w:val="0A0A0A"/>
                <w:sz w:val="22"/>
                <w:szCs w:val="22"/>
                <w:lang w:val="en-US"/>
              </w:rPr>
            </w:pPr>
            <w:r w:rsidRPr="005A497D">
              <w:rPr>
                <w:color w:val="0A0A0A"/>
                <w:sz w:val="22"/>
                <w:szCs w:val="22"/>
                <w:lang w:val="en-US"/>
              </w:rPr>
              <w:t>Performance information</w:t>
            </w:r>
            <w:r>
              <w:rPr>
                <w:color w:val="0A0A0A"/>
                <w:sz w:val="22"/>
                <w:szCs w:val="22"/>
                <w:lang w:val="en-US"/>
              </w:rPr>
              <w:t>,</w:t>
            </w:r>
            <w:r w:rsidRPr="005A497D">
              <w:rPr>
                <w:color w:val="0A0A0A"/>
                <w:sz w:val="22"/>
                <w:szCs w:val="22"/>
                <w:lang w:val="en-US"/>
              </w:rPr>
              <w:t xml:space="preserve"> both financial and non-financial</w:t>
            </w:r>
            <w:r>
              <w:rPr>
                <w:color w:val="0A0A0A"/>
                <w:sz w:val="22"/>
                <w:szCs w:val="22"/>
                <w:lang w:val="en-US"/>
              </w:rPr>
              <w:t>,</w:t>
            </w:r>
            <w:r w:rsidRPr="005A497D">
              <w:rPr>
                <w:color w:val="0A0A0A"/>
                <w:sz w:val="22"/>
                <w:szCs w:val="22"/>
                <w:lang w:val="en-US"/>
              </w:rPr>
              <w:t xml:space="preserve"> </w:t>
            </w:r>
            <w:r>
              <w:rPr>
                <w:color w:val="0A0A0A"/>
                <w:sz w:val="22"/>
                <w:szCs w:val="22"/>
                <w:lang w:val="en-US"/>
              </w:rPr>
              <w:t>is</w:t>
            </w:r>
            <w:r w:rsidRPr="005A497D">
              <w:rPr>
                <w:color w:val="0A0A0A"/>
                <w:sz w:val="22"/>
                <w:szCs w:val="22"/>
                <w:lang w:val="en-US"/>
              </w:rPr>
              <w:t xml:space="preserve"> presented in the </w:t>
            </w:r>
            <w:r>
              <w:rPr>
                <w:color w:val="0A0A0A"/>
                <w:sz w:val="22"/>
                <w:szCs w:val="22"/>
                <w:lang w:val="en-US"/>
              </w:rPr>
              <w:t>budget documentation</w:t>
            </w:r>
            <w:r w:rsidRPr="005A497D">
              <w:rPr>
                <w:color w:val="0A0A0A"/>
                <w:sz w:val="22"/>
                <w:szCs w:val="22"/>
                <w:lang w:val="en-US"/>
              </w:rPr>
              <w:t>.</w:t>
            </w:r>
          </w:p>
        </w:tc>
      </w:tr>
      <w:tr w:rsidR="001762EE" w:rsidRPr="005A497D" w14:paraId="68AB3A06" w14:textId="77777777" w:rsidTr="009349CF">
        <w:trPr>
          <w:trHeight w:val="890"/>
        </w:trPr>
        <w:tc>
          <w:tcPr>
            <w:tcW w:w="3600" w:type="dxa"/>
            <w:tcBorders>
              <w:top w:val="single" w:sz="4" w:space="0" w:color="auto"/>
              <w:bottom w:val="single" w:sz="4" w:space="0" w:color="auto"/>
            </w:tcBorders>
          </w:tcPr>
          <w:p w14:paraId="2FF6CF08" w14:textId="5CE7039C" w:rsidR="001762EE" w:rsidRPr="005A497D" w:rsidRDefault="001762EE" w:rsidP="00883FA1">
            <w:pPr>
              <w:pStyle w:val="BodyB"/>
              <w:rPr>
                <w:rFonts w:ascii="Times New Roman" w:hAnsi="Times New Roman"/>
                <w:sz w:val="22"/>
                <w:szCs w:val="22"/>
              </w:rPr>
            </w:pPr>
            <w:r>
              <w:rPr>
                <w:rFonts w:ascii="Times New Roman" w:hAnsi="Times New Roman"/>
                <w:sz w:val="22"/>
                <w:szCs w:val="22"/>
              </w:rPr>
              <w:t>8.2</w:t>
            </w:r>
            <w:r w:rsidRPr="005A497D">
              <w:rPr>
                <w:rFonts w:ascii="Times New Roman" w:hAnsi="Times New Roman"/>
                <w:sz w:val="22"/>
                <w:szCs w:val="22"/>
              </w:rPr>
              <w:t xml:space="preserve"> </w:t>
            </w:r>
            <w:r>
              <w:rPr>
                <w:rFonts w:ascii="Times New Roman" w:hAnsi="Times New Roman"/>
                <w:sz w:val="22"/>
                <w:szCs w:val="22"/>
              </w:rPr>
              <w:t xml:space="preserve">Performance achieved for service delivery </w:t>
            </w:r>
          </w:p>
        </w:tc>
        <w:tc>
          <w:tcPr>
            <w:tcW w:w="1843" w:type="dxa"/>
            <w:tcBorders>
              <w:top w:val="single" w:sz="4" w:space="0" w:color="auto"/>
              <w:bottom w:val="single" w:sz="4" w:space="0" w:color="auto"/>
            </w:tcBorders>
          </w:tcPr>
          <w:p w14:paraId="2A712226" w14:textId="33634597" w:rsidR="001762EE" w:rsidRPr="005A497D" w:rsidRDefault="001762EE" w:rsidP="00E25B22">
            <w:pPr>
              <w:pStyle w:val="BodyB"/>
              <w:jc w:val="center"/>
              <w:rPr>
                <w:rFonts w:ascii="Times New Roman" w:hAnsi="Times New Roman"/>
                <w:sz w:val="22"/>
                <w:szCs w:val="22"/>
              </w:rPr>
            </w:pPr>
            <w:r>
              <w:rPr>
                <w:rFonts w:ascii="Times New Roman" w:hAnsi="Times New Roman"/>
                <w:sz w:val="22"/>
                <w:szCs w:val="22"/>
              </w:rPr>
              <w:t>A</w:t>
            </w:r>
          </w:p>
        </w:tc>
        <w:tc>
          <w:tcPr>
            <w:tcW w:w="3913" w:type="dxa"/>
            <w:tcBorders>
              <w:top w:val="single" w:sz="4" w:space="0" w:color="auto"/>
              <w:bottom w:val="single" w:sz="4" w:space="0" w:color="auto"/>
            </w:tcBorders>
          </w:tcPr>
          <w:p w14:paraId="5137E724" w14:textId="7DDB0F7B" w:rsidR="001762EE" w:rsidRPr="005A497D" w:rsidRDefault="001762EE" w:rsidP="00E34A49">
            <w:pPr>
              <w:pStyle w:val="FreeFormA"/>
              <w:rPr>
                <w:sz w:val="22"/>
                <w:szCs w:val="22"/>
                <w:lang w:val="en-US"/>
              </w:rPr>
            </w:pPr>
            <w:r w:rsidRPr="00611F27">
              <w:rPr>
                <w:sz w:val="22"/>
                <w:szCs w:val="22"/>
                <w:lang w:val="en-US"/>
              </w:rPr>
              <w:t xml:space="preserve">Performance results </w:t>
            </w:r>
            <w:r>
              <w:rPr>
                <w:sz w:val="22"/>
                <w:szCs w:val="22"/>
                <w:lang w:val="en-US"/>
              </w:rPr>
              <w:t xml:space="preserve">for most departments are annually published through report cards on respective websites and </w:t>
            </w:r>
            <w:r w:rsidRPr="00611F27">
              <w:rPr>
                <w:sz w:val="22"/>
                <w:szCs w:val="22"/>
                <w:lang w:val="en-US"/>
              </w:rPr>
              <w:t xml:space="preserve">in the </w:t>
            </w:r>
            <w:r>
              <w:rPr>
                <w:sz w:val="22"/>
                <w:szCs w:val="22"/>
                <w:lang w:val="en-US"/>
              </w:rPr>
              <w:t>a</w:t>
            </w:r>
            <w:r w:rsidRPr="00611F27">
              <w:rPr>
                <w:sz w:val="22"/>
                <w:szCs w:val="22"/>
                <w:lang w:val="en-US"/>
              </w:rPr>
              <w:t>gency annual audit reports.</w:t>
            </w:r>
          </w:p>
        </w:tc>
      </w:tr>
      <w:tr w:rsidR="001762EE" w:rsidRPr="005A497D" w14:paraId="3DE3F4E3" w14:textId="77777777" w:rsidTr="008C1EEE">
        <w:trPr>
          <w:trHeight w:val="782"/>
        </w:trPr>
        <w:tc>
          <w:tcPr>
            <w:tcW w:w="3600" w:type="dxa"/>
            <w:tcBorders>
              <w:top w:val="single" w:sz="4" w:space="0" w:color="auto"/>
              <w:bottom w:val="single" w:sz="4" w:space="0" w:color="auto"/>
            </w:tcBorders>
          </w:tcPr>
          <w:p w14:paraId="0BDDF23E" w14:textId="17B6AFA3" w:rsidR="001762EE" w:rsidRPr="005A497D" w:rsidRDefault="001762EE" w:rsidP="00883FA1">
            <w:pPr>
              <w:pStyle w:val="BodyB"/>
              <w:rPr>
                <w:rFonts w:ascii="Times New Roman" w:hAnsi="Times New Roman"/>
                <w:sz w:val="22"/>
                <w:szCs w:val="22"/>
              </w:rPr>
            </w:pPr>
            <w:r>
              <w:rPr>
                <w:rFonts w:ascii="Times New Roman" w:hAnsi="Times New Roman"/>
                <w:sz w:val="22"/>
                <w:szCs w:val="22"/>
              </w:rPr>
              <w:t>8.3</w:t>
            </w:r>
            <w:r w:rsidRPr="005A497D">
              <w:rPr>
                <w:rFonts w:ascii="Times New Roman" w:hAnsi="Times New Roman"/>
                <w:sz w:val="22"/>
                <w:szCs w:val="22"/>
              </w:rPr>
              <w:t xml:space="preserve"> </w:t>
            </w:r>
            <w:r>
              <w:rPr>
                <w:rFonts w:ascii="Times New Roman" w:hAnsi="Times New Roman"/>
                <w:sz w:val="22"/>
                <w:szCs w:val="22"/>
              </w:rPr>
              <w:t xml:space="preserve">Resources received by service delivery units </w:t>
            </w:r>
          </w:p>
        </w:tc>
        <w:tc>
          <w:tcPr>
            <w:tcW w:w="1843" w:type="dxa"/>
            <w:tcBorders>
              <w:top w:val="single" w:sz="4" w:space="0" w:color="auto"/>
              <w:bottom w:val="single" w:sz="4" w:space="0" w:color="auto"/>
            </w:tcBorders>
          </w:tcPr>
          <w:p w14:paraId="5CA2E3E0" w14:textId="02D3FA56" w:rsidR="001762EE" w:rsidRPr="005A497D" w:rsidRDefault="001762EE" w:rsidP="00611F27">
            <w:pPr>
              <w:pStyle w:val="BodyB"/>
              <w:jc w:val="center"/>
              <w:rPr>
                <w:rFonts w:ascii="Times New Roman" w:hAnsi="Times New Roman"/>
                <w:sz w:val="22"/>
                <w:szCs w:val="22"/>
              </w:rPr>
            </w:pPr>
            <w:r>
              <w:rPr>
                <w:rFonts w:ascii="Times New Roman" w:hAnsi="Times New Roman"/>
                <w:sz w:val="22"/>
                <w:szCs w:val="22"/>
              </w:rPr>
              <w:t>C</w:t>
            </w:r>
          </w:p>
        </w:tc>
        <w:tc>
          <w:tcPr>
            <w:tcW w:w="3913" w:type="dxa"/>
            <w:tcBorders>
              <w:top w:val="single" w:sz="4" w:space="0" w:color="auto"/>
              <w:bottom w:val="single" w:sz="4" w:space="0" w:color="auto"/>
            </w:tcBorders>
          </w:tcPr>
          <w:p w14:paraId="700D00C8" w14:textId="7E1AD671" w:rsidR="001762EE" w:rsidRPr="005A497D" w:rsidRDefault="001762EE" w:rsidP="00CB4C4D">
            <w:pPr>
              <w:pStyle w:val="FreeFormA"/>
              <w:rPr>
                <w:sz w:val="22"/>
                <w:szCs w:val="22"/>
                <w:lang w:val="en-US"/>
              </w:rPr>
            </w:pPr>
            <w:r>
              <w:rPr>
                <w:sz w:val="22"/>
                <w:szCs w:val="22"/>
                <w:lang w:val="en-US"/>
              </w:rPr>
              <w:t xml:space="preserve">PETS led by the Bank in 2015 for </w:t>
            </w:r>
            <w:r w:rsidRPr="00675EE0">
              <w:rPr>
                <w:sz w:val="22"/>
                <w:szCs w:val="22"/>
                <w:lang w:val="en-US"/>
              </w:rPr>
              <w:t>DepEd</w:t>
            </w:r>
            <w:r>
              <w:rPr>
                <w:sz w:val="22"/>
                <w:szCs w:val="22"/>
                <w:lang w:val="en-US"/>
              </w:rPr>
              <w:t xml:space="preserve"> has captured the information on resources received by schools</w:t>
            </w:r>
            <w:r w:rsidRPr="00675EE0">
              <w:rPr>
                <w:sz w:val="22"/>
                <w:szCs w:val="22"/>
                <w:lang w:val="en-US"/>
              </w:rPr>
              <w:t xml:space="preserve">. </w:t>
            </w:r>
          </w:p>
        </w:tc>
      </w:tr>
      <w:tr w:rsidR="001762EE" w:rsidRPr="005A497D" w14:paraId="3164C7E6" w14:textId="77777777" w:rsidTr="0015142A">
        <w:trPr>
          <w:trHeight w:val="926"/>
        </w:trPr>
        <w:tc>
          <w:tcPr>
            <w:tcW w:w="3600" w:type="dxa"/>
            <w:tcBorders>
              <w:top w:val="single" w:sz="4" w:space="0" w:color="auto"/>
              <w:bottom w:val="double" w:sz="4" w:space="0" w:color="auto"/>
            </w:tcBorders>
          </w:tcPr>
          <w:p w14:paraId="6D368898" w14:textId="0C75F767" w:rsidR="001762EE" w:rsidRPr="005A497D" w:rsidRDefault="001762EE" w:rsidP="00883FA1">
            <w:pPr>
              <w:pStyle w:val="BodyB"/>
              <w:rPr>
                <w:rFonts w:ascii="Times New Roman" w:hAnsi="Times New Roman"/>
                <w:sz w:val="22"/>
              </w:rPr>
            </w:pPr>
            <w:r>
              <w:rPr>
                <w:rFonts w:ascii="Times New Roman" w:hAnsi="Times New Roman"/>
                <w:sz w:val="22"/>
              </w:rPr>
              <w:t>8.4</w:t>
            </w:r>
            <w:r w:rsidRPr="005A497D">
              <w:rPr>
                <w:rFonts w:ascii="Times New Roman" w:hAnsi="Times New Roman"/>
                <w:sz w:val="22"/>
              </w:rPr>
              <w:t xml:space="preserve"> </w:t>
            </w:r>
            <w:r>
              <w:rPr>
                <w:rFonts w:ascii="Times New Roman" w:hAnsi="Times New Roman"/>
                <w:sz w:val="22"/>
              </w:rPr>
              <w:t xml:space="preserve">Performance evaluation for service delivery </w:t>
            </w:r>
          </w:p>
        </w:tc>
        <w:tc>
          <w:tcPr>
            <w:tcW w:w="1843" w:type="dxa"/>
            <w:tcBorders>
              <w:top w:val="single" w:sz="4" w:space="0" w:color="auto"/>
              <w:bottom w:val="double" w:sz="4" w:space="0" w:color="auto"/>
            </w:tcBorders>
          </w:tcPr>
          <w:p w14:paraId="60233125" w14:textId="07B649F1" w:rsidR="001762EE" w:rsidRPr="005A497D" w:rsidRDefault="001762EE" w:rsidP="00675EE0">
            <w:pPr>
              <w:pStyle w:val="BodyB"/>
              <w:jc w:val="center"/>
              <w:rPr>
                <w:rFonts w:ascii="Times New Roman" w:hAnsi="Times New Roman"/>
                <w:sz w:val="22"/>
              </w:rPr>
            </w:pPr>
            <w:r>
              <w:rPr>
                <w:rFonts w:ascii="Times New Roman" w:hAnsi="Times New Roman"/>
                <w:sz w:val="22"/>
              </w:rPr>
              <w:t>B</w:t>
            </w:r>
          </w:p>
        </w:tc>
        <w:tc>
          <w:tcPr>
            <w:tcW w:w="3913" w:type="dxa"/>
            <w:tcBorders>
              <w:top w:val="single" w:sz="4" w:space="0" w:color="auto"/>
              <w:bottom w:val="double" w:sz="4" w:space="0" w:color="auto"/>
            </w:tcBorders>
          </w:tcPr>
          <w:p w14:paraId="41213115" w14:textId="467C4565" w:rsidR="001762EE" w:rsidRPr="005A497D" w:rsidRDefault="001762EE" w:rsidP="00CA65E0">
            <w:pPr>
              <w:pStyle w:val="BodyB"/>
              <w:tabs>
                <w:tab w:val="left" w:pos="420"/>
              </w:tabs>
              <w:rPr>
                <w:rFonts w:ascii="Times New Roman" w:hAnsi="Times New Roman"/>
                <w:sz w:val="22"/>
                <w:szCs w:val="22"/>
              </w:rPr>
            </w:pPr>
            <w:r>
              <w:rPr>
                <w:rFonts w:ascii="Times New Roman" w:hAnsi="Times New Roman"/>
                <w:sz w:val="22"/>
                <w:szCs w:val="22"/>
              </w:rPr>
              <w:t>Evaluations of service delivery have been carried out and published for the majority of the departments</w:t>
            </w:r>
            <w:r w:rsidRPr="005A497D">
              <w:rPr>
                <w:rFonts w:ascii="Times New Roman" w:hAnsi="Times New Roman"/>
                <w:sz w:val="22"/>
                <w:szCs w:val="22"/>
              </w:rPr>
              <w:t>.</w:t>
            </w:r>
          </w:p>
        </w:tc>
      </w:tr>
    </w:tbl>
    <w:p w14:paraId="02559129" w14:textId="77777777" w:rsidR="001762EE" w:rsidRPr="005A497D" w:rsidRDefault="001762EE" w:rsidP="00C36588">
      <w:pPr>
        <w:jc w:val="both"/>
      </w:pPr>
    </w:p>
    <w:p w14:paraId="2A9FC111" w14:textId="4B19E41A" w:rsidR="001762EE" w:rsidRPr="000E6AF5" w:rsidRDefault="001762EE" w:rsidP="00753DC0">
      <w:pPr>
        <w:pStyle w:val="BodyB"/>
        <w:tabs>
          <w:tab w:val="left" w:pos="287"/>
        </w:tabs>
        <w:jc w:val="both"/>
        <w:rPr>
          <w:rFonts w:ascii="Times New Roman" w:eastAsia="Times New Roman" w:hAnsi="Times New Roman"/>
          <w:b/>
          <w:color w:val="auto"/>
          <w:szCs w:val="24"/>
          <w:lang w:eastAsia="en-US"/>
        </w:rPr>
      </w:pPr>
      <w:r w:rsidRPr="000E6AF5">
        <w:rPr>
          <w:rFonts w:ascii="Times New Roman" w:hAnsi="Times New Roman"/>
          <w:b/>
          <w:i/>
        </w:rPr>
        <w:t>Dimension 8.1 Performance plans for service delivery</w:t>
      </w:r>
    </w:p>
    <w:p w14:paraId="27AE73C4" w14:textId="71FAA2D6" w:rsidR="001762EE" w:rsidRPr="008C0EF8" w:rsidRDefault="001762EE" w:rsidP="00753DC0">
      <w:pPr>
        <w:pStyle w:val="BodyB"/>
        <w:tabs>
          <w:tab w:val="left" w:pos="287"/>
        </w:tabs>
        <w:jc w:val="both"/>
        <w:rPr>
          <w:rFonts w:ascii="Times New Roman" w:eastAsia="Times New Roman" w:hAnsi="Times New Roman"/>
          <w:color w:val="auto"/>
          <w:szCs w:val="24"/>
          <w:lang w:eastAsia="en-US"/>
        </w:rPr>
      </w:pPr>
    </w:p>
    <w:p w14:paraId="6A9BDD93" w14:textId="5D058BE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2014, </w:t>
      </w:r>
      <w:r>
        <w:t>the Department of Budget and Management</w:t>
      </w:r>
      <w:r w:rsidRPr="005A497D">
        <w:t xml:space="preserve"> </w:t>
      </w:r>
      <w:r>
        <w:t xml:space="preserve">introduced </w:t>
      </w:r>
      <w:r w:rsidRPr="005A497D">
        <w:t xml:space="preserve">performance-informed budgeting </w:t>
      </w:r>
      <w:r>
        <w:t>t</w:t>
      </w:r>
      <w:r w:rsidRPr="005A497D">
        <w:t>hrough National Budget Memorandum No. 117</w:t>
      </w:r>
      <w:r>
        <w:t xml:space="preserve"> and the National Budget Circular No. 552 for guidance on the shift to the outcome-based, performance-informed budget. This</w:t>
      </w:r>
      <w:r w:rsidRPr="005A497D">
        <w:t xml:space="preserve"> required government agencies to strengthen the link between planning and budgeting to simplify the presentation of the budget. </w:t>
      </w:r>
      <w:r>
        <w:rPr>
          <w:color w:val="0A0A0A"/>
        </w:rPr>
        <w:t>Performance-informed budgeting</w:t>
      </w:r>
      <w:r w:rsidRPr="005A497D">
        <w:rPr>
          <w:color w:val="0A0A0A"/>
        </w:rPr>
        <w:t xml:space="preserve"> is </w:t>
      </w:r>
      <w:r>
        <w:rPr>
          <w:color w:val="0A0A0A"/>
        </w:rPr>
        <w:t>an</w:t>
      </w:r>
      <w:r w:rsidRPr="005A497D">
        <w:rPr>
          <w:color w:val="0A0A0A"/>
        </w:rPr>
        <w:t xml:space="preserve"> approach that uses performance information to assist in deciding where the funds will go. Performance information</w:t>
      </w:r>
      <w:r>
        <w:rPr>
          <w:color w:val="0A0A0A"/>
        </w:rPr>
        <w:t>,</w:t>
      </w:r>
      <w:r w:rsidRPr="005A497D">
        <w:rPr>
          <w:color w:val="0A0A0A"/>
        </w:rPr>
        <w:t xml:space="preserve"> both financial and non-financial</w:t>
      </w:r>
      <w:r>
        <w:rPr>
          <w:color w:val="0A0A0A"/>
        </w:rPr>
        <w:t>,</w:t>
      </w:r>
      <w:r w:rsidRPr="005A497D">
        <w:rPr>
          <w:color w:val="0A0A0A"/>
        </w:rPr>
        <w:t xml:space="preserve"> </w:t>
      </w:r>
      <w:r>
        <w:rPr>
          <w:color w:val="0A0A0A"/>
        </w:rPr>
        <w:t>is</w:t>
      </w:r>
      <w:r w:rsidRPr="005A497D">
        <w:rPr>
          <w:color w:val="0A0A0A"/>
        </w:rPr>
        <w:t xml:space="preserve"> presented in the appropriations document, which provides the context for the programs, activities</w:t>
      </w:r>
      <w:r>
        <w:rPr>
          <w:color w:val="0A0A0A"/>
        </w:rPr>
        <w:t>,</w:t>
      </w:r>
      <w:r w:rsidRPr="005A497D">
        <w:rPr>
          <w:color w:val="0A0A0A"/>
        </w:rPr>
        <w:t xml:space="preserve"> and projects pursued by the different agencies of government. The same practice was continued for 2015 and 2016 budgets.</w:t>
      </w:r>
    </w:p>
    <w:p w14:paraId="78904A28"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5279E71A" w14:textId="4DAE8CF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color w:val="0A0A0A"/>
        </w:rPr>
        <w:t xml:space="preserve">The </w:t>
      </w:r>
      <w:r>
        <w:rPr>
          <w:color w:val="0A0A0A"/>
        </w:rPr>
        <w:t>General Appropriations Act</w:t>
      </w:r>
      <w:r w:rsidRPr="005A497D">
        <w:rPr>
          <w:color w:val="0A0A0A"/>
        </w:rPr>
        <w:t xml:space="preserve"> presents non-financial performance information together with the allocated resources for the different </w:t>
      </w:r>
      <w:r>
        <w:rPr>
          <w:color w:val="0A0A0A"/>
        </w:rPr>
        <w:t>programs, activities, and projects</w:t>
      </w:r>
      <w:r w:rsidRPr="005A497D">
        <w:rPr>
          <w:color w:val="0A0A0A"/>
        </w:rPr>
        <w:t xml:space="preserve">. </w:t>
      </w:r>
      <w:r>
        <w:rPr>
          <w:color w:val="0A0A0A"/>
        </w:rPr>
        <w:t>This</w:t>
      </w:r>
      <w:r w:rsidRPr="005A497D">
        <w:rPr>
          <w:color w:val="0A0A0A"/>
        </w:rPr>
        <w:t xml:space="preserve"> information </w:t>
      </w:r>
      <w:r>
        <w:rPr>
          <w:color w:val="0A0A0A"/>
        </w:rPr>
        <w:t>was</w:t>
      </w:r>
      <w:r w:rsidRPr="005A497D">
        <w:rPr>
          <w:color w:val="0A0A0A"/>
        </w:rPr>
        <w:t xml:space="preserve"> used by the </w:t>
      </w:r>
      <w:r>
        <w:rPr>
          <w:color w:val="0A0A0A"/>
        </w:rPr>
        <w:t>Department of Budget and Management</w:t>
      </w:r>
      <w:r w:rsidRPr="005A497D">
        <w:rPr>
          <w:color w:val="0A0A0A"/>
        </w:rPr>
        <w:t xml:space="preserve"> to evaluate department and agency proposals during the budget preparation process. Instead of being immediately confronted with </w:t>
      </w:r>
      <w:r>
        <w:rPr>
          <w:color w:val="0A0A0A"/>
        </w:rPr>
        <w:t>a long list of line items</w:t>
      </w:r>
      <w:r w:rsidRPr="005A497D">
        <w:rPr>
          <w:color w:val="0A0A0A"/>
        </w:rPr>
        <w:t xml:space="preserve">, </w:t>
      </w:r>
      <w:r>
        <w:rPr>
          <w:color w:val="0A0A0A"/>
        </w:rPr>
        <w:t>programs, activities, and projects</w:t>
      </w:r>
      <w:r w:rsidRPr="005A497D">
        <w:rPr>
          <w:color w:val="0A0A0A"/>
        </w:rPr>
        <w:t xml:space="preserve"> are grouped according to the </w:t>
      </w:r>
      <w:r>
        <w:rPr>
          <w:color w:val="0A0A0A"/>
        </w:rPr>
        <w:t>major final output</w:t>
      </w:r>
      <w:r w:rsidRPr="005A497D">
        <w:rPr>
          <w:color w:val="0A0A0A"/>
        </w:rPr>
        <w:t>s</w:t>
      </w:r>
      <w:r>
        <w:rPr>
          <w:color w:val="0A0A0A"/>
        </w:rPr>
        <w:t xml:space="preserve"> </w:t>
      </w:r>
      <w:r w:rsidRPr="005A497D">
        <w:rPr>
          <w:color w:val="0A0A0A"/>
        </w:rPr>
        <w:t>that department</w:t>
      </w:r>
      <w:r>
        <w:rPr>
          <w:color w:val="0A0A0A"/>
        </w:rPr>
        <w:t xml:space="preserve">s and </w:t>
      </w:r>
      <w:r w:rsidRPr="005A497D">
        <w:rPr>
          <w:color w:val="0A0A0A"/>
        </w:rPr>
        <w:t xml:space="preserve">agencies seek to achieve. </w:t>
      </w:r>
      <w:r>
        <w:rPr>
          <w:color w:val="0A0A0A"/>
        </w:rPr>
        <w:t>In this</w:t>
      </w:r>
      <w:r w:rsidRPr="005A497D">
        <w:rPr>
          <w:color w:val="0A0A0A"/>
        </w:rPr>
        <w:t xml:space="preserve"> way the budget that goes into a particular </w:t>
      </w:r>
      <w:r>
        <w:rPr>
          <w:color w:val="0A0A0A"/>
        </w:rPr>
        <w:t>program, activity, or project</w:t>
      </w:r>
      <w:r w:rsidRPr="005A497D">
        <w:rPr>
          <w:color w:val="0A0A0A"/>
        </w:rPr>
        <w:t xml:space="preserve"> is linked directly to the </w:t>
      </w:r>
      <w:r>
        <w:rPr>
          <w:color w:val="0A0A0A"/>
        </w:rPr>
        <w:t xml:space="preserve">final </w:t>
      </w:r>
      <w:r w:rsidRPr="005A497D">
        <w:rPr>
          <w:color w:val="0A0A0A"/>
        </w:rPr>
        <w:t>output it intend</w:t>
      </w:r>
      <w:r>
        <w:rPr>
          <w:color w:val="0A0A0A"/>
        </w:rPr>
        <w:t xml:space="preserve">ed </w:t>
      </w:r>
      <w:r w:rsidRPr="005A497D">
        <w:rPr>
          <w:color w:val="0A0A0A"/>
        </w:rPr>
        <w:t>to achieve.</w:t>
      </w:r>
    </w:p>
    <w:p w14:paraId="29A3B2FA"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0815F531" w14:textId="66A1A52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7F2325">
        <w:rPr>
          <w:color w:val="0A0A0A"/>
        </w:rPr>
        <w:t>Performance information</w:t>
      </w:r>
      <w:r>
        <w:rPr>
          <w:color w:val="0A0A0A"/>
        </w:rPr>
        <w:t>,</w:t>
      </w:r>
      <w:r w:rsidRPr="007F2325">
        <w:rPr>
          <w:color w:val="0A0A0A"/>
        </w:rPr>
        <w:t xml:space="preserve"> both financial and non-financial information</w:t>
      </w:r>
      <w:r>
        <w:rPr>
          <w:color w:val="0A0A0A"/>
        </w:rPr>
        <w:t>,</w:t>
      </w:r>
      <w:r w:rsidRPr="007F2325">
        <w:rPr>
          <w:color w:val="0A0A0A"/>
        </w:rPr>
        <w:t xml:space="preserve"> are </w:t>
      </w:r>
      <w:r>
        <w:rPr>
          <w:color w:val="0A0A0A"/>
        </w:rPr>
        <w:t>p</w:t>
      </w:r>
      <w:r w:rsidRPr="007F2325">
        <w:rPr>
          <w:color w:val="0A0A0A"/>
        </w:rPr>
        <w:t xml:space="preserve">resented in the </w:t>
      </w:r>
      <w:r>
        <w:rPr>
          <w:color w:val="0A0A0A"/>
        </w:rPr>
        <w:t xml:space="preserve">published </w:t>
      </w:r>
      <w:r w:rsidRPr="007F2325">
        <w:rPr>
          <w:color w:val="0A0A0A"/>
        </w:rPr>
        <w:t>appropriations document</w:t>
      </w:r>
      <w:r w:rsidR="00CA2A08">
        <w:rPr>
          <w:color w:val="0A0A0A"/>
        </w:rPr>
        <w:t>,</w:t>
      </w:r>
      <w:r>
        <w:rPr>
          <w:color w:val="0A0A0A"/>
        </w:rPr>
        <w:t xml:space="preserve"> </w:t>
      </w:r>
      <w:r w:rsidR="00CA2A08">
        <w:rPr>
          <w:color w:val="0A0A0A"/>
        </w:rPr>
        <w:t xml:space="preserve">the </w:t>
      </w:r>
      <w:r>
        <w:rPr>
          <w:color w:val="0A0A0A"/>
        </w:rPr>
        <w:t>General Appropriations Act for all departments and agencies. This includes objectives, indicators, and outputs. Hence</w:t>
      </w:r>
      <w:r w:rsidRPr="005A497D">
        <w:rPr>
          <w:color w:val="0A0A0A"/>
        </w:rPr>
        <w:t>, the rating</w:t>
      </w:r>
      <w:r>
        <w:rPr>
          <w:color w:val="0A0A0A"/>
        </w:rPr>
        <w:t xml:space="preserve"> for Dimension 8.1</w:t>
      </w:r>
      <w:r w:rsidRPr="005A497D">
        <w:rPr>
          <w:color w:val="0A0A0A"/>
        </w:rPr>
        <w:t xml:space="preserve"> is assessed as “</w:t>
      </w:r>
      <w:r>
        <w:rPr>
          <w:color w:val="0A0A0A"/>
        </w:rPr>
        <w:t>A</w:t>
      </w:r>
      <w:r w:rsidRPr="005A497D">
        <w:rPr>
          <w:color w:val="0A0A0A"/>
        </w:rPr>
        <w:t>”.</w:t>
      </w:r>
    </w:p>
    <w:p w14:paraId="4D6C2082"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5A117290" w14:textId="77777777" w:rsidR="001805CA" w:rsidRDefault="001805CA" w:rsidP="00753DC0">
      <w:pPr>
        <w:pStyle w:val="BodyB"/>
        <w:tabs>
          <w:tab w:val="left" w:pos="287"/>
        </w:tabs>
        <w:jc w:val="both"/>
        <w:rPr>
          <w:rFonts w:ascii="Times New Roman" w:hAnsi="Times New Roman"/>
          <w:b/>
          <w:i/>
        </w:rPr>
      </w:pPr>
    </w:p>
    <w:p w14:paraId="4827EE8C" w14:textId="10A8CD08" w:rsidR="001762EE" w:rsidRPr="00BF1CCD" w:rsidRDefault="001762EE" w:rsidP="00753DC0">
      <w:pPr>
        <w:pStyle w:val="BodyB"/>
        <w:tabs>
          <w:tab w:val="left" w:pos="287"/>
        </w:tabs>
        <w:jc w:val="both"/>
        <w:rPr>
          <w:rFonts w:ascii="Times New Roman" w:hAnsi="Times New Roman"/>
          <w:b/>
          <w:i/>
        </w:rPr>
      </w:pPr>
      <w:r w:rsidRPr="00BF1CCD">
        <w:rPr>
          <w:rFonts w:ascii="Times New Roman" w:hAnsi="Times New Roman"/>
          <w:b/>
          <w:i/>
        </w:rPr>
        <w:t>Dimension 8.2 Performance achieved for service delivery</w:t>
      </w:r>
    </w:p>
    <w:p w14:paraId="42B569D0" w14:textId="77777777" w:rsidR="001762EE" w:rsidRPr="008C0EF8" w:rsidRDefault="001762EE" w:rsidP="00753DC0">
      <w:pPr>
        <w:pStyle w:val="BodyB"/>
        <w:tabs>
          <w:tab w:val="left" w:pos="287"/>
        </w:tabs>
        <w:jc w:val="both"/>
        <w:rPr>
          <w:rFonts w:ascii="Times New Roman" w:hAnsi="Times New Roman"/>
        </w:rPr>
      </w:pPr>
    </w:p>
    <w:p w14:paraId="4A577444" w14:textId="3E149AA1"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Pr>
          <w:color w:val="0A0A0A"/>
        </w:rPr>
        <w:t>The results of each agency’s performance are generated through the results-based performance management system (RBPMS) and published under the Development Academy of the Philippines website.</w:t>
      </w:r>
      <w:r>
        <w:rPr>
          <w:rStyle w:val="EndnoteReference"/>
          <w:color w:val="0A0A0A"/>
        </w:rPr>
        <w:endnoteReference w:id="20"/>
      </w:r>
      <w:r>
        <w:rPr>
          <w:color w:val="0A0A0A"/>
        </w:rPr>
        <w:t xml:space="preserve"> </w:t>
      </w:r>
      <w:r>
        <w:t>Results of the priority programs are rated through the Priority Program Accountability Report Card while the results of the major final output (MFO) is rated through the MFO</w:t>
      </w:r>
      <w:r w:rsidRPr="00850446">
        <w:t xml:space="preserve"> </w:t>
      </w:r>
      <w:r>
        <w:t>Accountability Report Card.</w:t>
      </w:r>
      <w:r>
        <w:rPr>
          <w:color w:val="0A0A0A"/>
        </w:rPr>
        <w:t xml:space="preserve"> </w:t>
      </w:r>
      <w:r w:rsidRPr="005A497D">
        <w:t xml:space="preserve">Performance results are </w:t>
      </w:r>
      <w:r>
        <w:t>also published</w:t>
      </w:r>
      <w:r w:rsidRPr="005A497D">
        <w:t xml:space="preserve"> </w:t>
      </w:r>
      <w:r>
        <w:t>o</w:t>
      </w:r>
      <w:r w:rsidRPr="005A497D">
        <w:t xml:space="preserve">n the </w:t>
      </w:r>
      <w:r>
        <w:t>a</w:t>
      </w:r>
      <w:r w:rsidRPr="005A497D">
        <w:t>gency</w:t>
      </w:r>
      <w:r>
        <w:t>’s website under transparency seal and</w:t>
      </w:r>
      <w:r w:rsidRPr="005A497D">
        <w:t xml:space="preserve"> </w:t>
      </w:r>
      <w:r>
        <w:t xml:space="preserve">in </w:t>
      </w:r>
      <w:r w:rsidRPr="005A497D">
        <w:t xml:space="preserve">annual audit reports, particularly in the </w:t>
      </w:r>
      <w:r>
        <w:t>e</w:t>
      </w:r>
      <w:r w:rsidRPr="005A497D">
        <w:t xml:space="preserve">xecutive </w:t>
      </w:r>
      <w:r>
        <w:t>s</w:t>
      </w:r>
      <w:r w:rsidRPr="005A497D">
        <w:t>ummary</w:t>
      </w:r>
      <w:r>
        <w:t>.</w:t>
      </w:r>
      <w:r w:rsidRPr="005A497D">
        <w:t xml:space="preserve"> </w:t>
      </w:r>
    </w:p>
    <w:p w14:paraId="58AF2326" w14:textId="77777777" w:rsidR="001762EE" w:rsidRDefault="001762EE" w:rsidP="00F26E64">
      <w:pPr>
        <w:pStyle w:val="NormalWeb"/>
        <w:autoSpaceDE w:val="0"/>
        <w:autoSpaceDN w:val="0"/>
        <w:adjustRightInd w:val="0"/>
        <w:spacing w:before="0" w:beforeAutospacing="0" w:after="0" w:afterAutospacing="0"/>
        <w:contextualSpacing/>
        <w:jc w:val="both"/>
      </w:pPr>
    </w:p>
    <w:p w14:paraId="3EF74A19" w14:textId="07E33C8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Comparison with targets is available, and information on outputs is routinely published for most departments in their audit reports. Based on the assessment</w:t>
      </w:r>
      <w:r w:rsidRPr="005A497D">
        <w:t xml:space="preserve">, the rating </w:t>
      </w:r>
      <w:r>
        <w:t xml:space="preserve">for Dimension 8.2 </w:t>
      </w:r>
      <w:r w:rsidRPr="005A497D">
        <w:t xml:space="preserve">is </w:t>
      </w:r>
      <w:r>
        <w:t xml:space="preserve">considered </w:t>
      </w:r>
      <w:r w:rsidRPr="005A497D">
        <w:t>as “</w:t>
      </w:r>
      <w:r>
        <w:t>A</w:t>
      </w:r>
      <w:r w:rsidRPr="005A497D">
        <w:t>”.</w:t>
      </w:r>
    </w:p>
    <w:p w14:paraId="2FE287BC"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207E0B4B" w14:textId="245F3919" w:rsidR="001762EE" w:rsidRPr="00BF1CCD" w:rsidRDefault="001762EE" w:rsidP="00753DC0">
      <w:pPr>
        <w:pStyle w:val="BodyB"/>
        <w:tabs>
          <w:tab w:val="left" w:pos="420"/>
        </w:tabs>
        <w:jc w:val="both"/>
        <w:rPr>
          <w:rFonts w:ascii="Times New Roman" w:hAnsi="Times New Roman"/>
          <w:b/>
          <w:i/>
        </w:rPr>
      </w:pPr>
      <w:r w:rsidRPr="00BF1CCD">
        <w:rPr>
          <w:rFonts w:ascii="Times New Roman" w:hAnsi="Times New Roman"/>
          <w:b/>
          <w:i/>
        </w:rPr>
        <w:t>Dimension 8.3 Resources received by service delivery units</w:t>
      </w:r>
    </w:p>
    <w:p w14:paraId="3E0E24B5" w14:textId="77777777" w:rsidR="001762EE" w:rsidRPr="008C0EF8" w:rsidRDefault="001762EE" w:rsidP="00753DC0">
      <w:pPr>
        <w:pStyle w:val="BodyB"/>
        <w:tabs>
          <w:tab w:val="left" w:pos="420"/>
        </w:tabs>
        <w:jc w:val="both"/>
        <w:rPr>
          <w:rFonts w:ascii="Times New Roman" w:hAnsi="Times New Roman"/>
        </w:rPr>
      </w:pPr>
    </w:p>
    <w:p w14:paraId="1E84077A" w14:textId="32BF444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Once the budget is approved, </w:t>
      </w:r>
      <w:r>
        <w:t>the Department of Budget and Management releases the funds</w:t>
      </w:r>
      <w:r w:rsidRPr="005A497D">
        <w:t xml:space="preserve">. The actual flow </w:t>
      </w:r>
      <w:r>
        <w:t xml:space="preserve">of funds </w:t>
      </w:r>
      <w:r w:rsidRPr="005A497D">
        <w:t xml:space="preserve">to the service delivery unit varies per agency and nature of </w:t>
      </w:r>
      <w:r>
        <w:t xml:space="preserve">the </w:t>
      </w:r>
      <w:r w:rsidRPr="005A497D">
        <w:t xml:space="preserve">programs. Records are maintained </w:t>
      </w:r>
      <w:r>
        <w:t xml:space="preserve">at various levels, </w:t>
      </w:r>
      <w:r w:rsidRPr="005A497D">
        <w:t>which allow t</w:t>
      </w:r>
      <w:r>
        <w:t xml:space="preserve">his process to be documented, but lack of integrated systems and automation limits the ability to </w:t>
      </w:r>
      <w:r w:rsidRPr="005A497D">
        <w:t>monitor</w:t>
      </w:r>
      <w:r>
        <w:t xml:space="preserve"> at a central level</w:t>
      </w:r>
      <w:r w:rsidRPr="005A497D">
        <w:t>.</w:t>
      </w:r>
    </w:p>
    <w:p w14:paraId="4A1F94E2"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389F7978" w14:textId="6EAC54B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Delays in receipt of intended resources by service delivery units is not uncommon and is a fact noted in </w:t>
      </w:r>
      <w:r>
        <w:t>CoA</w:t>
      </w:r>
      <w:r w:rsidRPr="005A497D">
        <w:t xml:space="preserve"> audit reports. This is further exacerbated by the often incomplete and unreliable records in the field offices. The lack of an integrated computerized system contributes to the difficulty in consolidating and reporting information in a timely manner. Reconciliations between the records of </w:t>
      </w:r>
      <w:r>
        <w:t xml:space="preserve">the </w:t>
      </w:r>
      <w:r w:rsidRPr="005A497D">
        <w:t xml:space="preserve">recipient unit and the downloading entity </w:t>
      </w:r>
      <w:r>
        <w:t>are</w:t>
      </w:r>
      <w:r w:rsidRPr="005A497D">
        <w:t xml:space="preserve"> often delayed.</w:t>
      </w:r>
    </w:p>
    <w:p w14:paraId="5903C27D"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004923B5" w14:textId="025F4D1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Department of Education maintains an electronic basic education information system, which provides a database of physical resources at the school level. This is annually updated through a school census verified by divisional offices. Financial information is not included. In 2015, the World Bank conducted a public expenditure tracking survey (PETS), which collected data on resources received by schools. The DepEd, like all departments, is required </w:t>
      </w:r>
      <w:r w:rsidRPr="007F6135">
        <w:t xml:space="preserve">to </w:t>
      </w:r>
      <w:r w:rsidRPr="00D61A47">
        <w:t xml:space="preserve">submit a consolidated Statement of Appropriations, Allotments, Obligations, Disbursements, and Balances (SAAODB) on a quarterly basis to </w:t>
      </w:r>
      <w:r>
        <w:t xml:space="preserve">the </w:t>
      </w:r>
      <w:r w:rsidRPr="00D61A47">
        <w:t>DB M. This</w:t>
      </w:r>
      <w:r>
        <w:t xml:space="preserve"> report reflects information on resources received by the frontline service delivery units whether sub-allotted by the Central Office or directly released by </w:t>
      </w:r>
      <w:r w:rsidR="001B2BA3">
        <w:t>DBM</w:t>
      </w:r>
      <w:r>
        <w:t xml:space="preserve">. Consolidation of information is however a challenge due to the absence of </w:t>
      </w:r>
      <w:r w:rsidR="001B2BA3">
        <w:t>an integrated financial management information system</w:t>
      </w:r>
      <w:r>
        <w:t>, which would facilitate the consolidation of data from Budget and Accounting Units.</w:t>
      </w:r>
      <w:r w:rsidRPr="005A497D">
        <w:t xml:space="preserve"> </w:t>
      </w:r>
      <w:r>
        <w:t xml:space="preserve">As a result submissions are often delayed considerably. </w:t>
      </w:r>
      <w:r w:rsidRPr="005A497D">
        <w:t>The rating is assessed as “</w:t>
      </w:r>
      <w:r>
        <w:t>C</w:t>
      </w:r>
      <w:r w:rsidRPr="005A497D">
        <w:t>”</w:t>
      </w:r>
      <w:r>
        <w:t xml:space="preserve"> based on the conduct of PETS for Department of Education, the largest service delivery departments</w:t>
      </w:r>
      <w:r w:rsidRPr="005A497D">
        <w:t>.</w:t>
      </w:r>
    </w:p>
    <w:p w14:paraId="10EB989E" w14:textId="77777777" w:rsidR="001762EE" w:rsidRPr="005A497D" w:rsidRDefault="001762EE" w:rsidP="00753DC0">
      <w:pPr>
        <w:pStyle w:val="NormalWeb"/>
        <w:autoSpaceDE w:val="0"/>
        <w:autoSpaceDN w:val="0"/>
        <w:adjustRightInd w:val="0"/>
        <w:spacing w:before="0" w:beforeAutospacing="0" w:after="0" w:afterAutospacing="0"/>
        <w:contextualSpacing/>
        <w:jc w:val="both"/>
      </w:pPr>
    </w:p>
    <w:p w14:paraId="394AB247" w14:textId="458137DE" w:rsidR="001762EE" w:rsidRPr="00BF1CCD" w:rsidRDefault="001762EE" w:rsidP="00753DC0">
      <w:pPr>
        <w:pStyle w:val="BodyB"/>
        <w:tabs>
          <w:tab w:val="left" w:pos="420"/>
        </w:tabs>
        <w:jc w:val="both"/>
        <w:rPr>
          <w:rFonts w:ascii="Times New Roman" w:hAnsi="Times New Roman"/>
          <w:b/>
          <w:i/>
        </w:rPr>
      </w:pPr>
      <w:r w:rsidRPr="00BF1CCD">
        <w:rPr>
          <w:rFonts w:ascii="Times New Roman" w:hAnsi="Times New Roman"/>
          <w:b/>
          <w:i/>
        </w:rPr>
        <w:t>Dimension 8.4 Performance evaluation for service delivery</w:t>
      </w:r>
    </w:p>
    <w:p w14:paraId="6A728A5B" w14:textId="77777777" w:rsidR="001762EE" w:rsidRPr="008C0EF8" w:rsidRDefault="001762EE" w:rsidP="00753DC0">
      <w:pPr>
        <w:pStyle w:val="BodyB"/>
        <w:tabs>
          <w:tab w:val="left" w:pos="420"/>
        </w:tabs>
        <w:jc w:val="both"/>
        <w:rPr>
          <w:rFonts w:ascii="Times New Roman" w:hAnsi="Times New Roman"/>
        </w:rPr>
      </w:pPr>
    </w:p>
    <w:p w14:paraId="5CC95CE7" w14:textId="1D1C27DF"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Pr>
          <w:color w:val="0A0A0A"/>
        </w:rPr>
        <w:t>The Department of Budget and Management</w:t>
      </w:r>
      <w:r w:rsidRPr="003664CE">
        <w:rPr>
          <w:color w:val="0A0A0A"/>
        </w:rPr>
        <w:t xml:space="preserve"> annually commission</w:t>
      </w:r>
      <w:r>
        <w:rPr>
          <w:color w:val="0A0A0A"/>
        </w:rPr>
        <w:t>s</w:t>
      </w:r>
      <w:r w:rsidRPr="003664CE">
        <w:rPr>
          <w:color w:val="0A0A0A"/>
        </w:rPr>
        <w:t xml:space="preserve"> program evaluations conducted either by DBM or through </w:t>
      </w:r>
      <w:r w:rsidR="001B2BA3">
        <w:rPr>
          <w:color w:val="0A0A0A"/>
        </w:rPr>
        <w:t>third party institutions</w:t>
      </w:r>
      <w:r w:rsidRPr="003664CE">
        <w:rPr>
          <w:color w:val="0A0A0A"/>
        </w:rPr>
        <w:t xml:space="preserve"> such as the Philippine Institute for Development Studies. The reports of these studies are available at </w:t>
      </w:r>
      <w:r>
        <w:rPr>
          <w:color w:val="0A0A0A"/>
        </w:rPr>
        <w:t xml:space="preserve">the </w:t>
      </w:r>
      <w:r w:rsidRPr="003664CE">
        <w:rPr>
          <w:color w:val="0A0A0A"/>
        </w:rPr>
        <w:t>DBM website</w:t>
      </w:r>
      <w:r w:rsidRPr="003664CE">
        <w:rPr>
          <w:rStyle w:val="EndnoteReference"/>
          <w:color w:val="0A0A0A"/>
        </w:rPr>
        <w:endnoteReference w:id="21"/>
      </w:r>
      <w:r w:rsidRPr="003664CE">
        <w:rPr>
          <w:color w:val="0A0A0A"/>
        </w:rPr>
        <w:t xml:space="preserve"> or at SocioEconomic Research Portal for the Philippines</w:t>
      </w:r>
      <w:r>
        <w:rPr>
          <w:color w:val="0A0A0A"/>
        </w:rPr>
        <w:t>.</w:t>
      </w:r>
      <w:r w:rsidRPr="003664CE">
        <w:rPr>
          <w:rStyle w:val="EndnoteReference"/>
          <w:color w:val="0A0A0A"/>
        </w:rPr>
        <w:endnoteReference w:id="22"/>
      </w:r>
      <w:r>
        <w:rPr>
          <w:color w:val="0A0A0A"/>
        </w:rPr>
        <w:t xml:space="preserve"> </w:t>
      </w:r>
      <w:r>
        <w:t>The Commission on Audit</w:t>
      </w:r>
      <w:r w:rsidRPr="005A497D">
        <w:t xml:space="preserve">, through its Special Audits Office, </w:t>
      </w:r>
      <w:r>
        <w:t xml:space="preserve">also </w:t>
      </w:r>
      <w:r w:rsidRPr="005A497D">
        <w:t>conducts performance audits. Performance or value-for-money audits are classified as government-wide, sector</w:t>
      </w:r>
      <w:r>
        <w:t>-wide, or</w:t>
      </w:r>
      <w:r w:rsidRPr="005A497D">
        <w:t xml:space="preserve"> agency-wide. Reports are published on the </w:t>
      </w:r>
      <w:r>
        <w:t>CoA</w:t>
      </w:r>
      <w:r w:rsidRPr="005A497D">
        <w:t xml:space="preserve"> website. </w:t>
      </w:r>
    </w:p>
    <w:p w14:paraId="2DD0436C" w14:textId="77777777" w:rsidR="001762EE" w:rsidRPr="005A497D" w:rsidRDefault="001762EE" w:rsidP="002979E5">
      <w:pPr>
        <w:pStyle w:val="NormalWeb"/>
        <w:autoSpaceDE w:val="0"/>
        <w:autoSpaceDN w:val="0"/>
        <w:adjustRightInd w:val="0"/>
        <w:spacing w:before="0" w:beforeAutospacing="0" w:after="0" w:afterAutospacing="0"/>
        <w:contextualSpacing/>
        <w:jc w:val="both"/>
      </w:pPr>
    </w:p>
    <w:p w14:paraId="30DEC6EF" w14:textId="5C324D4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w:t>
      </w:r>
      <w:r>
        <w:t>e</w:t>
      </w:r>
      <w:r w:rsidRPr="005A497D">
        <w:t xml:space="preserve"> </w:t>
      </w:r>
      <w:r>
        <w:t>value-for-money</w:t>
      </w:r>
      <w:r w:rsidRPr="005A497D">
        <w:t xml:space="preserve"> audit </w:t>
      </w:r>
      <w:r>
        <w:t xml:space="preserve">is conducted to review </w:t>
      </w:r>
      <w:r w:rsidRPr="005A497D">
        <w:t xml:space="preserve">management efficiency </w:t>
      </w:r>
      <w:r>
        <w:t>and ascertain</w:t>
      </w:r>
      <w:r w:rsidRPr="005A497D">
        <w:t xml:space="preserve"> the agency’s effectiveness </w:t>
      </w:r>
      <w:r>
        <w:t xml:space="preserve">in achievement of </w:t>
      </w:r>
      <w:r w:rsidRPr="005A497D">
        <w:t>desired results</w:t>
      </w:r>
      <w:r>
        <w:t xml:space="preserve">. </w:t>
      </w:r>
      <w:r w:rsidRPr="005A497D">
        <w:t xml:space="preserve">In </w:t>
      </w:r>
      <w:r>
        <w:t>the years since 2012 to 2015</w:t>
      </w:r>
      <w:r w:rsidRPr="005A497D">
        <w:t xml:space="preserve">, </w:t>
      </w:r>
      <w:r>
        <w:t xml:space="preserve">program evaluations and </w:t>
      </w:r>
      <w:r w:rsidRPr="005A497D">
        <w:t xml:space="preserve">performance audits </w:t>
      </w:r>
      <w:r>
        <w:t>have been conducted for departments representing a majority of the budget appropriations.</w:t>
      </w:r>
      <w:r w:rsidRPr="005A497D">
        <w:t xml:space="preserve"> </w:t>
      </w:r>
      <w:r w:rsidR="001B2BA3">
        <w:t>The r</w:t>
      </w:r>
      <w:r w:rsidRPr="005A497D">
        <w:t xml:space="preserve">ating </w:t>
      </w:r>
      <w:r>
        <w:t xml:space="preserve">for Dimension 8.4 </w:t>
      </w:r>
      <w:r w:rsidRPr="005A497D">
        <w:t>is thus assessed as “</w:t>
      </w:r>
      <w:r>
        <w:t>B</w:t>
      </w:r>
      <w:r w:rsidRPr="005A497D">
        <w:t>”.</w:t>
      </w:r>
    </w:p>
    <w:p w14:paraId="0657157D" w14:textId="77777777" w:rsidR="001762EE" w:rsidRDefault="001762EE" w:rsidP="00411651">
      <w:pPr>
        <w:pStyle w:val="Heading3"/>
      </w:pPr>
      <w:bookmarkStart w:id="89" w:name="_Toc317506449"/>
    </w:p>
    <w:p w14:paraId="437E4214" w14:textId="273B847F" w:rsidR="001762EE" w:rsidRDefault="001762EE" w:rsidP="00411651">
      <w:pPr>
        <w:pStyle w:val="Heading3"/>
      </w:pPr>
      <w:bookmarkStart w:id="90" w:name="_Toc454811653"/>
      <w:bookmarkStart w:id="91" w:name="_Toc454888798"/>
      <w:r w:rsidRPr="005A497D">
        <w:t xml:space="preserve">PI-9 </w:t>
      </w:r>
      <w:bookmarkEnd w:id="89"/>
      <w:r w:rsidRPr="005A497D">
        <w:t>Public access to fiscal information</w:t>
      </w:r>
      <w:bookmarkEnd w:id="90"/>
      <w:bookmarkEnd w:id="91"/>
    </w:p>
    <w:p w14:paraId="2C0867DC" w14:textId="77777777" w:rsidR="001762EE" w:rsidRPr="00473EFD" w:rsidRDefault="001762EE" w:rsidP="00473EFD"/>
    <w:p w14:paraId="5DB9E456" w14:textId="792A4E9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iCs/>
        </w:rPr>
        <w:t xml:space="preserve">Transparency in government depends on </w:t>
      </w:r>
      <w:r>
        <w:rPr>
          <w:iCs/>
        </w:rPr>
        <w:t xml:space="preserve">comprehensiveness of fiscal information available to the public. </w:t>
      </w:r>
      <w:r w:rsidRPr="005A497D">
        <w:t xml:space="preserve">The quality of information and the means by which this is made available to the public is as important as the extent of information coverage. </w:t>
      </w:r>
    </w:p>
    <w:p w14:paraId="3F79A6BC" w14:textId="77777777" w:rsidR="001762EE" w:rsidRPr="005A497D" w:rsidRDefault="001762EE" w:rsidP="00D26648">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8E777E" w14:paraId="7CA6557B" w14:textId="77777777" w:rsidTr="00247049">
        <w:trPr>
          <w:trHeight w:val="604"/>
        </w:trPr>
        <w:tc>
          <w:tcPr>
            <w:tcW w:w="3600" w:type="dxa"/>
            <w:tcBorders>
              <w:top w:val="double" w:sz="4" w:space="0" w:color="auto"/>
            </w:tcBorders>
            <w:shd w:val="clear" w:color="auto" w:fill="D9D9D9"/>
            <w:vAlign w:val="center"/>
          </w:tcPr>
          <w:p w14:paraId="38FE5EED" w14:textId="77777777" w:rsidR="001762EE" w:rsidRPr="008E777E" w:rsidRDefault="001762EE" w:rsidP="00247049">
            <w:pPr>
              <w:spacing w:before="40" w:after="40"/>
              <w:jc w:val="center"/>
              <w:rPr>
                <w:b/>
                <w:i/>
                <w:sz w:val="20"/>
                <w:szCs w:val="20"/>
              </w:rPr>
            </w:pPr>
            <w:r w:rsidRPr="008E777E">
              <w:rPr>
                <w:b/>
                <w:i/>
                <w:sz w:val="20"/>
                <w:szCs w:val="20"/>
              </w:rPr>
              <w:t>Indicator / Dimension</w:t>
            </w:r>
          </w:p>
        </w:tc>
        <w:tc>
          <w:tcPr>
            <w:tcW w:w="1843" w:type="dxa"/>
            <w:tcBorders>
              <w:top w:val="double" w:sz="4" w:space="0" w:color="auto"/>
            </w:tcBorders>
            <w:shd w:val="clear" w:color="auto" w:fill="D9D9D9"/>
            <w:vAlign w:val="center"/>
          </w:tcPr>
          <w:p w14:paraId="118C81C4" w14:textId="77777777" w:rsidR="001762EE" w:rsidRPr="008E777E" w:rsidRDefault="001762EE" w:rsidP="00247049">
            <w:pPr>
              <w:spacing w:before="40" w:after="40"/>
              <w:jc w:val="center"/>
              <w:rPr>
                <w:b/>
                <w:i/>
                <w:sz w:val="20"/>
                <w:szCs w:val="20"/>
              </w:rPr>
            </w:pPr>
            <w:r w:rsidRPr="008E777E">
              <w:rPr>
                <w:b/>
                <w:i/>
                <w:sz w:val="20"/>
                <w:szCs w:val="20"/>
              </w:rPr>
              <w:t>Score</w:t>
            </w:r>
          </w:p>
        </w:tc>
        <w:tc>
          <w:tcPr>
            <w:tcW w:w="3913" w:type="dxa"/>
            <w:tcBorders>
              <w:top w:val="double" w:sz="4" w:space="0" w:color="auto"/>
            </w:tcBorders>
            <w:shd w:val="clear" w:color="auto" w:fill="D9D9D9"/>
            <w:vAlign w:val="center"/>
          </w:tcPr>
          <w:p w14:paraId="565B039C" w14:textId="77777777" w:rsidR="001762EE" w:rsidRPr="008E777E" w:rsidRDefault="001762EE" w:rsidP="00247049">
            <w:pPr>
              <w:spacing w:before="40" w:after="40"/>
              <w:jc w:val="center"/>
              <w:rPr>
                <w:b/>
                <w:i/>
                <w:sz w:val="20"/>
                <w:szCs w:val="20"/>
              </w:rPr>
            </w:pPr>
            <w:r w:rsidRPr="008E777E">
              <w:rPr>
                <w:b/>
                <w:i/>
                <w:sz w:val="20"/>
                <w:szCs w:val="20"/>
              </w:rPr>
              <w:t>Brief Explanation</w:t>
            </w:r>
          </w:p>
        </w:tc>
      </w:tr>
      <w:tr w:rsidR="001762EE" w:rsidRPr="005A497D" w14:paraId="565B9018" w14:textId="77777777" w:rsidTr="00D74CBB">
        <w:trPr>
          <w:trHeight w:val="933"/>
        </w:trPr>
        <w:tc>
          <w:tcPr>
            <w:tcW w:w="3600" w:type="dxa"/>
            <w:tcBorders>
              <w:top w:val="double" w:sz="4" w:space="0" w:color="auto"/>
              <w:bottom w:val="double" w:sz="4" w:space="0" w:color="auto"/>
            </w:tcBorders>
            <w:vAlign w:val="center"/>
          </w:tcPr>
          <w:p w14:paraId="142A3969" w14:textId="1F5FBBBA" w:rsidR="001762EE" w:rsidRPr="005A497D" w:rsidRDefault="001762EE" w:rsidP="00FD38A6">
            <w:pPr>
              <w:spacing w:before="40" w:after="40"/>
              <w:rPr>
                <w:sz w:val="22"/>
                <w:szCs w:val="22"/>
              </w:rPr>
            </w:pPr>
            <w:r w:rsidRPr="005A497D">
              <w:rPr>
                <w:b/>
                <w:sz w:val="22"/>
                <w:szCs w:val="22"/>
              </w:rPr>
              <w:t>PI-9 Public access to fiscal information</w:t>
            </w:r>
          </w:p>
        </w:tc>
        <w:tc>
          <w:tcPr>
            <w:tcW w:w="1843" w:type="dxa"/>
            <w:tcBorders>
              <w:top w:val="double" w:sz="4" w:space="0" w:color="auto"/>
              <w:bottom w:val="double" w:sz="4" w:space="0" w:color="auto"/>
            </w:tcBorders>
            <w:vAlign w:val="center"/>
          </w:tcPr>
          <w:p w14:paraId="32E93003" w14:textId="10CCC27E" w:rsidR="001762EE" w:rsidRPr="005A497D" w:rsidRDefault="001B2BA3" w:rsidP="00472AF1">
            <w:pPr>
              <w:spacing w:before="40" w:after="40"/>
              <w:jc w:val="center"/>
              <w:rPr>
                <w:b/>
                <w:sz w:val="22"/>
                <w:szCs w:val="22"/>
              </w:rPr>
            </w:pPr>
            <w:r>
              <w:rPr>
                <w:b/>
                <w:sz w:val="22"/>
                <w:szCs w:val="22"/>
              </w:rPr>
              <w:t>A</w:t>
            </w:r>
          </w:p>
        </w:tc>
        <w:tc>
          <w:tcPr>
            <w:tcW w:w="3913" w:type="dxa"/>
            <w:tcBorders>
              <w:top w:val="double" w:sz="4" w:space="0" w:color="auto"/>
              <w:bottom w:val="double" w:sz="4" w:space="0" w:color="auto"/>
            </w:tcBorders>
          </w:tcPr>
          <w:p w14:paraId="36E3A5C7" w14:textId="1A4E19BE" w:rsidR="001762EE" w:rsidRPr="005A497D" w:rsidRDefault="001762EE" w:rsidP="001B2BA3">
            <w:pPr>
              <w:spacing w:before="40" w:after="40"/>
              <w:rPr>
                <w:sz w:val="22"/>
                <w:szCs w:val="22"/>
              </w:rPr>
            </w:pPr>
            <w:r w:rsidRPr="005A497D">
              <w:rPr>
                <w:sz w:val="22"/>
                <w:szCs w:val="22"/>
              </w:rPr>
              <w:t xml:space="preserve">The </w:t>
            </w:r>
            <w:r>
              <w:rPr>
                <w:sz w:val="22"/>
                <w:szCs w:val="22"/>
              </w:rPr>
              <w:t>Government</w:t>
            </w:r>
            <w:r w:rsidRPr="005A497D">
              <w:rPr>
                <w:sz w:val="22"/>
                <w:szCs w:val="22"/>
              </w:rPr>
              <w:t xml:space="preserve"> makes available to the public </w:t>
            </w:r>
            <w:r w:rsidR="001B2BA3">
              <w:rPr>
                <w:sz w:val="22"/>
                <w:szCs w:val="22"/>
              </w:rPr>
              <w:t>all</w:t>
            </w:r>
            <w:r>
              <w:rPr>
                <w:sz w:val="22"/>
                <w:szCs w:val="22"/>
              </w:rPr>
              <w:t xml:space="preserve"> of the 5 </w:t>
            </w:r>
            <w:r w:rsidRPr="005A497D">
              <w:rPr>
                <w:sz w:val="22"/>
                <w:szCs w:val="22"/>
              </w:rPr>
              <w:t xml:space="preserve">basic elements and </w:t>
            </w:r>
            <w:r>
              <w:rPr>
                <w:sz w:val="22"/>
                <w:szCs w:val="22"/>
              </w:rPr>
              <w:t xml:space="preserve">all </w:t>
            </w:r>
            <w:r w:rsidRPr="005A497D">
              <w:rPr>
                <w:sz w:val="22"/>
                <w:szCs w:val="22"/>
              </w:rPr>
              <w:t>additional</w:t>
            </w:r>
            <w:r>
              <w:rPr>
                <w:sz w:val="22"/>
                <w:szCs w:val="22"/>
              </w:rPr>
              <w:t xml:space="preserve"> </w:t>
            </w:r>
            <w:r w:rsidRPr="005A497D">
              <w:rPr>
                <w:sz w:val="22"/>
                <w:szCs w:val="22"/>
              </w:rPr>
              <w:t>elements of information.</w:t>
            </w:r>
          </w:p>
        </w:tc>
      </w:tr>
    </w:tbl>
    <w:p w14:paraId="11B3C987" w14:textId="77777777" w:rsidR="001762EE" w:rsidRPr="005A497D" w:rsidRDefault="001762EE" w:rsidP="00D26648">
      <w:pPr>
        <w:jc w:val="both"/>
      </w:pPr>
    </w:p>
    <w:p w14:paraId="39470D98" w14:textId="7D92088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Table 3.14</w:t>
      </w:r>
      <w:r w:rsidRPr="005A497D">
        <w:t xml:space="preserve"> discusses the elements determining public access to key fiscal information.</w:t>
      </w:r>
    </w:p>
    <w:p w14:paraId="75E159FB" w14:textId="77777777" w:rsidR="001762EE" w:rsidRDefault="001762EE" w:rsidP="00D26648">
      <w:pPr>
        <w:pStyle w:val="NormalWeb"/>
        <w:autoSpaceDE w:val="0"/>
        <w:autoSpaceDN w:val="0"/>
        <w:adjustRightInd w:val="0"/>
        <w:spacing w:before="0" w:beforeAutospacing="0" w:after="0" w:afterAutospacing="0"/>
        <w:contextualSpacing/>
        <w:jc w:val="both"/>
      </w:pPr>
    </w:p>
    <w:p w14:paraId="6145E340" w14:textId="0DA2AED2" w:rsidR="001762EE" w:rsidRPr="005A497D" w:rsidRDefault="001762EE" w:rsidP="002613F5">
      <w:pPr>
        <w:pStyle w:val="PEFATable"/>
        <w:spacing w:after="40"/>
        <w:jc w:val="both"/>
        <w:rPr>
          <w:sz w:val="24"/>
          <w:szCs w:val="24"/>
        </w:rPr>
      </w:pPr>
      <w:bookmarkStart w:id="92" w:name="_Toc454889250"/>
      <w:r w:rsidRPr="005A497D">
        <w:rPr>
          <w:sz w:val="24"/>
          <w:szCs w:val="24"/>
        </w:rPr>
        <w:t>Table 3.</w:t>
      </w:r>
      <w:r w:rsidR="00A85C58">
        <w:rPr>
          <w:sz w:val="24"/>
          <w:szCs w:val="24"/>
        </w:rPr>
        <w:t>8</w:t>
      </w:r>
      <w:r w:rsidRPr="005A497D">
        <w:rPr>
          <w:sz w:val="24"/>
          <w:szCs w:val="24"/>
        </w:rPr>
        <w:t xml:space="preserve">: Public </w:t>
      </w:r>
      <w:r>
        <w:rPr>
          <w:sz w:val="24"/>
          <w:szCs w:val="24"/>
        </w:rPr>
        <w:t>a</w:t>
      </w:r>
      <w:r w:rsidRPr="005A497D">
        <w:rPr>
          <w:sz w:val="24"/>
          <w:szCs w:val="24"/>
        </w:rPr>
        <w:t xml:space="preserve">ccess to key </w:t>
      </w:r>
      <w:r>
        <w:rPr>
          <w:sz w:val="24"/>
          <w:szCs w:val="24"/>
        </w:rPr>
        <w:t>f</w:t>
      </w:r>
      <w:r w:rsidRPr="005A497D">
        <w:rPr>
          <w:sz w:val="24"/>
          <w:szCs w:val="24"/>
        </w:rPr>
        <w:t xml:space="preserve">iscal </w:t>
      </w:r>
      <w:r>
        <w:rPr>
          <w:sz w:val="24"/>
          <w:szCs w:val="24"/>
        </w:rPr>
        <w:t>i</w:t>
      </w:r>
      <w:r w:rsidRPr="005A497D">
        <w:rPr>
          <w:sz w:val="24"/>
          <w:szCs w:val="24"/>
        </w:rPr>
        <w:t>nformation</w:t>
      </w:r>
      <w:bookmarkEnd w:id="92"/>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69"/>
        <w:gridCol w:w="1134"/>
        <w:gridCol w:w="4253"/>
      </w:tblGrid>
      <w:tr w:rsidR="001762EE" w:rsidRPr="005A497D" w14:paraId="3D376630" w14:textId="77777777" w:rsidTr="00247049">
        <w:trPr>
          <w:tblHeader/>
        </w:trPr>
        <w:tc>
          <w:tcPr>
            <w:tcW w:w="3969" w:type="dxa"/>
            <w:tcBorders>
              <w:top w:val="double" w:sz="4" w:space="0" w:color="auto"/>
              <w:bottom w:val="double" w:sz="4" w:space="0" w:color="auto"/>
            </w:tcBorders>
            <w:shd w:val="clear" w:color="auto" w:fill="E0E0E0"/>
            <w:vAlign w:val="center"/>
          </w:tcPr>
          <w:p w14:paraId="512BEBD6" w14:textId="31276E86" w:rsidR="001762EE" w:rsidRPr="00BF1CCD" w:rsidRDefault="001762EE" w:rsidP="00247049">
            <w:pPr>
              <w:pStyle w:val="TableText"/>
              <w:spacing w:before="80" w:after="80" w:line="240" w:lineRule="atLeast"/>
              <w:ind w:left="0"/>
              <w:jc w:val="center"/>
              <w:rPr>
                <w:rFonts w:ascii="Times New Roman" w:hAnsi="Times New Roman"/>
                <w:b/>
                <w:bCs/>
                <w:i/>
                <w:sz w:val="20"/>
                <w:szCs w:val="20"/>
                <w:lang w:val="en-US"/>
              </w:rPr>
            </w:pPr>
            <w:r w:rsidRPr="00BF1CCD">
              <w:rPr>
                <w:rFonts w:ascii="Times New Roman" w:hAnsi="Times New Roman"/>
                <w:b/>
                <w:bCs/>
                <w:i/>
                <w:sz w:val="20"/>
                <w:szCs w:val="20"/>
                <w:lang w:val="en-US"/>
              </w:rPr>
              <w:t>Elements of information</w:t>
            </w:r>
          </w:p>
        </w:tc>
        <w:tc>
          <w:tcPr>
            <w:tcW w:w="1134" w:type="dxa"/>
            <w:tcBorders>
              <w:top w:val="double" w:sz="4" w:space="0" w:color="auto"/>
              <w:bottom w:val="double" w:sz="4" w:space="0" w:color="auto"/>
            </w:tcBorders>
            <w:shd w:val="clear" w:color="auto" w:fill="E0E0E0"/>
            <w:vAlign w:val="center"/>
          </w:tcPr>
          <w:p w14:paraId="1D034590" w14:textId="368CF02E" w:rsidR="001762EE" w:rsidRPr="00BF1CCD" w:rsidRDefault="001762EE" w:rsidP="00C814E8">
            <w:pPr>
              <w:pStyle w:val="TableText"/>
              <w:spacing w:before="80" w:after="80" w:line="240" w:lineRule="atLeast"/>
              <w:ind w:left="0"/>
              <w:jc w:val="center"/>
              <w:rPr>
                <w:rFonts w:ascii="Times New Roman" w:hAnsi="Times New Roman"/>
                <w:b/>
                <w:bCs/>
                <w:i/>
                <w:sz w:val="20"/>
                <w:szCs w:val="20"/>
                <w:lang w:val="en-US"/>
              </w:rPr>
            </w:pPr>
            <w:r w:rsidRPr="00BF1CCD">
              <w:rPr>
                <w:rFonts w:ascii="Times New Roman" w:hAnsi="Times New Roman"/>
                <w:b/>
                <w:bCs/>
                <w:i/>
                <w:sz w:val="20"/>
                <w:szCs w:val="20"/>
                <w:lang w:val="en-US"/>
              </w:rPr>
              <w:t xml:space="preserve">Criteria </w:t>
            </w:r>
            <w:r w:rsidR="00C814E8">
              <w:rPr>
                <w:rFonts w:ascii="Times New Roman" w:hAnsi="Times New Roman"/>
                <w:b/>
                <w:bCs/>
                <w:i/>
                <w:sz w:val="20"/>
                <w:szCs w:val="20"/>
                <w:lang w:val="en-US"/>
              </w:rPr>
              <w:t>m</w:t>
            </w:r>
            <w:r w:rsidRPr="00BF1CCD">
              <w:rPr>
                <w:rFonts w:ascii="Times New Roman" w:hAnsi="Times New Roman"/>
                <w:b/>
                <w:bCs/>
                <w:i/>
                <w:sz w:val="20"/>
                <w:szCs w:val="20"/>
                <w:lang w:val="en-US"/>
              </w:rPr>
              <w:t>et</w:t>
            </w:r>
          </w:p>
        </w:tc>
        <w:tc>
          <w:tcPr>
            <w:tcW w:w="4253" w:type="dxa"/>
            <w:tcBorders>
              <w:top w:val="double" w:sz="4" w:space="0" w:color="auto"/>
              <w:bottom w:val="double" w:sz="4" w:space="0" w:color="auto"/>
            </w:tcBorders>
            <w:shd w:val="clear" w:color="auto" w:fill="E0E0E0"/>
            <w:vAlign w:val="center"/>
          </w:tcPr>
          <w:p w14:paraId="21907078" w14:textId="5F81FEAE" w:rsidR="001762EE" w:rsidRPr="00BF1CCD" w:rsidRDefault="00C814E8" w:rsidP="00247049">
            <w:pPr>
              <w:pStyle w:val="TableText"/>
              <w:spacing w:before="80" w:after="80" w:line="240" w:lineRule="atLeast"/>
              <w:ind w:left="0"/>
              <w:jc w:val="center"/>
              <w:rPr>
                <w:rFonts w:ascii="Times New Roman" w:hAnsi="Times New Roman"/>
                <w:b/>
                <w:bCs/>
                <w:i/>
                <w:sz w:val="20"/>
                <w:szCs w:val="20"/>
                <w:lang w:val="en-US"/>
              </w:rPr>
            </w:pPr>
            <w:r>
              <w:rPr>
                <w:rFonts w:ascii="Times New Roman" w:hAnsi="Times New Roman"/>
                <w:b/>
                <w:bCs/>
                <w:i/>
                <w:sz w:val="20"/>
                <w:szCs w:val="20"/>
                <w:lang w:val="en-US"/>
              </w:rPr>
              <w:t>Availability and m</w:t>
            </w:r>
            <w:r w:rsidR="001762EE" w:rsidRPr="00BF1CCD">
              <w:rPr>
                <w:rFonts w:ascii="Times New Roman" w:hAnsi="Times New Roman"/>
                <w:b/>
                <w:bCs/>
                <w:i/>
                <w:sz w:val="20"/>
                <w:szCs w:val="20"/>
                <w:lang w:val="en-US"/>
              </w:rPr>
              <w:t>eans</w:t>
            </w:r>
          </w:p>
        </w:tc>
      </w:tr>
      <w:tr w:rsidR="001762EE" w:rsidRPr="005A497D" w14:paraId="7805C204" w14:textId="77777777" w:rsidTr="00C04D40">
        <w:tc>
          <w:tcPr>
            <w:tcW w:w="9356" w:type="dxa"/>
            <w:gridSpan w:val="3"/>
            <w:tcBorders>
              <w:top w:val="double" w:sz="4" w:space="0" w:color="auto"/>
            </w:tcBorders>
            <w:vAlign w:val="center"/>
          </w:tcPr>
          <w:p w14:paraId="31D29E0A" w14:textId="3A8E50AF" w:rsidR="001762EE" w:rsidRPr="005A497D" w:rsidRDefault="001762EE" w:rsidP="00FD38A6">
            <w:pPr>
              <w:spacing w:before="40" w:after="40"/>
              <w:rPr>
                <w:sz w:val="21"/>
                <w:szCs w:val="21"/>
              </w:rPr>
            </w:pPr>
            <w:r>
              <w:rPr>
                <w:b/>
                <w:bCs/>
                <w:sz w:val="21"/>
                <w:szCs w:val="21"/>
              </w:rPr>
              <w:t>BASIC ELEMENTS</w:t>
            </w:r>
          </w:p>
        </w:tc>
      </w:tr>
      <w:tr w:rsidR="001762EE" w:rsidRPr="005A497D" w14:paraId="72B91685" w14:textId="77777777" w:rsidTr="00247049">
        <w:tc>
          <w:tcPr>
            <w:tcW w:w="3969" w:type="dxa"/>
            <w:tcBorders>
              <w:top w:val="double" w:sz="4" w:space="0" w:color="auto"/>
            </w:tcBorders>
            <w:vAlign w:val="center"/>
          </w:tcPr>
          <w:p w14:paraId="11581AEE" w14:textId="60549242" w:rsidR="001762EE" w:rsidRPr="00BF1CCD" w:rsidRDefault="001762EE" w:rsidP="009349CF">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 xml:space="preserve">1. </w:t>
            </w:r>
            <w:r w:rsidRPr="00BF1CCD">
              <w:rPr>
                <w:rFonts w:ascii="Times New Roman" w:hAnsi="Times New Roman"/>
                <w:sz w:val="20"/>
                <w:szCs w:val="20"/>
                <w:lang w:val="en-US"/>
              </w:rPr>
              <w:t xml:space="preserve">Annual Executive Budget proposal documentation: </w:t>
            </w:r>
            <w:r w:rsidRPr="00BF1CCD">
              <w:rPr>
                <w:rFonts w:ascii="Times New Roman" w:eastAsia="Times New Roman" w:hAnsi="Times New Roman"/>
                <w:sz w:val="20"/>
                <w:szCs w:val="20"/>
                <w:lang w:val="en-US" w:eastAsia="en-SG"/>
              </w:rPr>
              <w:t>A complete set of executive budget proposal documents (as per PI-5) is available to the public within one week of the executive’s submission to the legislature</w:t>
            </w:r>
            <w:r w:rsidRPr="00BF1CCD">
              <w:rPr>
                <w:rFonts w:ascii="Times New Roman" w:hAnsi="Times New Roman"/>
                <w:sz w:val="20"/>
                <w:szCs w:val="20"/>
                <w:lang w:val="en-US"/>
              </w:rPr>
              <w:t>.</w:t>
            </w:r>
          </w:p>
        </w:tc>
        <w:tc>
          <w:tcPr>
            <w:tcW w:w="1134" w:type="dxa"/>
            <w:tcBorders>
              <w:top w:val="double" w:sz="4" w:space="0" w:color="auto"/>
            </w:tcBorders>
            <w:vAlign w:val="center"/>
          </w:tcPr>
          <w:p w14:paraId="7C0DC79E"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tcBorders>
              <w:top w:val="double" w:sz="4" w:space="0" w:color="auto"/>
            </w:tcBorders>
            <w:vAlign w:val="center"/>
          </w:tcPr>
          <w:p w14:paraId="37AFEA37" w14:textId="19BACE48" w:rsidR="001762EE" w:rsidRPr="00BF1CCD" w:rsidRDefault="001762EE" w:rsidP="00D46430">
            <w:pPr>
              <w:spacing w:before="40" w:after="40"/>
              <w:rPr>
                <w:sz w:val="20"/>
                <w:szCs w:val="20"/>
              </w:rPr>
            </w:pPr>
            <w:r w:rsidRPr="00BF1CCD">
              <w:rPr>
                <w:sz w:val="20"/>
                <w:szCs w:val="20"/>
              </w:rPr>
              <w:t>Budget documents (NEP and BESF) are published by DBM on its website within a week after submission to Congress.</w:t>
            </w:r>
          </w:p>
        </w:tc>
      </w:tr>
      <w:tr w:rsidR="001762EE" w:rsidRPr="005A497D" w14:paraId="4EFDB0D7" w14:textId="77777777" w:rsidTr="00247049">
        <w:tc>
          <w:tcPr>
            <w:tcW w:w="3969" w:type="dxa"/>
            <w:vAlign w:val="center"/>
          </w:tcPr>
          <w:p w14:paraId="41A1E4A7" w14:textId="2D1EEED2" w:rsidR="001762EE" w:rsidRPr="00BF1CCD" w:rsidRDefault="001762EE" w:rsidP="0011174A">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 xml:space="preserve">2. </w:t>
            </w:r>
            <w:r w:rsidRPr="00BF1CCD">
              <w:rPr>
                <w:rFonts w:ascii="Times New Roman" w:eastAsia="Times New Roman" w:hAnsi="Times New Roman"/>
                <w:sz w:val="20"/>
                <w:szCs w:val="20"/>
                <w:lang w:val="en-US" w:eastAsia="en-SG"/>
              </w:rPr>
              <w:t>Enacted Budget: The annual budget law approved by the legislature is publicized within two weeks of passage of the law.</w:t>
            </w:r>
          </w:p>
        </w:tc>
        <w:tc>
          <w:tcPr>
            <w:tcW w:w="1134" w:type="dxa"/>
            <w:vAlign w:val="center"/>
          </w:tcPr>
          <w:p w14:paraId="7ACDA9B7"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vAlign w:val="center"/>
          </w:tcPr>
          <w:p w14:paraId="3EF4C386" w14:textId="46C77A8D" w:rsidR="001762EE" w:rsidRPr="00BF1CCD" w:rsidRDefault="001762EE" w:rsidP="009349CF">
            <w:pPr>
              <w:spacing w:before="40" w:after="40"/>
              <w:rPr>
                <w:sz w:val="20"/>
                <w:szCs w:val="20"/>
              </w:rPr>
            </w:pPr>
            <w:r w:rsidRPr="00BF1CCD">
              <w:rPr>
                <w:sz w:val="20"/>
                <w:szCs w:val="20"/>
              </w:rPr>
              <w:t>After approval, the GAA is usually published by DBM on its website within two weeks.</w:t>
            </w:r>
          </w:p>
        </w:tc>
      </w:tr>
      <w:tr w:rsidR="001762EE" w:rsidRPr="005A497D" w14:paraId="4DF2B4C7" w14:textId="77777777" w:rsidTr="006F2AC0">
        <w:trPr>
          <w:trHeight w:val="1178"/>
        </w:trPr>
        <w:tc>
          <w:tcPr>
            <w:tcW w:w="3969" w:type="dxa"/>
            <w:vAlign w:val="center"/>
          </w:tcPr>
          <w:p w14:paraId="7575F4AE" w14:textId="1EFC32D2" w:rsidR="001762EE" w:rsidRPr="00BF1CCD" w:rsidRDefault="001762EE" w:rsidP="00FD38A6">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 xml:space="preserve">3. </w:t>
            </w:r>
            <w:r w:rsidRPr="00BF1CCD">
              <w:rPr>
                <w:rFonts w:ascii="Times New Roman" w:hAnsi="Times New Roman"/>
                <w:sz w:val="20"/>
                <w:szCs w:val="20"/>
                <w:lang w:val="en-US"/>
              </w:rPr>
              <w:t xml:space="preserve">In-year budget execution reports: </w:t>
            </w:r>
            <w:r w:rsidRPr="00BF1CCD">
              <w:rPr>
                <w:rFonts w:ascii="Times New Roman" w:eastAsia="Times New Roman" w:hAnsi="Times New Roman"/>
                <w:sz w:val="20"/>
                <w:szCs w:val="20"/>
                <w:lang w:val="en-US" w:eastAsia="en-SG"/>
              </w:rPr>
              <w:t>The reports are routinely made available to the public within one month of issuance as assessed in PI-27</w:t>
            </w:r>
          </w:p>
        </w:tc>
        <w:tc>
          <w:tcPr>
            <w:tcW w:w="1134" w:type="dxa"/>
            <w:vAlign w:val="center"/>
          </w:tcPr>
          <w:p w14:paraId="4938A97A"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vAlign w:val="center"/>
          </w:tcPr>
          <w:p w14:paraId="7E1D87E1" w14:textId="41922E0F" w:rsidR="001762EE" w:rsidRPr="00BF1CCD" w:rsidRDefault="001762EE" w:rsidP="009349CF">
            <w:pPr>
              <w:spacing w:before="40" w:after="40"/>
              <w:rPr>
                <w:sz w:val="20"/>
                <w:szCs w:val="20"/>
              </w:rPr>
            </w:pPr>
            <w:r w:rsidRPr="00BF1CCD">
              <w:rPr>
                <w:sz w:val="20"/>
                <w:szCs w:val="20"/>
              </w:rPr>
              <w:t xml:space="preserve">The in-year reports are listed in PI-27. Timeliness of issue is delayed but these are published within one month of issuance on DBM website. </w:t>
            </w:r>
          </w:p>
        </w:tc>
      </w:tr>
      <w:tr w:rsidR="001762EE" w:rsidRPr="005A497D" w14:paraId="756095B4" w14:textId="77777777" w:rsidTr="00C04D40">
        <w:trPr>
          <w:trHeight w:val="1340"/>
        </w:trPr>
        <w:tc>
          <w:tcPr>
            <w:tcW w:w="3969" w:type="dxa"/>
            <w:tcBorders>
              <w:bottom w:val="single" w:sz="4" w:space="0" w:color="auto"/>
            </w:tcBorders>
            <w:vAlign w:val="center"/>
          </w:tcPr>
          <w:p w14:paraId="730E21D0" w14:textId="2E8865FE" w:rsidR="001762EE" w:rsidRPr="00BF1CCD" w:rsidRDefault="001762EE" w:rsidP="00D46430">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4. Annual budget execution report: The report is made available to the public within six months of the year</w:t>
            </w:r>
            <w:r>
              <w:rPr>
                <w:rFonts w:ascii="Times New Roman" w:hAnsi="Times New Roman"/>
                <w:bCs/>
                <w:sz w:val="20"/>
                <w:szCs w:val="20"/>
                <w:lang w:val="en-US"/>
              </w:rPr>
              <w:t>-</w:t>
            </w:r>
            <w:r w:rsidRPr="00BF1CCD">
              <w:rPr>
                <w:rFonts w:ascii="Times New Roman" w:hAnsi="Times New Roman"/>
                <w:bCs/>
                <w:sz w:val="20"/>
                <w:szCs w:val="20"/>
                <w:lang w:val="en-US"/>
              </w:rPr>
              <w:t>end.</w:t>
            </w:r>
          </w:p>
        </w:tc>
        <w:tc>
          <w:tcPr>
            <w:tcW w:w="1134" w:type="dxa"/>
            <w:tcBorders>
              <w:bottom w:val="single" w:sz="4" w:space="0" w:color="auto"/>
            </w:tcBorders>
            <w:vAlign w:val="center"/>
          </w:tcPr>
          <w:p w14:paraId="00341B82"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tcBorders>
              <w:bottom w:val="single" w:sz="4" w:space="0" w:color="auto"/>
            </w:tcBorders>
            <w:vAlign w:val="center"/>
          </w:tcPr>
          <w:p w14:paraId="0073CBDD" w14:textId="65AE6C7F" w:rsidR="001762EE" w:rsidRPr="00BF1CCD" w:rsidRDefault="001762EE" w:rsidP="00286D3A">
            <w:pPr>
              <w:spacing w:before="40" w:after="40"/>
              <w:rPr>
                <w:sz w:val="20"/>
                <w:szCs w:val="20"/>
              </w:rPr>
            </w:pPr>
            <w:r w:rsidRPr="00BF1CCD">
              <w:rPr>
                <w:sz w:val="20"/>
                <w:szCs w:val="20"/>
              </w:rPr>
              <w:t>The cumulative budget execution report for December 2015 was available on the DBM website as of February 20, 2016. Detailed year-end report of the DBCC on the 2014 budget utilization was issued October 31, 2015 i.e. ten months after year-end.</w:t>
            </w:r>
          </w:p>
        </w:tc>
      </w:tr>
      <w:tr w:rsidR="001762EE" w:rsidRPr="005A497D" w14:paraId="18A0D1BD" w14:textId="77777777" w:rsidTr="00C04D40">
        <w:trPr>
          <w:trHeight w:val="1340"/>
        </w:trPr>
        <w:tc>
          <w:tcPr>
            <w:tcW w:w="3969" w:type="dxa"/>
            <w:tcBorders>
              <w:top w:val="single" w:sz="4" w:space="0" w:color="auto"/>
              <w:bottom w:val="double" w:sz="4" w:space="0" w:color="auto"/>
            </w:tcBorders>
            <w:vAlign w:val="center"/>
          </w:tcPr>
          <w:p w14:paraId="246B4C62" w14:textId="41BD7FD7" w:rsidR="001762EE" w:rsidRPr="00BF1CCD" w:rsidRDefault="001762EE" w:rsidP="00C04D40">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 xml:space="preserve">5. </w:t>
            </w:r>
            <w:r w:rsidRPr="00BF1CCD">
              <w:rPr>
                <w:rFonts w:ascii="Times New Roman" w:eastAsia="Times New Roman" w:hAnsi="Times New Roman"/>
                <w:sz w:val="20"/>
                <w:szCs w:val="20"/>
                <w:lang w:val="en-US" w:eastAsia="en-SG"/>
              </w:rPr>
              <w:t xml:space="preserve">Audited </w:t>
            </w:r>
            <w:r>
              <w:rPr>
                <w:rFonts w:ascii="Times New Roman" w:eastAsia="Times New Roman" w:hAnsi="Times New Roman"/>
                <w:sz w:val="20"/>
                <w:szCs w:val="20"/>
                <w:lang w:val="en-US" w:eastAsia="en-SG"/>
              </w:rPr>
              <w:t>Annual Financial Report</w:t>
            </w:r>
            <w:r w:rsidRPr="00BF1CCD">
              <w:rPr>
                <w:rFonts w:ascii="Times New Roman" w:eastAsia="Times New Roman" w:hAnsi="Times New Roman"/>
                <w:sz w:val="20"/>
                <w:szCs w:val="20"/>
                <w:lang w:val="en-US" w:eastAsia="en-SG"/>
              </w:rPr>
              <w:t>, incorporating or accompanied by the external auditor’s report: The reports are made available to the public within twelve months of the year</w:t>
            </w:r>
            <w:r>
              <w:rPr>
                <w:rFonts w:ascii="Times New Roman" w:eastAsia="Times New Roman" w:hAnsi="Times New Roman"/>
                <w:sz w:val="20"/>
                <w:szCs w:val="20"/>
                <w:lang w:val="en-US" w:eastAsia="en-SG"/>
              </w:rPr>
              <w:t>-</w:t>
            </w:r>
            <w:r w:rsidRPr="00BF1CCD">
              <w:rPr>
                <w:rFonts w:ascii="Times New Roman" w:eastAsia="Times New Roman" w:hAnsi="Times New Roman"/>
                <w:sz w:val="20"/>
                <w:szCs w:val="20"/>
                <w:lang w:val="en-US" w:eastAsia="en-SG"/>
              </w:rPr>
              <w:t>end.</w:t>
            </w:r>
          </w:p>
        </w:tc>
        <w:tc>
          <w:tcPr>
            <w:tcW w:w="1134" w:type="dxa"/>
            <w:tcBorders>
              <w:top w:val="single" w:sz="4" w:space="0" w:color="auto"/>
              <w:bottom w:val="double" w:sz="4" w:space="0" w:color="auto"/>
            </w:tcBorders>
            <w:vAlign w:val="center"/>
          </w:tcPr>
          <w:p w14:paraId="435E05D2" w14:textId="67458146" w:rsidR="001762EE" w:rsidRPr="00BF1CCD" w:rsidRDefault="001B2BA3" w:rsidP="00C04D40">
            <w:pPr>
              <w:pStyle w:val="TableText"/>
              <w:spacing w:before="40" w:after="40" w:line="240" w:lineRule="auto"/>
              <w:ind w:left="0"/>
              <w:jc w:val="center"/>
              <w:rPr>
                <w:rFonts w:ascii="Times New Roman" w:hAnsi="Times New Roman"/>
                <w:bCs/>
                <w:sz w:val="20"/>
                <w:szCs w:val="20"/>
                <w:lang w:val="en-US"/>
              </w:rPr>
            </w:pPr>
            <w:r>
              <w:rPr>
                <w:rFonts w:ascii="Times New Roman" w:hAnsi="Times New Roman"/>
                <w:bCs/>
                <w:sz w:val="20"/>
                <w:szCs w:val="20"/>
                <w:lang w:val="en-US"/>
              </w:rPr>
              <w:t>Yes</w:t>
            </w:r>
          </w:p>
        </w:tc>
        <w:tc>
          <w:tcPr>
            <w:tcW w:w="4253" w:type="dxa"/>
            <w:tcBorders>
              <w:top w:val="single" w:sz="4" w:space="0" w:color="auto"/>
              <w:bottom w:val="double" w:sz="4" w:space="0" w:color="auto"/>
            </w:tcBorders>
            <w:vAlign w:val="center"/>
          </w:tcPr>
          <w:p w14:paraId="0912284D" w14:textId="6F755BAC" w:rsidR="001762EE" w:rsidRPr="00BF1CCD" w:rsidRDefault="001762EE" w:rsidP="00C04D40">
            <w:pPr>
              <w:spacing w:before="40" w:after="40"/>
              <w:rPr>
                <w:sz w:val="20"/>
                <w:szCs w:val="20"/>
              </w:rPr>
            </w:pPr>
            <w:r w:rsidRPr="00BF1CCD">
              <w:rPr>
                <w:sz w:val="20"/>
                <w:szCs w:val="20"/>
              </w:rPr>
              <w:t xml:space="preserve">Most annual audited reports of NGAs, LGUs and GOCCs are published on Commission on Audit’s website within twelve months of the year-end. </w:t>
            </w:r>
          </w:p>
        </w:tc>
      </w:tr>
      <w:tr w:rsidR="001762EE" w:rsidRPr="005A497D" w14:paraId="0C3AA315" w14:textId="77777777" w:rsidTr="009349CF">
        <w:trPr>
          <w:trHeight w:val="332"/>
        </w:trPr>
        <w:tc>
          <w:tcPr>
            <w:tcW w:w="9356" w:type="dxa"/>
            <w:gridSpan w:val="3"/>
            <w:tcBorders>
              <w:bottom w:val="double" w:sz="4" w:space="0" w:color="auto"/>
            </w:tcBorders>
            <w:vAlign w:val="center"/>
          </w:tcPr>
          <w:p w14:paraId="29FDE4AE" w14:textId="42C69EB2" w:rsidR="001762EE" w:rsidRPr="00BF1CCD" w:rsidRDefault="001762EE" w:rsidP="009349CF">
            <w:pPr>
              <w:spacing w:before="40" w:after="40"/>
              <w:rPr>
                <w:sz w:val="20"/>
                <w:szCs w:val="20"/>
              </w:rPr>
            </w:pPr>
            <w:r w:rsidRPr="00BF1CCD">
              <w:rPr>
                <w:b/>
                <w:bCs/>
                <w:sz w:val="20"/>
                <w:szCs w:val="20"/>
              </w:rPr>
              <w:t>ADDITIONAL ELEMENTS</w:t>
            </w:r>
          </w:p>
        </w:tc>
      </w:tr>
      <w:tr w:rsidR="001762EE" w:rsidRPr="005A497D" w14:paraId="7D270D5F" w14:textId="77777777" w:rsidTr="006F2AC0">
        <w:trPr>
          <w:trHeight w:val="2177"/>
        </w:trPr>
        <w:tc>
          <w:tcPr>
            <w:tcW w:w="3969" w:type="dxa"/>
            <w:vAlign w:val="center"/>
          </w:tcPr>
          <w:p w14:paraId="7FE0AC94" w14:textId="282C6CA2" w:rsidR="001762EE" w:rsidRPr="00BF1CCD" w:rsidRDefault="001762EE" w:rsidP="006F2AC0">
            <w:pPr>
              <w:pStyle w:val="TableText"/>
              <w:spacing w:before="40" w:after="40" w:line="240" w:lineRule="auto"/>
              <w:ind w:left="0"/>
              <w:rPr>
                <w:rFonts w:ascii="Times New Roman" w:hAnsi="Times New Roman"/>
                <w:bCs/>
                <w:sz w:val="20"/>
                <w:szCs w:val="20"/>
                <w:lang w:val="en-US"/>
              </w:rPr>
            </w:pPr>
            <w:r w:rsidRPr="00BF1CCD">
              <w:rPr>
                <w:rFonts w:ascii="Times New Roman" w:eastAsia="Times New Roman" w:hAnsi="Times New Roman"/>
                <w:sz w:val="20"/>
                <w:szCs w:val="20"/>
                <w:lang w:val="en-US" w:eastAsia="en-SG"/>
              </w:rPr>
              <w:t>6. Pre-Budget Statement: The broad parameters for the executive budget proposal regarding expenditure, planned revenue and debt is made available to the public at least four months before the start of the fiscal year.</w:t>
            </w:r>
          </w:p>
        </w:tc>
        <w:tc>
          <w:tcPr>
            <w:tcW w:w="1134" w:type="dxa"/>
            <w:vAlign w:val="center"/>
          </w:tcPr>
          <w:p w14:paraId="6949B44E"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vAlign w:val="center"/>
          </w:tcPr>
          <w:p w14:paraId="4B970EFE" w14:textId="1B33AEE1" w:rsidR="001762EE" w:rsidRPr="00BF1CCD" w:rsidRDefault="001762EE" w:rsidP="006F2AC0">
            <w:pPr>
              <w:spacing w:before="40" w:after="40"/>
              <w:rPr>
                <w:sz w:val="20"/>
                <w:szCs w:val="20"/>
              </w:rPr>
            </w:pPr>
            <w:r w:rsidRPr="00BF1CCD">
              <w:rPr>
                <w:sz w:val="20"/>
                <w:szCs w:val="20"/>
              </w:rPr>
              <w:t>Pre-budget documents (Budget call and Budget Fora for the budget preparation) are published by DBM on its website at the start of the budgeting process which is usually twelve months before the start of the next fiscal year. Budget proposal is submitted five months before the start of the fiscal year and a separate pre-budget statement is not issued.</w:t>
            </w:r>
          </w:p>
        </w:tc>
      </w:tr>
      <w:tr w:rsidR="001762EE" w:rsidRPr="005A497D" w14:paraId="5DF9E7FB" w14:textId="77777777" w:rsidTr="00D74CBB">
        <w:trPr>
          <w:trHeight w:val="1340"/>
        </w:trPr>
        <w:tc>
          <w:tcPr>
            <w:tcW w:w="3969" w:type="dxa"/>
          </w:tcPr>
          <w:p w14:paraId="5E38F351" w14:textId="4F0F7AA6" w:rsidR="001762EE" w:rsidRPr="00BF1CCD" w:rsidRDefault="001762EE" w:rsidP="00D74CBB">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7. Other e</w:t>
            </w:r>
            <w:r w:rsidRPr="00BF1CCD">
              <w:rPr>
                <w:rFonts w:ascii="Times New Roman" w:hAnsi="Times New Roman"/>
                <w:sz w:val="20"/>
                <w:szCs w:val="20"/>
                <w:lang w:val="en-US"/>
              </w:rPr>
              <w:t>xternal audit reports: All non-confidential reports on National Government consolidated operations are made available to the public within six months of submission.</w:t>
            </w:r>
          </w:p>
        </w:tc>
        <w:tc>
          <w:tcPr>
            <w:tcW w:w="1134" w:type="dxa"/>
            <w:vAlign w:val="center"/>
          </w:tcPr>
          <w:p w14:paraId="49DB435E"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vAlign w:val="center"/>
          </w:tcPr>
          <w:p w14:paraId="389BCF71" w14:textId="52F6620F" w:rsidR="001762EE" w:rsidRPr="005A497D" w:rsidRDefault="001762EE" w:rsidP="00A62B0C">
            <w:pPr>
              <w:spacing w:before="40" w:after="40"/>
              <w:rPr>
                <w:sz w:val="21"/>
                <w:szCs w:val="21"/>
              </w:rPr>
            </w:pPr>
            <w:r>
              <w:rPr>
                <w:sz w:val="21"/>
                <w:szCs w:val="21"/>
              </w:rPr>
              <w:t>All CoA audit reports are published on its website within a few days of submission.</w:t>
            </w:r>
          </w:p>
          <w:p w14:paraId="7E3F5056" w14:textId="6183D36A" w:rsidR="001762EE" w:rsidRPr="00BF1CCD" w:rsidRDefault="001762EE" w:rsidP="00D46430">
            <w:pPr>
              <w:spacing w:before="40" w:after="40"/>
              <w:rPr>
                <w:sz w:val="20"/>
                <w:szCs w:val="20"/>
              </w:rPr>
            </w:pPr>
          </w:p>
        </w:tc>
      </w:tr>
      <w:tr w:rsidR="001762EE" w:rsidRPr="005A497D" w14:paraId="520ED5B7" w14:textId="77777777" w:rsidTr="00D74CBB">
        <w:trPr>
          <w:trHeight w:val="2600"/>
        </w:trPr>
        <w:tc>
          <w:tcPr>
            <w:tcW w:w="3969" w:type="dxa"/>
            <w:vAlign w:val="center"/>
          </w:tcPr>
          <w:p w14:paraId="57456206" w14:textId="4FA2AEB1" w:rsidR="001762EE" w:rsidRPr="00BF1CCD" w:rsidRDefault="001762EE" w:rsidP="00D74CBB">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 xml:space="preserve">8. </w:t>
            </w:r>
            <w:r w:rsidRPr="00BF1CCD">
              <w:rPr>
                <w:rFonts w:ascii="Times New Roman" w:eastAsia="Times New Roman" w:hAnsi="Times New Roman"/>
                <w:sz w:val="20"/>
                <w:szCs w:val="20"/>
                <w:lang w:val="en-US" w:eastAsia="en-SG"/>
              </w:rPr>
              <w:t>Summary of the Budget Proposal: A clear, simple summary of the Executive's Budget Proposal or the Enacted Budget accessible to the non-budget experts, and where appropriate translated into the most commonly spoken language, is publicly available within two weeks of the Executive Budget Proposal being submitted to the legislature and within one month of the budget's approval.</w:t>
            </w:r>
          </w:p>
        </w:tc>
        <w:tc>
          <w:tcPr>
            <w:tcW w:w="1134" w:type="dxa"/>
            <w:vAlign w:val="center"/>
          </w:tcPr>
          <w:p w14:paraId="1BCE51DB" w14:textId="77777777"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sidRPr="00BF1CCD">
              <w:rPr>
                <w:rFonts w:ascii="Times New Roman" w:hAnsi="Times New Roman"/>
                <w:bCs/>
                <w:sz w:val="20"/>
                <w:szCs w:val="20"/>
                <w:lang w:val="en-US"/>
              </w:rPr>
              <w:t>Yes</w:t>
            </w:r>
          </w:p>
        </w:tc>
        <w:tc>
          <w:tcPr>
            <w:tcW w:w="4253" w:type="dxa"/>
            <w:vAlign w:val="center"/>
          </w:tcPr>
          <w:p w14:paraId="5526F195" w14:textId="1C0FB896" w:rsidR="001762EE" w:rsidRPr="00BF1CCD" w:rsidRDefault="001762EE" w:rsidP="00D460DD">
            <w:pPr>
              <w:spacing w:before="40" w:after="40"/>
              <w:rPr>
                <w:sz w:val="20"/>
                <w:szCs w:val="20"/>
              </w:rPr>
            </w:pPr>
            <w:r w:rsidRPr="00BF1CCD">
              <w:rPr>
                <w:sz w:val="20"/>
                <w:szCs w:val="20"/>
              </w:rPr>
              <w:t xml:space="preserve">People’s Proposed Budget is published by DBM on its website. </w:t>
            </w:r>
            <w:r w:rsidR="00D460DD">
              <w:rPr>
                <w:sz w:val="20"/>
                <w:szCs w:val="20"/>
              </w:rPr>
              <w:t>T</w:t>
            </w:r>
            <w:r w:rsidRPr="00BF1CCD">
              <w:rPr>
                <w:sz w:val="20"/>
                <w:szCs w:val="20"/>
              </w:rPr>
              <w:t xml:space="preserve">he 2014 People’s Budget was published late but performance for 2015 and 2016 has been timely. For 2015 it was published in April (before submission) within the required time period, while for 2016, the publication was in August </w:t>
            </w:r>
            <w:r w:rsidR="00D460DD">
              <w:rPr>
                <w:sz w:val="20"/>
                <w:szCs w:val="20"/>
              </w:rPr>
              <w:t>but still within two weeks of the submission</w:t>
            </w:r>
            <w:r w:rsidRPr="00BF1CCD">
              <w:rPr>
                <w:sz w:val="20"/>
                <w:szCs w:val="20"/>
              </w:rPr>
              <w:t xml:space="preserve"> of Budget proposal to the legislative branch. </w:t>
            </w:r>
          </w:p>
        </w:tc>
      </w:tr>
      <w:tr w:rsidR="001762EE" w:rsidRPr="005A497D" w14:paraId="64E111E5" w14:textId="77777777" w:rsidTr="00D74CBB">
        <w:trPr>
          <w:trHeight w:val="890"/>
        </w:trPr>
        <w:tc>
          <w:tcPr>
            <w:tcW w:w="3969" w:type="dxa"/>
            <w:tcBorders>
              <w:bottom w:val="double" w:sz="4" w:space="0" w:color="auto"/>
            </w:tcBorders>
            <w:vAlign w:val="center"/>
          </w:tcPr>
          <w:p w14:paraId="1E29BF99" w14:textId="6AD19EB6" w:rsidR="001762EE" w:rsidRPr="00BF1CCD" w:rsidRDefault="001762EE" w:rsidP="00D74CBB">
            <w:pPr>
              <w:pStyle w:val="TableText"/>
              <w:spacing w:before="40" w:after="40" w:line="240" w:lineRule="auto"/>
              <w:ind w:left="0"/>
              <w:rPr>
                <w:rFonts w:ascii="Times New Roman" w:hAnsi="Times New Roman"/>
                <w:bCs/>
                <w:sz w:val="20"/>
                <w:szCs w:val="20"/>
                <w:lang w:val="en-US"/>
              </w:rPr>
            </w:pPr>
            <w:r w:rsidRPr="00BF1CCD">
              <w:rPr>
                <w:rFonts w:ascii="Times New Roman" w:hAnsi="Times New Roman"/>
                <w:bCs/>
                <w:sz w:val="20"/>
                <w:szCs w:val="20"/>
                <w:lang w:val="en-US"/>
              </w:rPr>
              <w:t xml:space="preserve">9. </w:t>
            </w:r>
            <w:r w:rsidRPr="00BF1CCD">
              <w:rPr>
                <w:rFonts w:ascii="Times New Roman" w:eastAsia="Times New Roman" w:hAnsi="Times New Roman"/>
                <w:sz w:val="20"/>
                <w:szCs w:val="20"/>
                <w:lang w:val="en-US" w:eastAsia="en-SG"/>
              </w:rPr>
              <w:t>Macroeconomic forecasts: as assessed in PI-14.1 are available within one week of endorsement.</w:t>
            </w:r>
          </w:p>
        </w:tc>
        <w:tc>
          <w:tcPr>
            <w:tcW w:w="1134" w:type="dxa"/>
            <w:tcBorders>
              <w:bottom w:val="double" w:sz="4" w:space="0" w:color="auto"/>
            </w:tcBorders>
            <w:vAlign w:val="center"/>
          </w:tcPr>
          <w:p w14:paraId="42A81C8F" w14:textId="6C138361" w:rsidR="001762EE" w:rsidRPr="00BF1CCD" w:rsidRDefault="001762EE" w:rsidP="00286D3A">
            <w:pPr>
              <w:pStyle w:val="TableText"/>
              <w:spacing w:before="40" w:after="40" w:line="240" w:lineRule="auto"/>
              <w:ind w:left="0"/>
              <w:jc w:val="center"/>
              <w:rPr>
                <w:rFonts w:ascii="Times New Roman" w:hAnsi="Times New Roman"/>
                <w:bCs/>
                <w:sz w:val="20"/>
                <w:szCs w:val="20"/>
                <w:lang w:val="en-US"/>
              </w:rPr>
            </w:pPr>
            <w:r>
              <w:rPr>
                <w:rFonts w:ascii="Times New Roman" w:hAnsi="Times New Roman"/>
                <w:bCs/>
                <w:sz w:val="20"/>
                <w:szCs w:val="20"/>
                <w:lang w:val="en-US"/>
              </w:rPr>
              <w:t>Yes</w:t>
            </w:r>
          </w:p>
        </w:tc>
        <w:tc>
          <w:tcPr>
            <w:tcW w:w="4253" w:type="dxa"/>
            <w:tcBorders>
              <w:bottom w:val="double" w:sz="4" w:space="0" w:color="auto"/>
            </w:tcBorders>
            <w:vAlign w:val="center"/>
          </w:tcPr>
          <w:p w14:paraId="465C7AD5" w14:textId="0974ECB3" w:rsidR="001762EE" w:rsidRPr="00BF1CCD" w:rsidRDefault="001762EE" w:rsidP="000B3172">
            <w:pPr>
              <w:spacing w:before="40" w:after="40"/>
              <w:rPr>
                <w:sz w:val="20"/>
                <w:szCs w:val="20"/>
              </w:rPr>
            </w:pPr>
            <w:r w:rsidRPr="00BF1CCD">
              <w:rPr>
                <w:sz w:val="20"/>
                <w:szCs w:val="20"/>
              </w:rPr>
              <w:t>Macro-economic forecasts are included in the budget memo released by DBM and posted on DBM website</w:t>
            </w:r>
            <w:r>
              <w:rPr>
                <w:sz w:val="20"/>
                <w:szCs w:val="20"/>
              </w:rPr>
              <w:t xml:space="preserve"> or announced through the media within one week. </w:t>
            </w:r>
            <w:r w:rsidRPr="00BF1CCD">
              <w:rPr>
                <w:sz w:val="20"/>
                <w:szCs w:val="20"/>
              </w:rPr>
              <w:t xml:space="preserve">  </w:t>
            </w:r>
          </w:p>
        </w:tc>
      </w:tr>
    </w:tbl>
    <w:p w14:paraId="0DF4C19C" w14:textId="54448CC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Philippine Government discloses its fiscal information through various agencies’ websites. The DBM website (</w:t>
      </w:r>
      <w:hyperlink r:id="rId24" w:history="1">
        <w:r w:rsidRPr="005A497D">
          <w:rPr>
            <w:rStyle w:val="Hyperlink"/>
          </w:rPr>
          <w:t>www.dbm.gov.ph</w:t>
        </w:r>
      </w:hyperlink>
      <w:r w:rsidRPr="005A497D">
        <w:t xml:space="preserve">) contains all budget documents, including the BESF, </w:t>
      </w:r>
      <w:r>
        <w:t>National Expenditure Program,</w:t>
      </w:r>
      <w:r w:rsidRPr="005A497D">
        <w:t xml:space="preserve"> and </w:t>
      </w:r>
      <w:r>
        <w:t>General Appropriations Act</w:t>
      </w:r>
      <w:r w:rsidRPr="005A497D">
        <w:t>. It also contains all budget circulars and memoranda issued. The DoF website (</w:t>
      </w:r>
      <w:hyperlink r:id="rId25" w:history="1">
        <w:r w:rsidRPr="005A497D">
          <w:rPr>
            <w:rStyle w:val="Hyperlink"/>
          </w:rPr>
          <w:t>www.dof.gov.ph</w:t>
        </w:r>
      </w:hyperlink>
      <w:r w:rsidRPr="005A497D">
        <w:t>) and the BTr website (</w:t>
      </w:r>
      <w:hyperlink r:id="rId26" w:history="1">
        <w:r w:rsidRPr="005A497D">
          <w:rPr>
            <w:rStyle w:val="Hyperlink"/>
          </w:rPr>
          <w:t>www.treasury.gov.ph</w:t>
        </w:r>
      </w:hyperlink>
      <w:r w:rsidRPr="005A497D">
        <w:t>) both contain statistical data on the national government’s fiscal position with a breakdown of revenues and expenditure on a cash flow basis. The level of government debt is also disclosed on these websites.</w:t>
      </w:r>
    </w:p>
    <w:p w14:paraId="2259BF61" w14:textId="000593B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Audit reports of all government agencies and its instrumentalities, including selected GOCCs and </w:t>
      </w:r>
      <w:r>
        <w:t>local government units</w:t>
      </w:r>
      <w:r w:rsidRPr="005A497D">
        <w:t xml:space="preserve">, are posted on the </w:t>
      </w:r>
      <w:r>
        <w:t>CoA</w:t>
      </w:r>
      <w:r w:rsidRPr="005A497D">
        <w:t xml:space="preserve"> website (</w:t>
      </w:r>
      <w:hyperlink r:id="rId27" w:history="1">
        <w:r w:rsidR="002D502D" w:rsidRPr="002D502D">
          <w:rPr>
            <w:rStyle w:val="Hyperlink"/>
          </w:rPr>
          <w:t>www.coa.gov.ph</w:t>
        </w:r>
      </w:hyperlink>
      <w:r w:rsidRPr="005A497D">
        <w:t xml:space="preserve">). As for the year-end </w:t>
      </w:r>
      <w:r>
        <w:t>Annual Financial Report</w:t>
      </w:r>
      <w:r w:rsidRPr="005A497D">
        <w:t xml:space="preserve">, Section 41 (1) of Presidential Decree 1445 specifically states that the deadline for its submission to the President and Congress should be not later than the last day of September of each year (i.e. within nine months of year-end). </w:t>
      </w:r>
      <w:r>
        <w:t xml:space="preserve">For FY2014, </w:t>
      </w:r>
      <w:r w:rsidR="002D502D">
        <w:t xml:space="preserve">only </w:t>
      </w:r>
      <w:r>
        <w:t>the publication of the Annual Audit Reports of DFA, DOLE, TESDA, and DOTC, exceeded the prescribed 12-month period of publication</w:t>
      </w:r>
      <w:r w:rsidR="002D502D">
        <w:t xml:space="preserve"> but all other Annual Audit Reports were published within the 12-month period</w:t>
      </w:r>
      <w:r>
        <w:t>. The CoA</w:t>
      </w:r>
      <w:r w:rsidRPr="005A497D">
        <w:t xml:space="preserve"> consolidates the report</w:t>
      </w:r>
      <w:r w:rsidR="002D502D">
        <w:t>s</w:t>
      </w:r>
      <w:r w:rsidRPr="005A497D">
        <w:t xml:space="preserve"> </w:t>
      </w:r>
      <w:r w:rsidR="001B2BA3">
        <w:t xml:space="preserve">along </w:t>
      </w:r>
      <w:r w:rsidRPr="005A497D">
        <w:t xml:space="preserve">three categories </w:t>
      </w:r>
      <w:r w:rsidR="001B2BA3">
        <w:t>of</w:t>
      </w:r>
      <w:r w:rsidR="001B2BA3" w:rsidRPr="005A497D">
        <w:t xml:space="preserve"> </w:t>
      </w:r>
      <w:r>
        <w:t>national government agencies</w:t>
      </w:r>
      <w:r w:rsidRPr="00D74CBB">
        <w:rPr>
          <w:shd w:val="clear" w:color="auto" w:fill="FFFFFF"/>
        </w:rPr>
        <w:t xml:space="preserve">, </w:t>
      </w:r>
      <w:r>
        <w:rPr>
          <w:shd w:val="clear" w:color="auto" w:fill="FFFFFF"/>
        </w:rPr>
        <w:t>local government units,</w:t>
      </w:r>
      <w:r w:rsidRPr="00D74CBB">
        <w:rPr>
          <w:shd w:val="clear" w:color="auto" w:fill="FFFFFF"/>
        </w:rPr>
        <w:t xml:space="preserve"> and GOCCs. </w:t>
      </w:r>
      <w:r>
        <w:rPr>
          <w:shd w:val="clear" w:color="auto" w:fill="FFFFFF"/>
        </w:rPr>
        <w:t xml:space="preserve">Considering that </w:t>
      </w:r>
      <w:r w:rsidR="001B2BA3">
        <w:rPr>
          <w:shd w:val="clear" w:color="auto" w:fill="FFFFFF"/>
        </w:rPr>
        <w:t xml:space="preserve">all </w:t>
      </w:r>
      <w:r>
        <w:rPr>
          <w:shd w:val="clear" w:color="auto" w:fill="FFFFFF"/>
        </w:rPr>
        <w:t>five required basic elements are met as well as the additional elements, the score for PI-9 is assessed at “</w:t>
      </w:r>
      <w:r w:rsidR="001B2BA3">
        <w:rPr>
          <w:shd w:val="clear" w:color="auto" w:fill="FFFFFF"/>
        </w:rPr>
        <w:t>A</w:t>
      </w:r>
      <w:r>
        <w:rPr>
          <w:shd w:val="clear" w:color="auto" w:fill="FFFFFF"/>
        </w:rPr>
        <w:t>”.</w:t>
      </w:r>
    </w:p>
    <w:p w14:paraId="680FAD46" w14:textId="77777777" w:rsidR="001762EE" w:rsidRPr="005A497D" w:rsidRDefault="001762EE" w:rsidP="00286D3A">
      <w:pPr>
        <w:pStyle w:val="NormalWeb"/>
        <w:autoSpaceDE w:val="0"/>
        <w:autoSpaceDN w:val="0"/>
        <w:adjustRightInd w:val="0"/>
        <w:spacing w:before="0" w:beforeAutospacing="0" w:after="0" w:afterAutospacing="0"/>
        <w:contextualSpacing/>
        <w:jc w:val="both"/>
      </w:pPr>
    </w:p>
    <w:p w14:paraId="3C7749BF" w14:textId="4EF27AE4" w:rsidR="001762EE" w:rsidRPr="00BF1CCD" w:rsidRDefault="001762EE" w:rsidP="00D9341A">
      <w:pPr>
        <w:pStyle w:val="Heading2"/>
        <w:jc w:val="left"/>
        <w:rPr>
          <w:rFonts w:ascii="Times New Roman" w:hAnsi="Times New Roman"/>
          <w:sz w:val="28"/>
          <w:szCs w:val="28"/>
        </w:rPr>
      </w:pPr>
      <w:bookmarkStart w:id="93" w:name="_Toc454811654"/>
      <w:bookmarkStart w:id="94" w:name="_Toc454888799"/>
      <w:r w:rsidRPr="009B0B68">
        <w:rPr>
          <w:rFonts w:ascii="Times New Roman" w:hAnsi="Times New Roman"/>
          <w:sz w:val="28"/>
          <w:szCs w:val="28"/>
        </w:rPr>
        <w:t>Pillar III. Management of Assets and Liabilities</w:t>
      </w:r>
      <w:bookmarkEnd w:id="93"/>
      <w:bookmarkEnd w:id="94"/>
    </w:p>
    <w:p w14:paraId="4754ECC4" w14:textId="77777777" w:rsidR="001762EE" w:rsidRPr="005A497D" w:rsidRDefault="001762EE" w:rsidP="009E6EE2">
      <w:pPr>
        <w:contextualSpacing/>
        <w:jc w:val="both"/>
      </w:pPr>
    </w:p>
    <w:p w14:paraId="200C06E1" w14:textId="0F3C5C8D" w:rsidR="001762EE" w:rsidRDefault="001762EE" w:rsidP="00411651">
      <w:pPr>
        <w:pStyle w:val="Heading3"/>
      </w:pPr>
      <w:bookmarkStart w:id="95" w:name="_Toc454811655"/>
      <w:bookmarkStart w:id="96" w:name="_Toc454888800"/>
      <w:r w:rsidRPr="005A497D">
        <w:t xml:space="preserve">PI-10 Fiscal risk </w:t>
      </w:r>
      <w:r>
        <w:t>reporting</w:t>
      </w:r>
      <w:bookmarkEnd w:id="95"/>
      <w:bookmarkEnd w:id="96"/>
    </w:p>
    <w:p w14:paraId="2C5946D3" w14:textId="77777777" w:rsidR="001762EE" w:rsidRPr="00FD7249" w:rsidRDefault="001762EE" w:rsidP="00FD7249"/>
    <w:p w14:paraId="087099E4" w14:textId="74CB2EF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indicator m</w:t>
      </w:r>
      <w:r>
        <w:t xml:space="preserve">easures the extent to which </w:t>
      </w:r>
      <w:r w:rsidRPr="005A497D">
        <w:t xml:space="preserve">fiscal risks </w:t>
      </w:r>
      <w:r>
        <w:t>to the national government are reported. Fiscal risks could arise from adverse macroeconomic situations, financial positions or subnational governments or public corporations and contingent liabilities from government programs and activities.</w:t>
      </w:r>
    </w:p>
    <w:p w14:paraId="62CC837D" w14:textId="77777777" w:rsidR="001762EE" w:rsidRPr="005A497D" w:rsidRDefault="001762EE" w:rsidP="00C13AA7">
      <w:pPr>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420"/>
        <w:gridCol w:w="1620"/>
        <w:gridCol w:w="4316"/>
      </w:tblGrid>
      <w:tr w:rsidR="001762EE" w:rsidRPr="00D53B92" w14:paraId="04188B16" w14:textId="77777777" w:rsidTr="0015142A">
        <w:trPr>
          <w:trHeight w:val="397"/>
        </w:trPr>
        <w:tc>
          <w:tcPr>
            <w:tcW w:w="3420" w:type="dxa"/>
            <w:tcBorders>
              <w:top w:val="double" w:sz="4" w:space="0" w:color="auto"/>
            </w:tcBorders>
            <w:shd w:val="clear" w:color="auto" w:fill="D9D9D9"/>
            <w:vAlign w:val="center"/>
          </w:tcPr>
          <w:p w14:paraId="5ADD2D12" w14:textId="77777777" w:rsidR="001762EE" w:rsidRPr="00BF1CCD" w:rsidRDefault="001762EE" w:rsidP="00C13AA7">
            <w:pPr>
              <w:spacing w:before="40" w:after="40"/>
              <w:jc w:val="center"/>
              <w:rPr>
                <w:b/>
                <w:i/>
                <w:sz w:val="22"/>
                <w:szCs w:val="22"/>
              </w:rPr>
            </w:pPr>
            <w:r w:rsidRPr="00BF1CCD">
              <w:rPr>
                <w:b/>
                <w:i/>
                <w:sz w:val="22"/>
                <w:szCs w:val="22"/>
              </w:rPr>
              <w:t>Indicator / Dimension</w:t>
            </w:r>
          </w:p>
        </w:tc>
        <w:tc>
          <w:tcPr>
            <w:tcW w:w="1620" w:type="dxa"/>
            <w:tcBorders>
              <w:top w:val="double" w:sz="4" w:space="0" w:color="auto"/>
            </w:tcBorders>
            <w:shd w:val="clear" w:color="auto" w:fill="D9D9D9"/>
            <w:vAlign w:val="center"/>
          </w:tcPr>
          <w:p w14:paraId="7217037F" w14:textId="77777777" w:rsidR="001762EE" w:rsidRPr="00BF1CCD" w:rsidRDefault="001762EE" w:rsidP="00C13AA7">
            <w:pPr>
              <w:spacing w:before="40" w:after="40"/>
              <w:jc w:val="center"/>
              <w:rPr>
                <w:b/>
                <w:i/>
                <w:sz w:val="22"/>
                <w:szCs w:val="22"/>
              </w:rPr>
            </w:pPr>
            <w:r w:rsidRPr="00BF1CCD">
              <w:rPr>
                <w:b/>
                <w:i/>
                <w:sz w:val="22"/>
                <w:szCs w:val="22"/>
              </w:rPr>
              <w:t>Score</w:t>
            </w:r>
          </w:p>
        </w:tc>
        <w:tc>
          <w:tcPr>
            <w:tcW w:w="4316" w:type="dxa"/>
            <w:tcBorders>
              <w:top w:val="double" w:sz="4" w:space="0" w:color="auto"/>
            </w:tcBorders>
            <w:shd w:val="clear" w:color="auto" w:fill="D9D9D9"/>
            <w:vAlign w:val="center"/>
          </w:tcPr>
          <w:p w14:paraId="77EE17EB" w14:textId="77777777" w:rsidR="001762EE" w:rsidRPr="00BF1CCD" w:rsidRDefault="001762EE" w:rsidP="00C13AA7">
            <w:pPr>
              <w:spacing w:before="40" w:after="40"/>
              <w:jc w:val="center"/>
              <w:rPr>
                <w:b/>
                <w:i/>
                <w:sz w:val="22"/>
                <w:szCs w:val="22"/>
              </w:rPr>
            </w:pPr>
            <w:r w:rsidRPr="00BF1CCD">
              <w:rPr>
                <w:b/>
                <w:i/>
                <w:sz w:val="22"/>
                <w:szCs w:val="22"/>
              </w:rPr>
              <w:t>Brief Explanation</w:t>
            </w:r>
          </w:p>
        </w:tc>
      </w:tr>
      <w:tr w:rsidR="001762EE" w:rsidRPr="005A497D" w14:paraId="2BB54D04" w14:textId="77777777" w:rsidTr="0015142A">
        <w:tc>
          <w:tcPr>
            <w:tcW w:w="3420" w:type="dxa"/>
            <w:tcBorders>
              <w:top w:val="double" w:sz="4" w:space="0" w:color="auto"/>
              <w:bottom w:val="single" w:sz="4" w:space="0" w:color="auto"/>
            </w:tcBorders>
          </w:tcPr>
          <w:p w14:paraId="3C9C7015" w14:textId="5B3C63B9" w:rsidR="001762EE" w:rsidRPr="005A497D" w:rsidRDefault="001762EE" w:rsidP="006F1AE8">
            <w:pPr>
              <w:spacing w:before="40" w:after="40"/>
              <w:rPr>
                <w:sz w:val="22"/>
                <w:szCs w:val="22"/>
              </w:rPr>
            </w:pPr>
            <w:r w:rsidRPr="005A497D">
              <w:rPr>
                <w:b/>
                <w:sz w:val="22"/>
                <w:szCs w:val="22"/>
              </w:rPr>
              <w:t xml:space="preserve">PI-10 Fiscal risk </w:t>
            </w:r>
            <w:r>
              <w:rPr>
                <w:b/>
                <w:sz w:val="22"/>
                <w:szCs w:val="22"/>
              </w:rPr>
              <w:t>reporting</w:t>
            </w:r>
          </w:p>
        </w:tc>
        <w:tc>
          <w:tcPr>
            <w:tcW w:w="1620" w:type="dxa"/>
            <w:tcBorders>
              <w:top w:val="double" w:sz="4" w:space="0" w:color="auto"/>
              <w:bottom w:val="single" w:sz="4" w:space="0" w:color="auto"/>
            </w:tcBorders>
          </w:tcPr>
          <w:p w14:paraId="5884AC18" w14:textId="3C6DEE59" w:rsidR="001762EE" w:rsidRPr="005A497D" w:rsidRDefault="001762EE" w:rsidP="00C13AA7">
            <w:pPr>
              <w:spacing w:before="40" w:after="40"/>
              <w:jc w:val="center"/>
              <w:rPr>
                <w:b/>
                <w:sz w:val="22"/>
                <w:szCs w:val="22"/>
              </w:rPr>
            </w:pPr>
            <w:r>
              <w:rPr>
                <w:b/>
                <w:sz w:val="22"/>
                <w:szCs w:val="22"/>
              </w:rPr>
              <w:t>B</w:t>
            </w:r>
          </w:p>
        </w:tc>
        <w:tc>
          <w:tcPr>
            <w:tcW w:w="4316" w:type="dxa"/>
            <w:tcBorders>
              <w:top w:val="double" w:sz="4" w:space="0" w:color="auto"/>
              <w:bottom w:val="single" w:sz="4" w:space="0" w:color="auto"/>
            </w:tcBorders>
          </w:tcPr>
          <w:p w14:paraId="74CB0615" w14:textId="77777777" w:rsidR="001762EE" w:rsidRPr="005A497D" w:rsidRDefault="001762EE" w:rsidP="00C13AA7">
            <w:pPr>
              <w:spacing w:before="40" w:after="40"/>
              <w:rPr>
                <w:sz w:val="22"/>
                <w:szCs w:val="22"/>
              </w:rPr>
            </w:pPr>
            <w:r w:rsidRPr="005A497D">
              <w:rPr>
                <w:sz w:val="22"/>
                <w:szCs w:val="22"/>
              </w:rPr>
              <w:t>Overall rating based on M2 methodology.</w:t>
            </w:r>
          </w:p>
        </w:tc>
      </w:tr>
      <w:tr w:rsidR="001762EE" w:rsidRPr="005A497D" w14:paraId="460BE404" w14:textId="77777777" w:rsidTr="0015142A">
        <w:trPr>
          <w:trHeight w:val="836"/>
        </w:trPr>
        <w:tc>
          <w:tcPr>
            <w:tcW w:w="3420" w:type="dxa"/>
            <w:tcBorders>
              <w:top w:val="single" w:sz="4" w:space="0" w:color="auto"/>
              <w:bottom w:val="single" w:sz="4" w:space="0" w:color="auto"/>
            </w:tcBorders>
          </w:tcPr>
          <w:p w14:paraId="65584FD1" w14:textId="56C506AA" w:rsidR="001762EE" w:rsidRPr="005A497D" w:rsidRDefault="001762EE" w:rsidP="00114C15">
            <w:pPr>
              <w:pStyle w:val="Default"/>
              <w:rPr>
                <w:sz w:val="22"/>
                <w:szCs w:val="22"/>
              </w:rPr>
            </w:pPr>
            <w:r>
              <w:rPr>
                <w:sz w:val="22"/>
                <w:szCs w:val="22"/>
              </w:rPr>
              <w:t>10.1</w:t>
            </w:r>
            <w:r w:rsidRPr="005A497D">
              <w:rPr>
                <w:sz w:val="22"/>
                <w:szCs w:val="22"/>
              </w:rPr>
              <w:t xml:space="preserve"> Monitoring of </w:t>
            </w:r>
            <w:r>
              <w:rPr>
                <w:sz w:val="22"/>
                <w:szCs w:val="22"/>
              </w:rPr>
              <w:t>public corporations</w:t>
            </w:r>
          </w:p>
        </w:tc>
        <w:tc>
          <w:tcPr>
            <w:tcW w:w="1620" w:type="dxa"/>
            <w:tcBorders>
              <w:top w:val="single" w:sz="4" w:space="0" w:color="auto"/>
              <w:bottom w:val="single" w:sz="4" w:space="0" w:color="auto"/>
            </w:tcBorders>
          </w:tcPr>
          <w:p w14:paraId="07FAFC11" w14:textId="009F06CA" w:rsidR="001762EE" w:rsidRPr="005A497D" w:rsidRDefault="001762EE">
            <w:pPr>
              <w:spacing w:before="40" w:after="40"/>
              <w:jc w:val="center"/>
              <w:rPr>
                <w:sz w:val="22"/>
                <w:szCs w:val="22"/>
              </w:rPr>
            </w:pPr>
            <w:r>
              <w:rPr>
                <w:sz w:val="22"/>
                <w:szCs w:val="22"/>
              </w:rPr>
              <w:t>C</w:t>
            </w:r>
          </w:p>
        </w:tc>
        <w:tc>
          <w:tcPr>
            <w:tcW w:w="4316" w:type="dxa"/>
            <w:tcBorders>
              <w:top w:val="single" w:sz="4" w:space="0" w:color="auto"/>
              <w:bottom w:val="single" w:sz="4" w:space="0" w:color="auto"/>
            </w:tcBorders>
          </w:tcPr>
          <w:p w14:paraId="42A4C44F" w14:textId="4CEB4249" w:rsidR="001762EE" w:rsidRPr="005A497D" w:rsidRDefault="001762EE" w:rsidP="003E6B00">
            <w:pPr>
              <w:spacing w:before="40" w:after="40"/>
              <w:rPr>
                <w:sz w:val="22"/>
                <w:szCs w:val="22"/>
              </w:rPr>
            </w:pPr>
            <w:r>
              <w:rPr>
                <w:sz w:val="22"/>
                <w:szCs w:val="22"/>
              </w:rPr>
              <w:t>Annual audit reports for most GOCCs are issued and published by CoA within nine months of the year-end.</w:t>
            </w:r>
          </w:p>
        </w:tc>
      </w:tr>
      <w:tr w:rsidR="001762EE" w:rsidRPr="005A497D" w14:paraId="30D785C8" w14:textId="77777777" w:rsidTr="0015142A">
        <w:trPr>
          <w:trHeight w:val="899"/>
        </w:trPr>
        <w:tc>
          <w:tcPr>
            <w:tcW w:w="3420" w:type="dxa"/>
            <w:tcBorders>
              <w:top w:val="single" w:sz="4" w:space="0" w:color="auto"/>
              <w:bottom w:val="single" w:sz="4" w:space="0" w:color="auto"/>
            </w:tcBorders>
          </w:tcPr>
          <w:p w14:paraId="513734B6" w14:textId="39BDCE07" w:rsidR="001762EE" w:rsidRPr="005A497D" w:rsidRDefault="001762EE" w:rsidP="00114C15">
            <w:pPr>
              <w:pStyle w:val="Default"/>
              <w:rPr>
                <w:sz w:val="22"/>
                <w:szCs w:val="22"/>
              </w:rPr>
            </w:pPr>
            <w:r>
              <w:rPr>
                <w:sz w:val="22"/>
                <w:szCs w:val="22"/>
              </w:rPr>
              <w:t>10.2</w:t>
            </w:r>
            <w:r w:rsidRPr="005A497D">
              <w:rPr>
                <w:sz w:val="22"/>
                <w:szCs w:val="22"/>
              </w:rPr>
              <w:t xml:space="preserve"> Monitoring of </w:t>
            </w:r>
            <w:r>
              <w:rPr>
                <w:sz w:val="22"/>
                <w:szCs w:val="22"/>
              </w:rPr>
              <w:t>subnational governments</w:t>
            </w:r>
          </w:p>
        </w:tc>
        <w:tc>
          <w:tcPr>
            <w:tcW w:w="1620" w:type="dxa"/>
            <w:tcBorders>
              <w:top w:val="single" w:sz="4" w:space="0" w:color="auto"/>
              <w:bottom w:val="single" w:sz="4" w:space="0" w:color="auto"/>
            </w:tcBorders>
          </w:tcPr>
          <w:p w14:paraId="4DEDF9FD" w14:textId="3753B1E6" w:rsidR="001762EE" w:rsidRPr="005A497D" w:rsidRDefault="001762EE" w:rsidP="008D3AE3">
            <w:pPr>
              <w:spacing w:before="40" w:after="40"/>
              <w:jc w:val="center"/>
              <w:rPr>
                <w:sz w:val="22"/>
                <w:szCs w:val="22"/>
              </w:rPr>
            </w:pPr>
            <w:r>
              <w:rPr>
                <w:sz w:val="22"/>
                <w:szCs w:val="22"/>
              </w:rPr>
              <w:t>C</w:t>
            </w:r>
          </w:p>
        </w:tc>
        <w:tc>
          <w:tcPr>
            <w:tcW w:w="4316" w:type="dxa"/>
            <w:tcBorders>
              <w:top w:val="single" w:sz="4" w:space="0" w:color="auto"/>
              <w:bottom w:val="single" w:sz="4" w:space="0" w:color="auto"/>
            </w:tcBorders>
          </w:tcPr>
          <w:p w14:paraId="3D9C50E0" w14:textId="780279D5" w:rsidR="001762EE" w:rsidRPr="005A497D" w:rsidRDefault="001762EE" w:rsidP="003E6B00">
            <w:pPr>
              <w:spacing w:before="40" w:after="40"/>
              <w:rPr>
                <w:sz w:val="22"/>
                <w:szCs w:val="22"/>
              </w:rPr>
            </w:pPr>
            <w:r>
              <w:rPr>
                <w:sz w:val="22"/>
                <w:szCs w:val="22"/>
              </w:rPr>
              <w:t xml:space="preserve">Annual audited reports of majority LGUs are issued and published by CoA within nine months of the year-end. </w:t>
            </w:r>
          </w:p>
        </w:tc>
      </w:tr>
      <w:tr w:rsidR="001762EE" w:rsidRPr="005A497D" w14:paraId="03C9A6A3" w14:textId="77777777" w:rsidTr="0015142A">
        <w:trPr>
          <w:trHeight w:val="1682"/>
        </w:trPr>
        <w:tc>
          <w:tcPr>
            <w:tcW w:w="3420" w:type="dxa"/>
            <w:tcBorders>
              <w:top w:val="single" w:sz="4" w:space="0" w:color="auto"/>
              <w:bottom w:val="double" w:sz="4" w:space="0" w:color="auto"/>
            </w:tcBorders>
          </w:tcPr>
          <w:p w14:paraId="57340C6B" w14:textId="18480B5C" w:rsidR="001762EE" w:rsidRPr="005A497D" w:rsidRDefault="001762EE" w:rsidP="00114C15">
            <w:pPr>
              <w:spacing w:before="40" w:after="40"/>
              <w:rPr>
                <w:sz w:val="22"/>
                <w:szCs w:val="22"/>
              </w:rPr>
            </w:pPr>
            <w:r>
              <w:rPr>
                <w:sz w:val="22"/>
                <w:szCs w:val="22"/>
              </w:rPr>
              <w:t>10.3</w:t>
            </w:r>
            <w:r w:rsidRPr="005A497D">
              <w:rPr>
                <w:sz w:val="22"/>
                <w:szCs w:val="22"/>
              </w:rPr>
              <w:t xml:space="preserve"> </w:t>
            </w:r>
            <w:r>
              <w:rPr>
                <w:sz w:val="22"/>
                <w:szCs w:val="22"/>
              </w:rPr>
              <w:t>C</w:t>
            </w:r>
            <w:r w:rsidRPr="005A497D">
              <w:rPr>
                <w:sz w:val="22"/>
                <w:szCs w:val="22"/>
              </w:rPr>
              <w:t xml:space="preserve">ontingent liabilities </w:t>
            </w:r>
            <w:r>
              <w:rPr>
                <w:sz w:val="22"/>
                <w:szCs w:val="22"/>
              </w:rPr>
              <w:t>and other fiscal risks</w:t>
            </w:r>
          </w:p>
        </w:tc>
        <w:tc>
          <w:tcPr>
            <w:tcW w:w="1620" w:type="dxa"/>
            <w:tcBorders>
              <w:top w:val="single" w:sz="4" w:space="0" w:color="auto"/>
              <w:bottom w:val="double" w:sz="4" w:space="0" w:color="auto"/>
            </w:tcBorders>
          </w:tcPr>
          <w:p w14:paraId="02CD38A5" w14:textId="5873C29C" w:rsidR="001762EE" w:rsidRPr="005A497D" w:rsidRDefault="001762EE" w:rsidP="00C13AA7">
            <w:pPr>
              <w:spacing w:before="40" w:after="40"/>
              <w:jc w:val="center"/>
              <w:rPr>
                <w:sz w:val="22"/>
                <w:szCs w:val="22"/>
              </w:rPr>
            </w:pPr>
            <w:r>
              <w:rPr>
                <w:sz w:val="22"/>
                <w:szCs w:val="22"/>
              </w:rPr>
              <w:t>A</w:t>
            </w:r>
          </w:p>
        </w:tc>
        <w:tc>
          <w:tcPr>
            <w:tcW w:w="4316" w:type="dxa"/>
            <w:tcBorders>
              <w:top w:val="single" w:sz="4" w:space="0" w:color="auto"/>
              <w:bottom w:val="double" w:sz="4" w:space="0" w:color="auto"/>
            </w:tcBorders>
          </w:tcPr>
          <w:p w14:paraId="1602C844" w14:textId="00BB2909" w:rsidR="001762EE" w:rsidRPr="005A497D" w:rsidRDefault="001762EE" w:rsidP="00D71ABB">
            <w:pPr>
              <w:spacing w:before="40" w:after="40"/>
              <w:rPr>
                <w:sz w:val="22"/>
                <w:szCs w:val="22"/>
              </w:rPr>
            </w:pPr>
            <w:r w:rsidRPr="005A497D">
              <w:rPr>
                <w:sz w:val="22"/>
                <w:szCs w:val="22"/>
              </w:rPr>
              <w:t xml:space="preserve">Fiscal Risk Statement </w:t>
            </w:r>
            <w:r>
              <w:rPr>
                <w:sz w:val="22"/>
                <w:szCs w:val="22"/>
              </w:rPr>
              <w:t xml:space="preserve">issued by DBM </w:t>
            </w:r>
            <w:r w:rsidRPr="005A497D">
              <w:rPr>
                <w:sz w:val="22"/>
                <w:szCs w:val="22"/>
              </w:rPr>
              <w:t xml:space="preserve">presents the country’s exposure to major </w:t>
            </w:r>
            <w:r>
              <w:rPr>
                <w:sz w:val="22"/>
                <w:szCs w:val="22"/>
              </w:rPr>
              <w:t xml:space="preserve">fiscal </w:t>
            </w:r>
            <w:r w:rsidRPr="005A497D">
              <w:rPr>
                <w:sz w:val="22"/>
                <w:szCs w:val="22"/>
              </w:rPr>
              <w:t xml:space="preserve">risks, including </w:t>
            </w:r>
            <w:r>
              <w:rPr>
                <w:sz w:val="22"/>
                <w:szCs w:val="22"/>
              </w:rPr>
              <w:t xml:space="preserve">significant </w:t>
            </w:r>
            <w:r w:rsidRPr="005A497D">
              <w:rPr>
                <w:sz w:val="22"/>
                <w:szCs w:val="22"/>
              </w:rPr>
              <w:t>contingent liabilities.</w:t>
            </w:r>
            <w:r>
              <w:rPr>
                <w:sz w:val="22"/>
                <w:szCs w:val="22"/>
              </w:rPr>
              <w:t xml:space="preserve"> While annual reports were issued for 2013 and 2014, a combined report was issued for 2015 and 2016.</w:t>
            </w:r>
          </w:p>
        </w:tc>
      </w:tr>
    </w:tbl>
    <w:p w14:paraId="1A68BEF1" w14:textId="77777777" w:rsidR="0015142A" w:rsidRPr="005A497D" w:rsidRDefault="0015142A" w:rsidP="00C13AA7">
      <w:pPr>
        <w:jc w:val="both"/>
      </w:pPr>
    </w:p>
    <w:p w14:paraId="2A6E0EB2" w14:textId="5B16537F" w:rsidR="001762EE" w:rsidRPr="00BF1CCD" w:rsidRDefault="001762EE" w:rsidP="00C13AA7">
      <w:pPr>
        <w:pStyle w:val="NormalWeb"/>
        <w:autoSpaceDE w:val="0"/>
        <w:autoSpaceDN w:val="0"/>
        <w:adjustRightInd w:val="0"/>
        <w:spacing w:before="0" w:beforeAutospacing="0" w:after="0" w:afterAutospacing="0"/>
        <w:contextualSpacing/>
        <w:jc w:val="both"/>
        <w:rPr>
          <w:b/>
          <w:i/>
        </w:rPr>
      </w:pPr>
      <w:r w:rsidRPr="00BF1CCD">
        <w:rPr>
          <w:b/>
          <w:i/>
        </w:rPr>
        <w:t>Dimension 10.1 Monitoring of public corporations</w:t>
      </w:r>
    </w:p>
    <w:p w14:paraId="0CCB9787" w14:textId="77777777" w:rsidR="001762EE" w:rsidRPr="00114C15" w:rsidRDefault="001762EE" w:rsidP="00C13AA7">
      <w:pPr>
        <w:pStyle w:val="NormalWeb"/>
        <w:autoSpaceDE w:val="0"/>
        <w:autoSpaceDN w:val="0"/>
        <w:adjustRightInd w:val="0"/>
        <w:spacing w:before="0" w:beforeAutospacing="0" w:after="0" w:afterAutospacing="0"/>
        <w:contextualSpacing/>
        <w:jc w:val="both"/>
      </w:pPr>
    </w:p>
    <w:p w14:paraId="5B367C82" w14:textId="2B02D26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Pr>
          <w:iCs/>
        </w:rPr>
        <w:t xml:space="preserve">Public corporations </w:t>
      </w:r>
      <w:r w:rsidRPr="005A497D">
        <w:rPr>
          <w:iCs/>
        </w:rPr>
        <w:t xml:space="preserve">exist in the Philippines in the form of </w:t>
      </w:r>
      <w:r w:rsidRPr="005A497D">
        <w:t>GOCCs, which carry out commercial and non-commercial activities.</w:t>
      </w:r>
      <w:r w:rsidRPr="005A497D">
        <w:rPr>
          <w:rStyle w:val="EndnoteReference"/>
        </w:rPr>
        <w:endnoteReference w:id="23"/>
      </w:r>
      <w:r w:rsidRPr="005A497D">
        <w:t xml:space="preserve"> </w:t>
      </w:r>
      <w:r>
        <w:t xml:space="preserve">The </w:t>
      </w:r>
      <w:r w:rsidRPr="005A497D">
        <w:t>GOCCs both receive subsidies and pay dividends to the national government. According to the Constitution, GOCCs “</w:t>
      </w:r>
      <w:r w:rsidRPr="00BF1CCD">
        <w:t>may be created or established by special charters in the interest of the common good and subject to the test of economic viability</w:t>
      </w:r>
      <w:r w:rsidRPr="005A497D">
        <w:t>” (Article XII, Section 16).</w:t>
      </w:r>
    </w:p>
    <w:p w14:paraId="545369C2" w14:textId="77777777" w:rsidR="001762EE" w:rsidRPr="005A497D" w:rsidRDefault="001762EE" w:rsidP="00C13AA7">
      <w:pPr>
        <w:pStyle w:val="NormalWeb"/>
        <w:autoSpaceDE w:val="0"/>
        <w:autoSpaceDN w:val="0"/>
        <w:adjustRightInd w:val="0"/>
        <w:spacing w:before="0" w:beforeAutospacing="0" w:after="0" w:afterAutospacing="0"/>
        <w:contextualSpacing/>
        <w:jc w:val="both"/>
      </w:pPr>
    </w:p>
    <w:p w14:paraId="1F0D0BD9" w14:textId="76F753E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Philippine Government provides budgetary support to GOCCs particularly to those implementing priority programs. The total budgetary support to GOCCs in 2015</w:t>
      </w:r>
      <w:r>
        <w:t xml:space="preserve"> </w:t>
      </w:r>
      <w:r w:rsidRPr="005A497D">
        <w:t>and 2016 amounts to PhP 90.33 billion and PhP 153.62 billion, respectively.</w:t>
      </w:r>
      <w:r w:rsidRPr="005A497D">
        <w:rPr>
          <w:rStyle w:val="EndnoteReference"/>
        </w:rPr>
        <w:endnoteReference w:id="24"/>
      </w:r>
      <w:r w:rsidRPr="005A497D">
        <w:t xml:space="preserve"> </w:t>
      </w:r>
    </w:p>
    <w:p w14:paraId="528C4B8A" w14:textId="77777777" w:rsidR="001762EE" w:rsidRPr="005A497D" w:rsidRDefault="001762EE" w:rsidP="00C13AA7">
      <w:pPr>
        <w:pStyle w:val="NormalWeb"/>
        <w:autoSpaceDE w:val="0"/>
        <w:autoSpaceDN w:val="0"/>
        <w:adjustRightInd w:val="0"/>
        <w:spacing w:before="0" w:beforeAutospacing="0" w:after="0" w:afterAutospacing="0"/>
        <w:contextualSpacing/>
        <w:jc w:val="both"/>
      </w:pPr>
    </w:p>
    <w:p w14:paraId="6B3AC073" w14:textId="361C377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Governance Commission for GOCC</w:t>
      </w:r>
      <w:r w:rsidRPr="005A497D">
        <w:t xml:space="preserve"> (GCG)</w:t>
      </w:r>
      <w:r>
        <w:t xml:space="preserve"> provides oversight to</w:t>
      </w:r>
      <w:r w:rsidRPr="005A497D">
        <w:t xml:space="preserve"> GOCC</w:t>
      </w:r>
      <w:r w:rsidR="002D502D">
        <w:t>s</w:t>
      </w:r>
      <w:r>
        <w:t>.</w:t>
      </w:r>
      <w:r w:rsidRPr="005A497D">
        <w:t xml:space="preserve"> </w:t>
      </w:r>
      <w:r>
        <w:t>The GCG</w:t>
      </w:r>
      <w:r w:rsidRPr="005A497D">
        <w:t xml:space="preserve"> was established in 2011 and is attached to the Office of the President. According to Republic Act No. 10149, the GCG acts as a “</w:t>
      </w:r>
      <w:r w:rsidRPr="00BF1CCD">
        <w:t>central advisory, monitoring, and oversight body with authority to formulate, implement and coordinate policies</w:t>
      </w:r>
      <w:r w:rsidRPr="005A497D">
        <w:t>” (Chapter 2, Section 5). The GCG’s focus on ensuring commercial viability has resulted in the number of GOCCs being reduced from 157</w:t>
      </w:r>
      <w:r>
        <w:t xml:space="preserve"> </w:t>
      </w:r>
      <w:r w:rsidRPr="005A497D">
        <w:t>to 116 in 2014.</w:t>
      </w:r>
      <w:r w:rsidRPr="005A497D">
        <w:rPr>
          <w:rStyle w:val="EndnoteReference"/>
        </w:rPr>
        <w:endnoteReference w:id="25"/>
      </w:r>
      <w:r w:rsidRPr="005A497D">
        <w:t xml:space="preserve">  The GCG collects information on </w:t>
      </w:r>
      <w:r>
        <w:t>GOCCs’</w:t>
      </w:r>
      <w:r w:rsidRPr="005A497D">
        <w:t xml:space="preserve"> financial performance on a quarterly basis and publishes an annual report with consolidated information, while a condensed version is included in the </w:t>
      </w:r>
      <w:r>
        <w:t>Government</w:t>
      </w:r>
      <w:r w:rsidRPr="005A497D">
        <w:t>-wide Fiscal Risks Statement. The GCG conducts annual performance</w:t>
      </w:r>
      <w:r>
        <w:t>-</w:t>
      </w:r>
      <w:r w:rsidRPr="005A497D">
        <w:t xml:space="preserve">setting reviews with GOCCs, using a balance scorecard approach. Targets for the next year are monitored through quarterly reports. </w:t>
      </w:r>
    </w:p>
    <w:p w14:paraId="47F5FB61" w14:textId="77777777" w:rsidR="001762EE" w:rsidRPr="005A497D" w:rsidRDefault="001762EE" w:rsidP="00414849">
      <w:pPr>
        <w:pStyle w:val="NormalWeb"/>
        <w:autoSpaceDE w:val="0"/>
        <w:autoSpaceDN w:val="0"/>
        <w:adjustRightInd w:val="0"/>
        <w:spacing w:before="0" w:beforeAutospacing="0" w:after="0" w:afterAutospacing="0"/>
        <w:contextualSpacing/>
        <w:jc w:val="both"/>
      </w:pPr>
    </w:p>
    <w:p w14:paraId="42B99EF7" w14:textId="0C15150F"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Department of Finance</w:t>
      </w:r>
      <w:r w:rsidRPr="005A497D">
        <w:t xml:space="preserve"> complements the oversight role of the GCG by monitoring the contribution to the public sector fiscal balance and other financial indicators of the 14 major non-financial government corporations, three </w:t>
      </w:r>
      <w:r>
        <w:t>g</w:t>
      </w:r>
      <w:r w:rsidRPr="005A497D">
        <w:t xml:space="preserve">overnmental </w:t>
      </w:r>
      <w:r>
        <w:t>f</w:t>
      </w:r>
      <w:r w:rsidRPr="005A497D">
        <w:t xml:space="preserve">inancial </w:t>
      </w:r>
      <w:r>
        <w:t>institutions</w:t>
      </w:r>
      <w:r w:rsidRPr="005A497D">
        <w:t xml:space="preserve">, and three </w:t>
      </w:r>
      <w:r>
        <w:t>s</w:t>
      </w:r>
      <w:r w:rsidRPr="005A497D">
        <w:t xml:space="preserve">ocial </w:t>
      </w:r>
      <w:r>
        <w:t>s</w:t>
      </w:r>
      <w:r w:rsidRPr="005A497D">
        <w:t xml:space="preserve">ecurity </w:t>
      </w:r>
      <w:r>
        <w:t>institutions</w:t>
      </w:r>
      <w:r w:rsidRPr="005A497D">
        <w:t>.</w:t>
      </w:r>
      <w:r w:rsidRPr="005A497D">
        <w:rPr>
          <w:rStyle w:val="EndnoteReference"/>
        </w:rPr>
        <w:endnoteReference w:id="26"/>
      </w:r>
      <w:r w:rsidRPr="005A497D">
        <w:t xml:space="preserve"> </w:t>
      </w:r>
    </w:p>
    <w:p w14:paraId="65F62CEA" w14:textId="77777777" w:rsidR="001762EE" w:rsidRDefault="001762EE" w:rsidP="006F1AE8">
      <w:pPr>
        <w:pStyle w:val="NormalWeb"/>
        <w:autoSpaceDE w:val="0"/>
        <w:autoSpaceDN w:val="0"/>
        <w:adjustRightInd w:val="0"/>
        <w:spacing w:before="0" w:beforeAutospacing="0" w:after="0" w:afterAutospacing="0"/>
        <w:contextualSpacing/>
        <w:jc w:val="both"/>
      </w:pPr>
    </w:p>
    <w:p w14:paraId="1658627E" w14:textId="3F14B29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Commission on Audit issues annual audit reports for GOCCs and publishes these on its website. The 2014 CoA Annual Financial Report disclosed that combined total GOCC assets amount to PhP10.59 trillion. The top-20 GOCCs ranked by total assets already account for PhP 9.81 trillion or 92.66 percent of the total combined assets. Using the top-20 GOCC rankings by total assets and total liabilities, some of these reports for 2014 were issued within six months, while most were issued within nine months. The score for Dimension 10.1 is thus assessed at “C”. </w:t>
      </w:r>
    </w:p>
    <w:p w14:paraId="661444B1" w14:textId="77777777" w:rsidR="001762EE" w:rsidRPr="005A497D" w:rsidRDefault="001762EE" w:rsidP="00414849">
      <w:pPr>
        <w:pStyle w:val="NormalWeb"/>
        <w:autoSpaceDE w:val="0"/>
        <w:autoSpaceDN w:val="0"/>
        <w:adjustRightInd w:val="0"/>
        <w:spacing w:before="0" w:beforeAutospacing="0" w:after="0" w:afterAutospacing="0"/>
        <w:contextualSpacing/>
        <w:jc w:val="both"/>
      </w:pPr>
    </w:p>
    <w:p w14:paraId="329C27C6" w14:textId="20BE50AE" w:rsidR="001762EE" w:rsidRPr="00BF1CCD" w:rsidRDefault="001762EE" w:rsidP="00414849">
      <w:pPr>
        <w:ind w:left="-14"/>
        <w:jc w:val="both"/>
        <w:rPr>
          <w:b/>
          <w:i/>
        </w:rPr>
      </w:pPr>
      <w:r w:rsidRPr="00BF1CCD">
        <w:rPr>
          <w:b/>
          <w:i/>
        </w:rPr>
        <w:t>Dimension 10.2 Monitoring of subnational governments</w:t>
      </w:r>
    </w:p>
    <w:p w14:paraId="6D813CEC" w14:textId="77777777" w:rsidR="001762EE" w:rsidRPr="005F50AE" w:rsidRDefault="001762EE" w:rsidP="00414849">
      <w:pPr>
        <w:ind w:left="-14"/>
        <w:jc w:val="both"/>
      </w:pPr>
    </w:p>
    <w:p w14:paraId="6CBBD56D" w14:textId="36DAB04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 xml:space="preserve">individual LGU fiscal data as well as consolidated fiscal data of </w:t>
      </w:r>
      <w:r w:rsidRPr="005A497D">
        <w:t>all provinces, cities</w:t>
      </w:r>
      <w:r>
        <w:t>,</w:t>
      </w:r>
      <w:r w:rsidRPr="005A497D">
        <w:t xml:space="preserve"> and municipalities</w:t>
      </w:r>
      <w:r>
        <w:t xml:space="preserve"> categorized by region</w:t>
      </w:r>
      <w:r w:rsidDel="009B0B68">
        <w:t xml:space="preserve"> </w:t>
      </w:r>
      <w:r>
        <w:t xml:space="preserve">have been published on </w:t>
      </w:r>
      <w:r w:rsidRPr="005A497D">
        <w:t xml:space="preserve">the </w:t>
      </w:r>
      <w:r>
        <w:t>BLGF</w:t>
      </w:r>
      <w:r w:rsidRPr="005A497D">
        <w:t xml:space="preserve"> </w:t>
      </w:r>
      <w:r>
        <w:t>website since 2010</w:t>
      </w:r>
      <w:r w:rsidRPr="005A497D">
        <w:t xml:space="preserve">. </w:t>
      </w:r>
      <w:r>
        <w:t xml:space="preserve">The BLGF also publishes the Local Government Financial Performance Monitoring System. The </w:t>
      </w:r>
      <w:r w:rsidRPr="005A497D">
        <w:t xml:space="preserve">BLGF’s local government financial performance monitoring systems </w:t>
      </w:r>
      <w:r>
        <w:t xml:space="preserve">measure several indicators regarding the financial health of local government units. </w:t>
      </w:r>
      <w:r w:rsidRPr="005A497D">
        <w:t xml:space="preserve">Information is aggregated </w:t>
      </w:r>
      <w:r>
        <w:t xml:space="preserve">for inclusion </w:t>
      </w:r>
      <w:r w:rsidRPr="005A497D">
        <w:t xml:space="preserve">into </w:t>
      </w:r>
      <w:r>
        <w:t>the Fiscal Risk Statement.</w:t>
      </w:r>
    </w:p>
    <w:p w14:paraId="7CF7A6C3" w14:textId="77777777" w:rsidR="001762EE" w:rsidRPr="005A497D" w:rsidRDefault="001762EE" w:rsidP="00805CF3">
      <w:pPr>
        <w:pStyle w:val="NormalWeb"/>
        <w:autoSpaceDE w:val="0"/>
        <w:autoSpaceDN w:val="0"/>
        <w:adjustRightInd w:val="0"/>
        <w:spacing w:before="0" w:beforeAutospacing="0" w:after="0" w:afterAutospacing="0"/>
        <w:contextualSpacing/>
        <w:jc w:val="both"/>
      </w:pPr>
    </w:p>
    <w:p w14:paraId="43C583E5" w14:textId="7EA8DFC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Local government units</w:t>
      </w:r>
      <w:r w:rsidRPr="005A497D">
        <w:t xml:space="preserve"> are allowed to borrow </w:t>
      </w:r>
      <w:r>
        <w:t>when funding</w:t>
      </w:r>
      <w:r w:rsidRPr="005A497D">
        <w:t xml:space="preserve"> capital investment up to a maximum amount where debt service costs account for 20</w:t>
      </w:r>
      <w:r>
        <w:t xml:space="preserve"> percent</w:t>
      </w:r>
      <w:r w:rsidRPr="005A497D">
        <w:t xml:space="preserve"> of regular income (Article 324 of the </w:t>
      </w:r>
      <w:r>
        <w:t>Local Government Code</w:t>
      </w:r>
      <w:r w:rsidRPr="005A497D">
        <w:t xml:space="preserve"> 1991). Before they are able to borrow, </w:t>
      </w:r>
      <w:r>
        <w:t>local government units</w:t>
      </w:r>
      <w:r w:rsidRPr="005A497D">
        <w:t xml:space="preserve"> are required to obtain ex ante approval that their plans are within this prudent cap. In practice, overall levels of LGU debt are low, averaging 1.4</w:t>
      </w:r>
      <w:r>
        <w:t xml:space="preserve"> percent</w:t>
      </w:r>
      <w:r w:rsidRPr="005A497D">
        <w:t xml:space="preserve"> of the total outstanding loans and investments from 2002-2009,</w:t>
      </w:r>
      <w:r w:rsidRPr="005A497D">
        <w:rPr>
          <w:rStyle w:val="EndnoteReference"/>
        </w:rPr>
        <w:endnoteReference w:id="27"/>
      </w:r>
      <w:r w:rsidRPr="005A497D">
        <w:t xml:space="preserve"> and most </w:t>
      </w:r>
      <w:r>
        <w:t>local government units</w:t>
      </w:r>
      <w:r w:rsidRPr="005A497D">
        <w:t xml:space="preserve"> borrow significantly below their potential maximum entitlement.</w:t>
      </w:r>
    </w:p>
    <w:p w14:paraId="0B61C82E" w14:textId="77777777" w:rsidR="001762EE" w:rsidRPr="005A497D" w:rsidRDefault="001762EE">
      <w:pPr>
        <w:pStyle w:val="NormalWeb"/>
        <w:autoSpaceDE w:val="0"/>
        <w:autoSpaceDN w:val="0"/>
        <w:adjustRightInd w:val="0"/>
        <w:spacing w:before="0" w:beforeAutospacing="0" w:after="0" w:afterAutospacing="0"/>
        <w:contextualSpacing/>
        <w:jc w:val="both"/>
      </w:pPr>
    </w:p>
    <w:p w14:paraId="031B60BF" w14:textId="6009CBE5" w:rsidR="001762EE" w:rsidRPr="00467BA6"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local government units are audited by the Commission on Audit annually per </w:t>
      </w:r>
      <w:r w:rsidRPr="005A497D">
        <w:t xml:space="preserve">Section 41 (1) of </w:t>
      </w:r>
      <w:r>
        <w:t>Presidential Decree</w:t>
      </w:r>
      <w:r w:rsidRPr="005A497D">
        <w:t xml:space="preserve"> 1445.</w:t>
      </w:r>
      <w:r>
        <w:t xml:space="preserve"> However, t</w:t>
      </w:r>
      <w:r w:rsidRPr="005A497D">
        <w:t xml:space="preserve">he </w:t>
      </w:r>
      <w:r>
        <w:t>Annual Financial Report</w:t>
      </w:r>
      <w:r w:rsidRPr="005A497D">
        <w:t xml:space="preserve"> disclosed that the barangays are audited on a cyclical basis and only about 33</w:t>
      </w:r>
      <w:r>
        <w:t xml:space="preserve"> percent</w:t>
      </w:r>
      <w:r w:rsidRPr="005A497D">
        <w:t xml:space="preserve"> of the consolidated financial statements were audited</w:t>
      </w:r>
      <w:r>
        <w:t>. Per internal revenue allotment allocation, 20 percent of the total budget allocation to local government units goes to the barangays, thus the consolidated LGU report only accounts to around 87 percent audited financial information</w:t>
      </w:r>
      <w:r w:rsidRPr="005A497D">
        <w:rPr>
          <w:shd w:val="clear" w:color="auto" w:fill="FFFFFF"/>
        </w:rPr>
        <w:t>.</w:t>
      </w:r>
    </w:p>
    <w:p w14:paraId="7F569D12" w14:textId="77777777" w:rsidR="001762EE" w:rsidRDefault="001762EE" w:rsidP="00467BA6">
      <w:pPr>
        <w:pStyle w:val="NormalWeb"/>
        <w:autoSpaceDE w:val="0"/>
        <w:autoSpaceDN w:val="0"/>
        <w:adjustRightInd w:val="0"/>
        <w:spacing w:before="0" w:beforeAutospacing="0" w:after="0" w:afterAutospacing="0"/>
        <w:contextualSpacing/>
        <w:jc w:val="both"/>
        <w:rPr>
          <w:shd w:val="clear" w:color="auto" w:fill="FFFFFF"/>
        </w:rPr>
      </w:pPr>
    </w:p>
    <w:p w14:paraId="53DFDD98" w14:textId="7A2F7276" w:rsidR="001762EE" w:rsidRPr="005A497D" w:rsidRDefault="001762EE" w:rsidP="00467BA6">
      <w:pPr>
        <w:pStyle w:val="NormalWeb"/>
        <w:numPr>
          <w:ilvl w:val="0"/>
          <w:numId w:val="6"/>
        </w:numPr>
        <w:autoSpaceDE w:val="0"/>
        <w:autoSpaceDN w:val="0"/>
        <w:adjustRightInd w:val="0"/>
        <w:spacing w:before="0" w:beforeAutospacing="0" w:after="0" w:afterAutospacing="0"/>
        <w:ind w:left="0" w:firstLine="0"/>
        <w:jc w:val="both"/>
      </w:pPr>
      <w:r>
        <w:t>Tables 3.15 and 3.16</w:t>
      </w:r>
      <w:r w:rsidRPr="005A497D">
        <w:t xml:space="preserve"> summarize</w:t>
      </w:r>
      <w:r w:rsidRPr="005A497D" w:rsidDel="00830269">
        <w:t xml:space="preserve"> </w:t>
      </w:r>
      <w:r w:rsidRPr="005A497D">
        <w:t>the number of auditees and respective number of financial statement submission</w:t>
      </w:r>
      <w:r>
        <w:t>s for 2012 and 2013, respectively</w:t>
      </w:r>
      <w:r w:rsidRPr="005A497D">
        <w:t xml:space="preserve">. </w:t>
      </w:r>
    </w:p>
    <w:p w14:paraId="4E44FBF7" w14:textId="77777777" w:rsidR="001762EE" w:rsidRPr="005A497D" w:rsidRDefault="001762EE" w:rsidP="00467BA6"/>
    <w:p w14:paraId="47831436" w14:textId="0DA6B53F" w:rsidR="001762EE" w:rsidRPr="005A497D" w:rsidRDefault="001762EE" w:rsidP="00467BA6">
      <w:pPr>
        <w:pStyle w:val="PEFATable"/>
        <w:spacing w:after="40"/>
        <w:jc w:val="both"/>
        <w:rPr>
          <w:sz w:val="24"/>
          <w:szCs w:val="24"/>
        </w:rPr>
      </w:pPr>
      <w:bookmarkStart w:id="97" w:name="_Toc454889251"/>
      <w:r w:rsidRPr="005A497D">
        <w:rPr>
          <w:sz w:val="24"/>
          <w:szCs w:val="24"/>
        </w:rPr>
        <w:t>Table 3.</w:t>
      </w:r>
      <w:r w:rsidR="00A85C58">
        <w:rPr>
          <w:sz w:val="24"/>
          <w:szCs w:val="24"/>
        </w:rPr>
        <w:t>9</w:t>
      </w:r>
      <w:r w:rsidRPr="005A497D">
        <w:rPr>
          <w:sz w:val="24"/>
          <w:szCs w:val="24"/>
        </w:rPr>
        <w:t xml:space="preserve">: </w:t>
      </w:r>
      <w:r>
        <w:rPr>
          <w:sz w:val="24"/>
          <w:szCs w:val="24"/>
        </w:rPr>
        <w:t>Number</w:t>
      </w:r>
      <w:r w:rsidRPr="005A497D">
        <w:rPr>
          <w:sz w:val="24"/>
          <w:szCs w:val="24"/>
        </w:rPr>
        <w:t xml:space="preserve"> of Auditees and Financial Statements Submitted, 2012</w:t>
      </w:r>
      <w:bookmarkEnd w:id="97"/>
    </w:p>
    <w:tbl>
      <w:tblPr>
        <w:tblStyle w:val="TableGrid"/>
        <w:tblW w:w="0" w:type="auto"/>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977"/>
        <w:gridCol w:w="1594"/>
        <w:gridCol w:w="1595"/>
        <w:gridCol w:w="1595"/>
        <w:gridCol w:w="1595"/>
      </w:tblGrid>
      <w:tr w:rsidR="001762EE" w:rsidRPr="005A497D" w14:paraId="0BF47243" w14:textId="77777777" w:rsidTr="00467BA6">
        <w:trPr>
          <w:trHeight w:val="397"/>
        </w:trPr>
        <w:tc>
          <w:tcPr>
            <w:tcW w:w="2977" w:type="dxa"/>
            <w:tcBorders>
              <w:top w:val="double" w:sz="4" w:space="0" w:color="auto"/>
              <w:bottom w:val="double" w:sz="4" w:space="0" w:color="auto"/>
            </w:tcBorders>
            <w:shd w:val="clear" w:color="auto" w:fill="D9D9D9" w:themeFill="background1" w:themeFillShade="D9"/>
            <w:vAlign w:val="center"/>
          </w:tcPr>
          <w:p w14:paraId="0AAB4186" w14:textId="77777777" w:rsidR="001762EE" w:rsidRPr="00BF1CCD" w:rsidRDefault="001762EE" w:rsidP="00467BA6">
            <w:pPr>
              <w:pStyle w:val="NormalWeb"/>
              <w:autoSpaceDE w:val="0"/>
              <w:autoSpaceDN w:val="0"/>
              <w:adjustRightInd w:val="0"/>
              <w:spacing w:before="0" w:beforeAutospacing="0" w:after="0" w:afterAutospacing="0"/>
              <w:jc w:val="center"/>
              <w:rPr>
                <w:b/>
                <w:sz w:val="20"/>
                <w:szCs w:val="20"/>
              </w:rPr>
            </w:pPr>
          </w:p>
        </w:tc>
        <w:tc>
          <w:tcPr>
            <w:tcW w:w="1594" w:type="dxa"/>
            <w:tcBorders>
              <w:top w:val="double" w:sz="4" w:space="0" w:color="auto"/>
              <w:bottom w:val="double" w:sz="4" w:space="0" w:color="auto"/>
            </w:tcBorders>
            <w:shd w:val="clear" w:color="auto" w:fill="D9D9D9" w:themeFill="background1" w:themeFillShade="D9"/>
            <w:vAlign w:val="center"/>
          </w:tcPr>
          <w:p w14:paraId="66FD665A" w14:textId="77777777" w:rsidR="001762EE" w:rsidRPr="00BF1CCD" w:rsidRDefault="001762EE" w:rsidP="00467BA6">
            <w:pPr>
              <w:pStyle w:val="NormalWeb"/>
              <w:autoSpaceDE w:val="0"/>
              <w:autoSpaceDN w:val="0"/>
              <w:adjustRightInd w:val="0"/>
              <w:spacing w:before="0" w:beforeAutospacing="0" w:after="0" w:afterAutospacing="0"/>
              <w:jc w:val="center"/>
              <w:rPr>
                <w:b/>
                <w:i/>
                <w:sz w:val="20"/>
                <w:szCs w:val="20"/>
              </w:rPr>
            </w:pPr>
            <w:r w:rsidRPr="00BF1CCD">
              <w:rPr>
                <w:b/>
                <w:i/>
                <w:sz w:val="20"/>
                <w:szCs w:val="20"/>
              </w:rPr>
              <w:t>Provinces</w:t>
            </w:r>
          </w:p>
        </w:tc>
        <w:tc>
          <w:tcPr>
            <w:tcW w:w="1595" w:type="dxa"/>
            <w:tcBorders>
              <w:top w:val="double" w:sz="4" w:space="0" w:color="auto"/>
              <w:bottom w:val="double" w:sz="4" w:space="0" w:color="auto"/>
            </w:tcBorders>
            <w:shd w:val="clear" w:color="auto" w:fill="D9D9D9" w:themeFill="background1" w:themeFillShade="D9"/>
            <w:vAlign w:val="center"/>
          </w:tcPr>
          <w:p w14:paraId="224C7F23" w14:textId="77777777" w:rsidR="001762EE" w:rsidRPr="00BF1CCD" w:rsidRDefault="001762EE" w:rsidP="00467BA6">
            <w:pPr>
              <w:pStyle w:val="NormalWeb"/>
              <w:autoSpaceDE w:val="0"/>
              <w:autoSpaceDN w:val="0"/>
              <w:adjustRightInd w:val="0"/>
              <w:spacing w:before="0" w:beforeAutospacing="0" w:after="0" w:afterAutospacing="0"/>
              <w:jc w:val="center"/>
              <w:rPr>
                <w:b/>
                <w:i/>
                <w:sz w:val="20"/>
                <w:szCs w:val="20"/>
              </w:rPr>
            </w:pPr>
            <w:r w:rsidRPr="00BF1CCD">
              <w:rPr>
                <w:b/>
                <w:i/>
                <w:sz w:val="20"/>
                <w:szCs w:val="20"/>
              </w:rPr>
              <w:t>Cities</w:t>
            </w:r>
          </w:p>
        </w:tc>
        <w:tc>
          <w:tcPr>
            <w:tcW w:w="1595" w:type="dxa"/>
            <w:tcBorders>
              <w:top w:val="double" w:sz="4" w:space="0" w:color="auto"/>
              <w:bottom w:val="double" w:sz="4" w:space="0" w:color="auto"/>
            </w:tcBorders>
            <w:shd w:val="clear" w:color="auto" w:fill="D9D9D9" w:themeFill="background1" w:themeFillShade="D9"/>
            <w:vAlign w:val="center"/>
          </w:tcPr>
          <w:p w14:paraId="6BB61F87" w14:textId="77777777" w:rsidR="001762EE" w:rsidRPr="00BF1CCD" w:rsidRDefault="001762EE" w:rsidP="00467BA6">
            <w:pPr>
              <w:pStyle w:val="NormalWeb"/>
              <w:autoSpaceDE w:val="0"/>
              <w:autoSpaceDN w:val="0"/>
              <w:adjustRightInd w:val="0"/>
              <w:spacing w:before="0" w:beforeAutospacing="0" w:after="0" w:afterAutospacing="0"/>
              <w:jc w:val="center"/>
              <w:rPr>
                <w:b/>
                <w:i/>
                <w:sz w:val="20"/>
                <w:szCs w:val="20"/>
              </w:rPr>
            </w:pPr>
            <w:r w:rsidRPr="00BF1CCD">
              <w:rPr>
                <w:b/>
                <w:i/>
                <w:sz w:val="20"/>
                <w:szCs w:val="20"/>
              </w:rPr>
              <w:t>Municipalities</w:t>
            </w:r>
          </w:p>
        </w:tc>
        <w:tc>
          <w:tcPr>
            <w:tcW w:w="1595" w:type="dxa"/>
            <w:tcBorders>
              <w:top w:val="double" w:sz="4" w:space="0" w:color="auto"/>
              <w:bottom w:val="double" w:sz="4" w:space="0" w:color="auto"/>
            </w:tcBorders>
            <w:shd w:val="clear" w:color="auto" w:fill="D9D9D9" w:themeFill="background1" w:themeFillShade="D9"/>
            <w:vAlign w:val="center"/>
          </w:tcPr>
          <w:p w14:paraId="44E478A0" w14:textId="77777777" w:rsidR="001762EE" w:rsidRPr="00BF1CCD" w:rsidRDefault="001762EE" w:rsidP="00467BA6">
            <w:pPr>
              <w:pStyle w:val="NormalWeb"/>
              <w:autoSpaceDE w:val="0"/>
              <w:autoSpaceDN w:val="0"/>
              <w:adjustRightInd w:val="0"/>
              <w:spacing w:before="0" w:beforeAutospacing="0" w:after="0" w:afterAutospacing="0"/>
              <w:jc w:val="center"/>
              <w:rPr>
                <w:b/>
                <w:i/>
                <w:sz w:val="20"/>
                <w:szCs w:val="20"/>
              </w:rPr>
            </w:pPr>
            <w:r w:rsidRPr="00BF1CCD">
              <w:rPr>
                <w:b/>
                <w:i/>
                <w:sz w:val="20"/>
                <w:szCs w:val="20"/>
              </w:rPr>
              <w:t>Barangays</w:t>
            </w:r>
          </w:p>
        </w:tc>
      </w:tr>
      <w:tr w:rsidR="001762EE" w:rsidRPr="005A497D" w14:paraId="3C8C5057" w14:textId="77777777" w:rsidTr="00467BA6">
        <w:tc>
          <w:tcPr>
            <w:tcW w:w="2977" w:type="dxa"/>
            <w:tcBorders>
              <w:top w:val="double" w:sz="4" w:space="0" w:color="auto"/>
            </w:tcBorders>
            <w:vAlign w:val="center"/>
          </w:tcPr>
          <w:p w14:paraId="3BD0298A" w14:textId="4E144650" w:rsidR="001762EE" w:rsidRPr="00BF1CCD" w:rsidRDefault="001762EE" w:rsidP="00D46430">
            <w:pPr>
              <w:pStyle w:val="NormalWeb"/>
              <w:autoSpaceDE w:val="0"/>
              <w:autoSpaceDN w:val="0"/>
              <w:adjustRightInd w:val="0"/>
              <w:spacing w:before="20" w:beforeAutospacing="0" w:after="20" w:afterAutospacing="0"/>
              <w:rPr>
                <w:sz w:val="20"/>
                <w:szCs w:val="20"/>
              </w:rPr>
            </w:pPr>
            <w:r w:rsidRPr="00BF1CCD">
              <w:rPr>
                <w:sz w:val="20"/>
                <w:szCs w:val="20"/>
              </w:rPr>
              <w:t>Total number of auditees</w:t>
            </w:r>
          </w:p>
        </w:tc>
        <w:tc>
          <w:tcPr>
            <w:tcW w:w="1594" w:type="dxa"/>
            <w:tcBorders>
              <w:top w:val="double" w:sz="4" w:space="0" w:color="auto"/>
            </w:tcBorders>
            <w:vAlign w:val="center"/>
          </w:tcPr>
          <w:p w14:paraId="3BD66BA0"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80</w:t>
            </w:r>
          </w:p>
        </w:tc>
        <w:tc>
          <w:tcPr>
            <w:tcW w:w="1595" w:type="dxa"/>
            <w:tcBorders>
              <w:top w:val="double" w:sz="4" w:space="0" w:color="auto"/>
            </w:tcBorders>
            <w:vAlign w:val="center"/>
          </w:tcPr>
          <w:p w14:paraId="2BEBA075"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143</w:t>
            </w:r>
          </w:p>
        </w:tc>
        <w:tc>
          <w:tcPr>
            <w:tcW w:w="1595" w:type="dxa"/>
            <w:tcBorders>
              <w:top w:val="double" w:sz="4" w:space="0" w:color="auto"/>
            </w:tcBorders>
            <w:vAlign w:val="center"/>
          </w:tcPr>
          <w:p w14:paraId="09777F59"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1,491</w:t>
            </w:r>
          </w:p>
        </w:tc>
        <w:tc>
          <w:tcPr>
            <w:tcW w:w="1595" w:type="dxa"/>
            <w:tcBorders>
              <w:top w:val="double" w:sz="4" w:space="0" w:color="auto"/>
            </w:tcBorders>
            <w:vAlign w:val="center"/>
          </w:tcPr>
          <w:p w14:paraId="485D40D0"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42,028</w:t>
            </w:r>
          </w:p>
        </w:tc>
      </w:tr>
      <w:tr w:rsidR="001762EE" w:rsidRPr="005A497D" w14:paraId="658E660E" w14:textId="77777777" w:rsidTr="00467BA6">
        <w:tc>
          <w:tcPr>
            <w:tcW w:w="2977" w:type="dxa"/>
            <w:vAlign w:val="center"/>
          </w:tcPr>
          <w:p w14:paraId="6DF2FF35" w14:textId="7ADA481F" w:rsidR="001762EE" w:rsidRPr="00BF1CCD" w:rsidRDefault="001762EE" w:rsidP="00467BA6">
            <w:pPr>
              <w:pStyle w:val="NormalWeb"/>
              <w:autoSpaceDE w:val="0"/>
              <w:autoSpaceDN w:val="0"/>
              <w:adjustRightInd w:val="0"/>
              <w:spacing w:before="20" w:beforeAutospacing="0" w:after="20" w:afterAutospacing="0"/>
              <w:rPr>
                <w:sz w:val="20"/>
                <w:szCs w:val="20"/>
              </w:rPr>
            </w:pPr>
            <w:r w:rsidRPr="00BF1CCD">
              <w:rPr>
                <w:sz w:val="20"/>
                <w:szCs w:val="20"/>
              </w:rPr>
              <w:t xml:space="preserve">Total number of financial statement submitted </w:t>
            </w:r>
          </w:p>
        </w:tc>
        <w:tc>
          <w:tcPr>
            <w:tcW w:w="1594" w:type="dxa"/>
            <w:vAlign w:val="center"/>
          </w:tcPr>
          <w:p w14:paraId="1E3579C9"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80</w:t>
            </w:r>
          </w:p>
        </w:tc>
        <w:tc>
          <w:tcPr>
            <w:tcW w:w="1595" w:type="dxa"/>
            <w:vAlign w:val="center"/>
          </w:tcPr>
          <w:p w14:paraId="048DCC4B"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143</w:t>
            </w:r>
          </w:p>
        </w:tc>
        <w:tc>
          <w:tcPr>
            <w:tcW w:w="1595" w:type="dxa"/>
            <w:vAlign w:val="center"/>
          </w:tcPr>
          <w:p w14:paraId="4EE31C88"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1,462</w:t>
            </w:r>
          </w:p>
        </w:tc>
        <w:tc>
          <w:tcPr>
            <w:tcW w:w="1595" w:type="dxa"/>
            <w:vAlign w:val="center"/>
          </w:tcPr>
          <w:p w14:paraId="79CA6B97"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29,673</w:t>
            </w:r>
          </w:p>
        </w:tc>
      </w:tr>
      <w:tr w:rsidR="001762EE" w:rsidRPr="005A497D" w14:paraId="0574441E" w14:textId="77777777" w:rsidTr="00467BA6">
        <w:tc>
          <w:tcPr>
            <w:tcW w:w="2977" w:type="dxa"/>
            <w:vAlign w:val="center"/>
          </w:tcPr>
          <w:p w14:paraId="22EE1E00" w14:textId="613FFA9E" w:rsidR="001762EE" w:rsidRPr="00BF1CCD" w:rsidRDefault="001762EE" w:rsidP="00467BA6">
            <w:pPr>
              <w:pStyle w:val="NormalWeb"/>
              <w:keepNext/>
              <w:autoSpaceDE w:val="0"/>
              <w:autoSpaceDN w:val="0"/>
              <w:adjustRightInd w:val="0"/>
              <w:spacing w:before="20" w:beforeAutospacing="0" w:after="20" w:afterAutospacing="0"/>
              <w:jc w:val="both"/>
              <w:outlineLvl w:val="2"/>
              <w:rPr>
                <w:sz w:val="20"/>
                <w:szCs w:val="20"/>
              </w:rPr>
            </w:pPr>
            <w:bookmarkStart w:id="98" w:name="_Toc454811656"/>
            <w:bookmarkStart w:id="99" w:name="_Toc454888801"/>
            <w:r w:rsidRPr="00D46430">
              <w:rPr>
                <w:sz w:val="20"/>
                <w:szCs w:val="20"/>
              </w:rPr>
              <w:t>Percentage</w:t>
            </w:r>
            <w:r w:rsidRPr="00BF1CCD">
              <w:rPr>
                <w:sz w:val="20"/>
                <w:szCs w:val="20"/>
              </w:rPr>
              <w:t xml:space="preserve"> of financial statement submission</w:t>
            </w:r>
            <w:bookmarkEnd w:id="98"/>
            <w:bookmarkEnd w:id="99"/>
          </w:p>
        </w:tc>
        <w:tc>
          <w:tcPr>
            <w:tcW w:w="1594" w:type="dxa"/>
            <w:vAlign w:val="center"/>
          </w:tcPr>
          <w:p w14:paraId="2401A398" w14:textId="6E7E64B3"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100</w:t>
            </w:r>
          </w:p>
        </w:tc>
        <w:tc>
          <w:tcPr>
            <w:tcW w:w="1595" w:type="dxa"/>
            <w:vAlign w:val="center"/>
          </w:tcPr>
          <w:p w14:paraId="6DEDBD88" w14:textId="01EA170D"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100</w:t>
            </w:r>
          </w:p>
        </w:tc>
        <w:tc>
          <w:tcPr>
            <w:tcW w:w="1595" w:type="dxa"/>
            <w:vAlign w:val="center"/>
          </w:tcPr>
          <w:p w14:paraId="548CF6E7" w14:textId="0C82F01E"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98</w:t>
            </w:r>
          </w:p>
        </w:tc>
        <w:tc>
          <w:tcPr>
            <w:tcW w:w="1595" w:type="dxa"/>
            <w:vAlign w:val="center"/>
          </w:tcPr>
          <w:p w14:paraId="3EE8D65B" w14:textId="164270B1"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71</w:t>
            </w:r>
          </w:p>
        </w:tc>
      </w:tr>
      <w:tr w:rsidR="001762EE" w:rsidRPr="005A497D" w14:paraId="28B29B09" w14:textId="77777777" w:rsidTr="00467BA6">
        <w:tc>
          <w:tcPr>
            <w:tcW w:w="2977" w:type="dxa"/>
            <w:vAlign w:val="center"/>
          </w:tcPr>
          <w:p w14:paraId="5865EB51" w14:textId="0DE9ECD8" w:rsidR="001762EE" w:rsidRPr="00BF1CCD" w:rsidRDefault="001762EE" w:rsidP="00467BA6">
            <w:pPr>
              <w:pStyle w:val="NormalWeb"/>
              <w:autoSpaceDE w:val="0"/>
              <w:autoSpaceDN w:val="0"/>
              <w:adjustRightInd w:val="0"/>
              <w:spacing w:before="20" w:beforeAutospacing="0" w:after="20" w:afterAutospacing="0"/>
              <w:rPr>
                <w:sz w:val="20"/>
                <w:szCs w:val="20"/>
              </w:rPr>
            </w:pPr>
            <w:r w:rsidRPr="00BF1CCD">
              <w:rPr>
                <w:sz w:val="20"/>
                <w:szCs w:val="20"/>
              </w:rPr>
              <w:t>Average % of financial statement submission</w:t>
            </w:r>
          </w:p>
        </w:tc>
        <w:tc>
          <w:tcPr>
            <w:tcW w:w="6379" w:type="dxa"/>
            <w:gridSpan w:val="4"/>
            <w:vAlign w:val="center"/>
          </w:tcPr>
          <w:p w14:paraId="59017A03" w14:textId="622FC7B0"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92</w:t>
            </w:r>
          </w:p>
        </w:tc>
      </w:tr>
    </w:tbl>
    <w:p w14:paraId="66F268DB" w14:textId="7C0C97F1" w:rsidR="001762EE" w:rsidRPr="005A497D" w:rsidRDefault="001762EE" w:rsidP="00467BA6">
      <w:pPr>
        <w:pStyle w:val="NormalWeb"/>
        <w:autoSpaceDE w:val="0"/>
        <w:autoSpaceDN w:val="0"/>
        <w:adjustRightInd w:val="0"/>
        <w:spacing w:before="40" w:beforeAutospacing="0" w:after="0" w:afterAutospacing="0"/>
        <w:jc w:val="both"/>
        <w:rPr>
          <w:sz w:val="18"/>
          <w:szCs w:val="18"/>
        </w:rPr>
      </w:pPr>
      <w:r w:rsidRPr="00BF1CCD">
        <w:rPr>
          <w:sz w:val="18"/>
          <w:szCs w:val="18"/>
        </w:rPr>
        <w:t>Source</w:t>
      </w:r>
      <w:r w:rsidRPr="005A497D">
        <w:rPr>
          <w:sz w:val="18"/>
          <w:szCs w:val="18"/>
        </w:rPr>
        <w:t xml:space="preserve">: </w:t>
      </w:r>
      <w:r>
        <w:rPr>
          <w:sz w:val="18"/>
          <w:szCs w:val="18"/>
        </w:rPr>
        <w:t>CoA</w:t>
      </w:r>
      <w:r w:rsidRPr="005A497D">
        <w:rPr>
          <w:sz w:val="18"/>
          <w:szCs w:val="18"/>
        </w:rPr>
        <w:t xml:space="preserve"> 2012 Annual Financial Report</w:t>
      </w:r>
      <w:r>
        <w:rPr>
          <w:sz w:val="18"/>
          <w:szCs w:val="18"/>
        </w:rPr>
        <w:t xml:space="preserve"> for LGUs.</w:t>
      </w:r>
    </w:p>
    <w:p w14:paraId="7CAD896C" w14:textId="77777777" w:rsidR="001762EE" w:rsidRPr="005A497D" w:rsidRDefault="001762EE" w:rsidP="00467BA6"/>
    <w:p w14:paraId="287DFBB5" w14:textId="48BDC6B7" w:rsidR="001762EE" w:rsidRPr="005A497D" w:rsidRDefault="001762EE" w:rsidP="00467BA6">
      <w:pPr>
        <w:pStyle w:val="PEFATable"/>
        <w:spacing w:after="40"/>
        <w:jc w:val="both"/>
        <w:rPr>
          <w:sz w:val="24"/>
          <w:szCs w:val="24"/>
        </w:rPr>
      </w:pPr>
      <w:bookmarkStart w:id="100" w:name="_Toc454889252"/>
      <w:r w:rsidRPr="005A497D">
        <w:rPr>
          <w:sz w:val="24"/>
          <w:szCs w:val="24"/>
        </w:rPr>
        <w:t>Table 3.1</w:t>
      </w:r>
      <w:r w:rsidR="00A85C58">
        <w:rPr>
          <w:sz w:val="24"/>
          <w:szCs w:val="24"/>
        </w:rPr>
        <w:t>0</w:t>
      </w:r>
      <w:r w:rsidRPr="005A497D">
        <w:rPr>
          <w:sz w:val="24"/>
          <w:szCs w:val="24"/>
        </w:rPr>
        <w:t xml:space="preserve">: </w:t>
      </w:r>
      <w:r>
        <w:rPr>
          <w:sz w:val="24"/>
          <w:szCs w:val="24"/>
        </w:rPr>
        <w:t>Number</w:t>
      </w:r>
      <w:r w:rsidRPr="005A497D">
        <w:rPr>
          <w:sz w:val="24"/>
          <w:szCs w:val="24"/>
        </w:rPr>
        <w:t xml:space="preserve"> of Auditees and Financial Statements Submitted, 2013</w:t>
      </w:r>
      <w:bookmarkEnd w:id="100"/>
    </w:p>
    <w:tbl>
      <w:tblPr>
        <w:tblStyle w:val="TableGrid"/>
        <w:tblW w:w="0" w:type="auto"/>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977"/>
        <w:gridCol w:w="1594"/>
        <w:gridCol w:w="1595"/>
        <w:gridCol w:w="1595"/>
        <w:gridCol w:w="1595"/>
      </w:tblGrid>
      <w:tr w:rsidR="001762EE" w:rsidRPr="005A497D" w14:paraId="4610FFED" w14:textId="77777777" w:rsidTr="00467BA6">
        <w:trPr>
          <w:trHeight w:val="397"/>
        </w:trPr>
        <w:tc>
          <w:tcPr>
            <w:tcW w:w="2977" w:type="dxa"/>
            <w:tcBorders>
              <w:top w:val="double" w:sz="4" w:space="0" w:color="auto"/>
              <w:bottom w:val="double" w:sz="4" w:space="0" w:color="auto"/>
            </w:tcBorders>
            <w:shd w:val="clear" w:color="auto" w:fill="D9D9D9" w:themeFill="background1" w:themeFillShade="D9"/>
            <w:vAlign w:val="center"/>
          </w:tcPr>
          <w:p w14:paraId="042E11D2" w14:textId="77777777" w:rsidR="001762EE" w:rsidRPr="00BF1CCD" w:rsidRDefault="001762EE" w:rsidP="00467BA6">
            <w:pPr>
              <w:pStyle w:val="NormalWeb"/>
              <w:autoSpaceDE w:val="0"/>
              <w:autoSpaceDN w:val="0"/>
              <w:adjustRightInd w:val="0"/>
              <w:spacing w:before="0" w:beforeAutospacing="0" w:after="0" w:afterAutospacing="0"/>
              <w:jc w:val="center"/>
              <w:rPr>
                <w:b/>
                <w:sz w:val="18"/>
                <w:szCs w:val="18"/>
              </w:rPr>
            </w:pPr>
          </w:p>
        </w:tc>
        <w:tc>
          <w:tcPr>
            <w:tcW w:w="1594" w:type="dxa"/>
            <w:tcBorders>
              <w:top w:val="double" w:sz="4" w:space="0" w:color="auto"/>
              <w:bottom w:val="double" w:sz="4" w:space="0" w:color="auto"/>
            </w:tcBorders>
            <w:shd w:val="clear" w:color="auto" w:fill="D9D9D9" w:themeFill="background1" w:themeFillShade="D9"/>
            <w:vAlign w:val="center"/>
          </w:tcPr>
          <w:p w14:paraId="766E4834" w14:textId="77777777" w:rsidR="001762EE" w:rsidRPr="00BF1CCD" w:rsidRDefault="001762EE" w:rsidP="00467BA6">
            <w:pPr>
              <w:pStyle w:val="NormalWeb"/>
              <w:autoSpaceDE w:val="0"/>
              <w:autoSpaceDN w:val="0"/>
              <w:adjustRightInd w:val="0"/>
              <w:spacing w:before="0" w:beforeAutospacing="0" w:after="0" w:afterAutospacing="0"/>
              <w:jc w:val="center"/>
              <w:rPr>
                <w:b/>
                <w:i/>
                <w:sz w:val="18"/>
                <w:szCs w:val="18"/>
              </w:rPr>
            </w:pPr>
            <w:r w:rsidRPr="00BF1CCD">
              <w:rPr>
                <w:b/>
                <w:i/>
                <w:sz w:val="18"/>
                <w:szCs w:val="18"/>
              </w:rPr>
              <w:t>Provinces</w:t>
            </w:r>
          </w:p>
        </w:tc>
        <w:tc>
          <w:tcPr>
            <w:tcW w:w="1595" w:type="dxa"/>
            <w:tcBorders>
              <w:top w:val="double" w:sz="4" w:space="0" w:color="auto"/>
              <w:bottom w:val="double" w:sz="4" w:space="0" w:color="auto"/>
            </w:tcBorders>
            <w:shd w:val="clear" w:color="auto" w:fill="D9D9D9" w:themeFill="background1" w:themeFillShade="D9"/>
            <w:vAlign w:val="center"/>
          </w:tcPr>
          <w:p w14:paraId="7FD4E574" w14:textId="77777777" w:rsidR="001762EE" w:rsidRPr="00BF1CCD" w:rsidRDefault="001762EE" w:rsidP="00467BA6">
            <w:pPr>
              <w:pStyle w:val="NormalWeb"/>
              <w:autoSpaceDE w:val="0"/>
              <w:autoSpaceDN w:val="0"/>
              <w:adjustRightInd w:val="0"/>
              <w:spacing w:before="0" w:beforeAutospacing="0" w:after="0" w:afterAutospacing="0"/>
              <w:jc w:val="center"/>
              <w:rPr>
                <w:b/>
                <w:i/>
                <w:sz w:val="18"/>
                <w:szCs w:val="18"/>
              </w:rPr>
            </w:pPr>
            <w:r w:rsidRPr="00BF1CCD">
              <w:rPr>
                <w:b/>
                <w:i/>
                <w:sz w:val="18"/>
                <w:szCs w:val="18"/>
              </w:rPr>
              <w:t>Cities</w:t>
            </w:r>
          </w:p>
        </w:tc>
        <w:tc>
          <w:tcPr>
            <w:tcW w:w="1595" w:type="dxa"/>
            <w:tcBorders>
              <w:top w:val="double" w:sz="4" w:space="0" w:color="auto"/>
              <w:bottom w:val="double" w:sz="4" w:space="0" w:color="auto"/>
            </w:tcBorders>
            <w:shd w:val="clear" w:color="auto" w:fill="D9D9D9" w:themeFill="background1" w:themeFillShade="D9"/>
            <w:vAlign w:val="center"/>
          </w:tcPr>
          <w:p w14:paraId="25738901" w14:textId="77777777" w:rsidR="001762EE" w:rsidRPr="00BF1CCD" w:rsidRDefault="001762EE" w:rsidP="00467BA6">
            <w:pPr>
              <w:pStyle w:val="NormalWeb"/>
              <w:autoSpaceDE w:val="0"/>
              <w:autoSpaceDN w:val="0"/>
              <w:adjustRightInd w:val="0"/>
              <w:spacing w:before="0" w:beforeAutospacing="0" w:after="0" w:afterAutospacing="0"/>
              <w:jc w:val="center"/>
              <w:rPr>
                <w:b/>
                <w:i/>
                <w:sz w:val="18"/>
                <w:szCs w:val="18"/>
              </w:rPr>
            </w:pPr>
            <w:r w:rsidRPr="00BF1CCD">
              <w:rPr>
                <w:b/>
                <w:i/>
                <w:sz w:val="18"/>
                <w:szCs w:val="18"/>
              </w:rPr>
              <w:t>Municipalities</w:t>
            </w:r>
          </w:p>
        </w:tc>
        <w:tc>
          <w:tcPr>
            <w:tcW w:w="1595" w:type="dxa"/>
            <w:tcBorders>
              <w:top w:val="double" w:sz="4" w:space="0" w:color="auto"/>
              <w:bottom w:val="double" w:sz="4" w:space="0" w:color="auto"/>
            </w:tcBorders>
            <w:shd w:val="clear" w:color="auto" w:fill="D9D9D9" w:themeFill="background1" w:themeFillShade="D9"/>
            <w:vAlign w:val="center"/>
          </w:tcPr>
          <w:p w14:paraId="5C5BBA90" w14:textId="77777777" w:rsidR="001762EE" w:rsidRPr="00BF1CCD" w:rsidRDefault="001762EE" w:rsidP="00467BA6">
            <w:pPr>
              <w:pStyle w:val="NormalWeb"/>
              <w:autoSpaceDE w:val="0"/>
              <w:autoSpaceDN w:val="0"/>
              <w:adjustRightInd w:val="0"/>
              <w:spacing w:before="0" w:beforeAutospacing="0" w:after="0" w:afterAutospacing="0"/>
              <w:jc w:val="center"/>
              <w:rPr>
                <w:b/>
                <w:i/>
                <w:sz w:val="18"/>
                <w:szCs w:val="18"/>
              </w:rPr>
            </w:pPr>
            <w:r w:rsidRPr="00BF1CCD">
              <w:rPr>
                <w:b/>
                <w:i/>
                <w:sz w:val="18"/>
                <w:szCs w:val="18"/>
              </w:rPr>
              <w:t>Barangays</w:t>
            </w:r>
          </w:p>
        </w:tc>
      </w:tr>
      <w:tr w:rsidR="001762EE" w:rsidRPr="005A497D" w14:paraId="78E6E57A" w14:textId="77777777" w:rsidTr="00467BA6">
        <w:tc>
          <w:tcPr>
            <w:tcW w:w="2977" w:type="dxa"/>
            <w:tcBorders>
              <w:top w:val="double" w:sz="4" w:space="0" w:color="auto"/>
            </w:tcBorders>
            <w:vAlign w:val="center"/>
          </w:tcPr>
          <w:p w14:paraId="15370A3B" w14:textId="7A24C4E6" w:rsidR="001762EE" w:rsidRPr="00BF1CCD" w:rsidRDefault="001762EE" w:rsidP="005108BC">
            <w:pPr>
              <w:pStyle w:val="NormalWeb"/>
              <w:autoSpaceDE w:val="0"/>
              <w:autoSpaceDN w:val="0"/>
              <w:adjustRightInd w:val="0"/>
              <w:spacing w:before="20" w:beforeAutospacing="0" w:after="20" w:afterAutospacing="0"/>
              <w:rPr>
                <w:sz w:val="20"/>
                <w:szCs w:val="20"/>
              </w:rPr>
            </w:pPr>
            <w:r w:rsidRPr="00BF1CCD">
              <w:rPr>
                <w:sz w:val="20"/>
                <w:szCs w:val="20"/>
              </w:rPr>
              <w:t xml:space="preserve">Total </w:t>
            </w:r>
            <w:r>
              <w:rPr>
                <w:sz w:val="20"/>
                <w:szCs w:val="20"/>
              </w:rPr>
              <w:t>n</w:t>
            </w:r>
            <w:r w:rsidRPr="00BF1CCD">
              <w:rPr>
                <w:sz w:val="20"/>
                <w:szCs w:val="20"/>
              </w:rPr>
              <w:t>umber of auditees</w:t>
            </w:r>
          </w:p>
        </w:tc>
        <w:tc>
          <w:tcPr>
            <w:tcW w:w="1594" w:type="dxa"/>
            <w:tcBorders>
              <w:top w:val="double" w:sz="4" w:space="0" w:color="auto"/>
            </w:tcBorders>
            <w:vAlign w:val="center"/>
          </w:tcPr>
          <w:p w14:paraId="7B9038D2" w14:textId="74946EFF"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8</w:t>
            </w:r>
            <w:r w:rsidR="002D502D">
              <w:rPr>
                <w:sz w:val="20"/>
                <w:szCs w:val="20"/>
              </w:rPr>
              <w:t>1</w:t>
            </w:r>
          </w:p>
        </w:tc>
        <w:tc>
          <w:tcPr>
            <w:tcW w:w="1595" w:type="dxa"/>
            <w:tcBorders>
              <w:top w:val="double" w:sz="4" w:space="0" w:color="auto"/>
            </w:tcBorders>
            <w:vAlign w:val="center"/>
          </w:tcPr>
          <w:p w14:paraId="66E0C3C0"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144</w:t>
            </w:r>
          </w:p>
        </w:tc>
        <w:tc>
          <w:tcPr>
            <w:tcW w:w="1595" w:type="dxa"/>
            <w:tcBorders>
              <w:top w:val="double" w:sz="4" w:space="0" w:color="auto"/>
            </w:tcBorders>
            <w:vAlign w:val="center"/>
          </w:tcPr>
          <w:p w14:paraId="57C29981"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1,490</w:t>
            </w:r>
          </w:p>
        </w:tc>
        <w:tc>
          <w:tcPr>
            <w:tcW w:w="1595" w:type="dxa"/>
            <w:tcBorders>
              <w:top w:val="double" w:sz="4" w:space="0" w:color="auto"/>
            </w:tcBorders>
            <w:vAlign w:val="center"/>
          </w:tcPr>
          <w:p w14:paraId="5F87D443" w14:textId="7D733201" w:rsidR="001762EE" w:rsidRPr="00BF1CCD" w:rsidRDefault="002D502D"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42,0</w:t>
            </w:r>
            <w:r>
              <w:rPr>
                <w:sz w:val="20"/>
                <w:szCs w:val="20"/>
              </w:rPr>
              <w:t>28</w:t>
            </w:r>
          </w:p>
        </w:tc>
      </w:tr>
      <w:tr w:rsidR="001762EE" w:rsidRPr="005A497D" w14:paraId="1D41BDEB" w14:textId="77777777" w:rsidTr="00467BA6">
        <w:tc>
          <w:tcPr>
            <w:tcW w:w="2977" w:type="dxa"/>
            <w:vAlign w:val="center"/>
          </w:tcPr>
          <w:p w14:paraId="4CFE830A" w14:textId="6FA2AB74" w:rsidR="001762EE" w:rsidRPr="00BF1CCD" w:rsidRDefault="001762EE" w:rsidP="00467BA6">
            <w:pPr>
              <w:pStyle w:val="NormalWeb"/>
              <w:autoSpaceDE w:val="0"/>
              <w:autoSpaceDN w:val="0"/>
              <w:adjustRightInd w:val="0"/>
              <w:spacing w:before="20" w:beforeAutospacing="0" w:after="20" w:afterAutospacing="0"/>
              <w:rPr>
                <w:sz w:val="20"/>
                <w:szCs w:val="20"/>
              </w:rPr>
            </w:pPr>
            <w:r w:rsidRPr="00BF1CCD">
              <w:rPr>
                <w:sz w:val="20"/>
                <w:szCs w:val="20"/>
              </w:rPr>
              <w:t xml:space="preserve">Total number of financial statement submitted </w:t>
            </w:r>
          </w:p>
        </w:tc>
        <w:tc>
          <w:tcPr>
            <w:tcW w:w="1594" w:type="dxa"/>
            <w:vAlign w:val="center"/>
          </w:tcPr>
          <w:p w14:paraId="5AF5EB13"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79</w:t>
            </w:r>
          </w:p>
        </w:tc>
        <w:tc>
          <w:tcPr>
            <w:tcW w:w="1595" w:type="dxa"/>
            <w:vAlign w:val="center"/>
          </w:tcPr>
          <w:p w14:paraId="27482CF1"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144</w:t>
            </w:r>
          </w:p>
        </w:tc>
        <w:tc>
          <w:tcPr>
            <w:tcW w:w="1595" w:type="dxa"/>
            <w:vAlign w:val="center"/>
          </w:tcPr>
          <w:p w14:paraId="16F0E8C1"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1,446</w:t>
            </w:r>
          </w:p>
        </w:tc>
        <w:tc>
          <w:tcPr>
            <w:tcW w:w="1595" w:type="dxa"/>
            <w:vAlign w:val="center"/>
          </w:tcPr>
          <w:p w14:paraId="331DE75E"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29,947</w:t>
            </w:r>
          </w:p>
        </w:tc>
      </w:tr>
      <w:tr w:rsidR="001762EE" w:rsidRPr="005A497D" w14:paraId="62790F39" w14:textId="77777777" w:rsidTr="00467BA6">
        <w:tc>
          <w:tcPr>
            <w:tcW w:w="2977" w:type="dxa"/>
            <w:vAlign w:val="center"/>
          </w:tcPr>
          <w:p w14:paraId="7E1F9FC2" w14:textId="4C02DA94" w:rsidR="001762EE" w:rsidRPr="00BF1CCD" w:rsidRDefault="001762EE" w:rsidP="00467BA6">
            <w:pPr>
              <w:pStyle w:val="NormalWeb"/>
              <w:keepNext/>
              <w:autoSpaceDE w:val="0"/>
              <w:autoSpaceDN w:val="0"/>
              <w:adjustRightInd w:val="0"/>
              <w:spacing w:before="20" w:beforeAutospacing="0" w:after="20" w:afterAutospacing="0"/>
              <w:jc w:val="both"/>
              <w:outlineLvl w:val="2"/>
              <w:rPr>
                <w:sz w:val="20"/>
                <w:szCs w:val="20"/>
              </w:rPr>
            </w:pPr>
            <w:bookmarkStart w:id="101" w:name="_Toc454811657"/>
            <w:bookmarkStart w:id="102" w:name="_Toc454888802"/>
            <w:r w:rsidRPr="00BF1CCD">
              <w:rPr>
                <w:sz w:val="20"/>
                <w:szCs w:val="20"/>
              </w:rPr>
              <w:t>Percentage of financial statement submission</w:t>
            </w:r>
            <w:bookmarkEnd w:id="101"/>
            <w:bookmarkEnd w:id="102"/>
          </w:p>
        </w:tc>
        <w:tc>
          <w:tcPr>
            <w:tcW w:w="1594" w:type="dxa"/>
            <w:vAlign w:val="center"/>
          </w:tcPr>
          <w:p w14:paraId="1E40C8F2" w14:textId="47525CDB" w:rsidR="001762EE" w:rsidRPr="00BF1CCD" w:rsidRDefault="001762EE" w:rsidP="002D502D">
            <w:pPr>
              <w:pStyle w:val="NormalWeb"/>
              <w:autoSpaceDE w:val="0"/>
              <w:autoSpaceDN w:val="0"/>
              <w:adjustRightInd w:val="0"/>
              <w:spacing w:before="20" w:beforeAutospacing="0" w:after="20" w:afterAutospacing="0"/>
              <w:jc w:val="center"/>
              <w:rPr>
                <w:sz w:val="20"/>
                <w:szCs w:val="20"/>
              </w:rPr>
            </w:pPr>
            <w:r w:rsidRPr="00BF1CCD">
              <w:rPr>
                <w:sz w:val="20"/>
                <w:szCs w:val="20"/>
              </w:rPr>
              <w:t>9</w:t>
            </w:r>
            <w:r w:rsidR="002D502D">
              <w:rPr>
                <w:sz w:val="20"/>
                <w:szCs w:val="20"/>
              </w:rPr>
              <w:t>8</w:t>
            </w:r>
          </w:p>
        </w:tc>
        <w:tc>
          <w:tcPr>
            <w:tcW w:w="1595" w:type="dxa"/>
            <w:vAlign w:val="center"/>
          </w:tcPr>
          <w:p w14:paraId="36699BF2" w14:textId="178CF2B3"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100</w:t>
            </w:r>
          </w:p>
        </w:tc>
        <w:tc>
          <w:tcPr>
            <w:tcW w:w="1595" w:type="dxa"/>
            <w:vAlign w:val="center"/>
          </w:tcPr>
          <w:p w14:paraId="0C9056F4" w14:textId="15478B8E"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97</w:t>
            </w:r>
          </w:p>
        </w:tc>
        <w:tc>
          <w:tcPr>
            <w:tcW w:w="1595" w:type="dxa"/>
            <w:vAlign w:val="center"/>
          </w:tcPr>
          <w:p w14:paraId="18647F6C" w14:textId="74C187D8"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71</w:t>
            </w:r>
          </w:p>
        </w:tc>
      </w:tr>
      <w:tr w:rsidR="001762EE" w:rsidRPr="005A497D" w14:paraId="2EDE51E8" w14:textId="77777777" w:rsidTr="00467BA6">
        <w:tc>
          <w:tcPr>
            <w:tcW w:w="2977" w:type="dxa"/>
            <w:vAlign w:val="center"/>
          </w:tcPr>
          <w:p w14:paraId="5949F85D" w14:textId="3F8571B0" w:rsidR="001762EE" w:rsidRPr="00BF1CCD" w:rsidRDefault="001762EE" w:rsidP="00D46430">
            <w:pPr>
              <w:pStyle w:val="NormalWeb"/>
              <w:autoSpaceDE w:val="0"/>
              <w:autoSpaceDN w:val="0"/>
              <w:adjustRightInd w:val="0"/>
              <w:spacing w:before="20" w:beforeAutospacing="0" w:after="20" w:afterAutospacing="0"/>
              <w:rPr>
                <w:sz w:val="20"/>
                <w:szCs w:val="20"/>
              </w:rPr>
            </w:pPr>
            <w:r w:rsidRPr="00BF1CCD">
              <w:rPr>
                <w:sz w:val="20"/>
                <w:szCs w:val="20"/>
              </w:rPr>
              <w:t>Average % of financial statement submission</w:t>
            </w:r>
          </w:p>
        </w:tc>
        <w:tc>
          <w:tcPr>
            <w:tcW w:w="6379" w:type="dxa"/>
            <w:gridSpan w:val="4"/>
            <w:vAlign w:val="center"/>
          </w:tcPr>
          <w:p w14:paraId="05C9EEE4" w14:textId="7D674F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92</w:t>
            </w:r>
          </w:p>
        </w:tc>
      </w:tr>
    </w:tbl>
    <w:p w14:paraId="21F90A26" w14:textId="1FC1BA0C" w:rsidR="001762EE" w:rsidRPr="005A497D" w:rsidRDefault="001762EE" w:rsidP="00467BA6">
      <w:pPr>
        <w:pStyle w:val="NormalWeb"/>
        <w:autoSpaceDE w:val="0"/>
        <w:autoSpaceDN w:val="0"/>
        <w:adjustRightInd w:val="0"/>
        <w:spacing w:before="40" w:beforeAutospacing="0" w:after="0" w:afterAutospacing="0"/>
        <w:jc w:val="both"/>
        <w:rPr>
          <w:sz w:val="18"/>
          <w:szCs w:val="18"/>
        </w:rPr>
      </w:pPr>
      <w:r w:rsidRPr="00BF1CCD">
        <w:rPr>
          <w:i/>
          <w:sz w:val="18"/>
          <w:szCs w:val="18"/>
        </w:rPr>
        <w:t>Source</w:t>
      </w:r>
      <w:r w:rsidRPr="005A497D">
        <w:rPr>
          <w:sz w:val="18"/>
          <w:szCs w:val="18"/>
        </w:rPr>
        <w:t xml:space="preserve">: </w:t>
      </w:r>
      <w:r>
        <w:rPr>
          <w:sz w:val="18"/>
          <w:szCs w:val="18"/>
        </w:rPr>
        <w:t>CoA</w:t>
      </w:r>
      <w:r w:rsidRPr="005A497D">
        <w:rPr>
          <w:sz w:val="18"/>
          <w:szCs w:val="18"/>
        </w:rPr>
        <w:t xml:space="preserve"> 2013 Annual Financial Report</w:t>
      </w:r>
      <w:r>
        <w:rPr>
          <w:sz w:val="18"/>
          <w:szCs w:val="18"/>
        </w:rPr>
        <w:t xml:space="preserve"> for LGUs.</w:t>
      </w:r>
    </w:p>
    <w:p w14:paraId="6A07179D" w14:textId="77777777" w:rsidR="001762EE" w:rsidRPr="005A497D" w:rsidRDefault="001762EE" w:rsidP="00467BA6"/>
    <w:p w14:paraId="2D21CAA3" w14:textId="0CEBE7F6" w:rsidR="001762EE" w:rsidRPr="005A497D" w:rsidRDefault="001762EE" w:rsidP="00467BA6">
      <w:pPr>
        <w:pStyle w:val="NormalWeb"/>
        <w:numPr>
          <w:ilvl w:val="0"/>
          <w:numId w:val="6"/>
        </w:numPr>
        <w:autoSpaceDE w:val="0"/>
        <w:autoSpaceDN w:val="0"/>
        <w:adjustRightInd w:val="0"/>
        <w:spacing w:before="0" w:beforeAutospacing="0" w:after="0" w:afterAutospacing="0"/>
        <w:ind w:left="0" w:firstLine="0"/>
        <w:jc w:val="both"/>
      </w:pPr>
      <w:r w:rsidRPr="005A497D">
        <w:t xml:space="preserve">The </w:t>
      </w:r>
      <w:r>
        <w:t>Annual Financial Report</w:t>
      </w:r>
      <w:r w:rsidRPr="005A497D">
        <w:t xml:space="preserve"> </w:t>
      </w:r>
      <w:r>
        <w:t xml:space="preserve">for local government units </w:t>
      </w:r>
      <w:r w:rsidRPr="005A497D">
        <w:t>also includes information on the summary of barangays</w:t>
      </w:r>
      <w:r>
        <w:t>,</w:t>
      </w:r>
      <w:r w:rsidRPr="005A497D">
        <w:t xml:space="preserve"> which submitted their financial statement</w:t>
      </w:r>
      <w:r w:rsidR="002D502D">
        <w:t>s</w:t>
      </w:r>
      <w:r w:rsidRPr="005A497D">
        <w:t xml:space="preserve"> to the </w:t>
      </w:r>
      <w:r>
        <w:t>Commission on Audit</w:t>
      </w:r>
      <w:r w:rsidRPr="005A497D">
        <w:t xml:space="preserve">. A summary is presented </w:t>
      </w:r>
      <w:r>
        <w:t>in Table 3.17.</w:t>
      </w:r>
    </w:p>
    <w:p w14:paraId="04679893" w14:textId="77777777" w:rsidR="001762EE" w:rsidRPr="005A497D" w:rsidRDefault="001762EE" w:rsidP="00467BA6"/>
    <w:p w14:paraId="1554EC36" w14:textId="2D55C0A7" w:rsidR="001762EE" w:rsidRPr="005A497D" w:rsidRDefault="001762EE" w:rsidP="00467BA6">
      <w:pPr>
        <w:pStyle w:val="PEFATable"/>
        <w:spacing w:after="40"/>
        <w:jc w:val="both"/>
        <w:rPr>
          <w:sz w:val="24"/>
          <w:szCs w:val="24"/>
        </w:rPr>
      </w:pPr>
      <w:bookmarkStart w:id="103" w:name="_Toc454889253"/>
      <w:r w:rsidRPr="005A497D">
        <w:rPr>
          <w:sz w:val="24"/>
          <w:szCs w:val="24"/>
        </w:rPr>
        <w:t>Table 3.1</w:t>
      </w:r>
      <w:r w:rsidR="00A85C58">
        <w:rPr>
          <w:sz w:val="24"/>
          <w:szCs w:val="24"/>
        </w:rPr>
        <w:t>1</w:t>
      </w:r>
      <w:r w:rsidRPr="005A497D">
        <w:rPr>
          <w:sz w:val="24"/>
          <w:szCs w:val="24"/>
        </w:rPr>
        <w:t xml:space="preserve">: </w:t>
      </w:r>
      <w:r>
        <w:rPr>
          <w:sz w:val="24"/>
          <w:szCs w:val="24"/>
        </w:rPr>
        <w:t>Number</w:t>
      </w:r>
      <w:r w:rsidRPr="005A497D">
        <w:rPr>
          <w:sz w:val="24"/>
          <w:szCs w:val="24"/>
        </w:rPr>
        <w:t xml:space="preserve"> of Barangays with Financial Statements, 2011-2013</w:t>
      </w:r>
      <w:bookmarkEnd w:id="103"/>
    </w:p>
    <w:tbl>
      <w:tblPr>
        <w:tblStyle w:val="TableGrid"/>
        <w:tblW w:w="9356"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18"/>
        <w:gridCol w:w="2646"/>
        <w:gridCol w:w="2646"/>
        <w:gridCol w:w="2646"/>
      </w:tblGrid>
      <w:tr w:rsidR="001762EE" w:rsidRPr="005A497D" w14:paraId="09BEC8A3" w14:textId="77777777" w:rsidTr="00467BA6">
        <w:trPr>
          <w:trHeight w:val="397"/>
        </w:trPr>
        <w:tc>
          <w:tcPr>
            <w:tcW w:w="1418" w:type="dxa"/>
            <w:tcBorders>
              <w:top w:val="double" w:sz="4" w:space="0" w:color="auto"/>
              <w:bottom w:val="double" w:sz="4" w:space="0" w:color="auto"/>
            </w:tcBorders>
            <w:shd w:val="clear" w:color="auto" w:fill="D9D9D9" w:themeFill="background1" w:themeFillShade="D9"/>
            <w:vAlign w:val="center"/>
          </w:tcPr>
          <w:p w14:paraId="75F69EEB" w14:textId="77777777" w:rsidR="001762EE" w:rsidRPr="00BF1CCD" w:rsidRDefault="001762EE" w:rsidP="00467BA6">
            <w:pPr>
              <w:pStyle w:val="NormalWeb"/>
              <w:autoSpaceDE w:val="0"/>
              <w:autoSpaceDN w:val="0"/>
              <w:adjustRightInd w:val="0"/>
              <w:spacing w:before="0" w:beforeAutospacing="0" w:after="0" w:afterAutospacing="0"/>
              <w:jc w:val="center"/>
              <w:rPr>
                <w:b/>
                <w:i/>
                <w:sz w:val="20"/>
                <w:szCs w:val="20"/>
              </w:rPr>
            </w:pPr>
            <w:r w:rsidRPr="00BF1CCD">
              <w:rPr>
                <w:b/>
                <w:i/>
                <w:sz w:val="20"/>
                <w:szCs w:val="20"/>
              </w:rPr>
              <w:t>Year</w:t>
            </w:r>
          </w:p>
        </w:tc>
        <w:tc>
          <w:tcPr>
            <w:tcW w:w="2646" w:type="dxa"/>
            <w:tcBorders>
              <w:top w:val="double" w:sz="4" w:space="0" w:color="auto"/>
              <w:bottom w:val="double" w:sz="4" w:space="0" w:color="auto"/>
            </w:tcBorders>
            <w:shd w:val="clear" w:color="auto" w:fill="D9D9D9" w:themeFill="background1" w:themeFillShade="D9"/>
            <w:vAlign w:val="center"/>
          </w:tcPr>
          <w:p w14:paraId="113B8C45" w14:textId="7B2BCCFD" w:rsidR="001762EE" w:rsidRPr="00BF1CCD" w:rsidRDefault="001762EE" w:rsidP="00467BA6">
            <w:pPr>
              <w:pStyle w:val="NormalWeb"/>
              <w:keepNext/>
              <w:autoSpaceDE w:val="0"/>
              <w:autoSpaceDN w:val="0"/>
              <w:adjustRightInd w:val="0"/>
              <w:spacing w:before="0" w:beforeAutospacing="0" w:after="0" w:afterAutospacing="0"/>
              <w:jc w:val="center"/>
              <w:outlineLvl w:val="2"/>
              <w:rPr>
                <w:b/>
                <w:i/>
                <w:sz w:val="20"/>
                <w:szCs w:val="20"/>
              </w:rPr>
            </w:pPr>
            <w:bookmarkStart w:id="104" w:name="_Toc454811658"/>
            <w:bookmarkStart w:id="105" w:name="_Toc454888803"/>
            <w:r>
              <w:rPr>
                <w:b/>
                <w:i/>
                <w:sz w:val="20"/>
                <w:szCs w:val="20"/>
              </w:rPr>
              <w:t>Number</w:t>
            </w:r>
            <w:r w:rsidRPr="00BF1CCD">
              <w:rPr>
                <w:b/>
                <w:i/>
                <w:sz w:val="20"/>
                <w:szCs w:val="20"/>
              </w:rPr>
              <w:t xml:space="preserve"> of barangays with financial statement</w:t>
            </w:r>
            <w:bookmarkEnd w:id="104"/>
            <w:bookmarkEnd w:id="105"/>
          </w:p>
        </w:tc>
        <w:tc>
          <w:tcPr>
            <w:tcW w:w="2646" w:type="dxa"/>
            <w:tcBorders>
              <w:top w:val="double" w:sz="4" w:space="0" w:color="auto"/>
              <w:bottom w:val="double" w:sz="4" w:space="0" w:color="auto"/>
            </w:tcBorders>
            <w:shd w:val="clear" w:color="auto" w:fill="D9D9D9" w:themeFill="background1" w:themeFillShade="D9"/>
            <w:vAlign w:val="center"/>
          </w:tcPr>
          <w:p w14:paraId="3480DFF3" w14:textId="4A179A9C" w:rsidR="001762EE" w:rsidRPr="00873B06" w:rsidRDefault="001762EE" w:rsidP="00D46430">
            <w:pPr>
              <w:pStyle w:val="NormalWeb"/>
              <w:autoSpaceDE w:val="0"/>
              <w:autoSpaceDN w:val="0"/>
              <w:adjustRightInd w:val="0"/>
              <w:spacing w:before="0" w:beforeAutospacing="0" w:after="0" w:afterAutospacing="0"/>
              <w:jc w:val="center"/>
              <w:rPr>
                <w:b/>
                <w:i/>
                <w:sz w:val="20"/>
                <w:szCs w:val="20"/>
              </w:rPr>
            </w:pPr>
            <w:r w:rsidRPr="00BF1CCD">
              <w:rPr>
                <w:b/>
                <w:i/>
                <w:sz w:val="20"/>
                <w:szCs w:val="20"/>
              </w:rPr>
              <w:t xml:space="preserve">Total </w:t>
            </w:r>
            <w:r>
              <w:rPr>
                <w:b/>
                <w:i/>
                <w:sz w:val="20"/>
                <w:szCs w:val="20"/>
              </w:rPr>
              <w:t>number</w:t>
            </w:r>
            <w:r w:rsidRPr="00873B06">
              <w:rPr>
                <w:b/>
                <w:i/>
                <w:sz w:val="20"/>
                <w:szCs w:val="20"/>
              </w:rPr>
              <w:t xml:space="preserve"> of barangays</w:t>
            </w:r>
          </w:p>
        </w:tc>
        <w:tc>
          <w:tcPr>
            <w:tcW w:w="2646" w:type="dxa"/>
            <w:tcBorders>
              <w:top w:val="double" w:sz="4" w:space="0" w:color="auto"/>
              <w:bottom w:val="double" w:sz="4" w:space="0" w:color="auto"/>
            </w:tcBorders>
            <w:shd w:val="clear" w:color="auto" w:fill="D9D9D9" w:themeFill="background1" w:themeFillShade="D9"/>
            <w:vAlign w:val="center"/>
          </w:tcPr>
          <w:p w14:paraId="4F1C3F8C" w14:textId="77777777" w:rsidR="001762EE" w:rsidRPr="00873B06" w:rsidRDefault="001762EE" w:rsidP="00467BA6">
            <w:pPr>
              <w:pStyle w:val="NormalWeb"/>
              <w:autoSpaceDE w:val="0"/>
              <w:autoSpaceDN w:val="0"/>
              <w:adjustRightInd w:val="0"/>
              <w:spacing w:before="0" w:beforeAutospacing="0" w:after="0" w:afterAutospacing="0"/>
              <w:jc w:val="center"/>
              <w:rPr>
                <w:b/>
                <w:i/>
                <w:sz w:val="20"/>
                <w:szCs w:val="20"/>
              </w:rPr>
            </w:pPr>
            <w:r w:rsidRPr="00873B06">
              <w:rPr>
                <w:b/>
                <w:i/>
                <w:sz w:val="20"/>
                <w:szCs w:val="20"/>
              </w:rPr>
              <w:t>% of submission</w:t>
            </w:r>
          </w:p>
        </w:tc>
      </w:tr>
      <w:tr w:rsidR="001762EE" w:rsidRPr="005A497D" w14:paraId="190AF478" w14:textId="77777777" w:rsidTr="00467BA6">
        <w:tc>
          <w:tcPr>
            <w:tcW w:w="1418" w:type="dxa"/>
            <w:tcBorders>
              <w:top w:val="double" w:sz="4" w:space="0" w:color="auto"/>
            </w:tcBorders>
          </w:tcPr>
          <w:p w14:paraId="7723C278"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2011</w:t>
            </w:r>
          </w:p>
        </w:tc>
        <w:tc>
          <w:tcPr>
            <w:tcW w:w="2646" w:type="dxa"/>
            <w:tcBorders>
              <w:top w:val="double" w:sz="4" w:space="0" w:color="auto"/>
            </w:tcBorders>
          </w:tcPr>
          <w:p w14:paraId="31E86AB5"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29,069</w:t>
            </w:r>
          </w:p>
        </w:tc>
        <w:tc>
          <w:tcPr>
            <w:tcW w:w="2646" w:type="dxa"/>
            <w:tcBorders>
              <w:top w:val="double" w:sz="4" w:space="0" w:color="auto"/>
            </w:tcBorders>
          </w:tcPr>
          <w:p w14:paraId="3C5277FF"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42,026</w:t>
            </w:r>
          </w:p>
        </w:tc>
        <w:tc>
          <w:tcPr>
            <w:tcW w:w="2646" w:type="dxa"/>
            <w:tcBorders>
              <w:top w:val="double" w:sz="4" w:space="0" w:color="auto"/>
            </w:tcBorders>
          </w:tcPr>
          <w:p w14:paraId="42D24E19" w14:textId="0693307C"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69.17</w:t>
            </w:r>
          </w:p>
        </w:tc>
      </w:tr>
      <w:tr w:rsidR="001762EE" w:rsidRPr="005A497D" w14:paraId="51E7CC91" w14:textId="77777777" w:rsidTr="00467BA6">
        <w:tc>
          <w:tcPr>
            <w:tcW w:w="1418" w:type="dxa"/>
          </w:tcPr>
          <w:p w14:paraId="54515BD6"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2012</w:t>
            </w:r>
          </w:p>
        </w:tc>
        <w:tc>
          <w:tcPr>
            <w:tcW w:w="2646" w:type="dxa"/>
          </w:tcPr>
          <w:p w14:paraId="503CFC14"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29,673</w:t>
            </w:r>
          </w:p>
        </w:tc>
        <w:tc>
          <w:tcPr>
            <w:tcW w:w="2646" w:type="dxa"/>
          </w:tcPr>
          <w:p w14:paraId="4E9F7537"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42,028</w:t>
            </w:r>
          </w:p>
        </w:tc>
        <w:tc>
          <w:tcPr>
            <w:tcW w:w="2646" w:type="dxa"/>
          </w:tcPr>
          <w:p w14:paraId="566092AD" w14:textId="57B7C868"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70.60</w:t>
            </w:r>
          </w:p>
        </w:tc>
      </w:tr>
      <w:tr w:rsidR="001762EE" w:rsidRPr="005A497D" w14:paraId="67E10816" w14:textId="77777777" w:rsidTr="00467BA6">
        <w:tc>
          <w:tcPr>
            <w:tcW w:w="1418" w:type="dxa"/>
          </w:tcPr>
          <w:p w14:paraId="449FA8B9"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2013</w:t>
            </w:r>
          </w:p>
        </w:tc>
        <w:tc>
          <w:tcPr>
            <w:tcW w:w="2646" w:type="dxa"/>
          </w:tcPr>
          <w:p w14:paraId="3C189713" w14:textId="77777777"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29,947</w:t>
            </w:r>
          </w:p>
        </w:tc>
        <w:tc>
          <w:tcPr>
            <w:tcW w:w="2646" w:type="dxa"/>
          </w:tcPr>
          <w:p w14:paraId="166893E3" w14:textId="760E3A44"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42,0</w:t>
            </w:r>
            <w:r w:rsidR="002D502D">
              <w:rPr>
                <w:sz w:val="20"/>
                <w:szCs w:val="20"/>
              </w:rPr>
              <w:t>28</w:t>
            </w:r>
          </w:p>
        </w:tc>
        <w:tc>
          <w:tcPr>
            <w:tcW w:w="2646" w:type="dxa"/>
          </w:tcPr>
          <w:p w14:paraId="44FE3917" w14:textId="1ADE368C" w:rsidR="001762EE" w:rsidRPr="00BF1CCD" w:rsidRDefault="001762EE" w:rsidP="00467BA6">
            <w:pPr>
              <w:pStyle w:val="NormalWeb"/>
              <w:autoSpaceDE w:val="0"/>
              <w:autoSpaceDN w:val="0"/>
              <w:adjustRightInd w:val="0"/>
              <w:spacing w:before="20" w:beforeAutospacing="0" w:after="20" w:afterAutospacing="0"/>
              <w:jc w:val="center"/>
              <w:rPr>
                <w:sz w:val="20"/>
                <w:szCs w:val="20"/>
              </w:rPr>
            </w:pPr>
            <w:r w:rsidRPr="00BF1CCD">
              <w:rPr>
                <w:sz w:val="20"/>
                <w:szCs w:val="20"/>
              </w:rPr>
              <w:t>71.</w:t>
            </w:r>
            <w:r w:rsidR="002D502D">
              <w:rPr>
                <w:sz w:val="20"/>
                <w:szCs w:val="20"/>
              </w:rPr>
              <w:t>25</w:t>
            </w:r>
          </w:p>
        </w:tc>
      </w:tr>
    </w:tbl>
    <w:p w14:paraId="3F0020F0" w14:textId="10E16EEB" w:rsidR="001762EE" w:rsidRPr="005A497D" w:rsidRDefault="001762EE" w:rsidP="00467BA6">
      <w:pPr>
        <w:pStyle w:val="NormalWeb"/>
        <w:autoSpaceDE w:val="0"/>
        <w:autoSpaceDN w:val="0"/>
        <w:adjustRightInd w:val="0"/>
        <w:spacing w:before="40" w:beforeAutospacing="0" w:after="0" w:afterAutospacing="0"/>
        <w:jc w:val="both"/>
        <w:rPr>
          <w:sz w:val="18"/>
          <w:szCs w:val="18"/>
        </w:rPr>
      </w:pPr>
      <w:r w:rsidRPr="00BF1CCD">
        <w:rPr>
          <w:i/>
          <w:sz w:val="18"/>
          <w:szCs w:val="18"/>
        </w:rPr>
        <w:t>Source</w:t>
      </w:r>
      <w:r w:rsidRPr="005A497D">
        <w:rPr>
          <w:sz w:val="18"/>
          <w:szCs w:val="18"/>
        </w:rPr>
        <w:t xml:space="preserve">: </w:t>
      </w:r>
      <w:r>
        <w:rPr>
          <w:sz w:val="18"/>
          <w:szCs w:val="18"/>
        </w:rPr>
        <w:t>CoA</w:t>
      </w:r>
      <w:r w:rsidRPr="005A497D">
        <w:rPr>
          <w:sz w:val="18"/>
          <w:szCs w:val="18"/>
        </w:rPr>
        <w:t xml:space="preserve"> Annual Financial Reports</w:t>
      </w:r>
      <w:r>
        <w:rPr>
          <w:sz w:val="18"/>
          <w:szCs w:val="18"/>
        </w:rPr>
        <w:t xml:space="preserve"> for LGUs</w:t>
      </w:r>
      <w:r w:rsidRPr="005A497D">
        <w:rPr>
          <w:sz w:val="18"/>
          <w:szCs w:val="18"/>
        </w:rPr>
        <w:t>.</w:t>
      </w:r>
    </w:p>
    <w:p w14:paraId="478ECC78" w14:textId="77777777" w:rsidR="001762EE" w:rsidRPr="005A497D" w:rsidRDefault="001762EE" w:rsidP="00467BA6">
      <w:pPr>
        <w:pStyle w:val="NormalWeb"/>
        <w:autoSpaceDE w:val="0"/>
        <w:autoSpaceDN w:val="0"/>
        <w:adjustRightInd w:val="0"/>
        <w:spacing w:before="0" w:beforeAutospacing="0" w:after="0" w:afterAutospacing="0"/>
        <w:contextualSpacing/>
        <w:jc w:val="both"/>
      </w:pPr>
    </w:p>
    <w:p w14:paraId="38D4B992" w14:textId="06B31A0C" w:rsidR="001762EE" w:rsidRPr="007A4E37" w:rsidRDefault="001762EE" w:rsidP="00BF1CCD">
      <w:pPr>
        <w:pStyle w:val="NormalWeb"/>
        <w:numPr>
          <w:ilvl w:val="0"/>
          <w:numId w:val="6"/>
        </w:numPr>
        <w:autoSpaceDE w:val="0"/>
        <w:autoSpaceDN w:val="0"/>
        <w:adjustRightInd w:val="0"/>
        <w:spacing w:before="0" w:beforeAutospacing="0" w:after="0" w:afterAutospacing="0"/>
        <w:ind w:left="0" w:firstLine="0"/>
        <w:contextualSpacing/>
        <w:jc w:val="both"/>
      </w:pPr>
      <w:r w:rsidRPr="005A497D">
        <w:t>As an alternative source of LGU fiscal data, BESF includes a section on LGU statement of receipts and expenditures for the previous, current</w:t>
      </w:r>
      <w:r>
        <w:t>,</w:t>
      </w:r>
      <w:r w:rsidRPr="005A497D">
        <w:t xml:space="preserve"> and next fiscal years. Given the time lag in fiscal data collection by the </w:t>
      </w:r>
      <w:r>
        <w:t>Bureau of Local Government Finance</w:t>
      </w:r>
      <w:r w:rsidRPr="005A497D">
        <w:t xml:space="preserve">, the previous year’s data reported in BESF are not final figures (as compared to </w:t>
      </w:r>
      <w:r>
        <w:t>CoA</w:t>
      </w:r>
      <w:r w:rsidRPr="005A497D">
        <w:t xml:space="preserve"> </w:t>
      </w:r>
      <w:r>
        <w:t>Annual Financial Report</w:t>
      </w:r>
      <w:r w:rsidRPr="005A497D">
        <w:t xml:space="preserve">). The expenditures are reported by sector, but only at a high level of aggregation. </w:t>
      </w:r>
    </w:p>
    <w:p w14:paraId="432FBC57" w14:textId="77777777" w:rsidR="001762EE" w:rsidRDefault="001762EE" w:rsidP="00C04D40">
      <w:pPr>
        <w:pStyle w:val="NormalWeb"/>
        <w:autoSpaceDE w:val="0"/>
        <w:autoSpaceDN w:val="0"/>
        <w:adjustRightInd w:val="0"/>
        <w:spacing w:before="0" w:beforeAutospacing="0" w:after="0" w:afterAutospacing="0"/>
        <w:contextualSpacing/>
        <w:jc w:val="both"/>
      </w:pPr>
    </w:p>
    <w:p w14:paraId="444D4B35" w14:textId="65CCE54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Commission on Audit issues annual audit reports for the local government units and publishes these on its website. A majority and not most of the audit reports for 2014 were issued within nine months, and the score for Dimension 10.2 is thus assessed at “C”. </w:t>
      </w:r>
    </w:p>
    <w:p w14:paraId="305BB831" w14:textId="77777777" w:rsidR="001762EE" w:rsidRPr="005A497D" w:rsidRDefault="001762EE" w:rsidP="00414849">
      <w:pPr>
        <w:pStyle w:val="NormalWeb"/>
        <w:autoSpaceDE w:val="0"/>
        <w:autoSpaceDN w:val="0"/>
        <w:adjustRightInd w:val="0"/>
        <w:spacing w:before="0" w:beforeAutospacing="0" w:after="0" w:afterAutospacing="0"/>
        <w:contextualSpacing/>
        <w:jc w:val="both"/>
      </w:pPr>
    </w:p>
    <w:p w14:paraId="49B5F662" w14:textId="2359E15E" w:rsidR="001762EE" w:rsidRPr="00BF1CCD" w:rsidRDefault="001762EE" w:rsidP="004F631E">
      <w:pPr>
        <w:pStyle w:val="NormalWeb"/>
        <w:autoSpaceDE w:val="0"/>
        <w:autoSpaceDN w:val="0"/>
        <w:adjustRightInd w:val="0"/>
        <w:spacing w:before="0" w:beforeAutospacing="0" w:after="0" w:afterAutospacing="0"/>
        <w:contextualSpacing/>
        <w:jc w:val="both"/>
        <w:rPr>
          <w:b/>
          <w:i/>
        </w:rPr>
      </w:pPr>
      <w:r w:rsidRPr="00BF1CCD">
        <w:rPr>
          <w:b/>
          <w:i/>
        </w:rPr>
        <w:t>Dimension 10.3 Contingent liabilities and other fiscal risks</w:t>
      </w:r>
    </w:p>
    <w:p w14:paraId="54983965" w14:textId="77777777" w:rsidR="001762EE" w:rsidRPr="00B051D7" w:rsidRDefault="001762EE" w:rsidP="004F631E">
      <w:pPr>
        <w:pStyle w:val="NormalWeb"/>
        <w:autoSpaceDE w:val="0"/>
        <w:autoSpaceDN w:val="0"/>
        <w:adjustRightInd w:val="0"/>
        <w:spacing w:before="0" w:beforeAutospacing="0" w:after="0" w:afterAutospacing="0"/>
        <w:contextualSpacing/>
        <w:jc w:val="both"/>
        <w:rPr>
          <w:i/>
        </w:rPr>
      </w:pPr>
    </w:p>
    <w:p w14:paraId="64B9EB7C" w14:textId="2A0D8E8A" w:rsidR="001762EE" w:rsidRPr="005A497D" w:rsidRDefault="001762EE" w:rsidP="0073584C">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Government’s</w:t>
      </w:r>
      <w:r w:rsidRPr="005A497D">
        <w:t xml:space="preserve"> </w:t>
      </w:r>
      <w:r>
        <w:t>Development Budget Coordination Committee</w:t>
      </w:r>
      <w:r w:rsidRPr="005A497D">
        <w:t xml:space="preserve"> has since 2012 published a Fiscal Risk Statement</w:t>
      </w:r>
      <w:r>
        <w:t xml:space="preserve"> to</w:t>
      </w:r>
      <w:r w:rsidRPr="005A497D">
        <w:t xml:space="preserve"> </w:t>
      </w:r>
      <w:r w:rsidRPr="005F5031">
        <w:t>provide a comprehensive view of the country’s</w:t>
      </w:r>
      <w:r>
        <w:t xml:space="preserve"> </w:t>
      </w:r>
      <w:r w:rsidRPr="005F5031">
        <w:t>exposure to fiscal risks emanating from fiscal projections and turnouts, public debt, and contingent</w:t>
      </w:r>
      <w:r>
        <w:t xml:space="preserve"> </w:t>
      </w:r>
      <w:r w:rsidRPr="005F5031">
        <w:t xml:space="preserve">liabilities associated with the financial sector, GOCCs, </w:t>
      </w:r>
      <w:r>
        <w:t>public-private partnerships</w:t>
      </w:r>
      <w:r w:rsidRPr="005F5031">
        <w:t>, local government units</w:t>
      </w:r>
      <w:r>
        <w:t>,</w:t>
      </w:r>
      <w:r w:rsidRPr="005F5031">
        <w:t xml:space="preserve"> and natural</w:t>
      </w:r>
      <w:r>
        <w:t xml:space="preserve"> </w:t>
      </w:r>
      <w:r w:rsidRPr="005F5031">
        <w:t>disasters.</w:t>
      </w:r>
      <w:r w:rsidRPr="005A497D">
        <w:rPr>
          <w:rStyle w:val="EndnoteReference"/>
        </w:rPr>
        <w:endnoteReference w:id="28"/>
      </w:r>
      <w:r w:rsidRPr="005F5031">
        <w:t xml:space="preserve"> The report also includes reforms and risk mitigation efforts</w:t>
      </w:r>
      <w:r>
        <w:t xml:space="preserve">. </w:t>
      </w:r>
      <w:r w:rsidRPr="005A497D">
        <w:t xml:space="preserve">It covers sensitivity analysis on the impact of changes in key macro-economic variables to the fiscal position and also assesses fiscal risks in other sectors and areas, including the financial sector, contingent liabilities associated with </w:t>
      </w:r>
      <w:r>
        <w:t>p</w:t>
      </w:r>
      <w:r w:rsidRPr="005A497D">
        <w:t>ublic</w:t>
      </w:r>
      <w:r>
        <w:t>-p</w:t>
      </w:r>
      <w:r w:rsidRPr="005A497D">
        <w:t xml:space="preserve">rivate </w:t>
      </w:r>
      <w:r>
        <w:t>p</w:t>
      </w:r>
      <w:r w:rsidRPr="005A497D">
        <w:t xml:space="preserve">artnerships, </w:t>
      </w:r>
      <w:r>
        <w:t>local government units,</w:t>
      </w:r>
      <w:r w:rsidRPr="005A497D">
        <w:t xml:space="preserve"> and GOCCs.</w:t>
      </w:r>
    </w:p>
    <w:p w14:paraId="4B8BE4BD" w14:textId="77777777" w:rsidR="001762EE" w:rsidRPr="005A497D" w:rsidRDefault="001762EE" w:rsidP="00414849">
      <w:pPr>
        <w:pStyle w:val="NormalWeb"/>
        <w:autoSpaceDE w:val="0"/>
        <w:autoSpaceDN w:val="0"/>
        <w:adjustRightInd w:val="0"/>
        <w:spacing w:before="0" w:beforeAutospacing="0" w:after="0" w:afterAutospacing="0"/>
        <w:contextualSpacing/>
        <w:jc w:val="both"/>
      </w:pPr>
    </w:p>
    <w:p w14:paraId="50D307B1" w14:textId="59F4FE4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Fiscal Risk Statement provides a clear overview regarding </w:t>
      </w:r>
      <w:r>
        <w:t>significant</w:t>
      </w:r>
      <w:r w:rsidRPr="005A497D">
        <w:t xml:space="preserve"> risks</w:t>
      </w:r>
      <w:r>
        <w:t xml:space="preserve">. </w:t>
      </w:r>
      <w:r w:rsidRPr="005A497D">
        <w:t>The Fiscal Risk</w:t>
      </w:r>
      <w:r>
        <w:t>s</w:t>
      </w:r>
      <w:r w:rsidRPr="005A497D">
        <w:t xml:space="preserve"> Statement</w:t>
      </w:r>
      <w:r>
        <w:t>s from 2013 to 2016 clearly meet requirements of quantification and consolidation for all “significant” explicit contingent liabilities and other fiscal risks and report publication;</w:t>
      </w:r>
      <w:r>
        <w:rPr>
          <w:rStyle w:val="EndnoteReference"/>
        </w:rPr>
        <w:endnoteReference w:id="29"/>
      </w:r>
      <w:r>
        <w:t xml:space="preserve"> thus, the score for Dimension 10.3 is assessed at “A”.</w:t>
      </w:r>
    </w:p>
    <w:p w14:paraId="4ADAF3C2" w14:textId="77777777" w:rsidR="001762EE" w:rsidRPr="005A497D" w:rsidRDefault="001762EE" w:rsidP="00E24D79">
      <w:pPr>
        <w:contextualSpacing/>
        <w:jc w:val="both"/>
      </w:pPr>
    </w:p>
    <w:p w14:paraId="4CC626E1" w14:textId="083005E7" w:rsidR="001762EE" w:rsidRDefault="001762EE" w:rsidP="00411651">
      <w:pPr>
        <w:pStyle w:val="Heading3"/>
      </w:pPr>
      <w:bookmarkStart w:id="106" w:name="_Toc454811659"/>
      <w:bookmarkStart w:id="107" w:name="_Toc454888804"/>
      <w:r w:rsidRPr="005A497D">
        <w:t xml:space="preserve">PI-11 </w:t>
      </w:r>
      <w:r>
        <w:t>Public i</w:t>
      </w:r>
      <w:r w:rsidRPr="005A497D">
        <w:t xml:space="preserve">nvestment </w:t>
      </w:r>
      <w:r>
        <w:t>m</w:t>
      </w:r>
      <w:r w:rsidRPr="005A497D">
        <w:t>anagement</w:t>
      </w:r>
      <w:bookmarkEnd w:id="106"/>
      <w:bookmarkEnd w:id="107"/>
    </w:p>
    <w:p w14:paraId="3B89FA1A" w14:textId="77777777" w:rsidR="001762EE" w:rsidRPr="00372297" w:rsidRDefault="001762EE" w:rsidP="00372297"/>
    <w:p w14:paraId="68CE5190" w14:textId="651916D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Public investments are viewed as a key prerequisite to achieve and sustain economic growth, achieve strategic policy objectives</w:t>
      </w:r>
      <w:r>
        <w:t>,</w:t>
      </w:r>
      <w:r w:rsidRPr="005A497D">
        <w:t xml:space="preserve"> and address national service delivery needs. </w:t>
      </w:r>
      <w:r>
        <w:t>This indicator assesses economic appraisal, selection, costing, and monitoring of public investment projects by the government with an emphasis on the most significant projects.</w:t>
      </w:r>
    </w:p>
    <w:p w14:paraId="4E1BFA9F" w14:textId="77777777" w:rsidR="001762EE" w:rsidRPr="005A497D" w:rsidRDefault="001762EE" w:rsidP="00BB1EBF">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1A804185" w14:textId="77777777" w:rsidTr="0015142A">
        <w:trPr>
          <w:trHeight w:val="397"/>
          <w:tblHeader/>
        </w:trPr>
        <w:tc>
          <w:tcPr>
            <w:tcW w:w="3600" w:type="dxa"/>
            <w:tcBorders>
              <w:top w:val="double" w:sz="4" w:space="0" w:color="auto"/>
            </w:tcBorders>
            <w:shd w:val="clear" w:color="auto" w:fill="D9D9D9"/>
            <w:vAlign w:val="center"/>
          </w:tcPr>
          <w:p w14:paraId="226A8286" w14:textId="77777777" w:rsidR="001762EE" w:rsidRPr="00BF1CCD" w:rsidRDefault="001762EE" w:rsidP="00687FCB">
            <w:pPr>
              <w:spacing w:before="40" w:after="40"/>
              <w:jc w:val="center"/>
              <w:rPr>
                <w:b/>
                <w:i/>
              </w:rPr>
            </w:pPr>
            <w:r w:rsidRPr="00BF1CCD">
              <w:rPr>
                <w:b/>
                <w:i/>
                <w:sz w:val="22"/>
                <w:szCs w:val="22"/>
              </w:rPr>
              <w:t>Indicator / Dimension</w:t>
            </w:r>
          </w:p>
        </w:tc>
        <w:tc>
          <w:tcPr>
            <w:tcW w:w="1843" w:type="dxa"/>
            <w:tcBorders>
              <w:top w:val="double" w:sz="4" w:space="0" w:color="auto"/>
            </w:tcBorders>
            <w:shd w:val="clear" w:color="auto" w:fill="D9D9D9"/>
            <w:vAlign w:val="center"/>
          </w:tcPr>
          <w:p w14:paraId="6B1E2392" w14:textId="77777777" w:rsidR="001762EE" w:rsidRPr="00BF1CCD" w:rsidRDefault="001762EE" w:rsidP="00687FCB">
            <w:pPr>
              <w:spacing w:before="40" w:after="40"/>
              <w:jc w:val="center"/>
              <w:rPr>
                <w:b/>
                <w:i/>
              </w:rPr>
            </w:pPr>
            <w:r w:rsidRPr="00BF1CCD">
              <w:rPr>
                <w:b/>
                <w:i/>
                <w:sz w:val="22"/>
                <w:szCs w:val="22"/>
              </w:rPr>
              <w:t>Score</w:t>
            </w:r>
          </w:p>
        </w:tc>
        <w:tc>
          <w:tcPr>
            <w:tcW w:w="3913" w:type="dxa"/>
            <w:tcBorders>
              <w:top w:val="double" w:sz="4" w:space="0" w:color="auto"/>
            </w:tcBorders>
            <w:shd w:val="clear" w:color="auto" w:fill="D9D9D9"/>
            <w:vAlign w:val="center"/>
          </w:tcPr>
          <w:p w14:paraId="7E479085" w14:textId="0E8E1B56" w:rsidR="001762EE" w:rsidRPr="00BF1CCD" w:rsidRDefault="001762EE" w:rsidP="005108BC">
            <w:pPr>
              <w:spacing w:before="40" w:after="40"/>
              <w:jc w:val="center"/>
              <w:rPr>
                <w:b/>
                <w:i/>
              </w:rPr>
            </w:pPr>
            <w:r w:rsidRPr="00BF1CCD">
              <w:rPr>
                <w:b/>
                <w:i/>
                <w:sz w:val="22"/>
                <w:szCs w:val="22"/>
              </w:rPr>
              <w:t xml:space="preserve">Brief </w:t>
            </w:r>
            <w:r>
              <w:rPr>
                <w:b/>
                <w:i/>
                <w:sz w:val="22"/>
                <w:szCs w:val="22"/>
              </w:rPr>
              <w:t>e</w:t>
            </w:r>
            <w:r w:rsidRPr="00BF1CCD">
              <w:rPr>
                <w:b/>
                <w:i/>
                <w:sz w:val="22"/>
                <w:szCs w:val="22"/>
              </w:rPr>
              <w:t>xplanation</w:t>
            </w:r>
          </w:p>
        </w:tc>
      </w:tr>
      <w:tr w:rsidR="001762EE" w:rsidRPr="005A497D" w14:paraId="73BCD33D" w14:textId="77777777" w:rsidTr="00687FCB">
        <w:tc>
          <w:tcPr>
            <w:tcW w:w="3600" w:type="dxa"/>
            <w:tcBorders>
              <w:top w:val="double" w:sz="4" w:space="0" w:color="auto"/>
              <w:bottom w:val="single" w:sz="4" w:space="0" w:color="auto"/>
            </w:tcBorders>
          </w:tcPr>
          <w:p w14:paraId="455E40E4" w14:textId="77777777" w:rsidR="001762EE" w:rsidRPr="005A497D" w:rsidRDefault="001762EE" w:rsidP="00687FCB">
            <w:pPr>
              <w:spacing w:before="40" w:after="40"/>
            </w:pPr>
            <w:r w:rsidRPr="005A497D">
              <w:rPr>
                <w:b/>
                <w:bCs/>
                <w:sz w:val="22"/>
                <w:szCs w:val="22"/>
              </w:rPr>
              <w:t>PI-11 Public investment management</w:t>
            </w:r>
          </w:p>
        </w:tc>
        <w:tc>
          <w:tcPr>
            <w:tcW w:w="1843" w:type="dxa"/>
            <w:tcBorders>
              <w:top w:val="double" w:sz="4" w:space="0" w:color="auto"/>
              <w:bottom w:val="single" w:sz="4" w:space="0" w:color="auto"/>
            </w:tcBorders>
          </w:tcPr>
          <w:p w14:paraId="4BEC3FCC" w14:textId="20EE766D" w:rsidR="001762EE" w:rsidRPr="005A497D" w:rsidRDefault="000015F6" w:rsidP="00687FCB">
            <w:pPr>
              <w:spacing w:before="40" w:after="40"/>
              <w:jc w:val="center"/>
              <w:rPr>
                <w:b/>
              </w:rPr>
            </w:pPr>
            <w:r>
              <w:rPr>
                <w:b/>
                <w:sz w:val="22"/>
                <w:szCs w:val="22"/>
              </w:rPr>
              <w:t>A</w:t>
            </w:r>
          </w:p>
        </w:tc>
        <w:tc>
          <w:tcPr>
            <w:tcW w:w="3913" w:type="dxa"/>
            <w:tcBorders>
              <w:top w:val="double" w:sz="4" w:space="0" w:color="auto"/>
              <w:bottom w:val="single" w:sz="4" w:space="0" w:color="auto"/>
            </w:tcBorders>
          </w:tcPr>
          <w:p w14:paraId="41584E33" w14:textId="77777777" w:rsidR="001762EE" w:rsidRPr="005A497D" w:rsidRDefault="001762EE" w:rsidP="00687FCB">
            <w:pPr>
              <w:spacing w:before="40" w:after="40"/>
            </w:pPr>
            <w:r w:rsidRPr="005A497D">
              <w:rPr>
                <w:sz w:val="22"/>
                <w:szCs w:val="22"/>
              </w:rPr>
              <w:t>Overall rating based on M2 methodology.</w:t>
            </w:r>
          </w:p>
        </w:tc>
      </w:tr>
      <w:tr w:rsidR="001762EE" w:rsidRPr="005A497D" w14:paraId="2C894CF2" w14:textId="77777777" w:rsidTr="00687FCB">
        <w:tc>
          <w:tcPr>
            <w:tcW w:w="3600" w:type="dxa"/>
            <w:tcBorders>
              <w:top w:val="single" w:sz="4" w:space="0" w:color="auto"/>
              <w:bottom w:val="single" w:sz="4" w:space="0" w:color="auto"/>
            </w:tcBorders>
          </w:tcPr>
          <w:p w14:paraId="2E00CDC3" w14:textId="6E1323DE" w:rsidR="001762EE" w:rsidRPr="005A497D" w:rsidRDefault="001762EE" w:rsidP="007C2F35">
            <w:pPr>
              <w:pStyle w:val="Default"/>
              <w:rPr>
                <w:color w:val="auto"/>
                <w:sz w:val="22"/>
                <w:szCs w:val="22"/>
              </w:rPr>
            </w:pPr>
            <w:r>
              <w:rPr>
                <w:color w:val="auto"/>
                <w:sz w:val="22"/>
                <w:szCs w:val="22"/>
              </w:rPr>
              <w:t>11.1</w:t>
            </w:r>
            <w:r w:rsidRPr="005A497D">
              <w:rPr>
                <w:color w:val="auto"/>
                <w:sz w:val="22"/>
                <w:szCs w:val="22"/>
              </w:rPr>
              <w:t xml:space="preserve"> </w:t>
            </w:r>
            <w:r>
              <w:rPr>
                <w:color w:val="auto"/>
                <w:sz w:val="22"/>
                <w:szCs w:val="22"/>
              </w:rPr>
              <w:t>Economic analysis of investment proposals</w:t>
            </w:r>
          </w:p>
        </w:tc>
        <w:tc>
          <w:tcPr>
            <w:tcW w:w="1843" w:type="dxa"/>
            <w:tcBorders>
              <w:top w:val="single" w:sz="4" w:space="0" w:color="auto"/>
              <w:bottom w:val="single" w:sz="4" w:space="0" w:color="auto"/>
            </w:tcBorders>
          </w:tcPr>
          <w:p w14:paraId="6FE27C64" w14:textId="77777777" w:rsidR="001762EE" w:rsidRPr="005A497D" w:rsidRDefault="001762EE" w:rsidP="00687FCB">
            <w:pPr>
              <w:spacing w:before="40" w:after="40"/>
              <w:jc w:val="center"/>
            </w:pPr>
            <w:r w:rsidRPr="005A497D">
              <w:rPr>
                <w:sz w:val="22"/>
                <w:szCs w:val="22"/>
              </w:rPr>
              <w:t>A</w:t>
            </w:r>
          </w:p>
        </w:tc>
        <w:tc>
          <w:tcPr>
            <w:tcW w:w="3913" w:type="dxa"/>
            <w:tcBorders>
              <w:top w:val="single" w:sz="4" w:space="0" w:color="auto"/>
              <w:bottom w:val="single" w:sz="4" w:space="0" w:color="auto"/>
            </w:tcBorders>
          </w:tcPr>
          <w:p w14:paraId="5ECAFE44" w14:textId="0727BD2C" w:rsidR="001762EE" w:rsidRPr="005A497D" w:rsidRDefault="001762EE" w:rsidP="00024F47">
            <w:pPr>
              <w:spacing w:before="40" w:after="40"/>
            </w:pPr>
            <w:r>
              <w:rPr>
                <w:sz w:val="22"/>
                <w:szCs w:val="22"/>
              </w:rPr>
              <w:t>List of projects approved by the NEDA Board</w:t>
            </w:r>
            <w:r w:rsidR="00024F47">
              <w:rPr>
                <w:sz w:val="22"/>
                <w:szCs w:val="22"/>
              </w:rPr>
              <w:t>;</w:t>
            </w:r>
            <w:r>
              <w:rPr>
                <w:sz w:val="22"/>
                <w:szCs w:val="22"/>
              </w:rPr>
              <w:t xml:space="preserve"> ICC is posted in NEDA website. ICC reviews a</w:t>
            </w:r>
            <w:r w:rsidRPr="005A497D">
              <w:rPr>
                <w:sz w:val="22"/>
                <w:szCs w:val="22"/>
              </w:rPr>
              <w:t xml:space="preserve">ll major </w:t>
            </w:r>
            <w:r>
              <w:rPr>
                <w:sz w:val="22"/>
                <w:szCs w:val="22"/>
              </w:rPr>
              <w:t xml:space="preserve">capital </w:t>
            </w:r>
            <w:r w:rsidRPr="005A497D">
              <w:rPr>
                <w:sz w:val="22"/>
                <w:szCs w:val="22"/>
              </w:rPr>
              <w:t xml:space="preserve">projects </w:t>
            </w:r>
            <w:r>
              <w:rPr>
                <w:sz w:val="22"/>
                <w:szCs w:val="22"/>
              </w:rPr>
              <w:t xml:space="preserve">that </w:t>
            </w:r>
            <w:r w:rsidRPr="005A497D">
              <w:rPr>
                <w:sz w:val="22"/>
                <w:szCs w:val="22"/>
              </w:rPr>
              <w:t>are above PhP 1 billion</w:t>
            </w:r>
            <w:r>
              <w:rPr>
                <w:sz w:val="22"/>
                <w:szCs w:val="22"/>
              </w:rPr>
              <w:t xml:space="preserve">. </w:t>
            </w:r>
            <w:r w:rsidRPr="005A497D">
              <w:rPr>
                <w:sz w:val="22"/>
                <w:szCs w:val="22"/>
              </w:rPr>
              <w:t>The review includes evaluation of technical, financial, economic</w:t>
            </w:r>
            <w:r>
              <w:rPr>
                <w:sz w:val="22"/>
                <w:szCs w:val="22"/>
              </w:rPr>
              <w:t>,</w:t>
            </w:r>
            <w:r w:rsidRPr="005A497D">
              <w:rPr>
                <w:sz w:val="22"/>
                <w:szCs w:val="22"/>
              </w:rPr>
              <w:t xml:space="preserve"> </w:t>
            </w:r>
            <w:r>
              <w:rPr>
                <w:sz w:val="22"/>
                <w:szCs w:val="22"/>
              </w:rPr>
              <w:t xml:space="preserve">environmental, institutional, </w:t>
            </w:r>
            <w:r w:rsidRPr="005A497D">
              <w:rPr>
                <w:sz w:val="22"/>
                <w:szCs w:val="22"/>
              </w:rPr>
              <w:t>social</w:t>
            </w:r>
            <w:r>
              <w:rPr>
                <w:sz w:val="22"/>
                <w:szCs w:val="22"/>
              </w:rPr>
              <w:t>, and sensitivity analysis</w:t>
            </w:r>
            <w:r w:rsidRPr="005A497D">
              <w:rPr>
                <w:sz w:val="22"/>
                <w:szCs w:val="22"/>
              </w:rPr>
              <w:t>.</w:t>
            </w:r>
            <w:r w:rsidRPr="00D147E0">
              <w:rPr>
                <w:sz w:val="22"/>
                <w:szCs w:val="22"/>
                <w:vertAlign w:val="superscript"/>
              </w:rPr>
              <w:t xml:space="preserve">/a </w:t>
            </w:r>
          </w:p>
        </w:tc>
      </w:tr>
      <w:tr w:rsidR="001762EE" w:rsidRPr="005A497D" w14:paraId="5C8E9B77" w14:textId="77777777" w:rsidTr="00687FCB">
        <w:tc>
          <w:tcPr>
            <w:tcW w:w="3600" w:type="dxa"/>
            <w:tcBorders>
              <w:top w:val="single" w:sz="4" w:space="0" w:color="auto"/>
              <w:bottom w:val="single" w:sz="4" w:space="0" w:color="auto"/>
            </w:tcBorders>
          </w:tcPr>
          <w:p w14:paraId="2A59BC61" w14:textId="7F4E816D" w:rsidR="001762EE" w:rsidRPr="005A497D" w:rsidRDefault="001762EE" w:rsidP="007C2F35">
            <w:pPr>
              <w:pStyle w:val="Default"/>
              <w:rPr>
                <w:color w:val="auto"/>
                <w:sz w:val="22"/>
                <w:szCs w:val="22"/>
              </w:rPr>
            </w:pPr>
            <w:r>
              <w:rPr>
                <w:color w:val="auto"/>
                <w:sz w:val="22"/>
                <w:szCs w:val="22"/>
              </w:rPr>
              <w:t>11.2</w:t>
            </w:r>
            <w:r w:rsidRPr="005A497D">
              <w:rPr>
                <w:color w:val="auto"/>
                <w:sz w:val="22"/>
                <w:szCs w:val="22"/>
              </w:rPr>
              <w:t xml:space="preserve"> </w:t>
            </w:r>
            <w:r>
              <w:rPr>
                <w:color w:val="auto"/>
                <w:sz w:val="22"/>
                <w:szCs w:val="22"/>
              </w:rPr>
              <w:t>Investment project selection</w:t>
            </w:r>
          </w:p>
        </w:tc>
        <w:tc>
          <w:tcPr>
            <w:tcW w:w="1843" w:type="dxa"/>
            <w:tcBorders>
              <w:top w:val="single" w:sz="4" w:space="0" w:color="auto"/>
              <w:bottom w:val="single" w:sz="4" w:space="0" w:color="auto"/>
            </w:tcBorders>
          </w:tcPr>
          <w:p w14:paraId="4F9C8E42" w14:textId="77777777" w:rsidR="001762EE" w:rsidRPr="005A497D" w:rsidRDefault="001762EE" w:rsidP="00687FCB">
            <w:pPr>
              <w:spacing w:before="40" w:after="40"/>
              <w:jc w:val="center"/>
            </w:pPr>
            <w:r w:rsidRPr="005A497D">
              <w:rPr>
                <w:sz w:val="22"/>
                <w:szCs w:val="22"/>
              </w:rPr>
              <w:t>A</w:t>
            </w:r>
          </w:p>
        </w:tc>
        <w:tc>
          <w:tcPr>
            <w:tcW w:w="3913" w:type="dxa"/>
            <w:tcBorders>
              <w:top w:val="single" w:sz="4" w:space="0" w:color="auto"/>
              <w:bottom w:val="single" w:sz="4" w:space="0" w:color="auto"/>
            </w:tcBorders>
          </w:tcPr>
          <w:p w14:paraId="440A5C95" w14:textId="126AEA36" w:rsidR="001762EE" w:rsidRPr="005A497D" w:rsidRDefault="001762EE" w:rsidP="002E4DA8">
            <w:pPr>
              <w:spacing w:before="40" w:after="40"/>
            </w:pPr>
            <w:r w:rsidRPr="005A497D">
              <w:rPr>
                <w:sz w:val="22"/>
                <w:szCs w:val="22"/>
              </w:rPr>
              <w:t xml:space="preserve">NEDA published the </w:t>
            </w:r>
            <w:r>
              <w:rPr>
                <w:sz w:val="22"/>
                <w:szCs w:val="22"/>
              </w:rPr>
              <w:t xml:space="preserve">Public Investment Program and </w:t>
            </w:r>
            <w:r w:rsidRPr="005A497D">
              <w:rPr>
                <w:sz w:val="22"/>
                <w:szCs w:val="22"/>
              </w:rPr>
              <w:t>Comprehensive and Integrated Infrastructure Program (CIIP) list</w:t>
            </w:r>
            <w:r>
              <w:rPr>
                <w:sz w:val="22"/>
                <w:szCs w:val="22"/>
              </w:rPr>
              <w:t xml:space="preserve"> and applies standard criteria for prioritization</w:t>
            </w:r>
            <w:r w:rsidRPr="005A497D">
              <w:rPr>
                <w:sz w:val="22"/>
                <w:szCs w:val="22"/>
              </w:rPr>
              <w:t xml:space="preserve">. </w:t>
            </w:r>
          </w:p>
        </w:tc>
      </w:tr>
      <w:tr w:rsidR="001762EE" w:rsidRPr="005A497D" w14:paraId="78BFC02B" w14:textId="77777777" w:rsidTr="00687FCB">
        <w:tc>
          <w:tcPr>
            <w:tcW w:w="3600" w:type="dxa"/>
            <w:tcBorders>
              <w:top w:val="single" w:sz="4" w:space="0" w:color="auto"/>
              <w:bottom w:val="single" w:sz="4" w:space="0" w:color="auto"/>
            </w:tcBorders>
          </w:tcPr>
          <w:p w14:paraId="6F6EB722" w14:textId="5516C560" w:rsidR="001762EE" w:rsidRPr="005A497D" w:rsidRDefault="001762EE" w:rsidP="007C2F35">
            <w:pPr>
              <w:pStyle w:val="Default"/>
              <w:rPr>
                <w:color w:val="auto"/>
                <w:sz w:val="22"/>
                <w:szCs w:val="22"/>
              </w:rPr>
            </w:pPr>
            <w:r>
              <w:rPr>
                <w:color w:val="auto"/>
                <w:sz w:val="22"/>
                <w:szCs w:val="22"/>
              </w:rPr>
              <w:t>11.3</w:t>
            </w:r>
            <w:r w:rsidRPr="005A497D">
              <w:rPr>
                <w:color w:val="auto"/>
                <w:sz w:val="22"/>
                <w:szCs w:val="22"/>
              </w:rPr>
              <w:t xml:space="preserve"> </w:t>
            </w:r>
            <w:r>
              <w:rPr>
                <w:color w:val="auto"/>
                <w:sz w:val="22"/>
                <w:szCs w:val="22"/>
              </w:rPr>
              <w:t>Investment project costing</w:t>
            </w:r>
          </w:p>
        </w:tc>
        <w:tc>
          <w:tcPr>
            <w:tcW w:w="1843" w:type="dxa"/>
            <w:tcBorders>
              <w:top w:val="single" w:sz="4" w:space="0" w:color="auto"/>
              <w:bottom w:val="single" w:sz="4" w:space="0" w:color="auto"/>
            </w:tcBorders>
          </w:tcPr>
          <w:p w14:paraId="05748C11" w14:textId="7D91EF80" w:rsidR="001762EE" w:rsidRPr="005A497D" w:rsidRDefault="001762EE" w:rsidP="007C2F35">
            <w:pPr>
              <w:spacing w:before="40" w:after="40"/>
              <w:jc w:val="center"/>
              <w:rPr>
                <w:sz w:val="22"/>
                <w:szCs w:val="22"/>
              </w:rPr>
            </w:pPr>
            <w:r w:rsidRPr="005A497D">
              <w:rPr>
                <w:sz w:val="22"/>
                <w:szCs w:val="22"/>
              </w:rPr>
              <w:t>A</w:t>
            </w:r>
          </w:p>
        </w:tc>
        <w:tc>
          <w:tcPr>
            <w:tcW w:w="3913" w:type="dxa"/>
            <w:tcBorders>
              <w:top w:val="single" w:sz="4" w:space="0" w:color="auto"/>
              <w:bottom w:val="single" w:sz="4" w:space="0" w:color="auto"/>
            </w:tcBorders>
          </w:tcPr>
          <w:p w14:paraId="632E0D43" w14:textId="004B1777" w:rsidR="001762EE" w:rsidRPr="005A497D" w:rsidRDefault="001762EE" w:rsidP="002E4DA8">
            <w:pPr>
              <w:spacing w:before="40" w:after="40"/>
              <w:rPr>
                <w:sz w:val="22"/>
                <w:szCs w:val="22"/>
              </w:rPr>
            </w:pPr>
            <w:r>
              <w:rPr>
                <w:sz w:val="22"/>
                <w:szCs w:val="22"/>
              </w:rPr>
              <w:t xml:space="preserve">NEDA guidelines require </w:t>
            </w:r>
            <w:r w:rsidRPr="005A497D">
              <w:rPr>
                <w:sz w:val="22"/>
                <w:szCs w:val="22"/>
              </w:rPr>
              <w:t xml:space="preserve">all investment </w:t>
            </w:r>
            <w:r>
              <w:rPr>
                <w:sz w:val="22"/>
                <w:szCs w:val="22"/>
              </w:rPr>
              <w:t xml:space="preserve">capital </w:t>
            </w:r>
            <w:r w:rsidRPr="005A497D">
              <w:rPr>
                <w:sz w:val="22"/>
                <w:szCs w:val="22"/>
              </w:rPr>
              <w:t>and recurrent costs to be identified.</w:t>
            </w:r>
          </w:p>
        </w:tc>
      </w:tr>
      <w:tr w:rsidR="001762EE" w:rsidRPr="005A497D" w14:paraId="10439D8D" w14:textId="77777777" w:rsidTr="0015142A">
        <w:trPr>
          <w:trHeight w:val="1403"/>
        </w:trPr>
        <w:tc>
          <w:tcPr>
            <w:tcW w:w="3600" w:type="dxa"/>
            <w:tcBorders>
              <w:top w:val="single" w:sz="4" w:space="0" w:color="auto"/>
              <w:bottom w:val="single" w:sz="4" w:space="0" w:color="auto"/>
            </w:tcBorders>
          </w:tcPr>
          <w:p w14:paraId="65EF0E2D" w14:textId="46B23962" w:rsidR="001762EE" w:rsidRPr="005A497D" w:rsidRDefault="001762EE" w:rsidP="007C2F35">
            <w:pPr>
              <w:pStyle w:val="Default"/>
              <w:rPr>
                <w:color w:val="auto"/>
                <w:sz w:val="22"/>
                <w:szCs w:val="22"/>
              </w:rPr>
            </w:pPr>
            <w:r>
              <w:rPr>
                <w:color w:val="auto"/>
                <w:sz w:val="22"/>
                <w:szCs w:val="22"/>
              </w:rPr>
              <w:t>11.4</w:t>
            </w:r>
            <w:r w:rsidRPr="005A497D">
              <w:rPr>
                <w:color w:val="auto"/>
                <w:sz w:val="22"/>
                <w:szCs w:val="22"/>
              </w:rPr>
              <w:t xml:space="preserve"> </w:t>
            </w:r>
            <w:r>
              <w:rPr>
                <w:color w:val="auto"/>
                <w:sz w:val="22"/>
                <w:szCs w:val="22"/>
              </w:rPr>
              <w:t>Investment project monitoring</w:t>
            </w:r>
          </w:p>
        </w:tc>
        <w:tc>
          <w:tcPr>
            <w:tcW w:w="1843" w:type="dxa"/>
            <w:tcBorders>
              <w:top w:val="single" w:sz="4" w:space="0" w:color="auto"/>
              <w:bottom w:val="single" w:sz="4" w:space="0" w:color="auto"/>
            </w:tcBorders>
          </w:tcPr>
          <w:p w14:paraId="1EFFCE68" w14:textId="77777777" w:rsidR="001762EE" w:rsidRPr="005A497D" w:rsidRDefault="001762EE" w:rsidP="00687FCB">
            <w:pPr>
              <w:spacing w:before="40" w:after="40"/>
              <w:jc w:val="center"/>
            </w:pPr>
            <w:r w:rsidRPr="005A497D">
              <w:rPr>
                <w:sz w:val="22"/>
                <w:szCs w:val="22"/>
              </w:rPr>
              <w:t>B</w:t>
            </w:r>
          </w:p>
        </w:tc>
        <w:tc>
          <w:tcPr>
            <w:tcW w:w="3913" w:type="dxa"/>
            <w:tcBorders>
              <w:top w:val="single" w:sz="4" w:space="0" w:color="auto"/>
              <w:bottom w:val="single" w:sz="4" w:space="0" w:color="auto"/>
            </w:tcBorders>
          </w:tcPr>
          <w:p w14:paraId="569E4180" w14:textId="78A3D0C9" w:rsidR="001762EE" w:rsidRPr="005A497D" w:rsidRDefault="001762EE" w:rsidP="00D37C13">
            <w:r w:rsidRPr="005A497D">
              <w:rPr>
                <w:sz w:val="22"/>
                <w:szCs w:val="22"/>
              </w:rPr>
              <w:t>The Budget Call for 2016 introduced a results-based M&amp;E system</w:t>
            </w:r>
            <w:r>
              <w:rPr>
                <w:sz w:val="22"/>
                <w:szCs w:val="22"/>
              </w:rPr>
              <w:t xml:space="preserve">. </w:t>
            </w:r>
            <w:r w:rsidRPr="005A497D">
              <w:rPr>
                <w:sz w:val="22"/>
                <w:szCs w:val="22"/>
              </w:rPr>
              <w:t>Projects are monitored by the implementing agencies and the implementation status is published quarterly as prescribed by the transparency seal provision.</w:t>
            </w:r>
          </w:p>
        </w:tc>
      </w:tr>
      <w:tr w:rsidR="001762EE" w:rsidRPr="00D147E0" w14:paraId="2F2C296B" w14:textId="77777777" w:rsidTr="0015142A">
        <w:trPr>
          <w:trHeight w:val="288"/>
        </w:trPr>
        <w:tc>
          <w:tcPr>
            <w:tcW w:w="9356" w:type="dxa"/>
            <w:gridSpan w:val="3"/>
            <w:tcBorders>
              <w:top w:val="single" w:sz="4" w:space="0" w:color="auto"/>
              <w:left w:val="nil"/>
              <w:bottom w:val="nil"/>
              <w:right w:val="nil"/>
            </w:tcBorders>
          </w:tcPr>
          <w:p w14:paraId="13AB56C3" w14:textId="68E7753C" w:rsidR="001762EE" w:rsidRPr="00D147E0" w:rsidRDefault="001762EE" w:rsidP="001B2BA3">
            <w:pPr>
              <w:rPr>
                <w:sz w:val="18"/>
                <w:szCs w:val="18"/>
              </w:rPr>
            </w:pPr>
            <w:r w:rsidRPr="00D147E0">
              <w:rPr>
                <w:sz w:val="18"/>
                <w:szCs w:val="18"/>
                <w:vertAlign w:val="superscript"/>
                <w:lang w:val="en-PH"/>
              </w:rPr>
              <w:t>a/</w:t>
            </w:r>
            <w:r w:rsidRPr="00D147E0">
              <w:rPr>
                <w:sz w:val="18"/>
                <w:szCs w:val="18"/>
                <w:lang w:val="en-PH"/>
              </w:rPr>
              <w:t xml:space="preserve"> The DBCC and DBM </w:t>
            </w:r>
            <w:r>
              <w:rPr>
                <w:sz w:val="18"/>
                <w:szCs w:val="18"/>
                <w:lang w:val="en-PH"/>
              </w:rPr>
              <w:t>review</w:t>
            </w:r>
            <w:r w:rsidRPr="00D147E0">
              <w:rPr>
                <w:sz w:val="18"/>
                <w:szCs w:val="18"/>
                <w:lang w:val="en-PH"/>
              </w:rPr>
              <w:t xml:space="preserve"> investment proposals based on cost, </w:t>
            </w:r>
            <w:r>
              <w:rPr>
                <w:sz w:val="18"/>
                <w:szCs w:val="18"/>
                <w:lang w:val="en-PH"/>
              </w:rPr>
              <w:t>(</w:t>
            </w:r>
            <w:r w:rsidRPr="00D147E0">
              <w:rPr>
                <w:sz w:val="18"/>
                <w:szCs w:val="18"/>
                <w:lang w:val="en-PH"/>
              </w:rPr>
              <w:t xml:space="preserve">i.e., the DBCC-SC-PPA for those costing PhP 300 million </w:t>
            </w:r>
            <w:r w:rsidR="001B2BA3">
              <w:rPr>
                <w:sz w:val="18"/>
                <w:szCs w:val="18"/>
                <w:lang w:val="en-PH"/>
              </w:rPr>
              <w:t>or more</w:t>
            </w:r>
            <w:r w:rsidRPr="00D147E0">
              <w:rPr>
                <w:sz w:val="18"/>
                <w:szCs w:val="18"/>
                <w:lang w:val="en-PH"/>
              </w:rPr>
              <w:t>, and the DBM for those costing below PhP 300 million</w:t>
            </w:r>
            <w:r>
              <w:rPr>
                <w:sz w:val="18"/>
                <w:szCs w:val="18"/>
                <w:lang w:val="en-PH"/>
              </w:rPr>
              <w:t>)</w:t>
            </w:r>
            <w:r w:rsidRPr="00D147E0">
              <w:rPr>
                <w:sz w:val="18"/>
                <w:szCs w:val="18"/>
                <w:lang w:val="en-PH"/>
              </w:rPr>
              <w:t>.</w:t>
            </w:r>
          </w:p>
        </w:tc>
      </w:tr>
    </w:tbl>
    <w:p w14:paraId="0CFFD9BB" w14:textId="77777777" w:rsidR="001762EE" w:rsidRPr="005A497D" w:rsidRDefault="001762EE" w:rsidP="00BB1EBF">
      <w:pPr>
        <w:jc w:val="both"/>
      </w:pPr>
    </w:p>
    <w:p w14:paraId="4E50948E" w14:textId="5E1093B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indicator spans </w:t>
      </w:r>
      <w:r>
        <w:t xml:space="preserve">all </w:t>
      </w:r>
      <w:r w:rsidRPr="005A497D">
        <w:t>type</w:t>
      </w:r>
      <w:r>
        <w:t>s</w:t>
      </w:r>
      <w:r w:rsidRPr="005A497D">
        <w:t xml:space="preserve"> of PFM systems, including those with separate recurrent and capital budget management processes and institutions. Moreover, the term </w:t>
      </w:r>
      <w:r>
        <w:t xml:space="preserve">“major investment </w:t>
      </w:r>
      <w:r w:rsidRPr="005A497D">
        <w:t>project</w:t>
      </w:r>
      <w:r>
        <w:t>”</w:t>
      </w:r>
      <w:r w:rsidRPr="005A497D">
        <w:t xml:space="preserve"> includes investments implemented through </w:t>
      </w:r>
      <w:r>
        <w:t>structured financing instruments such as public-private partnerships</w:t>
      </w:r>
      <w:r w:rsidRPr="005A497D">
        <w:t>.</w:t>
      </w:r>
    </w:p>
    <w:p w14:paraId="045FD937" w14:textId="77777777" w:rsidR="001762EE" w:rsidRPr="005A497D" w:rsidRDefault="001762EE" w:rsidP="00BB1EBF">
      <w:pPr>
        <w:pStyle w:val="NormalWeb"/>
        <w:autoSpaceDE w:val="0"/>
        <w:autoSpaceDN w:val="0"/>
        <w:adjustRightInd w:val="0"/>
        <w:spacing w:before="0" w:beforeAutospacing="0" w:after="0" w:afterAutospacing="0"/>
        <w:contextualSpacing/>
        <w:jc w:val="both"/>
      </w:pPr>
    </w:p>
    <w:p w14:paraId="6C1CCD59" w14:textId="25EB9892" w:rsidR="001762EE" w:rsidRPr="00BF1CCD" w:rsidRDefault="001762EE" w:rsidP="00BB1EBF">
      <w:pPr>
        <w:pStyle w:val="NormalWeb"/>
        <w:autoSpaceDE w:val="0"/>
        <w:autoSpaceDN w:val="0"/>
        <w:adjustRightInd w:val="0"/>
        <w:spacing w:before="0" w:beforeAutospacing="0" w:after="0" w:afterAutospacing="0"/>
        <w:contextualSpacing/>
        <w:jc w:val="both"/>
        <w:rPr>
          <w:b/>
          <w:i/>
        </w:rPr>
      </w:pPr>
      <w:r w:rsidRPr="00BF1CCD">
        <w:rPr>
          <w:b/>
          <w:i/>
        </w:rPr>
        <w:t>Dimension 11.1 Economic analysis of investment proposals</w:t>
      </w:r>
    </w:p>
    <w:p w14:paraId="50B7FE71" w14:textId="77777777" w:rsidR="001762EE" w:rsidRPr="00FA7D33" w:rsidRDefault="001762EE" w:rsidP="00BB1EBF">
      <w:pPr>
        <w:pStyle w:val="NormalWeb"/>
        <w:autoSpaceDE w:val="0"/>
        <w:autoSpaceDN w:val="0"/>
        <w:adjustRightInd w:val="0"/>
        <w:spacing w:before="0" w:beforeAutospacing="0" w:after="0" w:afterAutospacing="0"/>
        <w:contextualSpacing/>
        <w:jc w:val="both"/>
        <w:rPr>
          <w:sz w:val="20"/>
        </w:rPr>
      </w:pPr>
    </w:p>
    <w:p w14:paraId="27FEBC48" w14:textId="69CD22E8" w:rsidR="001762EE" w:rsidRPr="005A497D" w:rsidRDefault="00FA7D33" w:rsidP="005A03CD">
      <w:pPr>
        <w:pStyle w:val="NormalWeb"/>
        <w:numPr>
          <w:ilvl w:val="0"/>
          <w:numId w:val="6"/>
        </w:numPr>
        <w:autoSpaceDE w:val="0"/>
        <w:autoSpaceDN w:val="0"/>
        <w:adjustRightInd w:val="0"/>
        <w:spacing w:before="0" w:beforeAutospacing="0" w:after="0" w:afterAutospacing="0"/>
        <w:ind w:left="0" w:firstLine="0"/>
        <w:contextualSpacing/>
        <w:jc w:val="both"/>
      </w:pPr>
      <w:r>
        <w:t>M</w:t>
      </w:r>
      <w:r w:rsidR="001762EE" w:rsidRPr="005A497D">
        <w:t xml:space="preserve">ajor </w:t>
      </w:r>
      <w:r>
        <w:t xml:space="preserve">investment </w:t>
      </w:r>
      <w:r w:rsidR="001762EE" w:rsidRPr="005A497D">
        <w:t xml:space="preserve">projects as of </w:t>
      </w:r>
      <w:r w:rsidR="001762EE">
        <w:t xml:space="preserve">December </w:t>
      </w:r>
      <w:r w:rsidR="001762EE" w:rsidRPr="005A497D">
        <w:t xml:space="preserve">2015 are shown in </w:t>
      </w:r>
      <w:r w:rsidR="001762EE">
        <w:t>Table 3.1</w:t>
      </w:r>
      <w:r>
        <w:t>2</w:t>
      </w:r>
      <w:r w:rsidR="001762EE" w:rsidRPr="005A497D">
        <w:t>.</w:t>
      </w:r>
    </w:p>
    <w:p w14:paraId="7289CDD3" w14:textId="77777777" w:rsidR="001762EE" w:rsidRPr="00FA7D33" w:rsidRDefault="001762EE" w:rsidP="00BB1EBF">
      <w:pPr>
        <w:pStyle w:val="NormalWeb"/>
        <w:autoSpaceDE w:val="0"/>
        <w:autoSpaceDN w:val="0"/>
        <w:adjustRightInd w:val="0"/>
        <w:spacing w:before="0" w:beforeAutospacing="0" w:after="0" w:afterAutospacing="0"/>
        <w:jc w:val="both"/>
        <w:rPr>
          <w:sz w:val="20"/>
        </w:rPr>
      </w:pPr>
    </w:p>
    <w:p w14:paraId="2BAA1648" w14:textId="12897F01" w:rsidR="001762EE" w:rsidRPr="005A497D" w:rsidRDefault="001762EE" w:rsidP="00BB1EBF">
      <w:pPr>
        <w:pStyle w:val="PEFATable"/>
        <w:spacing w:after="40"/>
        <w:jc w:val="both"/>
        <w:rPr>
          <w:sz w:val="24"/>
          <w:szCs w:val="24"/>
        </w:rPr>
      </w:pPr>
      <w:bookmarkStart w:id="108" w:name="_Toc454889254"/>
      <w:r w:rsidRPr="005A497D">
        <w:rPr>
          <w:sz w:val="24"/>
          <w:szCs w:val="24"/>
        </w:rPr>
        <w:t>Table 3.1</w:t>
      </w:r>
      <w:r w:rsidR="00A85C58">
        <w:rPr>
          <w:sz w:val="24"/>
          <w:szCs w:val="24"/>
        </w:rPr>
        <w:t>2</w:t>
      </w:r>
      <w:r w:rsidRPr="005A497D">
        <w:rPr>
          <w:sz w:val="24"/>
          <w:szCs w:val="24"/>
        </w:rPr>
        <w:t>: Major Investment Projects</w:t>
      </w:r>
      <w:bookmarkEnd w:id="108"/>
    </w:p>
    <w:tbl>
      <w:tblPr>
        <w:tblW w:w="9373" w:type="dxa"/>
        <w:tblInd w:w="91" w:type="dxa"/>
        <w:tblLayout w:type="fixed"/>
        <w:tblLook w:val="04A0" w:firstRow="1" w:lastRow="0" w:firstColumn="1" w:lastColumn="0" w:noHBand="0" w:noVBand="1"/>
      </w:tblPr>
      <w:tblGrid>
        <w:gridCol w:w="467"/>
        <w:gridCol w:w="3027"/>
        <w:gridCol w:w="2910"/>
        <w:gridCol w:w="2969"/>
      </w:tblGrid>
      <w:tr w:rsidR="001762EE" w:rsidRPr="00D147E0" w14:paraId="22111075" w14:textId="77777777" w:rsidTr="001805CA">
        <w:trPr>
          <w:trHeight w:val="397"/>
          <w:tblHeader/>
        </w:trPr>
        <w:tc>
          <w:tcPr>
            <w:tcW w:w="467" w:type="dxa"/>
            <w:tcBorders>
              <w:top w:val="double" w:sz="4"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14:paraId="3725A119" w14:textId="11DCBC0F" w:rsidR="001762EE" w:rsidRPr="00D147E0" w:rsidRDefault="001762EE" w:rsidP="00BB1EBF">
            <w:pPr>
              <w:spacing w:before="40" w:after="40"/>
              <w:jc w:val="center"/>
              <w:rPr>
                <w:b/>
                <w:i/>
                <w:color w:val="000000"/>
                <w:sz w:val="22"/>
                <w:szCs w:val="22"/>
                <w:lang w:eastAsia="en-SG"/>
              </w:rPr>
            </w:pPr>
          </w:p>
        </w:tc>
        <w:tc>
          <w:tcPr>
            <w:tcW w:w="3027" w:type="dxa"/>
            <w:tcBorders>
              <w:top w:val="double" w:sz="4" w:space="0" w:color="auto"/>
              <w:left w:val="nil"/>
              <w:bottom w:val="double" w:sz="4" w:space="0" w:color="auto"/>
              <w:right w:val="single" w:sz="4" w:space="0" w:color="auto"/>
            </w:tcBorders>
            <w:shd w:val="clear" w:color="auto" w:fill="D9D9D9" w:themeFill="background1" w:themeFillShade="D9"/>
            <w:noWrap/>
            <w:vAlign w:val="center"/>
            <w:hideMark/>
          </w:tcPr>
          <w:p w14:paraId="39A206DC" w14:textId="77777777" w:rsidR="001762EE" w:rsidRPr="00D147E0" w:rsidRDefault="001762EE" w:rsidP="00BB1EBF">
            <w:pPr>
              <w:spacing w:before="40" w:after="40"/>
              <w:jc w:val="center"/>
              <w:rPr>
                <w:b/>
                <w:i/>
                <w:color w:val="000000"/>
                <w:sz w:val="22"/>
                <w:szCs w:val="22"/>
                <w:lang w:eastAsia="en-SG"/>
              </w:rPr>
            </w:pPr>
            <w:r w:rsidRPr="00D147E0">
              <w:rPr>
                <w:b/>
                <w:i/>
                <w:color w:val="000000"/>
                <w:sz w:val="22"/>
                <w:szCs w:val="22"/>
                <w:lang w:eastAsia="en-SG"/>
              </w:rPr>
              <w:t>Project title</w:t>
            </w:r>
          </w:p>
        </w:tc>
        <w:tc>
          <w:tcPr>
            <w:tcW w:w="2910" w:type="dxa"/>
            <w:tcBorders>
              <w:top w:val="double" w:sz="4" w:space="0" w:color="auto"/>
              <w:left w:val="nil"/>
              <w:bottom w:val="double" w:sz="4" w:space="0" w:color="auto"/>
              <w:right w:val="single" w:sz="4" w:space="0" w:color="auto"/>
            </w:tcBorders>
            <w:shd w:val="clear" w:color="auto" w:fill="D9D9D9" w:themeFill="background1" w:themeFillShade="D9"/>
            <w:noWrap/>
            <w:vAlign w:val="center"/>
            <w:hideMark/>
          </w:tcPr>
          <w:p w14:paraId="17EE0A67" w14:textId="3A9DC571" w:rsidR="001762EE" w:rsidRPr="00D147E0" w:rsidRDefault="001762EE" w:rsidP="00D147E0">
            <w:pPr>
              <w:spacing w:before="40" w:after="40"/>
              <w:jc w:val="center"/>
              <w:rPr>
                <w:b/>
                <w:i/>
                <w:color w:val="000000"/>
                <w:sz w:val="22"/>
                <w:szCs w:val="22"/>
                <w:lang w:eastAsia="en-SG"/>
              </w:rPr>
            </w:pPr>
            <w:r w:rsidRPr="00A33FCC">
              <w:rPr>
                <w:b/>
                <w:i/>
                <w:color w:val="000000"/>
                <w:sz w:val="22"/>
                <w:szCs w:val="22"/>
                <w:lang w:eastAsia="en-SG"/>
              </w:rPr>
              <w:t>Estimated cost (PhP billion)</w:t>
            </w:r>
          </w:p>
        </w:tc>
        <w:tc>
          <w:tcPr>
            <w:tcW w:w="2969" w:type="dxa"/>
            <w:tcBorders>
              <w:top w:val="double" w:sz="4" w:space="0" w:color="auto"/>
              <w:left w:val="nil"/>
              <w:bottom w:val="double" w:sz="4" w:space="0" w:color="auto"/>
              <w:right w:val="double" w:sz="4" w:space="0" w:color="auto"/>
            </w:tcBorders>
            <w:shd w:val="clear" w:color="auto" w:fill="D9D9D9" w:themeFill="background1" w:themeFillShade="D9"/>
            <w:vAlign w:val="center"/>
            <w:hideMark/>
          </w:tcPr>
          <w:p w14:paraId="2211DB26" w14:textId="77777777" w:rsidR="001762EE" w:rsidRPr="00D147E0" w:rsidRDefault="001762EE" w:rsidP="00BB1EBF">
            <w:pPr>
              <w:spacing w:before="40" w:after="40"/>
              <w:jc w:val="center"/>
              <w:rPr>
                <w:b/>
                <w:i/>
                <w:color w:val="000000"/>
                <w:sz w:val="22"/>
                <w:szCs w:val="22"/>
                <w:lang w:eastAsia="en-SG"/>
              </w:rPr>
            </w:pPr>
            <w:r w:rsidRPr="00D147E0">
              <w:rPr>
                <w:b/>
                <w:i/>
                <w:color w:val="000000"/>
                <w:sz w:val="22"/>
                <w:szCs w:val="22"/>
                <w:lang w:eastAsia="en-SG"/>
              </w:rPr>
              <w:t>Implementation period</w:t>
            </w:r>
          </w:p>
        </w:tc>
      </w:tr>
      <w:tr w:rsidR="001762EE" w:rsidRPr="00D147E0" w14:paraId="0195407D" w14:textId="77777777" w:rsidTr="001805CA">
        <w:trPr>
          <w:trHeight w:val="20"/>
        </w:trPr>
        <w:tc>
          <w:tcPr>
            <w:tcW w:w="467" w:type="dxa"/>
            <w:tcBorders>
              <w:top w:val="double" w:sz="4" w:space="0" w:color="auto"/>
              <w:left w:val="double" w:sz="4" w:space="0" w:color="auto"/>
              <w:bottom w:val="single" w:sz="4" w:space="0" w:color="auto"/>
              <w:right w:val="single" w:sz="4" w:space="0" w:color="auto"/>
            </w:tcBorders>
            <w:shd w:val="clear" w:color="auto" w:fill="auto"/>
            <w:noWrap/>
            <w:hideMark/>
          </w:tcPr>
          <w:p w14:paraId="03B10F35"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1</w:t>
            </w:r>
          </w:p>
        </w:tc>
        <w:tc>
          <w:tcPr>
            <w:tcW w:w="3027" w:type="dxa"/>
            <w:tcBorders>
              <w:top w:val="double" w:sz="4" w:space="0" w:color="auto"/>
              <w:left w:val="nil"/>
              <w:bottom w:val="single" w:sz="4" w:space="0" w:color="auto"/>
              <w:right w:val="single" w:sz="4" w:space="0" w:color="auto"/>
            </w:tcBorders>
            <w:shd w:val="clear" w:color="auto" w:fill="auto"/>
            <w:noWrap/>
            <w:hideMark/>
          </w:tcPr>
          <w:p w14:paraId="3AA1084C"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LRT Line 1 South Extension Project</w:t>
            </w:r>
          </w:p>
        </w:tc>
        <w:tc>
          <w:tcPr>
            <w:tcW w:w="2910" w:type="dxa"/>
            <w:tcBorders>
              <w:top w:val="double" w:sz="4" w:space="0" w:color="auto"/>
              <w:left w:val="nil"/>
              <w:bottom w:val="single" w:sz="4" w:space="0" w:color="auto"/>
              <w:right w:val="single" w:sz="4" w:space="0" w:color="auto"/>
            </w:tcBorders>
            <w:shd w:val="clear" w:color="auto" w:fill="auto"/>
            <w:noWrap/>
            <w:hideMark/>
          </w:tcPr>
          <w:p w14:paraId="4EC80D3F" w14:textId="1113E7CC" w:rsidR="001762EE" w:rsidRPr="00710DF0" w:rsidRDefault="001762EE" w:rsidP="006A0903">
            <w:pPr>
              <w:spacing w:before="40" w:after="40"/>
              <w:jc w:val="center"/>
              <w:rPr>
                <w:color w:val="000000"/>
                <w:sz w:val="20"/>
                <w:szCs w:val="20"/>
                <w:lang w:eastAsia="en-SG"/>
              </w:rPr>
            </w:pPr>
            <w:r w:rsidRPr="00710DF0">
              <w:rPr>
                <w:color w:val="000000"/>
                <w:sz w:val="20"/>
                <w:szCs w:val="20"/>
                <w:lang w:eastAsia="en-SG"/>
              </w:rPr>
              <w:t>64.92</w:t>
            </w:r>
          </w:p>
        </w:tc>
        <w:tc>
          <w:tcPr>
            <w:tcW w:w="2969" w:type="dxa"/>
            <w:tcBorders>
              <w:top w:val="double" w:sz="4" w:space="0" w:color="auto"/>
              <w:left w:val="nil"/>
              <w:bottom w:val="single" w:sz="4" w:space="0" w:color="auto"/>
              <w:right w:val="double" w:sz="4" w:space="0" w:color="auto"/>
            </w:tcBorders>
            <w:shd w:val="clear" w:color="auto" w:fill="auto"/>
            <w:noWrap/>
            <w:hideMark/>
          </w:tcPr>
          <w:p w14:paraId="6BB10838" w14:textId="4254C9D8"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3</w:t>
            </w:r>
            <w:r w:rsidRPr="00710DF0">
              <w:rPr>
                <w:color w:val="000000"/>
                <w:sz w:val="20"/>
                <w:szCs w:val="20"/>
                <w:vertAlign w:val="superscript"/>
                <w:lang w:eastAsia="en-SG"/>
              </w:rPr>
              <w:t>rd</w:t>
            </w:r>
            <w:r w:rsidRPr="00710DF0">
              <w:rPr>
                <w:color w:val="000000"/>
                <w:sz w:val="20"/>
                <w:szCs w:val="20"/>
                <w:lang w:eastAsia="en-SG"/>
              </w:rPr>
              <w:t xml:space="preserve"> Qtr 2015 - 1</w:t>
            </w:r>
            <w:r w:rsidRPr="00710DF0">
              <w:rPr>
                <w:color w:val="000000"/>
                <w:sz w:val="20"/>
                <w:szCs w:val="20"/>
                <w:vertAlign w:val="superscript"/>
                <w:lang w:eastAsia="en-SG"/>
              </w:rPr>
              <w:t>st</w:t>
            </w:r>
            <w:r w:rsidRPr="00710DF0">
              <w:rPr>
                <w:color w:val="000000"/>
                <w:sz w:val="20"/>
                <w:szCs w:val="20"/>
                <w:lang w:eastAsia="en-SG"/>
              </w:rPr>
              <w:t xml:space="preserve"> Qtr 2019 construction period</w:t>
            </w:r>
          </w:p>
        </w:tc>
      </w:tr>
      <w:tr w:rsidR="001762EE" w:rsidRPr="00D147E0" w14:paraId="78F986C2"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55D79D80"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2</w:t>
            </w:r>
          </w:p>
        </w:tc>
        <w:tc>
          <w:tcPr>
            <w:tcW w:w="3027" w:type="dxa"/>
            <w:tcBorders>
              <w:top w:val="single" w:sz="4" w:space="0" w:color="auto"/>
              <w:left w:val="nil"/>
              <w:bottom w:val="single" w:sz="4" w:space="0" w:color="auto"/>
              <w:right w:val="single" w:sz="4" w:space="0" w:color="auto"/>
            </w:tcBorders>
            <w:shd w:val="clear" w:color="auto" w:fill="auto"/>
            <w:noWrap/>
            <w:hideMark/>
          </w:tcPr>
          <w:p w14:paraId="4BC22A24"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MRT Line 7 Project</w:t>
            </w:r>
          </w:p>
        </w:tc>
        <w:tc>
          <w:tcPr>
            <w:tcW w:w="2910" w:type="dxa"/>
            <w:tcBorders>
              <w:top w:val="single" w:sz="4" w:space="0" w:color="auto"/>
              <w:left w:val="nil"/>
              <w:bottom w:val="single" w:sz="4" w:space="0" w:color="auto"/>
              <w:right w:val="single" w:sz="4" w:space="0" w:color="auto"/>
            </w:tcBorders>
            <w:shd w:val="clear" w:color="auto" w:fill="auto"/>
            <w:noWrap/>
            <w:hideMark/>
          </w:tcPr>
          <w:p w14:paraId="72D788EF" w14:textId="65373EAC" w:rsidR="001762EE" w:rsidRPr="00710DF0" w:rsidRDefault="001762EE" w:rsidP="006A0903">
            <w:pPr>
              <w:spacing w:before="40" w:after="40"/>
              <w:jc w:val="center"/>
              <w:rPr>
                <w:color w:val="000000"/>
                <w:sz w:val="20"/>
                <w:szCs w:val="20"/>
                <w:lang w:eastAsia="en-SG"/>
              </w:rPr>
            </w:pPr>
            <w:r w:rsidRPr="00710DF0">
              <w:rPr>
                <w:color w:val="000000"/>
                <w:sz w:val="20"/>
                <w:szCs w:val="20"/>
                <w:lang w:eastAsia="en-SG"/>
              </w:rPr>
              <w:t>62.70</w:t>
            </w:r>
          </w:p>
        </w:tc>
        <w:tc>
          <w:tcPr>
            <w:tcW w:w="2969" w:type="dxa"/>
            <w:tcBorders>
              <w:top w:val="single" w:sz="4" w:space="0" w:color="auto"/>
              <w:left w:val="nil"/>
              <w:bottom w:val="single" w:sz="4" w:space="0" w:color="auto"/>
              <w:right w:val="double" w:sz="4" w:space="0" w:color="auto"/>
            </w:tcBorders>
            <w:shd w:val="clear" w:color="auto" w:fill="auto"/>
            <w:hideMark/>
          </w:tcPr>
          <w:p w14:paraId="51AD1B34" w14:textId="478E21E4" w:rsidR="001762EE" w:rsidRPr="00710DF0" w:rsidRDefault="001762EE" w:rsidP="00710DF0">
            <w:pPr>
              <w:spacing w:before="40" w:after="40"/>
              <w:jc w:val="center"/>
              <w:rPr>
                <w:color w:val="000000"/>
                <w:sz w:val="20"/>
                <w:szCs w:val="20"/>
                <w:lang w:eastAsia="en-SG"/>
              </w:rPr>
            </w:pPr>
            <w:r w:rsidRPr="00710DF0">
              <w:rPr>
                <w:color w:val="000000"/>
                <w:sz w:val="20"/>
                <w:szCs w:val="20"/>
                <w:lang w:eastAsia="en-SG"/>
              </w:rPr>
              <w:t>4 years with 25</w:t>
            </w:r>
            <w:r w:rsidR="00710DF0">
              <w:rPr>
                <w:color w:val="000000"/>
                <w:sz w:val="20"/>
                <w:szCs w:val="20"/>
                <w:lang w:eastAsia="en-SG"/>
              </w:rPr>
              <w:t>-</w:t>
            </w:r>
            <w:r w:rsidRPr="00710DF0">
              <w:rPr>
                <w:color w:val="000000"/>
                <w:sz w:val="20"/>
                <w:szCs w:val="20"/>
                <w:lang w:eastAsia="en-SG"/>
              </w:rPr>
              <w:t>years concession period</w:t>
            </w:r>
          </w:p>
        </w:tc>
      </w:tr>
      <w:tr w:rsidR="001762EE" w:rsidRPr="00D147E0" w14:paraId="06D9CF5E"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17B3BDC2"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3</w:t>
            </w:r>
          </w:p>
        </w:tc>
        <w:tc>
          <w:tcPr>
            <w:tcW w:w="3027" w:type="dxa"/>
            <w:tcBorders>
              <w:top w:val="single" w:sz="4" w:space="0" w:color="auto"/>
              <w:left w:val="nil"/>
              <w:bottom w:val="single" w:sz="4" w:space="0" w:color="auto"/>
              <w:right w:val="single" w:sz="4" w:space="0" w:color="auto"/>
            </w:tcBorders>
            <w:shd w:val="clear" w:color="auto" w:fill="auto"/>
            <w:noWrap/>
            <w:hideMark/>
          </w:tcPr>
          <w:p w14:paraId="658389ED"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North-South Railway Project (NSRP) - South Line</w:t>
            </w:r>
          </w:p>
        </w:tc>
        <w:tc>
          <w:tcPr>
            <w:tcW w:w="2910" w:type="dxa"/>
            <w:tcBorders>
              <w:top w:val="single" w:sz="4" w:space="0" w:color="auto"/>
              <w:left w:val="nil"/>
              <w:bottom w:val="single" w:sz="4" w:space="0" w:color="auto"/>
              <w:right w:val="single" w:sz="4" w:space="0" w:color="auto"/>
            </w:tcBorders>
            <w:shd w:val="clear" w:color="auto" w:fill="auto"/>
            <w:noWrap/>
            <w:hideMark/>
          </w:tcPr>
          <w:p w14:paraId="024F29C2" w14:textId="3030D283" w:rsidR="001762EE" w:rsidRPr="00710DF0" w:rsidRDefault="00A33FCC" w:rsidP="00BB1EBF">
            <w:pPr>
              <w:spacing w:before="40" w:after="40"/>
              <w:jc w:val="center"/>
              <w:rPr>
                <w:color w:val="000000"/>
                <w:sz w:val="20"/>
                <w:szCs w:val="20"/>
                <w:lang w:eastAsia="en-SG"/>
              </w:rPr>
            </w:pPr>
            <w:r>
              <w:rPr>
                <w:color w:val="000000"/>
                <w:sz w:val="20"/>
                <w:szCs w:val="20"/>
                <w:lang w:eastAsia="en-SG"/>
              </w:rPr>
              <w:t>170.699</w:t>
            </w:r>
          </w:p>
        </w:tc>
        <w:tc>
          <w:tcPr>
            <w:tcW w:w="2969" w:type="dxa"/>
            <w:tcBorders>
              <w:top w:val="single" w:sz="4" w:space="0" w:color="auto"/>
              <w:left w:val="nil"/>
              <w:bottom w:val="single" w:sz="4" w:space="0" w:color="auto"/>
              <w:right w:val="double" w:sz="4" w:space="0" w:color="auto"/>
            </w:tcBorders>
            <w:shd w:val="clear" w:color="auto" w:fill="auto"/>
            <w:hideMark/>
          </w:tcPr>
          <w:p w14:paraId="3201B718"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2016-2019 construction period</w:t>
            </w:r>
          </w:p>
        </w:tc>
      </w:tr>
      <w:tr w:rsidR="001762EE" w:rsidRPr="00D147E0" w14:paraId="4F75DA10"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6CF503BD"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4</w:t>
            </w:r>
          </w:p>
        </w:tc>
        <w:tc>
          <w:tcPr>
            <w:tcW w:w="3027" w:type="dxa"/>
            <w:tcBorders>
              <w:top w:val="single" w:sz="4" w:space="0" w:color="auto"/>
              <w:left w:val="nil"/>
              <w:bottom w:val="single" w:sz="4" w:space="0" w:color="auto"/>
              <w:right w:val="single" w:sz="4" w:space="0" w:color="auto"/>
            </w:tcBorders>
            <w:shd w:val="clear" w:color="auto" w:fill="auto"/>
            <w:hideMark/>
          </w:tcPr>
          <w:p w14:paraId="0E9D6B84"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Iloilo, Bacolod, and Davao Airport Development, Operations and Maintenance Projects</w:t>
            </w:r>
          </w:p>
        </w:tc>
        <w:tc>
          <w:tcPr>
            <w:tcW w:w="2910" w:type="dxa"/>
            <w:tcBorders>
              <w:top w:val="single" w:sz="4" w:space="0" w:color="auto"/>
              <w:left w:val="nil"/>
              <w:bottom w:val="single" w:sz="4" w:space="0" w:color="auto"/>
              <w:right w:val="single" w:sz="4" w:space="0" w:color="auto"/>
            </w:tcBorders>
            <w:shd w:val="clear" w:color="auto" w:fill="auto"/>
            <w:hideMark/>
          </w:tcPr>
          <w:p w14:paraId="680013E3" w14:textId="32B6F1C9"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 xml:space="preserve">91.23 </w:t>
            </w:r>
          </w:p>
          <w:p w14:paraId="4D87CDDC" w14:textId="398D8292" w:rsidR="001762EE" w:rsidRPr="00A33FCC" w:rsidRDefault="001762EE" w:rsidP="00BB1EBF">
            <w:pPr>
              <w:spacing w:before="40" w:after="40"/>
              <w:jc w:val="center"/>
              <w:rPr>
                <w:color w:val="000000"/>
                <w:sz w:val="20"/>
                <w:szCs w:val="20"/>
                <w:lang w:eastAsia="en-SG"/>
              </w:rPr>
            </w:pPr>
            <w:r w:rsidRPr="00A33FCC">
              <w:rPr>
                <w:color w:val="000000"/>
                <w:sz w:val="20"/>
                <w:szCs w:val="20"/>
                <w:lang w:eastAsia="en-SG"/>
              </w:rPr>
              <w:t>Iloilo (30.40)</w:t>
            </w:r>
            <w:r w:rsidR="001805CA">
              <w:rPr>
                <w:color w:val="000000"/>
                <w:sz w:val="20"/>
                <w:szCs w:val="20"/>
                <w:lang w:eastAsia="en-SG"/>
              </w:rPr>
              <w:t xml:space="preserve">; </w:t>
            </w:r>
            <w:r w:rsidRPr="00A33FCC">
              <w:rPr>
                <w:color w:val="000000"/>
                <w:sz w:val="20"/>
                <w:szCs w:val="20"/>
                <w:lang w:eastAsia="en-SG"/>
              </w:rPr>
              <w:t>Bacolod (20.26)</w:t>
            </w:r>
          </w:p>
          <w:p w14:paraId="6DF14344" w14:textId="1DB3D3F3" w:rsidR="001762EE" w:rsidRPr="00710DF0" w:rsidRDefault="001762EE" w:rsidP="00A33FCC">
            <w:pPr>
              <w:spacing w:before="40" w:after="40"/>
              <w:jc w:val="center"/>
              <w:rPr>
                <w:color w:val="000000"/>
                <w:sz w:val="20"/>
                <w:szCs w:val="20"/>
                <w:lang w:eastAsia="en-SG"/>
              </w:rPr>
            </w:pPr>
            <w:r w:rsidRPr="00A33FCC">
              <w:rPr>
                <w:color w:val="000000"/>
                <w:sz w:val="20"/>
                <w:szCs w:val="20"/>
                <w:lang w:eastAsia="en-SG"/>
              </w:rPr>
              <w:t>Davao (</w:t>
            </w:r>
            <w:r w:rsidR="00A33FCC">
              <w:rPr>
                <w:color w:val="000000"/>
                <w:sz w:val="20"/>
                <w:szCs w:val="20"/>
                <w:lang w:eastAsia="en-SG"/>
              </w:rPr>
              <w:t>40.57</w:t>
            </w:r>
            <w:r w:rsidRPr="00A33FCC">
              <w:rPr>
                <w:color w:val="000000"/>
                <w:sz w:val="20"/>
                <w:szCs w:val="20"/>
                <w:lang w:eastAsia="en-SG"/>
              </w:rPr>
              <w:t>)</w:t>
            </w:r>
          </w:p>
        </w:tc>
        <w:tc>
          <w:tcPr>
            <w:tcW w:w="2969" w:type="dxa"/>
            <w:tcBorders>
              <w:top w:val="single" w:sz="4" w:space="0" w:color="auto"/>
              <w:left w:val="nil"/>
              <w:bottom w:val="single" w:sz="4" w:space="0" w:color="auto"/>
              <w:right w:val="double" w:sz="4" w:space="0" w:color="auto"/>
            </w:tcBorders>
            <w:shd w:val="clear" w:color="auto" w:fill="auto"/>
            <w:noWrap/>
            <w:hideMark/>
          </w:tcPr>
          <w:p w14:paraId="5BAE7971"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30 years (2016-2045)</w:t>
            </w:r>
          </w:p>
        </w:tc>
      </w:tr>
      <w:tr w:rsidR="001762EE" w:rsidRPr="00D147E0" w14:paraId="1E40DFCC"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773B74DF"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5</w:t>
            </w:r>
          </w:p>
        </w:tc>
        <w:tc>
          <w:tcPr>
            <w:tcW w:w="3027" w:type="dxa"/>
            <w:tcBorders>
              <w:top w:val="single" w:sz="4" w:space="0" w:color="auto"/>
              <w:left w:val="nil"/>
              <w:bottom w:val="single" w:sz="4" w:space="0" w:color="auto"/>
              <w:right w:val="single" w:sz="4" w:space="0" w:color="auto"/>
            </w:tcBorders>
            <w:shd w:val="clear" w:color="auto" w:fill="auto"/>
            <w:noWrap/>
            <w:hideMark/>
          </w:tcPr>
          <w:p w14:paraId="3EFF7FC7"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LRT Line 6 Project</w:t>
            </w:r>
          </w:p>
        </w:tc>
        <w:tc>
          <w:tcPr>
            <w:tcW w:w="2910" w:type="dxa"/>
            <w:tcBorders>
              <w:top w:val="single" w:sz="4" w:space="0" w:color="auto"/>
              <w:left w:val="nil"/>
              <w:bottom w:val="single" w:sz="4" w:space="0" w:color="auto"/>
              <w:right w:val="single" w:sz="4" w:space="0" w:color="auto"/>
            </w:tcBorders>
            <w:shd w:val="clear" w:color="auto" w:fill="auto"/>
            <w:noWrap/>
            <w:hideMark/>
          </w:tcPr>
          <w:p w14:paraId="6AD5DD5E" w14:textId="79B4496F" w:rsidR="001762EE" w:rsidRPr="00710DF0" w:rsidRDefault="00A33FCC" w:rsidP="00BB1EBF">
            <w:pPr>
              <w:spacing w:before="40" w:after="40"/>
              <w:jc w:val="center"/>
              <w:rPr>
                <w:color w:val="000000"/>
                <w:sz w:val="20"/>
                <w:szCs w:val="20"/>
                <w:lang w:eastAsia="en-SG"/>
              </w:rPr>
            </w:pPr>
            <w:r>
              <w:rPr>
                <w:color w:val="000000"/>
                <w:sz w:val="20"/>
                <w:szCs w:val="20"/>
                <w:lang w:eastAsia="en-SG"/>
              </w:rPr>
              <w:t>64.71</w:t>
            </w:r>
          </w:p>
        </w:tc>
        <w:tc>
          <w:tcPr>
            <w:tcW w:w="2969" w:type="dxa"/>
            <w:tcBorders>
              <w:top w:val="single" w:sz="4" w:space="0" w:color="auto"/>
              <w:left w:val="nil"/>
              <w:bottom w:val="single" w:sz="4" w:space="0" w:color="auto"/>
              <w:right w:val="double" w:sz="4" w:space="0" w:color="auto"/>
            </w:tcBorders>
            <w:shd w:val="clear" w:color="auto" w:fill="auto"/>
            <w:noWrap/>
            <w:hideMark/>
          </w:tcPr>
          <w:p w14:paraId="299A4474" w14:textId="14721EFD" w:rsidR="001762EE" w:rsidRPr="00710DF0" w:rsidRDefault="001762EE" w:rsidP="00B15072">
            <w:pPr>
              <w:spacing w:before="40" w:after="40"/>
              <w:jc w:val="center"/>
              <w:rPr>
                <w:color w:val="000000"/>
                <w:sz w:val="20"/>
                <w:szCs w:val="20"/>
                <w:lang w:eastAsia="en-SG"/>
              </w:rPr>
            </w:pPr>
            <w:r w:rsidRPr="00710DF0">
              <w:rPr>
                <w:sz w:val="20"/>
                <w:szCs w:val="20"/>
              </w:rPr>
              <w:t>Over a concession period of 30 years and design and construction period of 5 years</w:t>
            </w:r>
          </w:p>
        </w:tc>
      </w:tr>
      <w:tr w:rsidR="001762EE" w:rsidRPr="00D147E0" w14:paraId="510800A9"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39D65DCA" w14:textId="77777777"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6</w:t>
            </w:r>
          </w:p>
        </w:tc>
        <w:tc>
          <w:tcPr>
            <w:tcW w:w="3027" w:type="dxa"/>
            <w:tcBorders>
              <w:top w:val="single" w:sz="4" w:space="0" w:color="auto"/>
              <w:left w:val="nil"/>
              <w:bottom w:val="single" w:sz="4" w:space="0" w:color="auto"/>
              <w:right w:val="single" w:sz="4" w:space="0" w:color="auto"/>
            </w:tcBorders>
            <w:shd w:val="clear" w:color="auto" w:fill="auto"/>
            <w:noWrap/>
            <w:hideMark/>
          </w:tcPr>
          <w:p w14:paraId="6FD8EF90"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LRT Line 4 Project</w:t>
            </w:r>
          </w:p>
        </w:tc>
        <w:tc>
          <w:tcPr>
            <w:tcW w:w="2910" w:type="dxa"/>
            <w:tcBorders>
              <w:top w:val="single" w:sz="4" w:space="0" w:color="auto"/>
              <w:left w:val="nil"/>
              <w:bottom w:val="single" w:sz="4" w:space="0" w:color="auto"/>
              <w:right w:val="single" w:sz="4" w:space="0" w:color="auto"/>
            </w:tcBorders>
            <w:shd w:val="clear" w:color="auto" w:fill="auto"/>
            <w:hideMark/>
          </w:tcPr>
          <w:p w14:paraId="706B57B4" w14:textId="1D12545E" w:rsidR="001762EE" w:rsidRPr="00710DF0" w:rsidRDefault="001762EE" w:rsidP="001805CA">
            <w:pPr>
              <w:spacing w:before="40" w:after="40"/>
              <w:jc w:val="center"/>
              <w:rPr>
                <w:color w:val="000000"/>
                <w:sz w:val="20"/>
                <w:szCs w:val="20"/>
                <w:lang w:eastAsia="en-SG"/>
              </w:rPr>
            </w:pPr>
            <w:r w:rsidRPr="00710DF0">
              <w:rPr>
                <w:color w:val="000000"/>
                <w:sz w:val="20"/>
                <w:szCs w:val="20"/>
                <w:lang w:eastAsia="en-SG"/>
              </w:rPr>
              <w:t>50.15 (original proposal); 42.89 (the reserve price basis following the LRT Line 6 costing per</w:t>
            </w:r>
            <w:r w:rsidR="001805CA">
              <w:rPr>
                <w:color w:val="000000"/>
                <w:sz w:val="20"/>
                <w:szCs w:val="20"/>
                <w:lang w:eastAsia="en-SG"/>
              </w:rPr>
              <w:t xml:space="preserve"> </w:t>
            </w:r>
            <w:r w:rsidRPr="00710DF0">
              <w:rPr>
                <w:color w:val="000000"/>
                <w:sz w:val="20"/>
                <w:szCs w:val="20"/>
                <w:lang w:eastAsia="en-SG"/>
              </w:rPr>
              <w:t>km)</w:t>
            </w:r>
          </w:p>
        </w:tc>
        <w:tc>
          <w:tcPr>
            <w:tcW w:w="2969" w:type="dxa"/>
            <w:tcBorders>
              <w:top w:val="single" w:sz="4" w:space="0" w:color="auto"/>
              <w:left w:val="nil"/>
              <w:bottom w:val="single" w:sz="4" w:space="0" w:color="auto"/>
              <w:right w:val="double" w:sz="4" w:space="0" w:color="auto"/>
            </w:tcBorders>
            <w:shd w:val="clear" w:color="auto" w:fill="auto"/>
            <w:noWrap/>
            <w:hideMark/>
          </w:tcPr>
          <w:p w14:paraId="61107FE9" w14:textId="3D3AD846" w:rsidR="001762EE" w:rsidRPr="00710DF0" w:rsidRDefault="001762EE" w:rsidP="00B15072">
            <w:pPr>
              <w:spacing w:before="40" w:after="40"/>
              <w:jc w:val="center"/>
              <w:rPr>
                <w:color w:val="000000"/>
                <w:sz w:val="20"/>
                <w:szCs w:val="20"/>
                <w:lang w:eastAsia="en-SG"/>
              </w:rPr>
            </w:pPr>
            <w:r w:rsidRPr="00710DF0">
              <w:rPr>
                <w:sz w:val="20"/>
                <w:szCs w:val="20"/>
              </w:rPr>
              <w:t>Over a concession period of 34 years, including design and construction period of 4 years</w:t>
            </w:r>
          </w:p>
        </w:tc>
      </w:tr>
      <w:tr w:rsidR="001762EE" w:rsidRPr="00D147E0" w14:paraId="2FE27180"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20559768" w14:textId="64F81236"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7</w:t>
            </w:r>
          </w:p>
        </w:tc>
        <w:tc>
          <w:tcPr>
            <w:tcW w:w="3027" w:type="dxa"/>
            <w:tcBorders>
              <w:top w:val="single" w:sz="4" w:space="0" w:color="auto"/>
              <w:left w:val="nil"/>
              <w:bottom w:val="single" w:sz="4" w:space="0" w:color="auto"/>
              <w:right w:val="single" w:sz="4" w:space="0" w:color="auto"/>
            </w:tcBorders>
            <w:shd w:val="clear" w:color="auto" w:fill="auto"/>
            <w:noWrap/>
            <w:hideMark/>
          </w:tcPr>
          <w:p w14:paraId="0E9E247C"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Laguna Lakeshore Expressway Dike Project</w:t>
            </w:r>
          </w:p>
        </w:tc>
        <w:tc>
          <w:tcPr>
            <w:tcW w:w="2910" w:type="dxa"/>
            <w:tcBorders>
              <w:top w:val="single" w:sz="4" w:space="0" w:color="auto"/>
              <w:left w:val="nil"/>
              <w:bottom w:val="single" w:sz="4" w:space="0" w:color="auto"/>
              <w:right w:val="single" w:sz="4" w:space="0" w:color="auto"/>
            </w:tcBorders>
            <w:shd w:val="clear" w:color="auto" w:fill="auto"/>
            <w:noWrap/>
            <w:hideMark/>
          </w:tcPr>
          <w:p w14:paraId="63EA6942" w14:textId="1BDF9888" w:rsidR="001762EE" w:rsidRPr="00710DF0" w:rsidRDefault="001762EE" w:rsidP="006A0903">
            <w:pPr>
              <w:spacing w:before="40" w:after="40"/>
              <w:jc w:val="center"/>
              <w:rPr>
                <w:color w:val="000000"/>
                <w:sz w:val="20"/>
                <w:szCs w:val="20"/>
                <w:lang w:eastAsia="en-SG"/>
              </w:rPr>
            </w:pPr>
            <w:r w:rsidRPr="00710DF0">
              <w:rPr>
                <w:color w:val="000000"/>
                <w:sz w:val="20"/>
                <w:szCs w:val="20"/>
                <w:lang w:eastAsia="en-SG"/>
              </w:rPr>
              <w:t>122.81</w:t>
            </w:r>
          </w:p>
        </w:tc>
        <w:tc>
          <w:tcPr>
            <w:tcW w:w="2969" w:type="dxa"/>
            <w:tcBorders>
              <w:top w:val="single" w:sz="4" w:space="0" w:color="auto"/>
              <w:left w:val="nil"/>
              <w:bottom w:val="single" w:sz="4" w:space="0" w:color="auto"/>
              <w:right w:val="double" w:sz="4" w:space="0" w:color="auto"/>
            </w:tcBorders>
            <w:shd w:val="clear" w:color="auto" w:fill="auto"/>
            <w:hideMark/>
          </w:tcPr>
          <w:p w14:paraId="32D4FC5E" w14:textId="02622581" w:rsidR="001762EE" w:rsidRPr="00710DF0" w:rsidRDefault="001762EE" w:rsidP="00D46430">
            <w:pPr>
              <w:keepNext/>
              <w:spacing w:before="40" w:after="40"/>
              <w:jc w:val="center"/>
              <w:outlineLvl w:val="2"/>
              <w:rPr>
                <w:color w:val="000000"/>
                <w:sz w:val="20"/>
                <w:szCs w:val="20"/>
                <w:lang w:eastAsia="en-SG"/>
              </w:rPr>
            </w:pPr>
            <w:bookmarkStart w:id="109" w:name="_Toc454811660"/>
            <w:bookmarkStart w:id="110" w:name="_Toc454888805"/>
            <w:r w:rsidRPr="00710DF0">
              <w:rPr>
                <w:color w:val="000000"/>
                <w:sz w:val="20"/>
                <w:szCs w:val="20"/>
                <w:lang w:eastAsia="en-SG"/>
              </w:rPr>
              <w:t>Over a concession period of 37 years (7 for design and 30 for operations and maintenance)</w:t>
            </w:r>
            <w:bookmarkEnd w:id="109"/>
            <w:bookmarkEnd w:id="110"/>
          </w:p>
        </w:tc>
      </w:tr>
      <w:tr w:rsidR="001762EE" w:rsidRPr="00D147E0" w14:paraId="701FF366" w14:textId="77777777" w:rsidTr="001805CA">
        <w:trPr>
          <w:trHeight w:val="20"/>
        </w:trPr>
        <w:tc>
          <w:tcPr>
            <w:tcW w:w="467" w:type="dxa"/>
            <w:tcBorders>
              <w:top w:val="single" w:sz="4" w:space="0" w:color="auto"/>
              <w:left w:val="double" w:sz="4" w:space="0" w:color="auto"/>
              <w:bottom w:val="single" w:sz="4" w:space="0" w:color="auto"/>
              <w:right w:val="single" w:sz="4" w:space="0" w:color="auto"/>
            </w:tcBorders>
            <w:shd w:val="clear" w:color="auto" w:fill="auto"/>
            <w:noWrap/>
            <w:hideMark/>
          </w:tcPr>
          <w:p w14:paraId="1D28FCB1" w14:textId="3A7694DB" w:rsidR="001762EE" w:rsidRPr="00710DF0" w:rsidRDefault="001762EE" w:rsidP="0056054D">
            <w:pPr>
              <w:spacing w:before="40" w:after="40"/>
              <w:jc w:val="center"/>
              <w:rPr>
                <w:color w:val="000000"/>
                <w:sz w:val="20"/>
                <w:szCs w:val="20"/>
                <w:lang w:eastAsia="en-SG"/>
              </w:rPr>
            </w:pPr>
            <w:r w:rsidRPr="00710DF0">
              <w:rPr>
                <w:color w:val="000000"/>
                <w:sz w:val="20"/>
                <w:szCs w:val="20"/>
                <w:lang w:eastAsia="en-SG"/>
              </w:rPr>
              <w:t>8</w:t>
            </w:r>
          </w:p>
        </w:tc>
        <w:tc>
          <w:tcPr>
            <w:tcW w:w="3027" w:type="dxa"/>
            <w:tcBorders>
              <w:top w:val="single" w:sz="4" w:space="0" w:color="auto"/>
              <w:left w:val="nil"/>
              <w:bottom w:val="single" w:sz="4" w:space="0" w:color="auto"/>
              <w:right w:val="single" w:sz="4" w:space="0" w:color="auto"/>
            </w:tcBorders>
            <w:shd w:val="clear" w:color="auto" w:fill="auto"/>
            <w:noWrap/>
            <w:hideMark/>
          </w:tcPr>
          <w:p w14:paraId="4872C6D3" w14:textId="1B6B5F38" w:rsidR="001762EE" w:rsidRPr="00710DF0" w:rsidRDefault="001762EE" w:rsidP="0056054D">
            <w:pPr>
              <w:spacing w:before="40" w:after="40"/>
              <w:rPr>
                <w:color w:val="000000"/>
                <w:sz w:val="20"/>
                <w:szCs w:val="20"/>
                <w:lang w:eastAsia="en-SG"/>
              </w:rPr>
            </w:pPr>
            <w:r w:rsidRPr="00710DF0">
              <w:rPr>
                <w:color w:val="000000"/>
                <w:sz w:val="20"/>
                <w:szCs w:val="20"/>
                <w:lang w:eastAsia="en-SG"/>
              </w:rPr>
              <w:t>North-South Commuter Railway (NSCR) Project, Phase 1</w:t>
            </w:r>
          </w:p>
        </w:tc>
        <w:tc>
          <w:tcPr>
            <w:tcW w:w="2910" w:type="dxa"/>
            <w:tcBorders>
              <w:top w:val="single" w:sz="4" w:space="0" w:color="auto"/>
              <w:left w:val="nil"/>
              <w:bottom w:val="single" w:sz="4" w:space="0" w:color="auto"/>
              <w:right w:val="single" w:sz="4" w:space="0" w:color="auto"/>
            </w:tcBorders>
            <w:shd w:val="clear" w:color="auto" w:fill="auto"/>
            <w:noWrap/>
            <w:hideMark/>
          </w:tcPr>
          <w:p w14:paraId="76427327" w14:textId="4D2202C0" w:rsidR="001762EE" w:rsidRPr="00710DF0" w:rsidRDefault="001762EE" w:rsidP="008D080C">
            <w:pPr>
              <w:spacing w:before="40" w:after="40"/>
              <w:jc w:val="center"/>
              <w:rPr>
                <w:color w:val="000000"/>
                <w:sz w:val="20"/>
                <w:szCs w:val="20"/>
                <w:lang w:eastAsia="en-SG"/>
              </w:rPr>
            </w:pPr>
            <w:r w:rsidRPr="00710DF0">
              <w:rPr>
                <w:color w:val="000000"/>
                <w:sz w:val="20"/>
                <w:szCs w:val="20"/>
                <w:lang w:eastAsia="en-SG"/>
              </w:rPr>
              <w:t>1</w:t>
            </w:r>
            <w:r w:rsidR="008D080C">
              <w:rPr>
                <w:color w:val="000000"/>
                <w:sz w:val="20"/>
                <w:szCs w:val="20"/>
                <w:lang w:eastAsia="en-SG"/>
              </w:rPr>
              <w:t>05</w:t>
            </w:r>
            <w:r w:rsidRPr="00710DF0">
              <w:rPr>
                <w:color w:val="000000"/>
                <w:sz w:val="20"/>
                <w:szCs w:val="20"/>
                <w:lang w:eastAsia="en-SG"/>
              </w:rPr>
              <w:t>.3</w:t>
            </w:r>
            <w:r w:rsidR="008D080C">
              <w:rPr>
                <w:color w:val="000000"/>
                <w:sz w:val="20"/>
                <w:szCs w:val="20"/>
                <w:lang w:eastAsia="en-SG"/>
              </w:rPr>
              <w:t>1</w:t>
            </w:r>
          </w:p>
        </w:tc>
        <w:tc>
          <w:tcPr>
            <w:tcW w:w="2969" w:type="dxa"/>
            <w:tcBorders>
              <w:top w:val="single" w:sz="4" w:space="0" w:color="auto"/>
              <w:left w:val="nil"/>
              <w:bottom w:val="single" w:sz="4" w:space="0" w:color="auto"/>
              <w:right w:val="double" w:sz="4" w:space="0" w:color="auto"/>
            </w:tcBorders>
            <w:shd w:val="clear" w:color="auto" w:fill="auto"/>
            <w:noWrap/>
            <w:hideMark/>
          </w:tcPr>
          <w:p w14:paraId="6E488B96" w14:textId="5AA73293" w:rsidR="001762EE" w:rsidRPr="00710DF0" w:rsidRDefault="001762EE" w:rsidP="003E6B00">
            <w:pPr>
              <w:spacing w:before="40" w:after="40"/>
              <w:jc w:val="center"/>
              <w:rPr>
                <w:color w:val="000000"/>
                <w:sz w:val="20"/>
                <w:szCs w:val="20"/>
                <w:lang w:eastAsia="en-SG"/>
              </w:rPr>
            </w:pPr>
            <w:r w:rsidRPr="00710DF0">
              <w:rPr>
                <w:color w:val="000000"/>
                <w:sz w:val="20"/>
                <w:szCs w:val="20"/>
                <w:lang w:eastAsia="en-SG"/>
              </w:rPr>
              <w:t>2015-2021</w:t>
            </w:r>
          </w:p>
        </w:tc>
      </w:tr>
      <w:tr w:rsidR="001762EE" w:rsidRPr="00D147E0" w14:paraId="57B00A39" w14:textId="77777777" w:rsidTr="001805CA">
        <w:trPr>
          <w:trHeight w:val="20"/>
        </w:trPr>
        <w:tc>
          <w:tcPr>
            <w:tcW w:w="467" w:type="dxa"/>
            <w:tcBorders>
              <w:top w:val="single" w:sz="4" w:space="0" w:color="auto"/>
              <w:left w:val="double" w:sz="4" w:space="0" w:color="auto"/>
              <w:bottom w:val="double" w:sz="4" w:space="0" w:color="auto"/>
              <w:right w:val="single" w:sz="4" w:space="0" w:color="auto"/>
            </w:tcBorders>
            <w:shd w:val="clear" w:color="auto" w:fill="auto"/>
            <w:noWrap/>
            <w:hideMark/>
          </w:tcPr>
          <w:p w14:paraId="14C97E47" w14:textId="5C453FA9" w:rsidR="001762EE" w:rsidRPr="00710DF0" w:rsidRDefault="001762EE" w:rsidP="00BB1EBF">
            <w:pPr>
              <w:spacing w:before="40" w:after="40"/>
              <w:jc w:val="center"/>
              <w:rPr>
                <w:color w:val="000000"/>
                <w:sz w:val="20"/>
                <w:szCs w:val="20"/>
                <w:lang w:eastAsia="en-SG"/>
              </w:rPr>
            </w:pPr>
            <w:r w:rsidRPr="00710DF0">
              <w:rPr>
                <w:color w:val="000000"/>
                <w:sz w:val="20"/>
                <w:szCs w:val="20"/>
                <w:lang w:eastAsia="en-SG"/>
              </w:rPr>
              <w:t>9</w:t>
            </w:r>
          </w:p>
        </w:tc>
        <w:tc>
          <w:tcPr>
            <w:tcW w:w="3027" w:type="dxa"/>
            <w:tcBorders>
              <w:top w:val="single" w:sz="4" w:space="0" w:color="auto"/>
              <w:left w:val="nil"/>
              <w:bottom w:val="double" w:sz="4" w:space="0" w:color="auto"/>
              <w:right w:val="single" w:sz="4" w:space="0" w:color="auto"/>
            </w:tcBorders>
            <w:shd w:val="clear" w:color="auto" w:fill="auto"/>
            <w:noWrap/>
            <w:hideMark/>
          </w:tcPr>
          <w:p w14:paraId="10FE24C4" w14:textId="77777777" w:rsidR="001762EE" w:rsidRPr="00710DF0" w:rsidRDefault="001762EE" w:rsidP="00BB1EBF">
            <w:pPr>
              <w:spacing w:before="40" w:after="40"/>
              <w:rPr>
                <w:color w:val="000000"/>
                <w:sz w:val="20"/>
                <w:szCs w:val="20"/>
                <w:lang w:eastAsia="en-SG"/>
              </w:rPr>
            </w:pPr>
            <w:r w:rsidRPr="00710DF0">
              <w:rPr>
                <w:color w:val="000000"/>
                <w:sz w:val="20"/>
                <w:szCs w:val="20"/>
                <w:lang w:eastAsia="en-SG"/>
              </w:rPr>
              <w:t>Regional Prison Facilities Project</w:t>
            </w:r>
          </w:p>
        </w:tc>
        <w:tc>
          <w:tcPr>
            <w:tcW w:w="2910" w:type="dxa"/>
            <w:tcBorders>
              <w:top w:val="single" w:sz="4" w:space="0" w:color="auto"/>
              <w:left w:val="nil"/>
              <w:bottom w:val="double" w:sz="4" w:space="0" w:color="auto"/>
              <w:right w:val="single" w:sz="4" w:space="0" w:color="auto"/>
            </w:tcBorders>
            <w:shd w:val="clear" w:color="auto" w:fill="auto"/>
            <w:noWrap/>
            <w:hideMark/>
          </w:tcPr>
          <w:p w14:paraId="00D524CF" w14:textId="67A819D3" w:rsidR="001762EE" w:rsidRPr="00710DF0" w:rsidRDefault="001762EE" w:rsidP="006A0903">
            <w:pPr>
              <w:spacing w:before="40" w:after="40"/>
              <w:jc w:val="center"/>
              <w:rPr>
                <w:color w:val="000000"/>
                <w:sz w:val="20"/>
                <w:szCs w:val="20"/>
                <w:lang w:eastAsia="en-SG"/>
              </w:rPr>
            </w:pPr>
            <w:r w:rsidRPr="00710DF0">
              <w:rPr>
                <w:color w:val="000000"/>
                <w:sz w:val="20"/>
                <w:szCs w:val="20"/>
                <w:lang w:eastAsia="en-SG"/>
              </w:rPr>
              <w:t>50.204</w:t>
            </w:r>
          </w:p>
        </w:tc>
        <w:tc>
          <w:tcPr>
            <w:tcW w:w="2969" w:type="dxa"/>
            <w:tcBorders>
              <w:top w:val="single" w:sz="4" w:space="0" w:color="auto"/>
              <w:left w:val="nil"/>
              <w:bottom w:val="double" w:sz="4" w:space="0" w:color="auto"/>
              <w:right w:val="double" w:sz="4" w:space="0" w:color="auto"/>
            </w:tcBorders>
            <w:shd w:val="clear" w:color="auto" w:fill="auto"/>
            <w:hideMark/>
          </w:tcPr>
          <w:p w14:paraId="0BF1D61F" w14:textId="2CD0602F" w:rsidR="001762EE" w:rsidRPr="00710DF0" w:rsidRDefault="001762EE" w:rsidP="008D080C">
            <w:pPr>
              <w:spacing w:before="40" w:after="40"/>
              <w:jc w:val="center"/>
              <w:rPr>
                <w:color w:val="000000"/>
                <w:sz w:val="20"/>
                <w:szCs w:val="20"/>
                <w:lang w:eastAsia="en-SG"/>
              </w:rPr>
            </w:pPr>
            <w:r w:rsidRPr="00710DF0">
              <w:rPr>
                <w:color w:val="000000"/>
                <w:sz w:val="20"/>
                <w:szCs w:val="20"/>
                <w:lang w:eastAsia="en-SG"/>
              </w:rPr>
              <w:t xml:space="preserve">20 years </w:t>
            </w:r>
            <w:r w:rsidR="008D080C">
              <w:rPr>
                <w:color w:val="000000"/>
                <w:sz w:val="20"/>
                <w:szCs w:val="20"/>
                <w:lang w:eastAsia="en-SG"/>
              </w:rPr>
              <w:t>exclusive of a three year construction period.</w:t>
            </w:r>
          </w:p>
        </w:tc>
      </w:tr>
    </w:tbl>
    <w:p w14:paraId="1785236F" w14:textId="77777777" w:rsidR="001762EE" w:rsidRPr="005A497D" w:rsidRDefault="001762EE" w:rsidP="00BB1EBF">
      <w:pPr>
        <w:pStyle w:val="NormalWeb"/>
        <w:tabs>
          <w:tab w:val="left" w:pos="540"/>
        </w:tabs>
        <w:autoSpaceDE w:val="0"/>
        <w:autoSpaceDN w:val="0"/>
        <w:adjustRightInd w:val="0"/>
        <w:spacing w:before="40" w:beforeAutospacing="0" w:after="0" w:afterAutospacing="0"/>
        <w:jc w:val="both"/>
        <w:rPr>
          <w:sz w:val="18"/>
          <w:szCs w:val="18"/>
        </w:rPr>
      </w:pPr>
      <w:r w:rsidRPr="00BF1CCD">
        <w:rPr>
          <w:i/>
          <w:sz w:val="18"/>
          <w:szCs w:val="18"/>
        </w:rPr>
        <w:t>Source</w:t>
      </w:r>
      <w:r w:rsidRPr="005A497D">
        <w:rPr>
          <w:sz w:val="18"/>
          <w:szCs w:val="18"/>
        </w:rPr>
        <w:t>: NEDA.</w:t>
      </w:r>
    </w:p>
    <w:p w14:paraId="69AD18B6" w14:textId="77777777" w:rsidR="001762EE" w:rsidRPr="005A497D" w:rsidRDefault="001762EE" w:rsidP="00BB1EBF">
      <w:pPr>
        <w:pStyle w:val="NormalWeb"/>
        <w:autoSpaceDE w:val="0"/>
        <w:autoSpaceDN w:val="0"/>
        <w:adjustRightInd w:val="0"/>
        <w:contextualSpacing/>
        <w:jc w:val="both"/>
      </w:pPr>
    </w:p>
    <w:p w14:paraId="2C11901C" w14:textId="5106BC25"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Review of project investments starts when the implementing government agency or </w:t>
      </w:r>
      <w:r>
        <w:t>local government unit</w:t>
      </w:r>
      <w:r w:rsidRPr="005A497D">
        <w:t xml:space="preserve"> submits</w:t>
      </w:r>
      <w:r>
        <w:t xml:space="preserve"> the project proposal</w:t>
      </w:r>
      <w:r>
        <w:rPr>
          <w:rStyle w:val="EndnoteReference"/>
        </w:rPr>
        <w:endnoteReference w:id="30"/>
      </w:r>
      <w:r w:rsidRPr="005A497D">
        <w:t xml:space="preserve"> to the Investment Coordination Committee (ICC)</w:t>
      </w:r>
      <w:r>
        <w:t>.</w:t>
      </w:r>
      <w:r>
        <w:rPr>
          <w:rStyle w:val="EndnoteReference"/>
        </w:rPr>
        <w:endnoteReference w:id="31"/>
      </w:r>
      <w:r w:rsidRPr="005A497D">
        <w:t xml:space="preserve"> The scope of ICC review covers major capital projects costing PhP 1 billion and above per project,</w:t>
      </w:r>
      <w:r w:rsidRPr="005A497D">
        <w:rPr>
          <w:rStyle w:val="EndnoteReference"/>
        </w:rPr>
        <w:endnoteReference w:id="32"/>
      </w:r>
      <w:r w:rsidRPr="005A497D">
        <w:t xml:space="preserve"> </w:t>
      </w:r>
      <w:r>
        <w:t xml:space="preserve">as well as </w:t>
      </w:r>
      <w:r w:rsidRPr="005A497D">
        <w:t xml:space="preserve">projects covered by the Build-Operate-Transfer </w:t>
      </w:r>
      <w:r>
        <w:t>(BOT) L</w:t>
      </w:r>
      <w:r w:rsidRPr="005A497D">
        <w:t>aw</w:t>
      </w:r>
      <w:r>
        <w:t>,</w:t>
      </w:r>
      <w:r>
        <w:rPr>
          <w:rStyle w:val="EndnoteReference"/>
        </w:rPr>
        <w:endnoteReference w:id="33"/>
      </w:r>
      <w:r>
        <w:t xml:space="preserve"> </w:t>
      </w:r>
      <w:r w:rsidRPr="005A497D">
        <w:t>project</w:t>
      </w:r>
      <w:r>
        <w:t>s</w:t>
      </w:r>
      <w:r w:rsidRPr="005A497D">
        <w:t xml:space="preserve"> </w:t>
      </w:r>
      <w:r>
        <w:t>that</w:t>
      </w:r>
      <w:r w:rsidRPr="005A497D">
        <w:t xml:space="preserve"> require </w:t>
      </w:r>
      <w:r>
        <w:t>n</w:t>
      </w:r>
      <w:r w:rsidRPr="005A497D">
        <w:t xml:space="preserve">ational </w:t>
      </w:r>
      <w:r>
        <w:t>g</w:t>
      </w:r>
      <w:r w:rsidRPr="005A497D">
        <w:t xml:space="preserve">overnment borrowing or guarantee covered by the Foreign Borrowings Act (Republic Act No. 4860) and the Official Development Assistance Act (Republic Act </w:t>
      </w:r>
      <w:r>
        <w:t>N</w:t>
      </w:r>
      <w:r w:rsidRPr="005A497D">
        <w:t>o. 8182)</w:t>
      </w:r>
      <w:r>
        <w:t>, and joint venture projects as provided in Section 7.2b of the Revised Guidelines and Procedures for Entering into Joint Venture Agreements Between Government and Private Entities</w:t>
      </w:r>
      <w:r w:rsidRPr="005A497D">
        <w:t>.</w:t>
      </w:r>
      <w:r>
        <w:rPr>
          <w:rStyle w:val="EndnoteReference"/>
        </w:rPr>
        <w:endnoteReference w:id="34"/>
      </w:r>
      <w:r w:rsidRPr="005A497D">
        <w:t xml:space="preserve"> The </w:t>
      </w:r>
      <w:r>
        <w:t>NEDA Secretariat serves as Secretariat to the ICC Technical Board and Cabinet Committee.  As such, it provides technical staff support to ICC in evaluating projects in terms of their economic, financial, technical, social, environmental, and institutional viability, among others.</w:t>
      </w:r>
      <w:r>
        <w:rPr>
          <w:rStyle w:val="EndnoteReference"/>
        </w:rPr>
        <w:endnoteReference w:id="35"/>
      </w:r>
      <w:r>
        <w:t xml:space="preserve"> For PPP projects, the </w:t>
      </w:r>
      <w:r w:rsidRPr="005A497D">
        <w:t>PPP Center, which acts as the</w:t>
      </w:r>
      <w:r>
        <w:t xml:space="preserve"> ICC</w:t>
      </w:r>
      <w:r w:rsidRPr="005A497D">
        <w:t xml:space="preserve"> Secretariat, </w:t>
      </w:r>
      <w:r>
        <w:t xml:space="preserve">is responsible for the initial project review and project circulation </w:t>
      </w:r>
      <w:r w:rsidRPr="005A497D">
        <w:t>to the ICC Technical Working Group</w:t>
      </w:r>
      <w:r w:rsidRPr="005A497D">
        <w:rPr>
          <w:rStyle w:val="EndnoteReference"/>
        </w:rPr>
        <w:endnoteReference w:id="36"/>
      </w:r>
      <w:r w:rsidRPr="005A497D">
        <w:t xml:space="preserve"> for appraisal and evaluation. </w:t>
      </w:r>
      <w:r>
        <w:t xml:space="preserve">The </w:t>
      </w:r>
      <w:r w:rsidRPr="005A497D">
        <w:t>NEDA Secretariat as part of the ICC</w:t>
      </w:r>
      <w:r>
        <w:t xml:space="preserve"> Technical Working Group</w:t>
      </w:r>
      <w:r w:rsidRPr="005A497D">
        <w:t xml:space="preserve"> undertakes the assessment of the socio-economic aspects of the project as well as appraises each project in terms of its alignment and contribution to the Philippine Development Plan and compliance with existing laws, rules</w:t>
      </w:r>
      <w:r>
        <w:t>,</w:t>
      </w:r>
      <w:r w:rsidRPr="005A497D">
        <w:t xml:space="preserve"> and regulations. The ICC </w:t>
      </w:r>
      <w:r>
        <w:t xml:space="preserve">evaluation </w:t>
      </w:r>
      <w:r w:rsidRPr="005A497D">
        <w:t>includes the project’s financial, economic, technical</w:t>
      </w:r>
      <w:r>
        <w:t>,</w:t>
      </w:r>
      <w:r w:rsidRPr="005A497D">
        <w:t xml:space="preserve"> </w:t>
      </w:r>
      <w:r>
        <w:t xml:space="preserve">environmental, </w:t>
      </w:r>
      <w:r w:rsidRPr="005A497D">
        <w:t>institutional</w:t>
      </w:r>
      <w:r>
        <w:t>, social, and sensitivity</w:t>
      </w:r>
      <w:r w:rsidRPr="005A497D">
        <w:t xml:space="preserve"> </w:t>
      </w:r>
      <w:r>
        <w:t>analysis</w:t>
      </w:r>
      <w:r w:rsidRPr="005A497D">
        <w:t>.</w:t>
      </w:r>
      <w:r w:rsidRPr="005A497D">
        <w:rPr>
          <w:rStyle w:val="EndnoteReference"/>
        </w:rPr>
        <w:endnoteReference w:id="37"/>
      </w:r>
      <w:r>
        <w:t xml:space="preserve"> The list of NEDA Board-confirmed and ICC-approved projects </w:t>
      </w:r>
      <w:r w:rsidR="002D502D">
        <w:t>is</w:t>
      </w:r>
      <w:r>
        <w:t xml:space="preserve"> posted in NEDA website.</w:t>
      </w:r>
      <w:r>
        <w:rPr>
          <w:rStyle w:val="EndnoteReference"/>
        </w:rPr>
        <w:endnoteReference w:id="38"/>
      </w:r>
      <w:r>
        <w:t xml:space="preserve"> The score for Dimension 11.1 is assessed at “A”.</w:t>
      </w:r>
    </w:p>
    <w:p w14:paraId="5FF972FF" w14:textId="77777777" w:rsidR="001762EE" w:rsidRDefault="001762EE" w:rsidP="00450F5A">
      <w:pPr>
        <w:pStyle w:val="NormalWeb"/>
        <w:autoSpaceDE w:val="0"/>
        <w:autoSpaceDN w:val="0"/>
        <w:adjustRightInd w:val="0"/>
        <w:spacing w:before="0" w:beforeAutospacing="0" w:after="0" w:afterAutospacing="0"/>
        <w:contextualSpacing/>
        <w:jc w:val="both"/>
      </w:pPr>
    </w:p>
    <w:p w14:paraId="56EE677A" w14:textId="77777777" w:rsidR="001762EE" w:rsidRPr="00BF1CCD" w:rsidRDefault="001762EE" w:rsidP="00450F5A">
      <w:pPr>
        <w:pStyle w:val="NormalWeb"/>
        <w:autoSpaceDE w:val="0"/>
        <w:autoSpaceDN w:val="0"/>
        <w:adjustRightInd w:val="0"/>
        <w:spacing w:before="0" w:beforeAutospacing="0" w:after="0" w:afterAutospacing="0"/>
        <w:contextualSpacing/>
        <w:jc w:val="both"/>
        <w:rPr>
          <w:b/>
          <w:i/>
        </w:rPr>
      </w:pPr>
      <w:r w:rsidRPr="00BF1CCD">
        <w:rPr>
          <w:b/>
          <w:i/>
        </w:rPr>
        <w:t>Dimension 11.2 Investment project selection</w:t>
      </w:r>
    </w:p>
    <w:p w14:paraId="25916F28" w14:textId="77777777" w:rsidR="001762EE" w:rsidRDefault="001762EE" w:rsidP="00450F5A">
      <w:pPr>
        <w:pStyle w:val="NormalWeb"/>
        <w:autoSpaceDE w:val="0"/>
        <w:autoSpaceDN w:val="0"/>
        <w:adjustRightInd w:val="0"/>
        <w:spacing w:before="0" w:beforeAutospacing="0" w:after="0" w:afterAutospacing="0"/>
        <w:contextualSpacing/>
        <w:jc w:val="both"/>
      </w:pPr>
    </w:p>
    <w:p w14:paraId="5EA05D2F" w14:textId="4D597D1B" w:rsidR="001762EE" w:rsidRDefault="001762EE" w:rsidP="00450F5A">
      <w:pPr>
        <w:pStyle w:val="NormalWeb"/>
        <w:numPr>
          <w:ilvl w:val="0"/>
          <w:numId w:val="6"/>
        </w:numPr>
        <w:autoSpaceDE w:val="0"/>
        <w:autoSpaceDN w:val="0"/>
        <w:adjustRightInd w:val="0"/>
        <w:spacing w:before="0" w:beforeAutospacing="0" w:after="0" w:afterAutospacing="0"/>
        <w:ind w:left="0" w:firstLine="0"/>
        <w:contextualSpacing/>
        <w:jc w:val="both"/>
      </w:pPr>
      <w:r>
        <w:t>Per ICC Guidelines, projects lined up for ICC discussions should be drawn primarily from the Public Investment Program of the proponent government unit in order of their relative priority, target commencement schedule,</w:t>
      </w:r>
      <w:r w:rsidRPr="003F7B82">
        <w:t xml:space="preserve"> </w:t>
      </w:r>
      <w:r>
        <w:t>and complementation with other priority projects. First, priority will be given to projects whose implementation is targeted for the first and second years of the Public Investment Program and whose loan negotiations are forthcoming</w:t>
      </w:r>
      <w:r w:rsidRPr="005A497D">
        <w:t>.</w:t>
      </w:r>
      <w:r>
        <w:t xml:space="preserve"> The concerned proponent agencies will ensure ICC clears, as necessary, those projects under the Public Investment Program that are scheduled for implementation in the current year.</w:t>
      </w:r>
    </w:p>
    <w:p w14:paraId="7565DA33" w14:textId="77777777" w:rsidR="001762EE" w:rsidRDefault="001762EE" w:rsidP="00450F5A">
      <w:pPr>
        <w:pStyle w:val="NormalWeb"/>
        <w:autoSpaceDE w:val="0"/>
        <w:autoSpaceDN w:val="0"/>
        <w:adjustRightInd w:val="0"/>
        <w:spacing w:before="0" w:beforeAutospacing="0" w:after="0" w:afterAutospacing="0"/>
        <w:contextualSpacing/>
        <w:jc w:val="both"/>
      </w:pPr>
    </w:p>
    <w:p w14:paraId="4923C30B" w14:textId="0A6CC5D0" w:rsidR="001762EE" w:rsidRDefault="001762EE" w:rsidP="00450F5A">
      <w:pPr>
        <w:pStyle w:val="NormalWeb"/>
        <w:numPr>
          <w:ilvl w:val="0"/>
          <w:numId w:val="6"/>
        </w:numPr>
        <w:autoSpaceDE w:val="0"/>
        <w:autoSpaceDN w:val="0"/>
        <w:adjustRightInd w:val="0"/>
        <w:spacing w:before="0" w:beforeAutospacing="0" w:after="0" w:afterAutospacing="0"/>
        <w:ind w:left="0" w:firstLine="0"/>
        <w:contextualSpacing/>
        <w:jc w:val="both"/>
      </w:pPr>
      <w:r>
        <w:t xml:space="preserve">The ICC Secretariat ensures the completeness of submission of ICC requisite documents that form the basis of project evaluation. The proponent agency is required to submit to the ICC Secretariat with copies to DBM, </w:t>
      </w:r>
      <w:r w:rsidRPr="004D1FBE">
        <w:t>DoF</w:t>
      </w:r>
      <w:r>
        <w:t>, and those pertinent documents and information on the project to facilitate simultaneous evaluation of financing terms and external financing requirements by oversight agencies. Proponent should secure a DBM certification of the availability of budget cover for new requests related to ongoing projects before submitting such for ICC action.</w:t>
      </w:r>
    </w:p>
    <w:p w14:paraId="5F70CABD" w14:textId="77777777" w:rsidR="001762EE" w:rsidRDefault="001762EE" w:rsidP="00450F5A">
      <w:pPr>
        <w:pStyle w:val="NormalWeb"/>
        <w:autoSpaceDE w:val="0"/>
        <w:autoSpaceDN w:val="0"/>
        <w:adjustRightInd w:val="0"/>
        <w:spacing w:before="0" w:beforeAutospacing="0" w:after="0" w:afterAutospacing="0"/>
        <w:contextualSpacing/>
        <w:jc w:val="both"/>
      </w:pPr>
    </w:p>
    <w:p w14:paraId="7BFE5735" w14:textId="5DAE05C6" w:rsidR="001762EE" w:rsidRDefault="001762EE" w:rsidP="00450F5A">
      <w:pPr>
        <w:pStyle w:val="NormalWeb"/>
        <w:numPr>
          <w:ilvl w:val="0"/>
          <w:numId w:val="6"/>
        </w:numPr>
        <w:autoSpaceDE w:val="0"/>
        <w:autoSpaceDN w:val="0"/>
        <w:adjustRightInd w:val="0"/>
        <w:spacing w:before="0" w:beforeAutospacing="0" w:after="0" w:afterAutospacing="0"/>
        <w:ind w:left="0" w:firstLine="0"/>
        <w:contextualSpacing/>
        <w:jc w:val="both"/>
      </w:pPr>
      <w:r>
        <w:t xml:space="preserve">Projects under build-operate-transfer and its variant schemes should adhere to the ICC review and approval process provided in RA 7718, the Philippine BOT Law, and its implementing rules and regulations. </w:t>
      </w:r>
    </w:p>
    <w:p w14:paraId="051EAA60" w14:textId="77777777" w:rsidR="001762EE" w:rsidRDefault="001762EE" w:rsidP="00450F5A">
      <w:pPr>
        <w:pStyle w:val="NormalWeb"/>
        <w:autoSpaceDE w:val="0"/>
        <w:autoSpaceDN w:val="0"/>
        <w:adjustRightInd w:val="0"/>
        <w:spacing w:before="0" w:beforeAutospacing="0" w:after="0" w:afterAutospacing="0"/>
        <w:contextualSpacing/>
        <w:jc w:val="both"/>
      </w:pPr>
    </w:p>
    <w:p w14:paraId="65329134" w14:textId="038B85BD" w:rsidR="001762EE" w:rsidRPr="005A497D" w:rsidRDefault="001762EE" w:rsidP="00450F5A">
      <w:pPr>
        <w:pStyle w:val="NormalWeb"/>
        <w:numPr>
          <w:ilvl w:val="0"/>
          <w:numId w:val="6"/>
        </w:numPr>
        <w:autoSpaceDE w:val="0"/>
        <w:autoSpaceDN w:val="0"/>
        <w:adjustRightInd w:val="0"/>
        <w:spacing w:before="0" w:beforeAutospacing="0" w:after="0" w:afterAutospacing="0"/>
        <w:ind w:left="0" w:firstLine="0"/>
        <w:contextualSpacing/>
        <w:jc w:val="both"/>
      </w:pPr>
      <w:r>
        <w:t xml:space="preserve">The ICC </w:t>
      </w:r>
      <w:r w:rsidR="00983D13">
        <w:t xml:space="preserve">approval </w:t>
      </w:r>
      <w:r>
        <w:t xml:space="preserve">should be secured before the program appraisal by foreign funding agencies and prior to the issuance of approval-in-principle by the Monetary Board as well as negotiation of </w:t>
      </w:r>
      <w:r w:rsidR="00AF0E49">
        <w:t xml:space="preserve">loan terms and </w:t>
      </w:r>
      <w:r>
        <w:t xml:space="preserve">project </w:t>
      </w:r>
      <w:r w:rsidR="00AF0E49">
        <w:t>documents</w:t>
      </w:r>
      <w:r>
        <w:t xml:space="preserve">. The projects approved by the ICC are elevated to the NEDA Board for confirmation as may be required under existing rules and regulations. The ICC-approved cost and other NEDA Board conditions on projects will be reflected in the NEDA Board resolutions </w:t>
      </w:r>
      <w:r w:rsidR="00AF0E49">
        <w:t xml:space="preserve">which serve </w:t>
      </w:r>
      <w:r>
        <w:t>as the basis for loan negotiations, the compliance of which will be monitored and reported. Considering the procedures in place for the selection of projects, the score for Dimension 11.2 is assessed as “A”.</w:t>
      </w:r>
    </w:p>
    <w:p w14:paraId="183FF89A" w14:textId="77777777" w:rsidR="001762EE" w:rsidRPr="00450F5A" w:rsidRDefault="001762EE" w:rsidP="00BB1EBF">
      <w:pPr>
        <w:pStyle w:val="NormalWeb"/>
        <w:autoSpaceDE w:val="0"/>
        <w:autoSpaceDN w:val="0"/>
        <w:adjustRightInd w:val="0"/>
        <w:spacing w:before="0" w:beforeAutospacing="0" w:after="0" w:afterAutospacing="0"/>
        <w:contextualSpacing/>
        <w:jc w:val="both"/>
      </w:pPr>
    </w:p>
    <w:p w14:paraId="29DAD088" w14:textId="131FDCCD" w:rsidR="001762EE" w:rsidRPr="00BF1CCD" w:rsidRDefault="001762EE" w:rsidP="00BB1EBF">
      <w:pPr>
        <w:pStyle w:val="NormalWeb"/>
        <w:autoSpaceDE w:val="0"/>
        <w:autoSpaceDN w:val="0"/>
        <w:adjustRightInd w:val="0"/>
        <w:spacing w:before="0" w:beforeAutospacing="0" w:after="0" w:afterAutospacing="0"/>
        <w:contextualSpacing/>
        <w:jc w:val="both"/>
        <w:rPr>
          <w:b/>
          <w:i/>
        </w:rPr>
      </w:pPr>
      <w:r w:rsidRPr="00BF1CCD">
        <w:rPr>
          <w:b/>
          <w:i/>
        </w:rPr>
        <w:t>Dimension 11.3 Investment project costing</w:t>
      </w:r>
    </w:p>
    <w:p w14:paraId="25C144B5" w14:textId="77777777" w:rsidR="001762EE" w:rsidRPr="0056054D" w:rsidRDefault="001762EE" w:rsidP="00BB1EBF">
      <w:pPr>
        <w:pStyle w:val="NormalWeb"/>
        <w:autoSpaceDE w:val="0"/>
        <w:autoSpaceDN w:val="0"/>
        <w:adjustRightInd w:val="0"/>
        <w:spacing w:before="0" w:beforeAutospacing="0" w:after="0" w:afterAutospacing="0"/>
        <w:contextualSpacing/>
        <w:jc w:val="both"/>
        <w:rPr>
          <w:i/>
        </w:rPr>
      </w:pPr>
    </w:p>
    <w:p w14:paraId="5CC800BB" w14:textId="5091173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Department of Budget and Management</w:t>
      </w:r>
      <w:r w:rsidRPr="005A497D">
        <w:t xml:space="preserve"> issues the budget priorities framework</w:t>
      </w:r>
      <w:r>
        <w:t>,</w:t>
      </w:r>
      <w:r w:rsidRPr="005A497D">
        <w:t xml:space="preserve"> which takes into account the </w:t>
      </w:r>
      <w:r w:rsidR="001B2BA3">
        <w:t xml:space="preserve">program priorities of the current administration and </w:t>
      </w:r>
      <w:r w:rsidRPr="005A497D">
        <w:t>level of investment</w:t>
      </w:r>
      <w:r w:rsidR="001B2BA3">
        <w:t xml:space="preserve"> consistent with growth targets</w:t>
      </w:r>
      <w:r w:rsidRPr="005A497D">
        <w:t>. This framework includes the prioritized infrastructure project</w:t>
      </w:r>
      <w:r>
        <w:t>s</w:t>
      </w:r>
      <w:r w:rsidRPr="005A497D">
        <w:t xml:space="preserve"> comprising of the Public Investment Program and the Comprehensive and Integrated Infrastructure Program</w:t>
      </w:r>
      <w:r>
        <w:t xml:space="preserve"> (CIIP)</w:t>
      </w:r>
      <w:r w:rsidRPr="005A497D">
        <w:t xml:space="preserve">. </w:t>
      </w:r>
      <w:r w:rsidRPr="00507F12">
        <w:t>The P</w:t>
      </w:r>
      <w:r>
        <w:t xml:space="preserve">ublic </w:t>
      </w:r>
      <w:r w:rsidRPr="00507F12">
        <w:t>I</w:t>
      </w:r>
      <w:r>
        <w:t xml:space="preserve">nvestment </w:t>
      </w:r>
      <w:r w:rsidRPr="00507F12">
        <w:t>P</w:t>
      </w:r>
      <w:r>
        <w:t>rogram</w:t>
      </w:r>
      <w:r w:rsidRPr="00507F12">
        <w:t xml:space="preserve"> consists of priority programs and projects</w:t>
      </w:r>
      <w:r>
        <w:t xml:space="preserve"> across all sectors </w:t>
      </w:r>
      <w:r w:rsidRPr="00507F12">
        <w:t xml:space="preserve">that are expected to contribute </w:t>
      </w:r>
      <w:r>
        <w:t xml:space="preserve">toward achievement of </w:t>
      </w:r>
      <w:r w:rsidRPr="00507F12">
        <w:t>the country</w:t>
      </w:r>
      <w:r w:rsidRPr="006E4873">
        <w:t>’s development objectives stated in the Philippine Development Plan as well as the outcomes indicated in the Results Matrices</w:t>
      </w:r>
      <w:r>
        <w:t xml:space="preserve">. </w:t>
      </w:r>
      <w:r w:rsidRPr="005A497D">
        <w:t>The CIIP</w:t>
      </w:r>
      <w:r>
        <w:t>,</w:t>
      </w:r>
      <w:r w:rsidRPr="005A497D">
        <w:t xml:space="preserve"> </w:t>
      </w:r>
      <w:r>
        <w:t xml:space="preserve">on the other hand, </w:t>
      </w:r>
      <w:r w:rsidRPr="005A497D">
        <w:t>co</w:t>
      </w:r>
      <w:r>
        <w:t>mprises th</w:t>
      </w:r>
      <w:r w:rsidRPr="005A497D">
        <w:t>e infrastructure projects funded by the Government through different sources. The main objective of CIIP is to provide the entire view of P</w:t>
      </w:r>
      <w:r>
        <w:t xml:space="preserve">hilippine investment in public </w:t>
      </w:r>
      <w:r w:rsidRPr="005A497D">
        <w:t>infrastructure</w:t>
      </w:r>
      <w:r>
        <w:t xml:space="preserve"> ranging from start to completion (including the projects’ maintenance costs)</w:t>
      </w:r>
      <w:r w:rsidRPr="005A497D">
        <w:t>. The CIIP is updated</w:t>
      </w:r>
      <w:r w:rsidRPr="005A497D">
        <w:rPr>
          <w:rStyle w:val="EndnoteReference"/>
        </w:rPr>
        <w:endnoteReference w:id="39"/>
      </w:r>
      <w:r w:rsidRPr="005A497D">
        <w:t xml:space="preserve"> annually to reflect revision</w:t>
      </w:r>
      <w:r w:rsidRPr="005A497D">
        <w:rPr>
          <w:rStyle w:val="EndnoteReference"/>
        </w:rPr>
        <w:endnoteReference w:id="40"/>
      </w:r>
      <w:r w:rsidRPr="005A497D">
        <w:t xml:space="preserve"> in the investment requirement of the ongoing infrastructure projects. </w:t>
      </w:r>
      <w:r>
        <w:t>The updated CIIP includes both ongoing and proposed public infrastructure projects of all government agencies, including public infrastructure projects of the national government agencies, GOCCs, and those national government-supported LGU projects as well as those projects that are implemented through public-private partnerships, joint venture agreements, and/or those which are financed by the private sector</w:t>
      </w:r>
      <w:r w:rsidRPr="005A497D">
        <w:t xml:space="preserve">. </w:t>
      </w:r>
    </w:p>
    <w:p w14:paraId="7FD0E8E9" w14:textId="77777777" w:rsidR="001762EE" w:rsidRPr="005A497D" w:rsidRDefault="001762EE" w:rsidP="00BB1EBF">
      <w:pPr>
        <w:pStyle w:val="NormalWeb"/>
        <w:autoSpaceDE w:val="0"/>
        <w:autoSpaceDN w:val="0"/>
        <w:adjustRightInd w:val="0"/>
        <w:contextualSpacing/>
        <w:jc w:val="both"/>
      </w:pPr>
    </w:p>
    <w:p w14:paraId="0C8430D4" w14:textId="548548B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w:t>
      </w:r>
      <w:r w:rsidRPr="005A497D">
        <w:t>IMF’s Philippine Fiscal Transparency evaluation also reported that the budget details each investment and provides information on the annual spending for each project.</w:t>
      </w:r>
      <w:r w:rsidRPr="005A497D">
        <w:rPr>
          <w:rStyle w:val="EndnoteReference"/>
        </w:rPr>
        <w:endnoteReference w:id="41"/>
      </w:r>
      <w:r w:rsidRPr="005A497D">
        <w:t xml:space="preserve"> The responsibility of accounting for the recurrent cost on the general operations as well as the maintenance and operating cost resides with the respective implementing agencies and are considered in their annual budget expenditures. The Budget Call for 2016, introduced a results-based monitoring and evaluation (M&amp;E) where it requires that each new program and project proposed for funding will be supported not only by project profile but also complemented with a credible M&amp;E plan and robust baseline information for approval.</w:t>
      </w:r>
      <w:r w:rsidRPr="005A497D">
        <w:rPr>
          <w:rStyle w:val="EndnoteReference"/>
        </w:rPr>
        <w:endnoteReference w:id="42"/>
      </w:r>
      <w:r w:rsidRPr="005A497D">
        <w:t xml:space="preserve"> The memorandum also indicated that to complement the program, the ICC and the different </w:t>
      </w:r>
      <w:r>
        <w:t>c</w:t>
      </w:r>
      <w:r w:rsidRPr="005A497D">
        <w:t>lusters have also began to require member agencies and corporations to develop rolling pipeline investment programs such as the three-year rolling infrastructure program and the pipeline of public</w:t>
      </w:r>
      <w:r>
        <w:t>-</w:t>
      </w:r>
      <w:r w:rsidRPr="005A497D">
        <w:t>private partnership projects.</w:t>
      </w:r>
      <w:r>
        <w:t xml:space="preserve"> Considering the procedures in place for comprehensive costing of projects, the score for Dimension 11.3 is assessed at “A”.</w:t>
      </w:r>
    </w:p>
    <w:p w14:paraId="4651E3FF" w14:textId="77777777" w:rsidR="001762EE" w:rsidRPr="005A497D" w:rsidRDefault="001762EE" w:rsidP="00BB1EBF">
      <w:pPr>
        <w:pStyle w:val="NormalWeb"/>
        <w:autoSpaceDE w:val="0"/>
        <w:autoSpaceDN w:val="0"/>
        <w:adjustRightInd w:val="0"/>
        <w:spacing w:before="0" w:beforeAutospacing="0" w:after="0" w:afterAutospacing="0"/>
        <w:contextualSpacing/>
        <w:jc w:val="both"/>
      </w:pPr>
    </w:p>
    <w:p w14:paraId="4EA48334" w14:textId="15668165" w:rsidR="001762EE" w:rsidRPr="00BF1CCD" w:rsidRDefault="001762EE" w:rsidP="00BB1EBF">
      <w:pPr>
        <w:pStyle w:val="NormalWeb"/>
        <w:autoSpaceDE w:val="0"/>
        <w:autoSpaceDN w:val="0"/>
        <w:adjustRightInd w:val="0"/>
        <w:spacing w:before="0" w:beforeAutospacing="0" w:after="0" w:afterAutospacing="0"/>
        <w:contextualSpacing/>
        <w:jc w:val="both"/>
        <w:rPr>
          <w:b/>
          <w:i/>
        </w:rPr>
      </w:pPr>
      <w:r w:rsidRPr="00BF1CCD">
        <w:rPr>
          <w:b/>
          <w:i/>
        </w:rPr>
        <w:t>Dimension 11.4 Investment project monitoring</w:t>
      </w:r>
    </w:p>
    <w:p w14:paraId="3A961406" w14:textId="77777777" w:rsidR="001762EE" w:rsidRPr="0056054D" w:rsidRDefault="001762EE" w:rsidP="00BB1EBF">
      <w:pPr>
        <w:pStyle w:val="NormalWeb"/>
        <w:autoSpaceDE w:val="0"/>
        <w:autoSpaceDN w:val="0"/>
        <w:adjustRightInd w:val="0"/>
        <w:spacing w:before="0" w:beforeAutospacing="0" w:after="0" w:afterAutospacing="0"/>
        <w:contextualSpacing/>
        <w:jc w:val="both"/>
        <w:rPr>
          <w:i/>
        </w:rPr>
      </w:pPr>
    </w:p>
    <w:p w14:paraId="559EA710" w14:textId="1A9650D8" w:rsidR="001762EE" w:rsidRDefault="001762EE" w:rsidP="003E6B00">
      <w:pPr>
        <w:pStyle w:val="NormalWeb"/>
        <w:numPr>
          <w:ilvl w:val="0"/>
          <w:numId w:val="6"/>
        </w:numPr>
        <w:autoSpaceDE w:val="0"/>
        <w:autoSpaceDN w:val="0"/>
        <w:adjustRightInd w:val="0"/>
        <w:spacing w:before="0" w:beforeAutospacing="0" w:after="0" w:afterAutospacing="0"/>
        <w:ind w:left="0" w:firstLine="0"/>
        <w:contextualSpacing/>
        <w:jc w:val="both"/>
      </w:pPr>
      <w:r>
        <w:t>Executive Order</w:t>
      </w:r>
      <w:r w:rsidRPr="005A497D">
        <w:t xml:space="preserve"> </w:t>
      </w:r>
      <w:r>
        <w:t>N</w:t>
      </w:r>
      <w:r w:rsidRPr="005A497D">
        <w:t xml:space="preserve">o. 93, amending EO </w:t>
      </w:r>
      <w:r>
        <w:t>N</w:t>
      </w:r>
      <w:r w:rsidRPr="005A497D">
        <w:t>o. 376 (series of 1989) also known as “establishing the regional project monitoring and evaluation system and for other purposes”</w:t>
      </w:r>
      <w:r>
        <w:t>,</w:t>
      </w:r>
      <w:r w:rsidRPr="005A497D">
        <w:t xml:space="preserve"> provid</w:t>
      </w:r>
      <w:r>
        <w:t>es</w:t>
      </w:r>
      <w:r w:rsidRPr="005A497D">
        <w:t xml:space="preserve"> a scheme for monitoring and evaluating projects at the national, regional, provincial/city</w:t>
      </w:r>
      <w:r>
        <w:t>,</w:t>
      </w:r>
      <w:r w:rsidRPr="005A497D">
        <w:t xml:space="preserve"> and municipal level. The main objective of regional project </w:t>
      </w:r>
      <w:r>
        <w:t>M&amp;E</w:t>
      </w:r>
      <w:r w:rsidRPr="005A497D">
        <w:t xml:space="preserve"> system is to expedite implementation of the project and devolve project facilitation</w:t>
      </w:r>
      <w:r>
        <w:t xml:space="preserve"> and</w:t>
      </w:r>
      <w:r w:rsidRPr="005A497D">
        <w:t xml:space="preserve"> monitoring and evaluation to the regional and sub-regional levels. </w:t>
      </w:r>
      <w:r>
        <w:t>The r</w:t>
      </w:r>
      <w:r w:rsidRPr="005A497D">
        <w:t xml:space="preserve">egional project </w:t>
      </w:r>
      <w:r>
        <w:t>M&amp;E</w:t>
      </w:r>
      <w:r w:rsidRPr="005A497D">
        <w:t xml:space="preserve"> system was established to ensure continuous monitoring of funds earmarked for each activity</w:t>
      </w:r>
      <w:r>
        <w:t>,</w:t>
      </w:r>
      <w:r w:rsidRPr="005A497D">
        <w:rPr>
          <w:rStyle w:val="EndnoteReference"/>
        </w:rPr>
        <w:endnoteReference w:id="43"/>
      </w:r>
      <w:r w:rsidRPr="005A497D">
        <w:t xml:space="preserve"> and prescribed reports </w:t>
      </w:r>
      <w:r>
        <w:t>are to</w:t>
      </w:r>
      <w:r w:rsidRPr="005A497D">
        <w:t xml:space="preserve"> be accomplished by the monitoring units. </w:t>
      </w:r>
      <w:r>
        <w:t>Under NEDA, Regional Project Monitoring Committees</w:t>
      </w:r>
      <w:r>
        <w:rPr>
          <w:rStyle w:val="EndnoteReference"/>
        </w:rPr>
        <w:endnoteReference w:id="44"/>
      </w:r>
      <w:r>
        <w:t xml:space="preserve"> also prepare quarterly and annual accomplishment reports on the physical and financial status of ongoing government programs and projects. In addition, an a</w:t>
      </w:r>
      <w:r w:rsidRPr="0030246F">
        <w:t>nnual O</w:t>
      </w:r>
      <w:r>
        <w:t xml:space="preserve">fficial </w:t>
      </w:r>
      <w:r w:rsidRPr="0030246F">
        <w:t>D</w:t>
      </w:r>
      <w:r>
        <w:t xml:space="preserve">evelopment </w:t>
      </w:r>
      <w:r w:rsidRPr="0030246F">
        <w:t>A</w:t>
      </w:r>
      <w:r>
        <w:t>ssistance</w:t>
      </w:r>
      <w:r w:rsidRPr="0030246F">
        <w:t xml:space="preserve"> Portfolio Review Report</w:t>
      </w:r>
      <w:r>
        <w:t xml:space="preserve"> is submitted by NEDA to the Congress by June 30</w:t>
      </w:r>
      <w:r w:rsidRPr="0030246F">
        <w:t xml:space="preserve">, and </w:t>
      </w:r>
      <w:r w:rsidR="008D080C">
        <w:t xml:space="preserve">also </w:t>
      </w:r>
      <w:r>
        <w:t>published on the NEDA website.</w:t>
      </w:r>
      <w:r w:rsidRPr="005A497D" w:rsidDel="00465006">
        <w:t xml:space="preserve"> </w:t>
      </w:r>
      <w:r>
        <w:t>The PPP Center also monitors the implementation of PPP projects as mandated under Section 14.1 of the BOT Law Implementing Rules and Regulations; and the PPP governing board has approved a policy circular on PPP monitoring framework and protocols.</w:t>
      </w:r>
    </w:p>
    <w:p w14:paraId="57E1CA34" w14:textId="77777777" w:rsidR="001762EE" w:rsidRPr="0030246F" w:rsidRDefault="001762EE" w:rsidP="00F25420">
      <w:pPr>
        <w:pStyle w:val="NormalWeb"/>
        <w:autoSpaceDE w:val="0"/>
        <w:autoSpaceDN w:val="0"/>
        <w:adjustRightInd w:val="0"/>
        <w:spacing w:before="0" w:beforeAutospacing="0" w:after="0" w:afterAutospacing="0"/>
        <w:contextualSpacing/>
        <w:jc w:val="both"/>
      </w:pPr>
    </w:p>
    <w:p w14:paraId="0ECB556E" w14:textId="589C8DEB"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transparency seal</w:t>
      </w:r>
      <w:r w:rsidRPr="005A497D">
        <w:rPr>
          <w:rStyle w:val="EndnoteReference"/>
        </w:rPr>
        <w:endnoteReference w:id="45"/>
      </w:r>
      <w:r w:rsidRPr="005A497D">
        <w:t xml:space="preserve"> also requires each agency to disclose the status of implementation and program/project evaluation and/or assessment reports on quarterly basis as well as the major programs/project categorized in accordance with the five key results areas as required in EO </w:t>
      </w:r>
      <w:r>
        <w:t>N</w:t>
      </w:r>
      <w:r w:rsidRPr="005A497D">
        <w:t>o. 43, series 2011.</w:t>
      </w:r>
      <w:r w:rsidRPr="005A497D">
        <w:rPr>
          <w:rStyle w:val="EndnoteReference"/>
        </w:rPr>
        <w:endnoteReference w:id="46"/>
      </w:r>
      <w:r>
        <w:t xml:space="preserve"> Agencies are also mandated by the National Economic and Development Authority to update information in CIIP. Compliance with these requirements is generally done but with delays. The score for Dimension 11.4 is assessed at “B” as monitoring for major projects exists, standard rules are in place, and information on implementation is at least published annually. </w:t>
      </w:r>
    </w:p>
    <w:p w14:paraId="29990B58" w14:textId="77777777" w:rsidR="001762EE" w:rsidRPr="005A497D" w:rsidRDefault="001762EE" w:rsidP="00E20F27">
      <w:pPr>
        <w:jc w:val="both"/>
      </w:pPr>
    </w:p>
    <w:p w14:paraId="6F54F327" w14:textId="06240A72" w:rsidR="001762EE" w:rsidRDefault="001762EE" w:rsidP="00411651">
      <w:pPr>
        <w:pStyle w:val="Heading3"/>
      </w:pPr>
      <w:bookmarkStart w:id="111" w:name="_Toc454811661"/>
      <w:bookmarkStart w:id="112" w:name="_Toc454888806"/>
      <w:r w:rsidRPr="005A497D">
        <w:t xml:space="preserve">PI-12 Public </w:t>
      </w:r>
      <w:r>
        <w:t>a</w:t>
      </w:r>
      <w:r w:rsidRPr="005A497D">
        <w:t xml:space="preserve">sset </w:t>
      </w:r>
      <w:r>
        <w:t>m</w:t>
      </w:r>
      <w:r w:rsidRPr="005A497D">
        <w:t>anagement</w:t>
      </w:r>
      <w:bookmarkEnd w:id="111"/>
      <w:bookmarkEnd w:id="112"/>
    </w:p>
    <w:p w14:paraId="5290F3FD" w14:textId="77777777" w:rsidR="001762EE" w:rsidRPr="002D401E" w:rsidRDefault="001762EE" w:rsidP="002D401E"/>
    <w:p w14:paraId="2901043F" w14:textId="3B3F84C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This indicator assesses the management and monitoring of government assets and the transparency of asset disposal.</w:t>
      </w:r>
    </w:p>
    <w:p w14:paraId="270CC014" w14:textId="77777777" w:rsidR="001762EE" w:rsidRPr="005A497D" w:rsidRDefault="001762EE" w:rsidP="00BD50B9">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3E07FF31" w14:textId="77777777" w:rsidTr="00710DF0">
        <w:trPr>
          <w:trHeight w:val="397"/>
          <w:tblHeader/>
        </w:trPr>
        <w:tc>
          <w:tcPr>
            <w:tcW w:w="3600" w:type="dxa"/>
            <w:tcBorders>
              <w:top w:val="double" w:sz="4" w:space="0" w:color="auto"/>
            </w:tcBorders>
            <w:shd w:val="clear" w:color="auto" w:fill="D9D9D9"/>
            <w:vAlign w:val="center"/>
          </w:tcPr>
          <w:p w14:paraId="2F3174EA" w14:textId="77777777" w:rsidR="001762EE" w:rsidRPr="00BF1CCD" w:rsidRDefault="001762EE" w:rsidP="00283AE6">
            <w:pPr>
              <w:spacing w:before="40" w:after="40"/>
              <w:jc w:val="center"/>
              <w:rPr>
                <w:b/>
                <w:i/>
                <w:sz w:val="22"/>
                <w:szCs w:val="22"/>
              </w:rPr>
            </w:pPr>
            <w:r w:rsidRPr="00BF1CCD">
              <w:rPr>
                <w:b/>
                <w:i/>
                <w:sz w:val="22"/>
                <w:szCs w:val="22"/>
              </w:rPr>
              <w:t>Indicator / Dimension</w:t>
            </w:r>
          </w:p>
        </w:tc>
        <w:tc>
          <w:tcPr>
            <w:tcW w:w="1843" w:type="dxa"/>
            <w:tcBorders>
              <w:top w:val="double" w:sz="4" w:space="0" w:color="auto"/>
            </w:tcBorders>
            <w:shd w:val="clear" w:color="auto" w:fill="D9D9D9"/>
            <w:vAlign w:val="center"/>
          </w:tcPr>
          <w:p w14:paraId="175F10F3" w14:textId="77777777" w:rsidR="001762EE" w:rsidRPr="00BF1CCD" w:rsidRDefault="001762EE" w:rsidP="00283AE6">
            <w:pPr>
              <w:spacing w:before="40" w:after="40"/>
              <w:jc w:val="center"/>
              <w:rPr>
                <w:b/>
                <w:i/>
                <w:sz w:val="22"/>
                <w:szCs w:val="22"/>
              </w:rPr>
            </w:pPr>
            <w:r w:rsidRPr="00BF1CCD">
              <w:rPr>
                <w:b/>
                <w:i/>
                <w:sz w:val="22"/>
                <w:szCs w:val="22"/>
              </w:rPr>
              <w:t>Score</w:t>
            </w:r>
          </w:p>
        </w:tc>
        <w:tc>
          <w:tcPr>
            <w:tcW w:w="3913" w:type="dxa"/>
            <w:tcBorders>
              <w:top w:val="double" w:sz="4" w:space="0" w:color="auto"/>
            </w:tcBorders>
            <w:shd w:val="clear" w:color="auto" w:fill="D9D9D9"/>
            <w:vAlign w:val="center"/>
          </w:tcPr>
          <w:p w14:paraId="3519E8E2" w14:textId="77777777" w:rsidR="001762EE" w:rsidRPr="00BF1CCD" w:rsidRDefault="001762EE" w:rsidP="00283AE6">
            <w:pPr>
              <w:spacing w:before="40" w:after="40"/>
              <w:jc w:val="center"/>
              <w:rPr>
                <w:b/>
                <w:i/>
                <w:sz w:val="22"/>
                <w:szCs w:val="22"/>
              </w:rPr>
            </w:pPr>
            <w:r w:rsidRPr="00BF1CCD">
              <w:rPr>
                <w:b/>
                <w:i/>
                <w:sz w:val="22"/>
                <w:szCs w:val="22"/>
              </w:rPr>
              <w:t>Brief Explanation</w:t>
            </w:r>
          </w:p>
        </w:tc>
      </w:tr>
      <w:tr w:rsidR="001762EE" w:rsidRPr="005A497D" w14:paraId="492DCFC3" w14:textId="77777777" w:rsidTr="009A5E44">
        <w:trPr>
          <w:trHeight w:val="483"/>
        </w:trPr>
        <w:tc>
          <w:tcPr>
            <w:tcW w:w="3600" w:type="dxa"/>
            <w:tcBorders>
              <w:top w:val="double" w:sz="4" w:space="0" w:color="auto"/>
              <w:bottom w:val="single" w:sz="4" w:space="0" w:color="auto"/>
            </w:tcBorders>
          </w:tcPr>
          <w:p w14:paraId="53D5D384" w14:textId="77777777" w:rsidR="001762EE" w:rsidRPr="005A497D" w:rsidRDefault="001762EE" w:rsidP="00283AE6">
            <w:pPr>
              <w:spacing w:before="40" w:after="40"/>
              <w:rPr>
                <w:sz w:val="22"/>
                <w:szCs w:val="22"/>
              </w:rPr>
            </w:pPr>
            <w:r w:rsidRPr="005A497D">
              <w:rPr>
                <w:b/>
                <w:bCs/>
                <w:sz w:val="22"/>
                <w:szCs w:val="22"/>
              </w:rPr>
              <w:t>PI-12 Public asset management</w:t>
            </w:r>
          </w:p>
        </w:tc>
        <w:tc>
          <w:tcPr>
            <w:tcW w:w="1843" w:type="dxa"/>
            <w:tcBorders>
              <w:top w:val="double" w:sz="4" w:space="0" w:color="auto"/>
              <w:bottom w:val="single" w:sz="4" w:space="0" w:color="auto"/>
            </w:tcBorders>
          </w:tcPr>
          <w:p w14:paraId="4D204B30" w14:textId="23CBE204" w:rsidR="001762EE" w:rsidRPr="005A497D" w:rsidRDefault="001762EE" w:rsidP="00283AE6">
            <w:pPr>
              <w:spacing w:before="40" w:after="40"/>
              <w:jc w:val="center"/>
              <w:rPr>
                <w:b/>
                <w:sz w:val="22"/>
                <w:szCs w:val="22"/>
              </w:rPr>
            </w:pPr>
            <w:r w:rsidRPr="005A497D">
              <w:rPr>
                <w:b/>
                <w:sz w:val="22"/>
                <w:szCs w:val="22"/>
              </w:rPr>
              <w:t>C</w:t>
            </w:r>
            <w:r>
              <w:rPr>
                <w:b/>
                <w:sz w:val="22"/>
                <w:szCs w:val="22"/>
              </w:rPr>
              <w:t>+</w:t>
            </w:r>
          </w:p>
        </w:tc>
        <w:tc>
          <w:tcPr>
            <w:tcW w:w="3913" w:type="dxa"/>
            <w:tcBorders>
              <w:top w:val="double" w:sz="4" w:space="0" w:color="auto"/>
              <w:bottom w:val="single" w:sz="4" w:space="0" w:color="auto"/>
            </w:tcBorders>
          </w:tcPr>
          <w:p w14:paraId="6AF16147" w14:textId="77777777" w:rsidR="001762EE" w:rsidRPr="005A497D" w:rsidRDefault="001762EE" w:rsidP="00283AE6">
            <w:pPr>
              <w:spacing w:before="40" w:after="40"/>
              <w:rPr>
                <w:sz w:val="22"/>
                <w:szCs w:val="22"/>
              </w:rPr>
            </w:pPr>
            <w:r w:rsidRPr="005A497D">
              <w:rPr>
                <w:sz w:val="22"/>
                <w:szCs w:val="22"/>
              </w:rPr>
              <w:t>Overall rating based on M2 methodology.</w:t>
            </w:r>
          </w:p>
        </w:tc>
      </w:tr>
      <w:tr w:rsidR="001762EE" w:rsidRPr="005A497D" w14:paraId="6A7A694A" w14:textId="77777777" w:rsidTr="009A5E44">
        <w:trPr>
          <w:trHeight w:val="1655"/>
        </w:trPr>
        <w:tc>
          <w:tcPr>
            <w:tcW w:w="3600" w:type="dxa"/>
            <w:tcBorders>
              <w:top w:val="single" w:sz="4" w:space="0" w:color="auto"/>
              <w:bottom w:val="single" w:sz="4" w:space="0" w:color="auto"/>
            </w:tcBorders>
          </w:tcPr>
          <w:p w14:paraId="7D884620" w14:textId="00B4745A" w:rsidR="001762EE" w:rsidRPr="005A497D" w:rsidRDefault="001762EE" w:rsidP="00F71AF6">
            <w:pPr>
              <w:pStyle w:val="Default"/>
              <w:rPr>
                <w:sz w:val="22"/>
                <w:szCs w:val="22"/>
              </w:rPr>
            </w:pPr>
            <w:r>
              <w:rPr>
                <w:sz w:val="22"/>
                <w:szCs w:val="22"/>
              </w:rPr>
              <w:t>12.1</w:t>
            </w:r>
            <w:r w:rsidRPr="005A497D">
              <w:rPr>
                <w:sz w:val="22"/>
                <w:szCs w:val="22"/>
              </w:rPr>
              <w:t xml:space="preserve"> </w:t>
            </w:r>
            <w:r>
              <w:rPr>
                <w:sz w:val="22"/>
                <w:szCs w:val="22"/>
              </w:rPr>
              <w:t>F</w:t>
            </w:r>
            <w:r w:rsidRPr="005A497D">
              <w:rPr>
                <w:sz w:val="22"/>
                <w:szCs w:val="22"/>
              </w:rPr>
              <w:t>inancial asset monitoring</w:t>
            </w:r>
          </w:p>
        </w:tc>
        <w:tc>
          <w:tcPr>
            <w:tcW w:w="1843" w:type="dxa"/>
            <w:tcBorders>
              <w:top w:val="single" w:sz="4" w:space="0" w:color="auto"/>
              <w:bottom w:val="single" w:sz="4" w:space="0" w:color="auto"/>
            </w:tcBorders>
          </w:tcPr>
          <w:p w14:paraId="6FF7351B" w14:textId="655822C7" w:rsidR="001762EE" w:rsidRPr="005A497D" w:rsidRDefault="001762EE" w:rsidP="008D752C">
            <w:pPr>
              <w:jc w:val="center"/>
              <w:rPr>
                <w:sz w:val="22"/>
                <w:szCs w:val="22"/>
              </w:rPr>
            </w:pPr>
            <w:r>
              <w:rPr>
                <w:sz w:val="22"/>
                <w:szCs w:val="22"/>
              </w:rPr>
              <w:t>C</w:t>
            </w:r>
          </w:p>
        </w:tc>
        <w:tc>
          <w:tcPr>
            <w:tcW w:w="3913" w:type="dxa"/>
            <w:tcBorders>
              <w:top w:val="single" w:sz="4" w:space="0" w:color="auto"/>
              <w:bottom w:val="single" w:sz="4" w:space="0" w:color="auto"/>
            </w:tcBorders>
          </w:tcPr>
          <w:p w14:paraId="79BD33D5" w14:textId="013B1DD0" w:rsidR="001762EE" w:rsidRPr="005A497D" w:rsidRDefault="001762EE" w:rsidP="008D574F">
            <w:pPr>
              <w:rPr>
                <w:sz w:val="22"/>
                <w:szCs w:val="22"/>
              </w:rPr>
            </w:pPr>
            <w:r w:rsidRPr="005A497D">
              <w:rPr>
                <w:sz w:val="22"/>
                <w:szCs w:val="22"/>
              </w:rPr>
              <w:t xml:space="preserve">Reports in varying frequencies and registers are prepared for monitoring purposes. </w:t>
            </w:r>
            <w:r>
              <w:rPr>
                <w:sz w:val="22"/>
                <w:szCs w:val="22"/>
              </w:rPr>
              <w:t>However, CoA</w:t>
            </w:r>
            <w:r w:rsidRPr="005A497D">
              <w:rPr>
                <w:sz w:val="22"/>
                <w:szCs w:val="22"/>
              </w:rPr>
              <w:t xml:space="preserve"> audit reports include substantial observations pointing to absence of up to date and complete financial asset registers.</w:t>
            </w:r>
          </w:p>
        </w:tc>
      </w:tr>
      <w:tr w:rsidR="001762EE" w:rsidRPr="005A497D" w14:paraId="34EF8B88" w14:textId="77777777" w:rsidTr="004D4EE0">
        <w:trPr>
          <w:trHeight w:val="1142"/>
        </w:trPr>
        <w:tc>
          <w:tcPr>
            <w:tcW w:w="3600" w:type="dxa"/>
            <w:tcBorders>
              <w:top w:val="single" w:sz="4" w:space="0" w:color="auto"/>
              <w:bottom w:val="single" w:sz="4" w:space="0" w:color="auto"/>
            </w:tcBorders>
          </w:tcPr>
          <w:p w14:paraId="75261FE9" w14:textId="7C711B87" w:rsidR="001762EE" w:rsidRPr="005A497D" w:rsidRDefault="001762EE" w:rsidP="00F71AF6">
            <w:pPr>
              <w:pStyle w:val="Default"/>
              <w:rPr>
                <w:sz w:val="22"/>
                <w:szCs w:val="22"/>
              </w:rPr>
            </w:pPr>
            <w:r>
              <w:rPr>
                <w:sz w:val="22"/>
                <w:szCs w:val="22"/>
              </w:rPr>
              <w:t>12.2</w:t>
            </w:r>
            <w:r w:rsidRPr="005A497D">
              <w:rPr>
                <w:sz w:val="22"/>
                <w:szCs w:val="22"/>
              </w:rPr>
              <w:t xml:space="preserve"> </w:t>
            </w:r>
            <w:r>
              <w:rPr>
                <w:sz w:val="22"/>
                <w:szCs w:val="22"/>
              </w:rPr>
              <w:t>N</w:t>
            </w:r>
            <w:r w:rsidRPr="005A497D">
              <w:rPr>
                <w:sz w:val="22"/>
                <w:szCs w:val="22"/>
              </w:rPr>
              <w:t>on-financial asset monitoring</w:t>
            </w:r>
          </w:p>
        </w:tc>
        <w:tc>
          <w:tcPr>
            <w:tcW w:w="1843" w:type="dxa"/>
            <w:tcBorders>
              <w:top w:val="single" w:sz="4" w:space="0" w:color="auto"/>
              <w:bottom w:val="single" w:sz="4" w:space="0" w:color="auto"/>
            </w:tcBorders>
          </w:tcPr>
          <w:p w14:paraId="52A31A4A" w14:textId="77777777" w:rsidR="001762EE" w:rsidRPr="005A497D" w:rsidRDefault="001762EE" w:rsidP="008D752C">
            <w:pPr>
              <w:jc w:val="center"/>
              <w:rPr>
                <w:sz w:val="22"/>
                <w:szCs w:val="22"/>
              </w:rPr>
            </w:pPr>
            <w:r w:rsidRPr="005A497D">
              <w:rPr>
                <w:sz w:val="22"/>
                <w:szCs w:val="22"/>
              </w:rPr>
              <w:t>C</w:t>
            </w:r>
          </w:p>
        </w:tc>
        <w:tc>
          <w:tcPr>
            <w:tcW w:w="3913" w:type="dxa"/>
            <w:tcBorders>
              <w:top w:val="single" w:sz="4" w:space="0" w:color="auto"/>
              <w:bottom w:val="single" w:sz="4" w:space="0" w:color="auto"/>
            </w:tcBorders>
          </w:tcPr>
          <w:p w14:paraId="56347168" w14:textId="77777777" w:rsidR="001762EE" w:rsidRPr="005A497D" w:rsidRDefault="001762EE" w:rsidP="008F153D">
            <w:pPr>
              <w:rPr>
                <w:sz w:val="22"/>
                <w:szCs w:val="22"/>
              </w:rPr>
            </w:pPr>
            <w:r w:rsidRPr="005A497D">
              <w:rPr>
                <w:sz w:val="22"/>
                <w:szCs w:val="22"/>
              </w:rPr>
              <w:t>Fixed asset registers exist but comprehensive management and statistical reports are not published annually.</w:t>
            </w:r>
          </w:p>
        </w:tc>
      </w:tr>
      <w:tr w:rsidR="001762EE" w:rsidRPr="005A497D" w14:paraId="25646FF1" w14:textId="77777777" w:rsidTr="009A5E44">
        <w:trPr>
          <w:trHeight w:val="1610"/>
        </w:trPr>
        <w:tc>
          <w:tcPr>
            <w:tcW w:w="3600" w:type="dxa"/>
            <w:tcBorders>
              <w:top w:val="single" w:sz="4" w:space="0" w:color="auto"/>
              <w:bottom w:val="double" w:sz="4" w:space="0" w:color="auto"/>
            </w:tcBorders>
          </w:tcPr>
          <w:p w14:paraId="64C8B7B2" w14:textId="08FD66B0" w:rsidR="001762EE" w:rsidRPr="005A497D" w:rsidRDefault="001762EE" w:rsidP="00F71AF6">
            <w:pPr>
              <w:pStyle w:val="Default"/>
              <w:rPr>
                <w:sz w:val="22"/>
                <w:szCs w:val="22"/>
              </w:rPr>
            </w:pPr>
            <w:r>
              <w:rPr>
                <w:sz w:val="22"/>
                <w:szCs w:val="22"/>
              </w:rPr>
              <w:t>12.3</w:t>
            </w:r>
            <w:r w:rsidRPr="005A497D">
              <w:rPr>
                <w:sz w:val="22"/>
                <w:szCs w:val="22"/>
              </w:rPr>
              <w:t xml:space="preserve"> Transparency </w:t>
            </w:r>
            <w:r>
              <w:rPr>
                <w:sz w:val="22"/>
                <w:szCs w:val="22"/>
              </w:rPr>
              <w:t xml:space="preserve">of asset disposal </w:t>
            </w:r>
          </w:p>
        </w:tc>
        <w:tc>
          <w:tcPr>
            <w:tcW w:w="1843" w:type="dxa"/>
            <w:tcBorders>
              <w:top w:val="single" w:sz="4" w:space="0" w:color="auto"/>
              <w:bottom w:val="double" w:sz="4" w:space="0" w:color="auto"/>
            </w:tcBorders>
          </w:tcPr>
          <w:p w14:paraId="033C18F6" w14:textId="13C60E7B" w:rsidR="001762EE" w:rsidRPr="005A497D" w:rsidRDefault="001762EE" w:rsidP="00142B6C">
            <w:pPr>
              <w:jc w:val="center"/>
              <w:rPr>
                <w:sz w:val="22"/>
                <w:szCs w:val="22"/>
              </w:rPr>
            </w:pPr>
            <w:r>
              <w:rPr>
                <w:sz w:val="22"/>
                <w:szCs w:val="22"/>
              </w:rPr>
              <w:t>B</w:t>
            </w:r>
          </w:p>
        </w:tc>
        <w:tc>
          <w:tcPr>
            <w:tcW w:w="3913" w:type="dxa"/>
            <w:tcBorders>
              <w:top w:val="single" w:sz="4" w:space="0" w:color="auto"/>
              <w:bottom w:val="double" w:sz="4" w:space="0" w:color="auto"/>
            </w:tcBorders>
          </w:tcPr>
          <w:p w14:paraId="33963B0F" w14:textId="13A83641" w:rsidR="001762EE" w:rsidRPr="005A497D" w:rsidRDefault="001762EE" w:rsidP="002D502D">
            <w:pPr>
              <w:rPr>
                <w:sz w:val="22"/>
                <w:szCs w:val="22"/>
              </w:rPr>
            </w:pPr>
            <w:r w:rsidRPr="005A497D">
              <w:rPr>
                <w:sz w:val="22"/>
                <w:szCs w:val="22"/>
              </w:rPr>
              <w:t>The procedures for competitive and transparent sale, transfer or disposal of assets and usage rights are established in legislation and generally respected.</w:t>
            </w:r>
            <w:r>
              <w:rPr>
                <w:sz w:val="22"/>
                <w:szCs w:val="22"/>
              </w:rPr>
              <w:t xml:space="preserve"> Th</w:t>
            </w:r>
            <w:r w:rsidR="002D502D">
              <w:rPr>
                <w:sz w:val="22"/>
                <w:szCs w:val="22"/>
              </w:rPr>
              <w:t>is</w:t>
            </w:r>
            <w:r>
              <w:rPr>
                <w:sz w:val="22"/>
                <w:szCs w:val="22"/>
              </w:rPr>
              <w:t xml:space="preserve"> information is included in financial statements but not reported to legislature.</w:t>
            </w:r>
          </w:p>
        </w:tc>
      </w:tr>
    </w:tbl>
    <w:p w14:paraId="19273197" w14:textId="77777777" w:rsidR="001762EE" w:rsidRPr="005A497D" w:rsidRDefault="001762EE" w:rsidP="00BD50B9">
      <w:pPr>
        <w:jc w:val="both"/>
      </w:pPr>
    </w:p>
    <w:p w14:paraId="0FA63ACF" w14:textId="7EBBCCEE" w:rsidR="001762EE" w:rsidRPr="00BF1CCD" w:rsidRDefault="001762EE" w:rsidP="00BD50B9">
      <w:pPr>
        <w:pStyle w:val="FreeFormA"/>
        <w:jc w:val="both"/>
        <w:rPr>
          <w:b/>
          <w:i/>
          <w:sz w:val="24"/>
          <w:lang w:val="en-US"/>
        </w:rPr>
      </w:pPr>
      <w:r w:rsidRPr="00BF1CCD">
        <w:rPr>
          <w:b/>
          <w:i/>
          <w:sz w:val="24"/>
          <w:lang w:val="en-US"/>
        </w:rPr>
        <w:t>Dimension 12.1 Financial asset monitoring</w:t>
      </w:r>
    </w:p>
    <w:p w14:paraId="25A647C2" w14:textId="77777777" w:rsidR="001762EE" w:rsidRPr="009A5E44" w:rsidRDefault="001762EE" w:rsidP="00BD50B9">
      <w:pPr>
        <w:pStyle w:val="FreeFormA"/>
        <w:jc w:val="both"/>
        <w:rPr>
          <w:sz w:val="24"/>
          <w:lang w:val="en-US"/>
        </w:rPr>
      </w:pPr>
    </w:p>
    <w:p w14:paraId="772ADF94" w14:textId="06C774A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Financial assets can be diverse, including cash, securities, loans and receivables owned by the government; </w:t>
      </w:r>
      <w:r>
        <w:t xml:space="preserve">and </w:t>
      </w:r>
      <w:r w:rsidRPr="005A497D">
        <w:t>foreign reserves and long-term funds such as sovereign wealth funds and equity in state</w:t>
      </w:r>
      <w:r>
        <w:t>-</w:t>
      </w:r>
      <w:r w:rsidRPr="005A497D">
        <w:t xml:space="preserve">owned and private sector institutions. The </w:t>
      </w:r>
      <w:r>
        <w:t>Treasury</w:t>
      </w:r>
      <w:r w:rsidRPr="005A497D">
        <w:t xml:space="preserve"> acts as principal custodian of the financial assets of the </w:t>
      </w:r>
      <w:r>
        <w:t>n</w:t>
      </w:r>
      <w:r w:rsidRPr="005A497D">
        <w:t xml:space="preserve">ational </w:t>
      </w:r>
      <w:r>
        <w:t>government</w:t>
      </w:r>
      <w:r w:rsidRPr="005A497D">
        <w:t xml:space="preserve">. Categories of assets held and their value is disclosed in the </w:t>
      </w:r>
      <w:r>
        <w:t>Annual Financial Report</w:t>
      </w:r>
      <w:r w:rsidRPr="005A497D">
        <w:t>.</w:t>
      </w:r>
    </w:p>
    <w:p w14:paraId="42D01C70" w14:textId="77777777" w:rsidR="001762EE" w:rsidRPr="005A497D" w:rsidRDefault="001762EE" w:rsidP="008D752C">
      <w:pPr>
        <w:pStyle w:val="NormalWeb"/>
        <w:autoSpaceDE w:val="0"/>
        <w:autoSpaceDN w:val="0"/>
        <w:adjustRightInd w:val="0"/>
        <w:spacing w:before="0" w:beforeAutospacing="0" w:after="0" w:afterAutospacing="0"/>
        <w:contextualSpacing/>
        <w:jc w:val="both"/>
      </w:pPr>
    </w:p>
    <w:p w14:paraId="44DFCF47" w14:textId="3D2AFAE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For monitoring the stock and performance of the financial assets, several reports in varying frequency are prepared and appropriate subsidiary ledgers kept. However, </w:t>
      </w:r>
      <w:r>
        <w:t>the Commission on Audit</w:t>
      </w:r>
      <w:r w:rsidRPr="005A497D">
        <w:t xml:space="preserve"> has consistently raised substantive audit findings and observations that indicate ineffective monitoring schemes </w:t>
      </w:r>
      <w:r w:rsidRPr="005A497D">
        <w:rPr>
          <w:shd w:val="clear" w:color="auto" w:fill="FFFFFF"/>
        </w:rPr>
        <w:t>resulting in a qualified audit opinion.</w:t>
      </w:r>
      <w:r w:rsidRPr="005A497D">
        <w:t xml:space="preserve"> For example, these observations include discrepancies in the balances, dormant accounts, non-recognition of interest income, and investments without stock certificates casting doubts on their existence. In addition, </w:t>
      </w:r>
      <w:r>
        <w:t>the Commission on Audit</w:t>
      </w:r>
      <w:r w:rsidRPr="005A497D">
        <w:t xml:space="preserve"> commented that </w:t>
      </w:r>
      <w:r>
        <w:t>subsidiary ledgers</w:t>
      </w:r>
      <w:r w:rsidRPr="005A497D">
        <w:t xml:space="preserve"> for investments stated in foreign currencies were not maintained.</w:t>
      </w:r>
    </w:p>
    <w:p w14:paraId="591FA16C" w14:textId="77777777" w:rsidR="001762EE" w:rsidRPr="005A497D" w:rsidRDefault="001762EE" w:rsidP="008D752C">
      <w:pPr>
        <w:pStyle w:val="NormalWeb"/>
        <w:autoSpaceDE w:val="0"/>
        <w:autoSpaceDN w:val="0"/>
        <w:adjustRightInd w:val="0"/>
        <w:spacing w:before="0" w:beforeAutospacing="0" w:after="0" w:afterAutospacing="0"/>
        <w:contextualSpacing/>
        <w:jc w:val="both"/>
      </w:pPr>
    </w:p>
    <w:p w14:paraId="2D8082C7" w14:textId="2B2430B3" w:rsidR="001762EE" w:rsidRPr="00F25420"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F25420">
        <w:t>While records are maintained, these are not considered up to date or complete in view of the audit observations in this regard; and the score for Dimension 12.1 is assessed as “C”.</w:t>
      </w:r>
    </w:p>
    <w:p w14:paraId="3625DE44" w14:textId="77777777" w:rsidR="001762EE" w:rsidRPr="005A497D" w:rsidRDefault="001762EE" w:rsidP="003C7981">
      <w:pPr>
        <w:pStyle w:val="NormalWeb"/>
        <w:autoSpaceDE w:val="0"/>
        <w:autoSpaceDN w:val="0"/>
        <w:adjustRightInd w:val="0"/>
        <w:spacing w:before="0" w:beforeAutospacing="0" w:after="0" w:afterAutospacing="0"/>
        <w:contextualSpacing/>
        <w:jc w:val="both"/>
      </w:pPr>
    </w:p>
    <w:p w14:paraId="65CCA59A" w14:textId="0DFA3222" w:rsidR="001762EE" w:rsidRPr="00BF1CCD" w:rsidRDefault="001762EE" w:rsidP="003C7981">
      <w:pPr>
        <w:pStyle w:val="NormalWeb"/>
        <w:autoSpaceDE w:val="0"/>
        <w:autoSpaceDN w:val="0"/>
        <w:adjustRightInd w:val="0"/>
        <w:spacing w:before="0" w:beforeAutospacing="0" w:after="0" w:afterAutospacing="0"/>
        <w:contextualSpacing/>
        <w:jc w:val="both"/>
        <w:rPr>
          <w:b/>
          <w:i/>
        </w:rPr>
      </w:pPr>
      <w:r w:rsidRPr="00BF1CCD">
        <w:rPr>
          <w:b/>
          <w:i/>
        </w:rPr>
        <w:t>Dimension 12.2 Non-financial asset monitoring</w:t>
      </w:r>
    </w:p>
    <w:p w14:paraId="254D87B2" w14:textId="77777777" w:rsidR="001762EE" w:rsidRPr="009A5E44" w:rsidRDefault="001762EE" w:rsidP="003C7981">
      <w:pPr>
        <w:pStyle w:val="NormalWeb"/>
        <w:autoSpaceDE w:val="0"/>
        <w:autoSpaceDN w:val="0"/>
        <w:adjustRightInd w:val="0"/>
        <w:spacing w:before="0" w:beforeAutospacing="0" w:after="0" w:afterAutospacing="0"/>
        <w:contextualSpacing/>
        <w:jc w:val="both"/>
        <w:rPr>
          <w:i/>
        </w:rPr>
      </w:pPr>
    </w:p>
    <w:p w14:paraId="76F9E90C" w14:textId="7777777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All economic assets other than financial assets are classified as non-financial assets. Non-financial assets may come to existence as outputs from production, be naturally occurring, or be constructs of society. Most non-financial assets provide benefits either through their use in the production of goods or services or in the form of property income.</w:t>
      </w:r>
    </w:p>
    <w:p w14:paraId="6C6E64F9" w14:textId="77777777" w:rsidR="001762EE" w:rsidRPr="005A497D" w:rsidRDefault="001762EE" w:rsidP="003C7981">
      <w:pPr>
        <w:pStyle w:val="NormalWeb"/>
        <w:autoSpaceDE w:val="0"/>
        <w:autoSpaceDN w:val="0"/>
        <w:adjustRightInd w:val="0"/>
        <w:spacing w:before="0" w:beforeAutospacing="0" w:after="0" w:afterAutospacing="0"/>
        <w:contextualSpacing/>
        <w:jc w:val="both"/>
      </w:pPr>
    </w:p>
    <w:p w14:paraId="622488C9" w14:textId="039080E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Each agency manages their respective non-financial assets</w:t>
      </w:r>
      <w:r>
        <w:t>,</w:t>
      </w:r>
      <w:r w:rsidRPr="005A497D">
        <w:t xml:space="preserve"> which are carried separately in the </w:t>
      </w:r>
      <w:r>
        <w:t>a</w:t>
      </w:r>
      <w:r w:rsidRPr="005A497D">
        <w:t xml:space="preserve">gency books. </w:t>
      </w:r>
      <w:r>
        <w:t>The Commission on Audit</w:t>
      </w:r>
      <w:r w:rsidRPr="005A497D">
        <w:t xml:space="preserve"> consolidated the available information and showed in its 2013 </w:t>
      </w:r>
      <w:r>
        <w:t>Annual Financial Report</w:t>
      </w:r>
      <w:r w:rsidRPr="005A497D">
        <w:t xml:space="preserve"> the corresponding balances of the different non-financial assets maintained by the various agencies. However, given that the underlying information were not adjusted and that several audit observations were raised, the accuracy and validity of these balances are doubtful.</w:t>
      </w:r>
    </w:p>
    <w:p w14:paraId="2EA06940" w14:textId="77777777" w:rsidR="001762EE" w:rsidRPr="005A497D" w:rsidRDefault="001762EE" w:rsidP="003C7981">
      <w:pPr>
        <w:pStyle w:val="NormalWeb"/>
        <w:autoSpaceDE w:val="0"/>
        <w:autoSpaceDN w:val="0"/>
        <w:adjustRightInd w:val="0"/>
        <w:spacing w:before="0" w:beforeAutospacing="0" w:after="0" w:afterAutospacing="0"/>
        <w:contextualSpacing/>
        <w:jc w:val="both"/>
      </w:pPr>
    </w:p>
    <w:p w14:paraId="5AF29B1C" w14:textId="0DB7FDF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New Government Accounting System</w:t>
      </w:r>
      <w:r w:rsidRPr="005A497D">
        <w:t xml:space="preserve"> prescribes agencies to maintain different subsidiary ledgers and registries to record and track their respective non-financial assets. </w:t>
      </w:r>
      <w:r>
        <w:t>Subsidiary ledgers</w:t>
      </w:r>
      <w:r w:rsidRPr="005A497D">
        <w:t xml:space="preserve"> are books of final entry containing the details or breakdown of the balance of the controlling account appearing in the general ledger. These </w:t>
      </w:r>
      <w:r>
        <w:t>subsidiary ledgers</w:t>
      </w:r>
      <w:r w:rsidRPr="005A497D">
        <w:t xml:space="preserve"> are </w:t>
      </w:r>
      <w:r>
        <w:t xml:space="preserve">the </w:t>
      </w:r>
      <w:r w:rsidRPr="005A497D">
        <w:t>Property, Plant and Equipment Ledger Card</w:t>
      </w:r>
      <w:r>
        <w:t>,</w:t>
      </w:r>
      <w:r w:rsidRPr="005A497D">
        <w:t xml:space="preserve"> Supplies Ledger Card</w:t>
      </w:r>
      <w:r>
        <w:t>;</w:t>
      </w:r>
      <w:r w:rsidRPr="005A497D">
        <w:t xml:space="preserve"> and Construction in Progress Ledger Card. In addition, three registries must be maintained</w:t>
      </w:r>
      <w:r>
        <w:t>:</w:t>
      </w:r>
      <w:r w:rsidRPr="005A497D">
        <w:t xml:space="preserve"> Registry of Public Infrastructures,</w:t>
      </w:r>
      <w:r w:rsidRPr="005A497D">
        <w:rPr>
          <w:rStyle w:val="FootnoteReference1"/>
        </w:rPr>
        <w:endnoteReference w:id="47"/>
      </w:r>
      <w:r w:rsidRPr="005A497D">
        <w:t xml:space="preserve"> Registry of Reforestation Projects,</w:t>
      </w:r>
      <w:r w:rsidRPr="005A497D">
        <w:rPr>
          <w:rStyle w:val="FootnoteReference1"/>
        </w:rPr>
        <w:endnoteReference w:id="48"/>
      </w:r>
      <w:r w:rsidRPr="005A497D">
        <w:t xml:space="preserve"> and Registry of Public Infrastructures-Summary.</w:t>
      </w:r>
      <w:r w:rsidRPr="005A497D">
        <w:rPr>
          <w:rStyle w:val="FootnoteReference1"/>
        </w:rPr>
        <w:endnoteReference w:id="49"/>
      </w:r>
    </w:p>
    <w:p w14:paraId="2835595D" w14:textId="77777777" w:rsidR="001762EE" w:rsidRPr="005A497D" w:rsidRDefault="001762EE" w:rsidP="003C7981">
      <w:pPr>
        <w:pStyle w:val="NormalWeb"/>
        <w:autoSpaceDE w:val="0"/>
        <w:autoSpaceDN w:val="0"/>
        <w:adjustRightInd w:val="0"/>
        <w:spacing w:before="0" w:beforeAutospacing="0" w:after="0" w:afterAutospacing="0"/>
        <w:contextualSpacing/>
        <w:jc w:val="both"/>
      </w:pPr>
    </w:p>
    <w:p w14:paraId="21B2169C" w14:textId="02B5CB1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New Government Accounting System</w:t>
      </w:r>
      <w:r w:rsidRPr="005A497D">
        <w:t xml:space="preserve"> further prescribes that a physical count of supplies and </w:t>
      </w:r>
      <w:r>
        <w:t>property, plant, and equipment</w:t>
      </w:r>
      <w:r w:rsidRPr="005A497D">
        <w:t xml:space="preserve"> be conducted. However, based on </w:t>
      </w:r>
      <w:r>
        <w:t>CoA</w:t>
      </w:r>
      <w:r w:rsidRPr="005A497D">
        <w:t xml:space="preserve"> observations, physical count is not consistently performed. Fixed asset registers thus exist but </w:t>
      </w:r>
      <w:r>
        <w:t>information on usage and age is not substantially complete.</w:t>
      </w:r>
      <w:r w:rsidRPr="005A497D">
        <w:t xml:space="preserve"> </w:t>
      </w:r>
      <w:r w:rsidR="00827D32">
        <w:t xml:space="preserve">Wherever fully implemented, useful life of property, plant and equipment is tracked in </w:t>
      </w:r>
      <w:r w:rsidR="00827D32" w:rsidRPr="000D0E8D">
        <w:rPr>
          <w:i/>
        </w:rPr>
        <w:t>e</w:t>
      </w:r>
      <w:r w:rsidR="00827D32">
        <w:t xml:space="preserve">NGAS. </w:t>
      </w:r>
      <w:r w:rsidRPr="005A497D">
        <w:t>Score</w:t>
      </w:r>
      <w:r>
        <w:t xml:space="preserve"> for Dimension 12.2</w:t>
      </w:r>
      <w:r w:rsidRPr="005A497D">
        <w:t xml:space="preserve"> is assessed at “C”.</w:t>
      </w:r>
    </w:p>
    <w:p w14:paraId="481A1FA2" w14:textId="77777777" w:rsidR="001762EE" w:rsidRPr="005A497D" w:rsidRDefault="001762EE" w:rsidP="003C7981">
      <w:pPr>
        <w:pStyle w:val="NormalWeb2"/>
        <w:spacing w:before="0" w:after="0"/>
        <w:jc w:val="both"/>
        <w:rPr>
          <w:szCs w:val="24"/>
        </w:rPr>
      </w:pPr>
    </w:p>
    <w:p w14:paraId="2D3C7633" w14:textId="16091632" w:rsidR="001762EE" w:rsidRPr="00BF1CCD" w:rsidRDefault="001762EE" w:rsidP="00F0177C">
      <w:pPr>
        <w:pStyle w:val="NormalWeb"/>
        <w:autoSpaceDE w:val="0"/>
        <w:autoSpaceDN w:val="0"/>
        <w:adjustRightInd w:val="0"/>
        <w:spacing w:before="0" w:beforeAutospacing="0" w:after="0" w:afterAutospacing="0"/>
        <w:contextualSpacing/>
        <w:jc w:val="both"/>
        <w:rPr>
          <w:b/>
          <w:i/>
        </w:rPr>
      </w:pPr>
      <w:r w:rsidRPr="00BF1CCD">
        <w:rPr>
          <w:b/>
          <w:i/>
        </w:rPr>
        <w:t xml:space="preserve">Dimension 12.3 Transparency of asset disposal </w:t>
      </w:r>
    </w:p>
    <w:p w14:paraId="204121DB" w14:textId="77777777" w:rsidR="001762EE" w:rsidRPr="009A5E44" w:rsidRDefault="001762EE" w:rsidP="00F0177C">
      <w:pPr>
        <w:pStyle w:val="NormalWeb"/>
        <w:autoSpaceDE w:val="0"/>
        <w:autoSpaceDN w:val="0"/>
        <w:adjustRightInd w:val="0"/>
        <w:spacing w:before="0" w:beforeAutospacing="0" w:after="0" w:afterAutospacing="0"/>
        <w:contextualSpacing/>
        <w:jc w:val="both"/>
        <w:rPr>
          <w:i/>
        </w:rPr>
      </w:pPr>
    </w:p>
    <w:p w14:paraId="038F4F08" w14:textId="0B72D9B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In accordance with EO No. 285</w:t>
      </w:r>
      <w:r>
        <w:t>,</w:t>
      </w:r>
      <w:r w:rsidRPr="005A497D">
        <w:t xml:space="preserve"> dated July 25, 1987, responsibility for disposal of supplies, equipment</w:t>
      </w:r>
      <w:r>
        <w:t>,</w:t>
      </w:r>
      <w:r w:rsidRPr="005A497D">
        <w:t xml:space="preserve"> and materials</w:t>
      </w:r>
      <w:r>
        <w:t>,</w:t>
      </w:r>
      <w:r w:rsidRPr="005A497D">
        <w:t xml:space="preserve"> which are obsolete, forfeited, abandoned</w:t>
      </w:r>
      <w:r>
        <w:t>,</w:t>
      </w:r>
      <w:r w:rsidRPr="005A497D">
        <w:t xml:space="preserve"> and surplus to their needs</w:t>
      </w:r>
      <w:r>
        <w:t>,</w:t>
      </w:r>
      <w:r w:rsidRPr="005A497D">
        <w:t xml:space="preserve"> </w:t>
      </w:r>
      <w:r>
        <w:t>was</w:t>
      </w:r>
      <w:r w:rsidRPr="005A497D">
        <w:t xml:space="preserve"> transferred to the different line departments and agencies subject to guidelines developed by </w:t>
      </w:r>
      <w:r>
        <w:t>DBM’s</w:t>
      </w:r>
      <w:r w:rsidRPr="005A497D">
        <w:t xml:space="preserve"> Systems and Procedures Bureau and existing laws. A Manual of the Disposal of Government Property was developed and issued through National Budget Circular No. 425</w:t>
      </w:r>
      <w:r>
        <w:t>,</w:t>
      </w:r>
      <w:r w:rsidRPr="005A497D">
        <w:t xml:space="preserve"> dated January 28, 1992. The Manual was prepared taking into consideration existing laws and policies governing disposal</w:t>
      </w:r>
      <w:r>
        <w:t>,</w:t>
      </w:r>
      <w:r w:rsidRPr="005A497D">
        <w:t xml:space="preserve"> guidelines issued by the defunct Supplies Coordination Council</w:t>
      </w:r>
      <w:r>
        <w:t>,</w:t>
      </w:r>
      <w:r w:rsidRPr="005A497D">
        <w:t xml:space="preserve"> and pertinent rules and regulations of </w:t>
      </w:r>
      <w:r>
        <w:t>the Commission on Audit</w:t>
      </w:r>
      <w:r w:rsidRPr="005A497D">
        <w:t>.</w:t>
      </w:r>
    </w:p>
    <w:p w14:paraId="2BD7AAD8" w14:textId="77777777" w:rsidR="001762EE" w:rsidRPr="005A497D" w:rsidRDefault="001762EE" w:rsidP="003C7981">
      <w:pPr>
        <w:pStyle w:val="NormalWeb"/>
        <w:autoSpaceDE w:val="0"/>
        <w:autoSpaceDN w:val="0"/>
        <w:adjustRightInd w:val="0"/>
        <w:spacing w:before="0" w:beforeAutospacing="0" w:after="0" w:afterAutospacing="0"/>
        <w:contextualSpacing/>
        <w:jc w:val="both"/>
      </w:pPr>
    </w:p>
    <w:p w14:paraId="0BC1D825" w14:textId="0832E18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CoA</w:t>
      </w:r>
      <w:r w:rsidRPr="005A497D">
        <w:t xml:space="preserve"> rules and regulations are outlined in Section 79 of </w:t>
      </w:r>
      <w:r>
        <w:t>Presidential Decree</w:t>
      </w:r>
      <w:r w:rsidRPr="005A497D">
        <w:t xml:space="preserve"> 1445</w:t>
      </w:r>
      <w:r>
        <w:t>,</w:t>
      </w:r>
      <w:r w:rsidRPr="005A497D">
        <w:t xml:space="preserve"> which relates to destruction or sale of unserviceable property. There were no noted </w:t>
      </w:r>
      <w:r>
        <w:t>CoA</w:t>
      </w:r>
      <w:r w:rsidRPr="005A497D">
        <w:t xml:space="preserve"> audit findings referring to non-compliance with the prescribed rules and regulations relating to sale, transfer</w:t>
      </w:r>
      <w:r>
        <w:t>,</w:t>
      </w:r>
      <w:r w:rsidRPr="005A497D">
        <w:t xml:space="preserve"> and disposal of non-financial assets.</w:t>
      </w:r>
    </w:p>
    <w:p w14:paraId="268DB558" w14:textId="77777777" w:rsidR="001762EE" w:rsidRPr="005A497D" w:rsidRDefault="001762EE" w:rsidP="003C7981">
      <w:pPr>
        <w:pStyle w:val="NormalWeb"/>
        <w:autoSpaceDE w:val="0"/>
        <w:autoSpaceDN w:val="0"/>
        <w:adjustRightInd w:val="0"/>
        <w:spacing w:before="0" w:beforeAutospacing="0" w:after="0" w:afterAutospacing="0"/>
        <w:contextualSpacing/>
        <w:jc w:val="both"/>
      </w:pPr>
    </w:p>
    <w:p w14:paraId="5047D1EE" w14:textId="3824A2DE"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w:t>
      </w:r>
      <w:r w:rsidRPr="005A497D">
        <w:t>he required procedures are established in legislation</w:t>
      </w:r>
      <w:r>
        <w:t>, which does not include requirement for information to be submitted to the legislature,</w:t>
      </w:r>
      <w:r w:rsidRPr="005A497D">
        <w:t xml:space="preserve"> and no major observations on non-compliance are included in the audit reports</w:t>
      </w:r>
      <w:r>
        <w:t>.</w:t>
      </w:r>
      <w:r w:rsidRPr="005A497D">
        <w:t xml:space="preserve"> </w:t>
      </w:r>
      <w:r>
        <w:t>T</w:t>
      </w:r>
      <w:r w:rsidRPr="005A497D">
        <w:t>he score</w:t>
      </w:r>
      <w:r>
        <w:t xml:space="preserve"> for Dimension 12.3</w:t>
      </w:r>
      <w:r w:rsidRPr="005A497D">
        <w:t xml:space="preserve"> is assessed at “</w:t>
      </w:r>
      <w:r>
        <w:t>B</w:t>
      </w:r>
      <w:r w:rsidRPr="005A497D">
        <w:t>”.</w:t>
      </w:r>
    </w:p>
    <w:p w14:paraId="6E4D86CD" w14:textId="77777777" w:rsidR="001762EE" w:rsidRPr="005A497D" w:rsidRDefault="001762EE" w:rsidP="00F96E23">
      <w:pPr>
        <w:pStyle w:val="NormalWeb"/>
        <w:autoSpaceDE w:val="0"/>
        <w:autoSpaceDN w:val="0"/>
        <w:adjustRightInd w:val="0"/>
        <w:spacing w:before="0" w:beforeAutospacing="0" w:after="0" w:afterAutospacing="0"/>
        <w:contextualSpacing/>
        <w:jc w:val="both"/>
      </w:pPr>
    </w:p>
    <w:p w14:paraId="2F396388" w14:textId="2384522A" w:rsidR="001762EE" w:rsidRDefault="001762EE" w:rsidP="00411651">
      <w:pPr>
        <w:pStyle w:val="Heading3"/>
      </w:pPr>
      <w:bookmarkStart w:id="113" w:name="_Toc454811662"/>
      <w:bookmarkStart w:id="114" w:name="_Toc454888807"/>
      <w:r w:rsidRPr="005A497D">
        <w:t xml:space="preserve">PI-13 </w:t>
      </w:r>
      <w:r>
        <w:t>Debt m</w:t>
      </w:r>
      <w:r w:rsidRPr="005A497D">
        <w:t>anagement</w:t>
      </w:r>
      <w:bookmarkEnd w:id="113"/>
      <w:bookmarkEnd w:id="114"/>
    </w:p>
    <w:p w14:paraId="0863FA0F" w14:textId="77777777" w:rsidR="001762EE" w:rsidRPr="001A67AA" w:rsidRDefault="001762EE" w:rsidP="001A67AA"/>
    <w:p w14:paraId="47AC1207" w14:textId="64C860B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B44128">
        <w:t>This indicator assesses the management of domestic and foreign debt and guarantees. It seeks to identify whether satisfactory management practices, records, and controls are in place to ensure efficient and effective arrangements</w:t>
      </w:r>
      <w:r w:rsidRPr="005A497D">
        <w:t>.</w:t>
      </w:r>
    </w:p>
    <w:p w14:paraId="2F3C642C" w14:textId="77777777" w:rsidR="001762EE" w:rsidRPr="005A497D" w:rsidRDefault="001762EE" w:rsidP="00A313F3">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36BA5B8F" w14:textId="77777777" w:rsidTr="00D27ABE">
        <w:trPr>
          <w:trHeight w:val="666"/>
        </w:trPr>
        <w:tc>
          <w:tcPr>
            <w:tcW w:w="3600" w:type="dxa"/>
            <w:tcBorders>
              <w:top w:val="double" w:sz="4" w:space="0" w:color="auto"/>
            </w:tcBorders>
            <w:shd w:val="clear" w:color="auto" w:fill="D9D9D9"/>
            <w:vAlign w:val="center"/>
          </w:tcPr>
          <w:p w14:paraId="3ADBA65B" w14:textId="77777777" w:rsidR="001762EE" w:rsidRPr="00D53B92" w:rsidRDefault="001762EE" w:rsidP="00D27ABE">
            <w:pPr>
              <w:spacing w:before="40" w:after="40"/>
              <w:jc w:val="center"/>
              <w:rPr>
                <w:b/>
                <w:i/>
                <w:sz w:val="22"/>
                <w:szCs w:val="22"/>
              </w:rPr>
            </w:pPr>
            <w:r w:rsidRPr="00D53B92">
              <w:rPr>
                <w:b/>
                <w:i/>
                <w:sz w:val="22"/>
                <w:szCs w:val="22"/>
              </w:rPr>
              <w:t>Indicator / Dimension</w:t>
            </w:r>
          </w:p>
        </w:tc>
        <w:tc>
          <w:tcPr>
            <w:tcW w:w="1843" w:type="dxa"/>
            <w:tcBorders>
              <w:top w:val="double" w:sz="4" w:space="0" w:color="auto"/>
            </w:tcBorders>
            <w:shd w:val="clear" w:color="auto" w:fill="D9D9D9"/>
            <w:vAlign w:val="center"/>
          </w:tcPr>
          <w:p w14:paraId="1789B7A5" w14:textId="77777777" w:rsidR="001762EE" w:rsidRPr="00D53B92" w:rsidRDefault="001762EE" w:rsidP="00D27ABE">
            <w:pPr>
              <w:spacing w:before="40" w:after="40"/>
              <w:jc w:val="center"/>
              <w:rPr>
                <w:b/>
                <w:i/>
                <w:sz w:val="22"/>
                <w:szCs w:val="22"/>
              </w:rPr>
            </w:pPr>
            <w:r w:rsidRPr="00D53B92">
              <w:rPr>
                <w:b/>
                <w:i/>
                <w:sz w:val="22"/>
                <w:szCs w:val="22"/>
              </w:rPr>
              <w:t>Score</w:t>
            </w:r>
          </w:p>
        </w:tc>
        <w:tc>
          <w:tcPr>
            <w:tcW w:w="3913" w:type="dxa"/>
            <w:tcBorders>
              <w:top w:val="double" w:sz="4" w:space="0" w:color="auto"/>
            </w:tcBorders>
            <w:shd w:val="clear" w:color="auto" w:fill="D9D9D9"/>
            <w:vAlign w:val="center"/>
          </w:tcPr>
          <w:p w14:paraId="1956EC77" w14:textId="77777777" w:rsidR="001762EE" w:rsidRPr="00D53B92" w:rsidRDefault="001762EE" w:rsidP="00D27ABE">
            <w:pPr>
              <w:spacing w:before="40" w:after="40"/>
              <w:jc w:val="center"/>
              <w:rPr>
                <w:b/>
                <w:i/>
                <w:sz w:val="22"/>
                <w:szCs w:val="22"/>
              </w:rPr>
            </w:pPr>
            <w:r w:rsidRPr="00D53B92">
              <w:rPr>
                <w:b/>
                <w:i/>
                <w:sz w:val="22"/>
                <w:szCs w:val="22"/>
              </w:rPr>
              <w:t>Brief Explanation</w:t>
            </w:r>
          </w:p>
        </w:tc>
      </w:tr>
      <w:tr w:rsidR="001762EE" w:rsidRPr="005A497D" w14:paraId="0ECBD104" w14:textId="77777777" w:rsidTr="00D27ABE">
        <w:tc>
          <w:tcPr>
            <w:tcW w:w="3600" w:type="dxa"/>
            <w:tcBorders>
              <w:top w:val="double" w:sz="4" w:space="0" w:color="auto"/>
              <w:bottom w:val="single" w:sz="4" w:space="0" w:color="auto"/>
            </w:tcBorders>
            <w:vAlign w:val="center"/>
          </w:tcPr>
          <w:p w14:paraId="26575DFC" w14:textId="116671BA" w:rsidR="001762EE" w:rsidRPr="005A497D" w:rsidRDefault="001762EE" w:rsidP="001A67AA">
            <w:pPr>
              <w:tabs>
                <w:tab w:val="left" w:pos="1350"/>
              </w:tabs>
              <w:autoSpaceDE w:val="0"/>
              <w:autoSpaceDN w:val="0"/>
              <w:adjustRightInd w:val="0"/>
              <w:rPr>
                <w:b/>
                <w:bCs/>
                <w:sz w:val="22"/>
                <w:szCs w:val="22"/>
              </w:rPr>
            </w:pPr>
            <w:r w:rsidRPr="005A497D">
              <w:rPr>
                <w:b/>
                <w:bCs/>
                <w:sz w:val="22"/>
                <w:szCs w:val="22"/>
              </w:rPr>
              <w:t xml:space="preserve">PI-13 </w:t>
            </w:r>
            <w:r>
              <w:rPr>
                <w:b/>
                <w:bCs/>
                <w:sz w:val="22"/>
                <w:szCs w:val="22"/>
              </w:rPr>
              <w:t>Debt m</w:t>
            </w:r>
            <w:r w:rsidRPr="005A497D">
              <w:rPr>
                <w:b/>
                <w:sz w:val="22"/>
                <w:szCs w:val="22"/>
              </w:rPr>
              <w:t>anagement</w:t>
            </w:r>
          </w:p>
        </w:tc>
        <w:tc>
          <w:tcPr>
            <w:tcW w:w="1843" w:type="dxa"/>
            <w:tcBorders>
              <w:top w:val="double" w:sz="4" w:space="0" w:color="auto"/>
              <w:bottom w:val="single" w:sz="4" w:space="0" w:color="auto"/>
            </w:tcBorders>
            <w:vAlign w:val="center"/>
          </w:tcPr>
          <w:p w14:paraId="00BD48A5" w14:textId="0DC86AC9" w:rsidR="001762EE" w:rsidRPr="005A497D" w:rsidRDefault="001762EE" w:rsidP="00D27ABE">
            <w:pPr>
              <w:spacing w:before="40" w:after="40"/>
              <w:jc w:val="center"/>
              <w:rPr>
                <w:b/>
                <w:sz w:val="22"/>
                <w:szCs w:val="22"/>
              </w:rPr>
            </w:pPr>
            <w:r>
              <w:rPr>
                <w:b/>
                <w:sz w:val="22"/>
                <w:szCs w:val="22"/>
              </w:rPr>
              <w:t>B</w:t>
            </w:r>
          </w:p>
        </w:tc>
        <w:tc>
          <w:tcPr>
            <w:tcW w:w="3913" w:type="dxa"/>
            <w:tcBorders>
              <w:top w:val="double" w:sz="4" w:space="0" w:color="auto"/>
              <w:bottom w:val="single" w:sz="4" w:space="0" w:color="auto"/>
            </w:tcBorders>
            <w:vAlign w:val="center"/>
          </w:tcPr>
          <w:p w14:paraId="789888FA" w14:textId="77777777" w:rsidR="001762EE" w:rsidRPr="005A497D" w:rsidRDefault="001762EE" w:rsidP="00D27ABE">
            <w:pPr>
              <w:spacing w:before="40" w:after="40"/>
              <w:rPr>
                <w:sz w:val="22"/>
                <w:szCs w:val="22"/>
              </w:rPr>
            </w:pPr>
            <w:r w:rsidRPr="005A497D">
              <w:rPr>
                <w:sz w:val="22"/>
                <w:szCs w:val="22"/>
              </w:rPr>
              <w:t>Overall rating based on M2 methodology.</w:t>
            </w:r>
          </w:p>
        </w:tc>
      </w:tr>
      <w:tr w:rsidR="001762EE" w:rsidRPr="005A497D" w14:paraId="7E0764D3" w14:textId="77777777" w:rsidTr="00710DF0">
        <w:trPr>
          <w:trHeight w:val="1196"/>
        </w:trPr>
        <w:tc>
          <w:tcPr>
            <w:tcW w:w="3600" w:type="dxa"/>
            <w:tcBorders>
              <w:top w:val="single" w:sz="4" w:space="0" w:color="auto"/>
              <w:bottom w:val="single" w:sz="4" w:space="0" w:color="auto"/>
            </w:tcBorders>
            <w:vAlign w:val="center"/>
          </w:tcPr>
          <w:p w14:paraId="3C1E3E93" w14:textId="5E15CD41" w:rsidR="001762EE" w:rsidRPr="005A497D" w:rsidRDefault="001762EE" w:rsidP="001A67AA">
            <w:pPr>
              <w:pStyle w:val="Default"/>
              <w:rPr>
                <w:color w:val="auto"/>
                <w:sz w:val="22"/>
                <w:szCs w:val="22"/>
              </w:rPr>
            </w:pPr>
            <w:r>
              <w:rPr>
                <w:color w:val="auto"/>
                <w:sz w:val="22"/>
                <w:szCs w:val="22"/>
              </w:rPr>
              <w:t>13.1</w:t>
            </w:r>
            <w:r w:rsidRPr="005A497D">
              <w:rPr>
                <w:color w:val="auto"/>
                <w:sz w:val="22"/>
                <w:szCs w:val="22"/>
              </w:rPr>
              <w:t xml:space="preserve"> </w:t>
            </w:r>
            <w:r>
              <w:rPr>
                <w:color w:val="auto"/>
                <w:sz w:val="22"/>
                <w:szCs w:val="22"/>
              </w:rPr>
              <w:t xml:space="preserve">Recording and reporting of </w:t>
            </w:r>
            <w:r w:rsidRPr="005A497D">
              <w:rPr>
                <w:sz w:val="22"/>
                <w:szCs w:val="22"/>
              </w:rPr>
              <w:t xml:space="preserve">debt </w:t>
            </w:r>
            <w:r>
              <w:rPr>
                <w:sz w:val="22"/>
                <w:szCs w:val="22"/>
              </w:rPr>
              <w:t>and guarantees</w:t>
            </w:r>
          </w:p>
        </w:tc>
        <w:tc>
          <w:tcPr>
            <w:tcW w:w="1843" w:type="dxa"/>
            <w:tcBorders>
              <w:top w:val="single" w:sz="4" w:space="0" w:color="auto"/>
              <w:bottom w:val="single" w:sz="4" w:space="0" w:color="auto"/>
            </w:tcBorders>
            <w:vAlign w:val="center"/>
          </w:tcPr>
          <w:p w14:paraId="6F53691D" w14:textId="7578B3FD" w:rsidR="001762EE" w:rsidRPr="005A497D" w:rsidRDefault="001762EE" w:rsidP="001A67AA">
            <w:pPr>
              <w:spacing w:before="40" w:after="40"/>
              <w:jc w:val="center"/>
              <w:rPr>
                <w:sz w:val="22"/>
                <w:szCs w:val="22"/>
              </w:rPr>
            </w:pPr>
            <w:r>
              <w:rPr>
                <w:sz w:val="22"/>
                <w:szCs w:val="22"/>
              </w:rPr>
              <w:t>A</w:t>
            </w:r>
          </w:p>
        </w:tc>
        <w:tc>
          <w:tcPr>
            <w:tcW w:w="3913" w:type="dxa"/>
            <w:tcBorders>
              <w:top w:val="single" w:sz="4" w:space="0" w:color="auto"/>
              <w:bottom w:val="single" w:sz="4" w:space="0" w:color="auto"/>
            </w:tcBorders>
            <w:vAlign w:val="center"/>
          </w:tcPr>
          <w:p w14:paraId="53ABB9E5" w14:textId="0FDF1A41" w:rsidR="001762EE" w:rsidRPr="005A497D" w:rsidRDefault="001762EE" w:rsidP="001A67AA">
            <w:pPr>
              <w:spacing w:before="40" w:after="40"/>
              <w:rPr>
                <w:sz w:val="22"/>
                <w:szCs w:val="22"/>
              </w:rPr>
            </w:pPr>
            <w:r w:rsidRPr="005A497D">
              <w:rPr>
                <w:sz w:val="22"/>
                <w:szCs w:val="22"/>
              </w:rPr>
              <w:t>Detailed debt data (domestic and foreign) is published on the BTr website. The data is updated monthly and presented two months from the reference period</w:t>
            </w:r>
            <w:r>
              <w:rPr>
                <w:sz w:val="22"/>
                <w:szCs w:val="22"/>
              </w:rPr>
              <w:t>.</w:t>
            </w:r>
          </w:p>
        </w:tc>
      </w:tr>
      <w:tr w:rsidR="001762EE" w:rsidRPr="005A497D" w14:paraId="45C2787F" w14:textId="77777777" w:rsidTr="00710DF0">
        <w:trPr>
          <w:trHeight w:val="1340"/>
        </w:trPr>
        <w:tc>
          <w:tcPr>
            <w:tcW w:w="3600" w:type="dxa"/>
            <w:tcBorders>
              <w:top w:val="single" w:sz="4" w:space="0" w:color="auto"/>
              <w:bottom w:val="single" w:sz="4" w:space="0" w:color="auto"/>
            </w:tcBorders>
            <w:vAlign w:val="center"/>
          </w:tcPr>
          <w:p w14:paraId="7CB3DC4C" w14:textId="3C24CAE9" w:rsidR="001762EE" w:rsidRPr="005A497D" w:rsidRDefault="001762EE" w:rsidP="001A67AA">
            <w:pPr>
              <w:pStyle w:val="Default"/>
              <w:rPr>
                <w:color w:val="auto"/>
                <w:sz w:val="22"/>
                <w:szCs w:val="22"/>
              </w:rPr>
            </w:pPr>
            <w:r>
              <w:rPr>
                <w:color w:val="auto"/>
                <w:sz w:val="22"/>
                <w:szCs w:val="22"/>
              </w:rPr>
              <w:t>13.2</w:t>
            </w:r>
            <w:r w:rsidRPr="005A497D">
              <w:rPr>
                <w:color w:val="auto"/>
                <w:sz w:val="22"/>
                <w:szCs w:val="22"/>
              </w:rPr>
              <w:t xml:space="preserve"> </w:t>
            </w:r>
            <w:r>
              <w:rPr>
                <w:color w:val="auto"/>
                <w:sz w:val="22"/>
                <w:szCs w:val="22"/>
              </w:rPr>
              <w:t xml:space="preserve">Approval of debt and </w:t>
            </w:r>
            <w:r w:rsidRPr="005A497D">
              <w:rPr>
                <w:color w:val="auto"/>
                <w:sz w:val="22"/>
                <w:szCs w:val="22"/>
              </w:rPr>
              <w:t>guarantees</w:t>
            </w:r>
          </w:p>
        </w:tc>
        <w:tc>
          <w:tcPr>
            <w:tcW w:w="1843" w:type="dxa"/>
            <w:tcBorders>
              <w:top w:val="single" w:sz="4" w:space="0" w:color="auto"/>
              <w:bottom w:val="single" w:sz="4" w:space="0" w:color="auto"/>
            </w:tcBorders>
            <w:vAlign w:val="center"/>
          </w:tcPr>
          <w:p w14:paraId="1B17544F" w14:textId="77777777" w:rsidR="001762EE" w:rsidRPr="005A497D" w:rsidRDefault="001762EE" w:rsidP="00D27ABE">
            <w:pPr>
              <w:spacing w:before="40" w:after="40"/>
              <w:jc w:val="center"/>
              <w:rPr>
                <w:sz w:val="22"/>
                <w:szCs w:val="22"/>
              </w:rPr>
            </w:pPr>
            <w:r w:rsidRPr="005A497D">
              <w:rPr>
                <w:sz w:val="22"/>
                <w:szCs w:val="22"/>
              </w:rPr>
              <w:t>A</w:t>
            </w:r>
          </w:p>
        </w:tc>
        <w:tc>
          <w:tcPr>
            <w:tcW w:w="3913" w:type="dxa"/>
            <w:tcBorders>
              <w:top w:val="single" w:sz="4" w:space="0" w:color="auto"/>
              <w:bottom w:val="single" w:sz="4" w:space="0" w:color="auto"/>
            </w:tcBorders>
            <w:vAlign w:val="center"/>
          </w:tcPr>
          <w:p w14:paraId="690A288C" w14:textId="77777777" w:rsidR="001762EE" w:rsidRPr="005A497D" w:rsidRDefault="001762EE" w:rsidP="00D27ABE">
            <w:pPr>
              <w:spacing w:before="40" w:after="40"/>
              <w:rPr>
                <w:sz w:val="22"/>
                <w:szCs w:val="22"/>
              </w:rPr>
            </w:pPr>
            <w:r w:rsidRPr="005A497D">
              <w:rPr>
                <w:sz w:val="22"/>
                <w:szCs w:val="22"/>
              </w:rPr>
              <w:t>Legislation provides clear authorization to DoF to review, approve and manage debt. Ceilings are prescribed in law. Debts are also contracted following the fiscal target and the prescribed law.</w:t>
            </w:r>
          </w:p>
        </w:tc>
      </w:tr>
      <w:tr w:rsidR="001762EE" w:rsidRPr="005A497D" w14:paraId="015A1FFF" w14:textId="77777777" w:rsidTr="00710DF0">
        <w:trPr>
          <w:trHeight w:val="980"/>
        </w:trPr>
        <w:tc>
          <w:tcPr>
            <w:tcW w:w="3600" w:type="dxa"/>
            <w:tcBorders>
              <w:top w:val="single" w:sz="4" w:space="0" w:color="auto"/>
              <w:bottom w:val="double" w:sz="4" w:space="0" w:color="auto"/>
            </w:tcBorders>
            <w:vAlign w:val="center"/>
          </w:tcPr>
          <w:p w14:paraId="0F3C3103" w14:textId="346293C3" w:rsidR="001762EE" w:rsidRPr="005A497D" w:rsidRDefault="001762EE" w:rsidP="001A67AA">
            <w:pPr>
              <w:pStyle w:val="Default"/>
              <w:rPr>
                <w:color w:val="auto"/>
                <w:sz w:val="22"/>
                <w:szCs w:val="22"/>
              </w:rPr>
            </w:pPr>
            <w:r>
              <w:rPr>
                <w:color w:val="auto"/>
                <w:sz w:val="22"/>
                <w:szCs w:val="22"/>
              </w:rPr>
              <w:t>13.3 D</w:t>
            </w:r>
            <w:r w:rsidRPr="005A497D">
              <w:rPr>
                <w:color w:val="auto"/>
                <w:sz w:val="22"/>
                <w:szCs w:val="22"/>
              </w:rPr>
              <w:t>ebt management strategy</w:t>
            </w:r>
          </w:p>
        </w:tc>
        <w:tc>
          <w:tcPr>
            <w:tcW w:w="1843" w:type="dxa"/>
            <w:tcBorders>
              <w:top w:val="single" w:sz="4" w:space="0" w:color="auto"/>
              <w:bottom w:val="double" w:sz="4" w:space="0" w:color="auto"/>
            </w:tcBorders>
            <w:vAlign w:val="center"/>
          </w:tcPr>
          <w:p w14:paraId="1330FF08" w14:textId="0020C538" w:rsidR="001762EE" w:rsidRPr="005A497D" w:rsidRDefault="001762EE" w:rsidP="001A67AA">
            <w:pPr>
              <w:spacing w:before="40" w:after="40"/>
              <w:jc w:val="center"/>
              <w:rPr>
                <w:sz w:val="22"/>
                <w:szCs w:val="22"/>
              </w:rPr>
            </w:pPr>
            <w:r>
              <w:rPr>
                <w:sz w:val="22"/>
                <w:szCs w:val="22"/>
              </w:rPr>
              <w:t>D</w:t>
            </w:r>
          </w:p>
        </w:tc>
        <w:tc>
          <w:tcPr>
            <w:tcW w:w="3913" w:type="dxa"/>
            <w:tcBorders>
              <w:top w:val="single" w:sz="4" w:space="0" w:color="auto"/>
              <w:bottom w:val="double" w:sz="4" w:space="0" w:color="auto"/>
            </w:tcBorders>
            <w:vAlign w:val="center"/>
          </w:tcPr>
          <w:p w14:paraId="59B49F8F" w14:textId="0EC1E846" w:rsidR="001762EE" w:rsidRPr="005A497D" w:rsidRDefault="001762EE" w:rsidP="00194AE8">
            <w:pPr>
              <w:rPr>
                <w:sz w:val="22"/>
                <w:szCs w:val="22"/>
              </w:rPr>
            </w:pPr>
            <w:r>
              <w:rPr>
                <w:sz w:val="22"/>
                <w:szCs w:val="22"/>
              </w:rPr>
              <w:t>Medium-term debt strategy in the form of strategic guidelines is in place, however this document is not publicly available</w:t>
            </w:r>
            <w:r w:rsidRPr="005A497D">
              <w:rPr>
                <w:sz w:val="22"/>
                <w:szCs w:val="22"/>
              </w:rPr>
              <w:t>.</w:t>
            </w:r>
          </w:p>
        </w:tc>
      </w:tr>
    </w:tbl>
    <w:p w14:paraId="798A3474" w14:textId="77777777" w:rsidR="001762EE" w:rsidRPr="005A497D" w:rsidRDefault="001762EE" w:rsidP="00A313F3">
      <w:pPr>
        <w:jc w:val="both"/>
      </w:pPr>
    </w:p>
    <w:p w14:paraId="460B3689" w14:textId="428E167B" w:rsidR="001762EE" w:rsidRPr="00BF1CCD" w:rsidRDefault="001762EE" w:rsidP="00A313F3">
      <w:pPr>
        <w:pStyle w:val="NormalWeb"/>
        <w:autoSpaceDE w:val="0"/>
        <w:autoSpaceDN w:val="0"/>
        <w:adjustRightInd w:val="0"/>
        <w:spacing w:before="0" w:beforeAutospacing="0" w:after="0" w:afterAutospacing="0"/>
        <w:jc w:val="both"/>
        <w:rPr>
          <w:b/>
          <w:i/>
          <w:iCs/>
        </w:rPr>
      </w:pPr>
      <w:r w:rsidRPr="00BF1CCD">
        <w:rPr>
          <w:b/>
          <w:i/>
          <w:iCs/>
        </w:rPr>
        <w:t>Dimension 13.1 Recording and reporting of debt and guarantees</w:t>
      </w:r>
    </w:p>
    <w:p w14:paraId="51933D2C" w14:textId="77777777" w:rsidR="001762EE" w:rsidRPr="001A67AA" w:rsidRDefault="001762EE" w:rsidP="00A313F3">
      <w:pPr>
        <w:pStyle w:val="NormalWeb"/>
        <w:autoSpaceDE w:val="0"/>
        <w:autoSpaceDN w:val="0"/>
        <w:adjustRightInd w:val="0"/>
        <w:spacing w:before="0" w:beforeAutospacing="0" w:after="0" w:afterAutospacing="0"/>
        <w:jc w:val="both"/>
        <w:rPr>
          <w:i/>
          <w:iCs/>
        </w:rPr>
      </w:pPr>
    </w:p>
    <w:p w14:paraId="3C57F3B3" w14:textId="246FF07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Department of Finance</w:t>
      </w:r>
      <w:r w:rsidRPr="005A497D">
        <w:t xml:space="preserve">, through the Fiscal Planning and Policy Office and the </w:t>
      </w:r>
      <w:r>
        <w:t>Treasury</w:t>
      </w:r>
      <w:r w:rsidRPr="005A497D">
        <w:t xml:space="preserve">, collects and compiles fiscal data for the public sector. Outstanding </w:t>
      </w:r>
      <w:r>
        <w:t>p</w:t>
      </w:r>
      <w:r w:rsidRPr="005A497D">
        <w:t xml:space="preserve">ublic </w:t>
      </w:r>
      <w:r>
        <w:t>s</w:t>
      </w:r>
      <w:r w:rsidRPr="005A497D">
        <w:t xml:space="preserve">ector </w:t>
      </w:r>
      <w:r>
        <w:t>d</w:t>
      </w:r>
      <w:r w:rsidRPr="005A497D">
        <w:t>ebt</w:t>
      </w:r>
      <w:r w:rsidRPr="005A497D">
        <w:rPr>
          <w:rStyle w:val="EndnoteReference"/>
        </w:rPr>
        <w:endnoteReference w:id="50"/>
      </w:r>
      <w:r w:rsidRPr="005A497D">
        <w:t xml:space="preserve"> and the n</w:t>
      </w:r>
      <w:r>
        <w:t xml:space="preserve">ational </w:t>
      </w:r>
      <w:r w:rsidRPr="005A497D">
        <w:t>g</w:t>
      </w:r>
      <w:r>
        <w:t>overnment</w:t>
      </w:r>
      <w:r w:rsidRPr="005A497D">
        <w:t xml:space="preserve"> outstanding debt stock and other debt</w:t>
      </w:r>
      <w:r>
        <w:t>-</w:t>
      </w:r>
      <w:r w:rsidRPr="005A497D">
        <w:t xml:space="preserve">related reports and tables are published by </w:t>
      </w:r>
      <w:r>
        <w:t>Finance</w:t>
      </w:r>
      <w:r w:rsidRPr="005A497D">
        <w:t xml:space="preserve"> and </w:t>
      </w:r>
      <w:r>
        <w:t>Treasury Departments</w:t>
      </w:r>
      <w:r w:rsidRPr="005A497D">
        <w:t>.</w:t>
      </w:r>
    </w:p>
    <w:p w14:paraId="152CE0FD" w14:textId="77777777" w:rsidR="001762EE" w:rsidRPr="005A497D" w:rsidRDefault="001762EE" w:rsidP="004955F8">
      <w:pPr>
        <w:pStyle w:val="NormalWeb"/>
        <w:autoSpaceDE w:val="0"/>
        <w:autoSpaceDN w:val="0"/>
        <w:adjustRightInd w:val="0"/>
        <w:spacing w:before="0" w:beforeAutospacing="0" w:after="0" w:afterAutospacing="0"/>
        <w:contextualSpacing/>
        <w:jc w:val="both"/>
      </w:pPr>
    </w:p>
    <w:p w14:paraId="75BFFDE8" w14:textId="55ACF56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BTr website discloses the </w:t>
      </w:r>
      <w:r>
        <w:t>national government</w:t>
      </w:r>
      <w:r w:rsidRPr="005A497D">
        <w:t xml:space="preserve"> debt</w:t>
      </w:r>
      <w:r>
        <w:t xml:space="preserve"> report</w:t>
      </w:r>
      <w:r w:rsidRPr="005A497D">
        <w:t xml:space="preserve"> on a monthly and annual basis.</w:t>
      </w:r>
      <w:r w:rsidRPr="005A497D">
        <w:rPr>
          <w:rStyle w:val="EndnoteReference"/>
        </w:rPr>
        <w:endnoteReference w:id="51"/>
      </w:r>
      <w:r w:rsidRPr="005A497D">
        <w:t xml:space="preserve"> The reports posted include the debt stock,</w:t>
      </w:r>
      <w:r w:rsidRPr="005A497D">
        <w:rPr>
          <w:rStyle w:val="EndnoteReference"/>
        </w:rPr>
        <w:endnoteReference w:id="52"/>
      </w:r>
      <w:r w:rsidRPr="005A497D">
        <w:t xml:space="preserve"> debt indicators, and interest type of the outstanding debt.</w:t>
      </w:r>
      <w:r>
        <w:t xml:space="preserve"> The major component of the national government debt is government securities.</w:t>
      </w:r>
    </w:p>
    <w:p w14:paraId="617CAFBB" w14:textId="77777777" w:rsidR="001762EE" w:rsidRPr="005A497D" w:rsidRDefault="001762EE" w:rsidP="004955F8">
      <w:pPr>
        <w:pStyle w:val="NormalWeb"/>
        <w:autoSpaceDE w:val="0"/>
        <w:autoSpaceDN w:val="0"/>
        <w:adjustRightInd w:val="0"/>
        <w:spacing w:before="0" w:beforeAutospacing="0" w:after="0" w:afterAutospacing="0"/>
        <w:contextualSpacing/>
        <w:jc w:val="both"/>
      </w:pPr>
    </w:p>
    <w:p w14:paraId="076E7BEB" w14:textId="7F8647A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w:t>
      </w:r>
      <w:r w:rsidRPr="005A497D">
        <w:t xml:space="preserve">DBCC mid-year reports also present information about the national government financing operations. The presented data includes actual debt stock as compared to the programmed debt service, debt ratios </w:t>
      </w:r>
      <w:r>
        <w:t>(</w:t>
      </w:r>
      <w:r w:rsidRPr="005A497D">
        <w:t>i.e.</w:t>
      </w:r>
      <w:r>
        <w:t>, as a percentage of GDP)</w:t>
      </w:r>
      <w:r w:rsidRPr="005A497D">
        <w:t>, interest rate mix, interest payments, debt average maturity, and debt cost and risk considerations.</w:t>
      </w:r>
      <w:r>
        <w:t xml:space="preserve"> The information is reconciled with creditors on a monthly basis. As the management reports are produced monthly, the score for Dimension 13.1 is assessed at “A”.</w:t>
      </w:r>
    </w:p>
    <w:p w14:paraId="349497D3" w14:textId="77777777" w:rsidR="001762EE" w:rsidRPr="005A497D" w:rsidRDefault="001762EE" w:rsidP="00A313F3">
      <w:pPr>
        <w:pStyle w:val="NormalWeb"/>
        <w:autoSpaceDE w:val="0"/>
        <w:autoSpaceDN w:val="0"/>
        <w:adjustRightInd w:val="0"/>
        <w:spacing w:before="0" w:beforeAutospacing="0" w:after="0" w:afterAutospacing="0"/>
        <w:contextualSpacing/>
        <w:jc w:val="both"/>
      </w:pPr>
    </w:p>
    <w:p w14:paraId="43914EFF" w14:textId="5F24BFA2" w:rsidR="001762EE" w:rsidRPr="00BF1CCD" w:rsidRDefault="001762EE" w:rsidP="00A313F3">
      <w:pPr>
        <w:pStyle w:val="NormalWeb"/>
        <w:autoSpaceDE w:val="0"/>
        <w:autoSpaceDN w:val="0"/>
        <w:adjustRightInd w:val="0"/>
        <w:spacing w:before="0" w:beforeAutospacing="0" w:after="0" w:afterAutospacing="0"/>
        <w:jc w:val="both"/>
        <w:rPr>
          <w:b/>
          <w:i/>
          <w:iCs/>
        </w:rPr>
      </w:pPr>
      <w:r w:rsidRPr="00BF1CCD">
        <w:rPr>
          <w:b/>
          <w:i/>
          <w:iCs/>
        </w:rPr>
        <w:t>Dimension 13.2 Approval of debt and guarantees</w:t>
      </w:r>
    </w:p>
    <w:p w14:paraId="3FBAA20C" w14:textId="77777777" w:rsidR="001762EE" w:rsidRPr="001A67AA" w:rsidRDefault="001762EE" w:rsidP="00A313F3">
      <w:pPr>
        <w:pStyle w:val="NormalWeb"/>
        <w:autoSpaceDE w:val="0"/>
        <w:autoSpaceDN w:val="0"/>
        <w:adjustRightInd w:val="0"/>
        <w:spacing w:before="0" w:beforeAutospacing="0" w:after="0" w:afterAutospacing="0"/>
        <w:jc w:val="both"/>
        <w:rPr>
          <w:i/>
          <w:iCs/>
        </w:rPr>
      </w:pPr>
    </w:p>
    <w:p w14:paraId="2DCDB0A2" w14:textId="37360F8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the Philippines, the </w:t>
      </w:r>
      <w:r>
        <w:t>Department of Finance</w:t>
      </w:r>
      <w:r w:rsidRPr="005A497D">
        <w:t xml:space="preserve"> is mandated</w:t>
      </w:r>
      <w:r w:rsidRPr="005A497D">
        <w:rPr>
          <w:rStyle w:val="EndnoteReference"/>
        </w:rPr>
        <w:endnoteReference w:id="53"/>
      </w:r>
      <w:r w:rsidRPr="005A497D">
        <w:t xml:space="preserve"> to review, approve</w:t>
      </w:r>
      <w:r>
        <w:t>,</w:t>
      </w:r>
      <w:r w:rsidRPr="005A497D">
        <w:t xml:space="preserve"> and manage both domestic and foreign public sector debt. Under DoF supervision, the </w:t>
      </w:r>
      <w:r>
        <w:t xml:space="preserve">Bureau of </w:t>
      </w:r>
      <w:r w:rsidR="00827D32">
        <w:t xml:space="preserve">the </w:t>
      </w:r>
      <w:r>
        <w:t>Treasury</w:t>
      </w:r>
      <w:r w:rsidRPr="005A497D">
        <w:t xml:space="preserve"> assists in the formulation of policies o</w:t>
      </w:r>
      <w:r>
        <w:t xml:space="preserve">n borrowing, control, and servicing of </w:t>
      </w:r>
      <w:r w:rsidRPr="005A497D">
        <w:t>public debt (foreign or domestic), issu</w:t>
      </w:r>
      <w:r>
        <w:t>ance of</w:t>
      </w:r>
      <w:r w:rsidRPr="005A497D">
        <w:t xml:space="preserve"> government securities for the account of the </w:t>
      </w:r>
      <w:r>
        <w:t>n</w:t>
      </w:r>
      <w:r w:rsidRPr="005A497D">
        <w:t xml:space="preserve">ational </w:t>
      </w:r>
      <w:r>
        <w:t>g</w:t>
      </w:r>
      <w:r w:rsidRPr="005A497D">
        <w:t>overnment as authorized by the President, administer the Securities Stabilization Fund to promote private investment in government securities, certify allowable debt and guarantee</w:t>
      </w:r>
      <w:r>
        <w:t>,</w:t>
      </w:r>
      <w:r w:rsidRPr="005A497D">
        <w:rPr>
          <w:rStyle w:val="EndnoteReference"/>
        </w:rPr>
        <w:endnoteReference w:id="54"/>
      </w:r>
      <w:r w:rsidRPr="005A497D">
        <w:t xml:space="preserve"> and prepare and submit reports</w:t>
      </w:r>
      <w:r w:rsidRPr="005A497D">
        <w:rPr>
          <w:rStyle w:val="EndnoteReference"/>
        </w:rPr>
        <w:endnoteReference w:id="55"/>
      </w:r>
      <w:r w:rsidRPr="005A497D">
        <w:t xml:space="preserve"> to the </w:t>
      </w:r>
      <w:r w:rsidR="00827D32">
        <w:t>DoF</w:t>
      </w:r>
      <w:r w:rsidRPr="005A497D">
        <w:t>.</w:t>
      </w:r>
    </w:p>
    <w:p w14:paraId="0772C398" w14:textId="77777777" w:rsidR="001762EE" w:rsidRDefault="001762EE" w:rsidP="001A67AA">
      <w:pPr>
        <w:pStyle w:val="NormalWeb"/>
        <w:autoSpaceDE w:val="0"/>
        <w:autoSpaceDN w:val="0"/>
        <w:adjustRightInd w:val="0"/>
        <w:spacing w:before="0" w:beforeAutospacing="0" w:after="0" w:afterAutospacing="0"/>
        <w:contextualSpacing/>
        <w:jc w:val="both"/>
      </w:pPr>
    </w:p>
    <w:p w14:paraId="38906235" w14:textId="6339DC4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Public debts are contracted by the </w:t>
      </w:r>
      <w:r>
        <w:t>national government</w:t>
      </w:r>
      <w:r w:rsidRPr="005A497D">
        <w:t xml:space="preserve">, GOCCs, </w:t>
      </w:r>
      <w:r>
        <w:t>government financial institution</w:t>
      </w:r>
      <w:r w:rsidRPr="005A497D">
        <w:t>s</w:t>
      </w:r>
      <w:r>
        <w:t>,</w:t>
      </w:r>
      <w:r w:rsidRPr="005A497D">
        <w:t xml:space="preserve"> or </w:t>
      </w:r>
      <w:r w:rsidR="00151BA0">
        <w:t>local government unit</w:t>
      </w:r>
      <w:r w:rsidRPr="005A497D">
        <w:t xml:space="preserve">s as debtors. </w:t>
      </w:r>
      <w:r>
        <w:t xml:space="preserve">The </w:t>
      </w:r>
      <w:r w:rsidRPr="005A497D">
        <w:t xml:space="preserve">LGU debts under the Local Government Code are recorded in their respective books of accounts. Contracted foreign loans are managed by the </w:t>
      </w:r>
      <w:r w:rsidR="00827D32">
        <w:t>DoF</w:t>
      </w:r>
      <w:r w:rsidRPr="005A497D">
        <w:t xml:space="preserve">, through the Municipal Development Fund Office. For GOCCs, the proceeds of the loans are booked in the GOCC book of accounts, those guaranteed GOCC loans are disclosed in the BTr notes to financial statement. For </w:t>
      </w:r>
      <w:r>
        <w:t xml:space="preserve">national government </w:t>
      </w:r>
      <w:r w:rsidRPr="005A497D">
        <w:t xml:space="preserve">debt, the loan proceeds are booked by </w:t>
      </w:r>
      <w:r>
        <w:t xml:space="preserve">the </w:t>
      </w:r>
      <w:r w:rsidRPr="005A497D">
        <w:t xml:space="preserve">BTr </w:t>
      </w:r>
      <w:r>
        <w:t>National Government</w:t>
      </w:r>
      <w:r w:rsidRPr="005A497D">
        <w:t xml:space="preserve"> Debt Accounting Division.</w:t>
      </w:r>
    </w:p>
    <w:p w14:paraId="16144F5E" w14:textId="77777777" w:rsidR="001762EE" w:rsidRPr="005A497D" w:rsidRDefault="001762EE" w:rsidP="00A313F3">
      <w:pPr>
        <w:pStyle w:val="NormalWeb"/>
        <w:autoSpaceDE w:val="0"/>
        <w:autoSpaceDN w:val="0"/>
        <w:adjustRightInd w:val="0"/>
        <w:spacing w:before="0" w:beforeAutospacing="0" w:after="0" w:afterAutospacing="0"/>
        <w:contextualSpacing/>
        <w:jc w:val="both"/>
      </w:pPr>
    </w:p>
    <w:p w14:paraId="243580E6" w14:textId="3DC4604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Since the </w:t>
      </w:r>
      <w:r>
        <w:t>2010 PEFA</w:t>
      </w:r>
      <w:r w:rsidRPr="005A497D">
        <w:t xml:space="preserve"> assessment, there is minimal change in the system for contracting loans</w:t>
      </w:r>
      <w:r w:rsidRPr="005A497D">
        <w:rPr>
          <w:rStyle w:val="EndnoteReference"/>
        </w:rPr>
        <w:endnoteReference w:id="56"/>
      </w:r>
      <w:r w:rsidRPr="005A497D">
        <w:t xml:space="preserve"> and issuance of guarantees except for the creation of </w:t>
      </w:r>
      <w:r>
        <w:t xml:space="preserve">the </w:t>
      </w:r>
      <w:r w:rsidRPr="005A497D">
        <w:t xml:space="preserve">Debt and Risk Management </w:t>
      </w:r>
      <w:r>
        <w:t>Division</w:t>
      </w:r>
      <w:r w:rsidRPr="005A497D">
        <w:t xml:space="preserve"> under </w:t>
      </w:r>
      <w:r>
        <w:t xml:space="preserve">the </w:t>
      </w:r>
      <w:r w:rsidR="00827D32">
        <w:t>BTr</w:t>
      </w:r>
      <w:r w:rsidRPr="005A497D">
        <w:t xml:space="preserve"> in 2010.</w:t>
      </w:r>
      <w:r w:rsidRPr="005A497D">
        <w:rPr>
          <w:rStyle w:val="EndnoteReference"/>
        </w:rPr>
        <w:endnoteReference w:id="57"/>
      </w:r>
      <w:r w:rsidRPr="005A497D">
        <w:t xml:space="preserve"> </w:t>
      </w:r>
      <w:r>
        <w:t>The Debt and Risk Management Division</w:t>
      </w:r>
      <w:r w:rsidRPr="005A497D">
        <w:t xml:space="preserve"> serves as a middle office responsible for policy institutionalization and debt strategy formulation to manage public sector debt and to monitor, report, and ensure compliance with debt management policies. Ceilings for foreign borrowings and guarantees are provided in Republic Act (RA) 4860.</w:t>
      </w:r>
      <w:r>
        <w:t xml:space="preserve"> Since all criteria are fulfilled, the score for Dimension 13.2 is assessed at “A”.</w:t>
      </w:r>
    </w:p>
    <w:p w14:paraId="339EB06D" w14:textId="77777777" w:rsidR="001762EE" w:rsidRPr="005A497D" w:rsidRDefault="001762EE" w:rsidP="00A313F3">
      <w:pPr>
        <w:pStyle w:val="NormalWeb"/>
        <w:autoSpaceDE w:val="0"/>
        <w:autoSpaceDN w:val="0"/>
        <w:adjustRightInd w:val="0"/>
        <w:spacing w:before="0" w:beforeAutospacing="0" w:after="0" w:afterAutospacing="0"/>
        <w:contextualSpacing/>
        <w:jc w:val="both"/>
      </w:pPr>
    </w:p>
    <w:p w14:paraId="7DC1023B" w14:textId="77777777" w:rsidR="00FA7D33" w:rsidRDefault="00FA7D33" w:rsidP="00A313F3">
      <w:pPr>
        <w:pStyle w:val="NormalWeb"/>
        <w:autoSpaceDE w:val="0"/>
        <w:autoSpaceDN w:val="0"/>
        <w:adjustRightInd w:val="0"/>
        <w:spacing w:before="0" w:beforeAutospacing="0" w:after="0" w:afterAutospacing="0"/>
        <w:jc w:val="both"/>
        <w:rPr>
          <w:b/>
          <w:i/>
          <w:iCs/>
        </w:rPr>
      </w:pPr>
    </w:p>
    <w:p w14:paraId="69E31A44" w14:textId="0BD36C61" w:rsidR="001762EE" w:rsidRPr="00BF1CCD" w:rsidRDefault="001762EE" w:rsidP="00A313F3">
      <w:pPr>
        <w:pStyle w:val="NormalWeb"/>
        <w:autoSpaceDE w:val="0"/>
        <w:autoSpaceDN w:val="0"/>
        <w:adjustRightInd w:val="0"/>
        <w:spacing w:before="0" w:beforeAutospacing="0" w:after="0" w:afterAutospacing="0"/>
        <w:jc w:val="both"/>
        <w:rPr>
          <w:b/>
          <w:i/>
          <w:iCs/>
        </w:rPr>
      </w:pPr>
      <w:r w:rsidRPr="00BF1CCD">
        <w:rPr>
          <w:b/>
          <w:i/>
          <w:iCs/>
        </w:rPr>
        <w:t>Dimension 13.3 Debt management strategy</w:t>
      </w:r>
    </w:p>
    <w:p w14:paraId="1B405274" w14:textId="77777777" w:rsidR="001762EE" w:rsidRPr="00E64C3E" w:rsidRDefault="001762EE" w:rsidP="00A313F3">
      <w:pPr>
        <w:pStyle w:val="NormalWeb"/>
        <w:autoSpaceDE w:val="0"/>
        <w:autoSpaceDN w:val="0"/>
        <w:adjustRightInd w:val="0"/>
        <w:spacing w:before="0" w:beforeAutospacing="0" w:after="0" w:afterAutospacing="0"/>
        <w:jc w:val="both"/>
        <w:rPr>
          <w:i/>
          <w:iCs/>
        </w:rPr>
      </w:pPr>
    </w:p>
    <w:p w14:paraId="48738648" w14:textId="31ADEDB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While a medium-term debt strategy in the form of strategic guideline is already in place and has been disclosed to investors, credit rating agencies, and within the Cabinet, it is not a published document</w:t>
      </w:r>
      <w:r w:rsidRPr="005A497D">
        <w:t xml:space="preserve">. The result of </w:t>
      </w:r>
      <w:r>
        <w:t>the Debt and Risk Management Division</w:t>
      </w:r>
      <w:r w:rsidRPr="005A497D">
        <w:t xml:space="preserve">’s analysis revealed that the </w:t>
      </w:r>
      <w:r>
        <w:t xml:space="preserve">national government </w:t>
      </w:r>
      <w:r w:rsidRPr="005A497D">
        <w:t>debt remains broadly sustainable. In addition</w:t>
      </w:r>
      <w:r>
        <w:t>, the</w:t>
      </w:r>
      <w:r w:rsidRPr="005A497D">
        <w:t xml:space="preserve"> </w:t>
      </w:r>
      <w:r>
        <w:t xml:space="preserve">national government </w:t>
      </w:r>
      <w:r w:rsidRPr="005A497D">
        <w:t>debt is generally resilient even under severe interest rate shock.</w:t>
      </w:r>
    </w:p>
    <w:p w14:paraId="12F3615C" w14:textId="77777777" w:rsidR="001762EE" w:rsidRPr="005A497D" w:rsidRDefault="001762EE" w:rsidP="00A313F3">
      <w:pPr>
        <w:pStyle w:val="NormalWeb"/>
        <w:autoSpaceDE w:val="0"/>
        <w:autoSpaceDN w:val="0"/>
        <w:adjustRightInd w:val="0"/>
        <w:spacing w:before="0" w:beforeAutospacing="0" w:after="0" w:afterAutospacing="0"/>
        <w:contextualSpacing/>
        <w:jc w:val="both"/>
      </w:pPr>
    </w:p>
    <w:p w14:paraId="1DEABACD" w14:textId="09CCB26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iCs/>
        </w:rPr>
        <w:t xml:space="preserve">The </w:t>
      </w:r>
      <w:r>
        <w:rPr>
          <w:iCs/>
        </w:rPr>
        <w:t xml:space="preserve">national government </w:t>
      </w:r>
      <w:r w:rsidRPr="005A497D">
        <w:rPr>
          <w:iCs/>
        </w:rPr>
        <w:t xml:space="preserve">budget financing program and outstanding debt are part of the information presented by </w:t>
      </w:r>
      <w:r>
        <w:rPr>
          <w:iCs/>
        </w:rPr>
        <w:t>the Development Budget Coordination Committee</w:t>
      </w:r>
      <w:r w:rsidRPr="005A497D">
        <w:rPr>
          <w:iCs/>
        </w:rPr>
        <w:t xml:space="preserve"> to the Presiden</w:t>
      </w:r>
      <w:r>
        <w:rPr>
          <w:iCs/>
        </w:rPr>
        <w:t>t and the Cabinet for approval</w:t>
      </w:r>
      <w:r w:rsidRPr="005A497D">
        <w:rPr>
          <w:iCs/>
        </w:rPr>
        <w:t xml:space="preserve">. The </w:t>
      </w:r>
      <w:r>
        <w:rPr>
          <w:iCs/>
        </w:rPr>
        <w:t>n</w:t>
      </w:r>
      <w:r w:rsidRPr="005A497D">
        <w:rPr>
          <w:iCs/>
        </w:rPr>
        <w:t>ational budget financing program and outstanding debt is presented under BESF Table D</w:t>
      </w:r>
      <w:r>
        <w:rPr>
          <w:iCs/>
        </w:rPr>
        <w:t>.</w:t>
      </w:r>
      <w:r w:rsidRPr="005A497D">
        <w:rPr>
          <w:rStyle w:val="EndnoteReference"/>
          <w:iCs/>
        </w:rPr>
        <w:endnoteReference w:id="58"/>
      </w:r>
      <w:r w:rsidRPr="005A497D">
        <w:rPr>
          <w:iCs/>
        </w:rPr>
        <w:t xml:space="preserve"> </w:t>
      </w:r>
      <w:r>
        <w:rPr>
          <w:iCs/>
        </w:rPr>
        <w:t xml:space="preserve">A </w:t>
      </w:r>
      <w:r w:rsidRPr="00487E8A">
        <w:rPr>
          <w:iCs/>
        </w:rPr>
        <w:t xml:space="preserve">debt </w:t>
      </w:r>
      <w:r>
        <w:rPr>
          <w:iCs/>
        </w:rPr>
        <w:t xml:space="preserve">management </w:t>
      </w:r>
      <w:r w:rsidRPr="00487E8A">
        <w:rPr>
          <w:iCs/>
        </w:rPr>
        <w:t xml:space="preserve">strategy </w:t>
      </w:r>
      <w:r w:rsidR="00AF0E49">
        <w:rPr>
          <w:iCs/>
        </w:rPr>
        <w:t xml:space="preserve">document </w:t>
      </w:r>
      <w:r>
        <w:rPr>
          <w:iCs/>
        </w:rPr>
        <w:t>is not published</w:t>
      </w:r>
      <w:r w:rsidR="00AF0E49">
        <w:rPr>
          <w:iCs/>
        </w:rPr>
        <w:t>.</w:t>
      </w:r>
      <w:r>
        <w:rPr>
          <w:iCs/>
        </w:rPr>
        <w:t xml:space="preserve"> </w:t>
      </w:r>
      <w:r w:rsidR="00AF0E49">
        <w:rPr>
          <w:iCs/>
        </w:rPr>
        <w:t>T</w:t>
      </w:r>
      <w:r>
        <w:rPr>
          <w:iCs/>
        </w:rPr>
        <w:t xml:space="preserve">he information in budget documentation </w:t>
      </w:r>
      <w:r w:rsidR="00AF0E49">
        <w:rPr>
          <w:iCs/>
        </w:rPr>
        <w:t xml:space="preserve">for national government borrowing </w:t>
      </w:r>
      <w:r w:rsidRPr="00487E8A">
        <w:rPr>
          <w:iCs/>
        </w:rPr>
        <w:t>cover</w:t>
      </w:r>
      <w:r w:rsidR="00AF0E49">
        <w:rPr>
          <w:iCs/>
        </w:rPr>
        <w:t>s</w:t>
      </w:r>
      <w:r w:rsidRPr="00487E8A">
        <w:rPr>
          <w:iCs/>
        </w:rPr>
        <w:t xml:space="preserve"> a three-year horizon</w:t>
      </w:r>
      <w:r>
        <w:rPr>
          <w:iCs/>
        </w:rPr>
        <w:t>. The score for Dimension 13.3 is assessed as “D”.</w:t>
      </w:r>
    </w:p>
    <w:p w14:paraId="510CFCAD" w14:textId="77777777" w:rsidR="001762EE" w:rsidRDefault="001762EE" w:rsidP="00A313F3">
      <w:pPr>
        <w:pStyle w:val="NormalWeb"/>
        <w:autoSpaceDE w:val="0"/>
        <w:autoSpaceDN w:val="0"/>
        <w:adjustRightInd w:val="0"/>
        <w:spacing w:before="0" w:beforeAutospacing="0" w:after="0" w:afterAutospacing="0"/>
        <w:contextualSpacing/>
        <w:jc w:val="both"/>
      </w:pPr>
    </w:p>
    <w:p w14:paraId="7CFEDE24" w14:textId="77777777" w:rsidR="00710DF0" w:rsidRPr="005A497D" w:rsidRDefault="00710DF0" w:rsidP="00A313F3">
      <w:pPr>
        <w:pStyle w:val="NormalWeb"/>
        <w:autoSpaceDE w:val="0"/>
        <w:autoSpaceDN w:val="0"/>
        <w:adjustRightInd w:val="0"/>
        <w:spacing w:before="0" w:beforeAutospacing="0" w:after="0" w:afterAutospacing="0"/>
        <w:contextualSpacing/>
        <w:jc w:val="both"/>
      </w:pPr>
    </w:p>
    <w:p w14:paraId="19594049" w14:textId="203C5DF3" w:rsidR="001762EE" w:rsidRPr="00BF1CCD" w:rsidRDefault="001762EE" w:rsidP="00D9341A">
      <w:pPr>
        <w:pStyle w:val="Heading2"/>
        <w:jc w:val="left"/>
        <w:rPr>
          <w:rFonts w:ascii="Times New Roman" w:hAnsi="Times New Roman"/>
          <w:sz w:val="28"/>
          <w:szCs w:val="28"/>
        </w:rPr>
      </w:pPr>
      <w:bookmarkStart w:id="115" w:name="_Toc454811663"/>
      <w:bookmarkStart w:id="116" w:name="_Toc454888808"/>
      <w:r w:rsidRPr="00BF1CCD">
        <w:rPr>
          <w:rFonts w:ascii="Times New Roman" w:hAnsi="Times New Roman"/>
          <w:sz w:val="28"/>
          <w:szCs w:val="28"/>
        </w:rPr>
        <w:t>Pillar IV. Policy-</w:t>
      </w:r>
      <w:r>
        <w:rPr>
          <w:rFonts w:ascii="Times New Roman" w:hAnsi="Times New Roman"/>
          <w:sz w:val="28"/>
          <w:szCs w:val="28"/>
        </w:rPr>
        <w:t>B</w:t>
      </w:r>
      <w:r w:rsidRPr="00BF1CCD">
        <w:rPr>
          <w:rFonts w:ascii="Times New Roman" w:hAnsi="Times New Roman"/>
          <w:sz w:val="28"/>
          <w:szCs w:val="28"/>
        </w:rPr>
        <w:t xml:space="preserve">ased </w:t>
      </w:r>
      <w:r>
        <w:rPr>
          <w:rFonts w:ascii="Times New Roman" w:hAnsi="Times New Roman"/>
          <w:sz w:val="28"/>
          <w:szCs w:val="28"/>
        </w:rPr>
        <w:t>F</w:t>
      </w:r>
      <w:r w:rsidRPr="00BF1CCD">
        <w:rPr>
          <w:rFonts w:ascii="Times New Roman" w:hAnsi="Times New Roman"/>
          <w:sz w:val="28"/>
          <w:szCs w:val="28"/>
        </w:rPr>
        <w:t xml:space="preserve">iscal </w:t>
      </w:r>
      <w:r>
        <w:rPr>
          <w:rFonts w:ascii="Times New Roman" w:hAnsi="Times New Roman"/>
          <w:sz w:val="28"/>
          <w:szCs w:val="28"/>
        </w:rPr>
        <w:t>S</w:t>
      </w:r>
      <w:r w:rsidRPr="00BF1CCD">
        <w:rPr>
          <w:rFonts w:ascii="Times New Roman" w:hAnsi="Times New Roman"/>
          <w:sz w:val="28"/>
          <w:szCs w:val="28"/>
        </w:rPr>
        <w:t xml:space="preserve">trategy and </w:t>
      </w:r>
      <w:r>
        <w:rPr>
          <w:rFonts w:ascii="Times New Roman" w:hAnsi="Times New Roman"/>
          <w:sz w:val="28"/>
          <w:szCs w:val="28"/>
        </w:rPr>
        <w:t>B</w:t>
      </w:r>
      <w:r w:rsidRPr="00BF1CCD">
        <w:rPr>
          <w:rFonts w:ascii="Times New Roman" w:hAnsi="Times New Roman"/>
          <w:sz w:val="28"/>
          <w:szCs w:val="28"/>
        </w:rPr>
        <w:t>udgeting</w:t>
      </w:r>
      <w:bookmarkEnd w:id="115"/>
      <w:bookmarkEnd w:id="116"/>
    </w:p>
    <w:p w14:paraId="1003E280" w14:textId="77777777" w:rsidR="001762EE" w:rsidRPr="005A497D" w:rsidRDefault="001762EE" w:rsidP="00E24D79">
      <w:pPr>
        <w:contextualSpacing/>
        <w:jc w:val="both"/>
      </w:pPr>
      <w:bookmarkStart w:id="117" w:name="_Toc317467008"/>
      <w:bookmarkStart w:id="118" w:name="_Toc318187272"/>
    </w:p>
    <w:p w14:paraId="001501E6" w14:textId="411A9924" w:rsidR="001762EE" w:rsidRDefault="001762EE" w:rsidP="00411651">
      <w:pPr>
        <w:pStyle w:val="Heading3"/>
      </w:pPr>
      <w:bookmarkStart w:id="119" w:name="_Toc328028438"/>
      <w:bookmarkStart w:id="120" w:name="_Toc454811664"/>
      <w:bookmarkStart w:id="121" w:name="_Toc454888809"/>
      <w:r w:rsidRPr="005A497D">
        <w:t xml:space="preserve">PI-14 </w:t>
      </w:r>
      <w:bookmarkEnd w:id="119"/>
      <w:r>
        <w:t>Macroeconomic and fiscal forecasting</w:t>
      </w:r>
      <w:bookmarkEnd w:id="120"/>
      <w:bookmarkEnd w:id="121"/>
    </w:p>
    <w:p w14:paraId="60448E79" w14:textId="77777777" w:rsidR="001762EE" w:rsidRPr="00E64C3E" w:rsidRDefault="001762EE" w:rsidP="00E64C3E"/>
    <w:p w14:paraId="40F68D47" w14:textId="6E88408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 credible fiscal strategy should support the achievement of the </w:t>
      </w:r>
      <w:r>
        <w:t>G</w:t>
      </w:r>
      <w:r w:rsidRPr="005A497D">
        <w:t xml:space="preserve">overnment’s fiscal policy objectives. </w:t>
      </w:r>
      <w:r w:rsidRPr="0018673D">
        <w:t xml:space="preserve">This indicator measures the ability of a country to develop robust macroeconomic and fiscal forecasts, which are crucial to developing a sustainable fiscal strategy and ensuring greater predictability of budget allocations. It also assesses the </w:t>
      </w:r>
      <w:r>
        <w:t>G</w:t>
      </w:r>
      <w:r w:rsidRPr="0018673D">
        <w:t>overnment’s capacity to estimate the fiscal impact of potential changes in economic circumstances</w:t>
      </w:r>
      <w:r w:rsidRPr="005A497D">
        <w:t>.</w:t>
      </w:r>
    </w:p>
    <w:p w14:paraId="4D96A387" w14:textId="77777777" w:rsidR="001762EE" w:rsidRPr="005A497D" w:rsidRDefault="001762EE" w:rsidP="00D318D0">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2F2514C4" w14:textId="77777777" w:rsidTr="00710DF0">
        <w:trPr>
          <w:trHeight w:val="397"/>
          <w:tblHeader/>
        </w:trPr>
        <w:tc>
          <w:tcPr>
            <w:tcW w:w="3600" w:type="dxa"/>
            <w:tcBorders>
              <w:top w:val="double" w:sz="4" w:space="0" w:color="auto"/>
            </w:tcBorders>
            <w:shd w:val="clear" w:color="auto" w:fill="D9D9D9"/>
            <w:vAlign w:val="center"/>
          </w:tcPr>
          <w:p w14:paraId="270C4524" w14:textId="77777777" w:rsidR="001762EE" w:rsidRPr="00D53B92" w:rsidRDefault="001762EE" w:rsidP="001C0CCB">
            <w:pPr>
              <w:spacing w:before="40" w:after="40"/>
              <w:jc w:val="center"/>
              <w:rPr>
                <w:b/>
                <w:i/>
                <w:sz w:val="22"/>
                <w:szCs w:val="22"/>
              </w:rPr>
            </w:pPr>
            <w:r w:rsidRPr="00D53B92">
              <w:rPr>
                <w:b/>
                <w:i/>
                <w:sz w:val="22"/>
                <w:szCs w:val="22"/>
              </w:rPr>
              <w:t>Indicator / Dimension</w:t>
            </w:r>
          </w:p>
        </w:tc>
        <w:tc>
          <w:tcPr>
            <w:tcW w:w="1843" w:type="dxa"/>
            <w:tcBorders>
              <w:top w:val="double" w:sz="4" w:space="0" w:color="auto"/>
            </w:tcBorders>
            <w:shd w:val="clear" w:color="auto" w:fill="D9D9D9"/>
            <w:vAlign w:val="center"/>
          </w:tcPr>
          <w:p w14:paraId="1CC53A6A" w14:textId="77777777" w:rsidR="001762EE" w:rsidRPr="00D53B92" w:rsidRDefault="001762EE" w:rsidP="001C0CCB">
            <w:pPr>
              <w:spacing w:before="40" w:after="40"/>
              <w:jc w:val="center"/>
              <w:rPr>
                <w:b/>
                <w:i/>
                <w:sz w:val="22"/>
                <w:szCs w:val="22"/>
              </w:rPr>
            </w:pPr>
            <w:r w:rsidRPr="00D53B92">
              <w:rPr>
                <w:b/>
                <w:i/>
                <w:sz w:val="22"/>
                <w:szCs w:val="22"/>
              </w:rPr>
              <w:t>Score</w:t>
            </w:r>
          </w:p>
        </w:tc>
        <w:tc>
          <w:tcPr>
            <w:tcW w:w="3913" w:type="dxa"/>
            <w:tcBorders>
              <w:top w:val="double" w:sz="4" w:space="0" w:color="auto"/>
            </w:tcBorders>
            <w:shd w:val="clear" w:color="auto" w:fill="D9D9D9"/>
            <w:vAlign w:val="center"/>
          </w:tcPr>
          <w:p w14:paraId="555EC129" w14:textId="77777777" w:rsidR="001762EE" w:rsidRPr="00D53B92" w:rsidRDefault="001762EE" w:rsidP="001C0CCB">
            <w:pPr>
              <w:spacing w:before="40" w:after="40"/>
              <w:jc w:val="center"/>
              <w:rPr>
                <w:b/>
                <w:i/>
                <w:sz w:val="22"/>
                <w:szCs w:val="22"/>
              </w:rPr>
            </w:pPr>
            <w:r w:rsidRPr="00D53B92">
              <w:rPr>
                <w:b/>
                <w:i/>
                <w:sz w:val="22"/>
                <w:szCs w:val="22"/>
              </w:rPr>
              <w:t>Brief Explanation</w:t>
            </w:r>
          </w:p>
        </w:tc>
      </w:tr>
      <w:tr w:rsidR="001762EE" w:rsidRPr="005A497D" w14:paraId="18DA59DE" w14:textId="77777777" w:rsidTr="001C0CCB">
        <w:tc>
          <w:tcPr>
            <w:tcW w:w="3600" w:type="dxa"/>
            <w:tcBorders>
              <w:top w:val="double" w:sz="4" w:space="0" w:color="auto"/>
              <w:bottom w:val="single" w:sz="4" w:space="0" w:color="auto"/>
            </w:tcBorders>
          </w:tcPr>
          <w:p w14:paraId="3C9A78FF" w14:textId="44959D6A" w:rsidR="001762EE" w:rsidRPr="005A497D" w:rsidRDefault="001762EE" w:rsidP="001C0CCB">
            <w:pPr>
              <w:spacing w:before="40" w:after="40"/>
              <w:rPr>
                <w:sz w:val="22"/>
                <w:szCs w:val="22"/>
              </w:rPr>
            </w:pPr>
            <w:r>
              <w:rPr>
                <w:b/>
                <w:bCs/>
                <w:sz w:val="22"/>
                <w:szCs w:val="22"/>
              </w:rPr>
              <w:t>PI-14 Macroeconomic and fiscal forecasting</w:t>
            </w:r>
          </w:p>
        </w:tc>
        <w:tc>
          <w:tcPr>
            <w:tcW w:w="1843" w:type="dxa"/>
            <w:tcBorders>
              <w:top w:val="double" w:sz="4" w:space="0" w:color="auto"/>
              <w:bottom w:val="single" w:sz="4" w:space="0" w:color="auto"/>
            </w:tcBorders>
          </w:tcPr>
          <w:p w14:paraId="0D20A7A8" w14:textId="45EA09FD" w:rsidR="001762EE" w:rsidRPr="005A497D" w:rsidRDefault="001762EE" w:rsidP="001C0CCB">
            <w:pPr>
              <w:spacing w:before="40" w:after="40"/>
              <w:jc w:val="center"/>
              <w:rPr>
                <w:b/>
                <w:sz w:val="22"/>
                <w:szCs w:val="22"/>
              </w:rPr>
            </w:pPr>
            <w:r>
              <w:rPr>
                <w:b/>
                <w:sz w:val="22"/>
                <w:szCs w:val="22"/>
              </w:rPr>
              <w:t>A</w:t>
            </w:r>
          </w:p>
        </w:tc>
        <w:tc>
          <w:tcPr>
            <w:tcW w:w="3913" w:type="dxa"/>
            <w:tcBorders>
              <w:top w:val="double" w:sz="4" w:space="0" w:color="auto"/>
              <w:bottom w:val="single" w:sz="4" w:space="0" w:color="auto"/>
            </w:tcBorders>
          </w:tcPr>
          <w:p w14:paraId="38CC836A" w14:textId="77777777" w:rsidR="001762EE" w:rsidRPr="005A497D" w:rsidRDefault="001762EE" w:rsidP="001C0CCB">
            <w:pPr>
              <w:spacing w:before="40" w:after="40"/>
              <w:rPr>
                <w:sz w:val="22"/>
                <w:szCs w:val="22"/>
              </w:rPr>
            </w:pPr>
            <w:r w:rsidRPr="005A497D">
              <w:rPr>
                <w:sz w:val="22"/>
                <w:szCs w:val="22"/>
              </w:rPr>
              <w:t>Overall rating based on M2 methodology.</w:t>
            </w:r>
          </w:p>
        </w:tc>
      </w:tr>
      <w:tr w:rsidR="001762EE" w:rsidRPr="005A497D" w14:paraId="72645A88" w14:textId="77777777" w:rsidTr="00194AE8">
        <w:trPr>
          <w:trHeight w:val="1673"/>
        </w:trPr>
        <w:tc>
          <w:tcPr>
            <w:tcW w:w="3600" w:type="dxa"/>
            <w:tcBorders>
              <w:top w:val="single" w:sz="4" w:space="0" w:color="auto"/>
              <w:bottom w:val="single" w:sz="4" w:space="0" w:color="auto"/>
            </w:tcBorders>
          </w:tcPr>
          <w:p w14:paraId="0BB663C2" w14:textId="49112789" w:rsidR="001762EE" w:rsidRPr="005A497D" w:rsidRDefault="001762EE" w:rsidP="004D1329">
            <w:pPr>
              <w:pStyle w:val="Default"/>
              <w:rPr>
                <w:color w:val="auto"/>
                <w:sz w:val="22"/>
                <w:szCs w:val="22"/>
              </w:rPr>
            </w:pPr>
            <w:r>
              <w:rPr>
                <w:color w:val="auto"/>
                <w:sz w:val="22"/>
                <w:szCs w:val="22"/>
              </w:rPr>
              <w:t>14.1</w:t>
            </w:r>
            <w:r w:rsidRPr="005A497D">
              <w:rPr>
                <w:color w:val="auto"/>
                <w:sz w:val="22"/>
                <w:szCs w:val="22"/>
              </w:rPr>
              <w:t xml:space="preserve"> </w:t>
            </w:r>
            <w:r>
              <w:rPr>
                <w:color w:val="auto"/>
                <w:sz w:val="22"/>
                <w:szCs w:val="22"/>
              </w:rPr>
              <w:t>M</w:t>
            </w:r>
            <w:r w:rsidRPr="005A497D">
              <w:rPr>
                <w:color w:val="auto"/>
                <w:sz w:val="22"/>
                <w:szCs w:val="22"/>
              </w:rPr>
              <w:t>acroeconomic forecasts</w:t>
            </w:r>
          </w:p>
        </w:tc>
        <w:tc>
          <w:tcPr>
            <w:tcW w:w="1843" w:type="dxa"/>
            <w:tcBorders>
              <w:top w:val="single" w:sz="4" w:space="0" w:color="auto"/>
              <w:bottom w:val="single" w:sz="4" w:space="0" w:color="auto"/>
            </w:tcBorders>
          </w:tcPr>
          <w:p w14:paraId="6F1DAF3D" w14:textId="1D7E7BB6" w:rsidR="001762EE" w:rsidRPr="005A497D" w:rsidRDefault="001762EE" w:rsidP="004D1329">
            <w:pPr>
              <w:spacing w:before="40" w:after="40"/>
              <w:jc w:val="center"/>
              <w:rPr>
                <w:sz w:val="22"/>
                <w:szCs w:val="22"/>
              </w:rPr>
            </w:pPr>
            <w:r>
              <w:rPr>
                <w:sz w:val="22"/>
                <w:szCs w:val="22"/>
              </w:rPr>
              <w:t>A</w:t>
            </w:r>
          </w:p>
        </w:tc>
        <w:tc>
          <w:tcPr>
            <w:tcW w:w="3913" w:type="dxa"/>
            <w:tcBorders>
              <w:top w:val="single" w:sz="4" w:space="0" w:color="auto"/>
              <w:bottom w:val="single" w:sz="4" w:space="0" w:color="auto"/>
            </w:tcBorders>
          </w:tcPr>
          <w:p w14:paraId="60D8A5FA" w14:textId="32DC9562" w:rsidR="001762EE" w:rsidRPr="005A497D" w:rsidRDefault="001762EE" w:rsidP="00D46430">
            <w:pPr>
              <w:spacing w:before="40" w:after="40"/>
              <w:rPr>
                <w:sz w:val="22"/>
                <w:szCs w:val="22"/>
              </w:rPr>
            </w:pPr>
            <w:r w:rsidRPr="005A497D">
              <w:rPr>
                <w:sz w:val="22"/>
                <w:szCs w:val="22"/>
              </w:rPr>
              <w:t>Macro</w:t>
            </w:r>
            <w:r>
              <w:rPr>
                <w:sz w:val="22"/>
                <w:szCs w:val="22"/>
              </w:rPr>
              <w:t>economic</w:t>
            </w:r>
            <w:r w:rsidRPr="005A497D">
              <w:rPr>
                <w:sz w:val="22"/>
                <w:szCs w:val="22"/>
              </w:rPr>
              <w:t xml:space="preserve"> projections are prepared and used in the annual budget preparation</w:t>
            </w:r>
            <w:r>
              <w:rPr>
                <w:sz w:val="22"/>
                <w:szCs w:val="22"/>
              </w:rPr>
              <w:t xml:space="preserve">. The forecast covers the budget year and </w:t>
            </w:r>
            <w:r w:rsidRPr="005A497D">
              <w:rPr>
                <w:sz w:val="22"/>
                <w:szCs w:val="22"/>
              </w:rPr>
              <w:t xml:space="preserve">the two </w:t>
            </w:r>
            <w:r>
              <w:rPr>
                <w:sz w:val="22"/>
                <w:szCs w:val="22"/>
              </w:rPr>
              <w:t xml:space="preserve">following fiscal </w:t>
            </w:r>
            <w:r w:rsidRPr="005A497D">
              <w:rPr>
                <w:sz w:val="22"/>
                <w:szCs w:val="22"/>
              </w:rPr>
              <w:t>years</w:t>
            </w:r>
            <w:r>
              <w:rPr>
                <w:sz w:val="22"/>
                <w:szCs w:val="22"/>
              </w:rPr>
              <w:t>. Forecasts are updated in the DBCC mid-year report.</w:t>
            </w:r>
          </w:p>
        </w:tc>
      </w:tr>
      <w:tr w:rsidR="001762EE" w:rsidRPr="005A497D" w14:paraId="315D0B1C" w14:textId="77777777" w:rsidTr="00194AE8">
        <w:trPr>
          <w:trHeight w:val="1160"/>
        </w:trPr>
        <w:tc>
          <w:tcPr>
            <w:tcW w:w="3600" w:type="dxa"/>
            <w:tcBorders>
              <w:top w:val="single" w:sz="4" w:space="0" w:color="auto"/>
              <w:bottom w:val="single" w:sz="4" w:space="0" w:color="auto"/>
            </w:tcBorders>
          </w:tcPr>
          <w:p w14:paraId="0EF21722" w14:textId="0B65F46D" w:rsidR="001762EE" w:rsidRPr="005A497D" w:rsidRDefault="001762EE" w:rsidP="004D1329">
            <w:pPr>
              <w:pStyle w:val="Default"/>
              <w:rPr>
                <w:color w:val="auto"/>
                <w:sz w:val="22"/>
                <w:szCs w:val="22"/>
              </w:rPr>
            </w:pPr>
            <w:r>
              <w:rPr>
                <w:color w:val="auto"/>
                <w:sz w:val="22"/>
                <w:szCs w:val="22"/>
              </w:rPr>
              <w:t>14.2</w:t>
            </w:r>
            <w:r w:rsidRPr="005A497D">
              <w:rPr>
                <w:color w:val="auto"/>
                <w:sz w:val="22"/>
                <w:szCs w:val="22"/>
              </w:rPr>
              <w:t xml:space="preserve"> Fiscal </w:t>
            </w:r>
            <w:r>
              <w:rPr>
                <w:color w:val="auto"/>
                <w:sz w:val="22"/>
                <w:szCs w:val="22"/>
              </w:rPr>
              <w:t>forecasts</w:t>
            </w:r>
          </w:p>
        </w:tc>
        <w:tc>
          <w:tcPr>
            <w:tcW w:w="1843" w:type="dxa"/>
            <w:tcBorders>
              <w:top w:val="single" w:sz="4" w:space="0" w:color="auto"/>
              <w:bottom w:val="single" w:sz="4" w:space="0" w:color="auto"/>
            </w:tcBorders>
          </w:tcPr>
          <w:p w14:paraId="786E336A" w14:textId="3D003DC7" w:rsidR="001762EE" w:rsidRPr="005A497D" w:rsidRDefault="001762EE" w:rsidP="004D1329">
            <w:pPr>
              <w:spacing w:before="40" w:after="40"/>
              <w:jc w:val="center"/>
              <w:rPr>
                <w:sz w:val="22"/>
                <w:szCs w:val="22"/>
              </w:rPr>
            </w:pPr>
            <w:r w:rsidRPr="005A497D">
              <w:rPr>
                <w:sz w:val="22"/>
                <w:szCs w:val="22"/>
              </w:rPr>
              <w:t>B</w:t>
            </w:r>
          </w:p>
        </w:tc>
        <w:tc>
          <w:tcPr>
            <w:tcW w:w="3913" w:type="dxa"/>
            <w:tcBorders>
              <w:top w:val="single" w:sz="4" w:space="0" w:color="auto"/>
              <w:bottom w:val="single" w:sz="4" w:space="0" w:color="auto"/>
            </w:tcBorders>
          </w:tcPr>
          <w:p w14:paraId="36B74EF6" w14:textId="393CCB16" w:rsidR="001762EE" w:rsidRPr="005A497D" w:rsidRDefault="001762EE" w:rsidP="004D1329">
            <w:pPr>
              <w:spacing w:before="40" w:after="40"/>
              <w:rPr>
                <w:sz w:val="22"/>
                <w:szCs w:val="22"/>
              </w:rPr>
            </w:pPr>
            <w:r>
              <w:rPr>
                <w:sz w:val="22"/>
                <w:szCs w:val="22"/>
              </w:rPr>
              <w:t xml:space="preserve">The forecasts of the main fiscal indicators </w:t>
            </w:r>
            <w:r w:rsidRPr="005A497D">
              <w:rPr>
                <w:sz w:val="22"/>
                <w:szCs w:val="22"/>
              </w:rPr>
              <w:t xml:space="preserve">are presented in the </w:t>
            </w:r>
            <w:r>
              <w:rPr>
                <w:sz w:val="22"/>
                <w:szCs w:val="22"/>
              </w:rPr>
              <w:t>BESF covering the proposed budget year and the two succeeding years.</w:t>
            </w:r>
          </w:p>
        </w:tc>
      </w:tr>
      <w:tr w:rsidR="001762EE" w:rsidRPr="005A497D" w14:paraId="5D24DBA2" w14:textId="77777777" w:rsidTr="00194AE8">
        <w:trPr>
          <w:trHeight w:val="890"/>
        </w:trPr>
        <w:tc>
          <w:tcPr>
            <w:tcW w:w="3600" w:type="dxa"/>
            <w:tcBorders>
              <w:top w:val="single" w:sz="4" w:space="0" w:color="auto"/>
              <w:bottom w:val="double" w:sz="4" w:space="0" w:color="auto"/>
            </w:tcBorders>
          </w:tcPr>
          <w:p w14:paraId="597FFF8C" w14:textId="0859211F" w:rsidR="001762EE" w:rsidRPr="005A497D" w:rsidRDefault="001762EE" w:rsidP="004D1329">
            <w:pPr>
              <w:pStyle w:val="Default"/>
              <w:rPr>
                <w:color w:val="auto"/>
                <w:sz w:val="22"/>
                <w:szCs w:val="22"/>
              </w:rPr>
            </w:pPr>
            <w:r>
              <w:rPr>
                <w:color w:val="auto"/>
                <w:sz w:val="22"/>
                <w:szCs w:val="22"/>
              </w:rPr>
              <w:t>14.3</w:t>
            </w:r>
            <w:r w:rsidRPr="005A497D">
              <w:rPr>
                <w:color w:val="auto"/>
                <w:sz w:val="22"/>
                <w:szCs w:val="22"/>
              </w:rPr>
              <w:t xml:space="preserve"> </w:t>
            </w:r>
            <w:r>
              <w:rPr>
                <w:color w:val="auto"/>
                <w:sz w:val="22"/>
                <w:szCs w:val="22"/>
              </w:rPr>
              <w:t>Macro-fiscal sensitivity analysis</w:t>
            </w:r>
          </w:p>
        </w:tc>
        <w:tc>
          <w:tcPr>
            <w:tcW w:w="1843" w:type="dxa"/>
            <w:tcBorders>
              <w:top w:val="single" w:sz="4" w:space="0" w:color="auto"/>
              <w:bottom w:val="double" w:sz="4" w:space="0" w:color="auto"/>
            </w:tcBorders>
          </w:tcPr>
          <w:p w14:paraId="1E7B778D" w14:textId="1E32A659" w:rsidR="001762EE" w:rsidRPr="005A497D" w:rsidRDefault="001762EE" w:rsidP="004D1329">
            <w:pPr>
              <w:spacing w:before="40" w:after="40"/>
              <w:jc w:val="center"/>
              <w:rPr>
                <w:sz w:val="22"/>
                <w:szCs w:val="22"/>
              </w:rPr>
            </w:pPr>
            <w:r>
              <w:rPr>
                <w:sz w:val="22"/>
                <w:szCs w:val="22"/>
              </w:rPr>
              <w:t>A</w:t>
            </w:r>
          </w:p>
        </w:tc>
        <w:tc>
          <w:tcPr>
            <w:tcW w:w="3913" w:type="dxa"/>
            <w:tcBorders>
              <w:top w:val="single" w:sz="4" w:space="0" w:color="auto"/>
              <w:bottom w:val="double" w:sz="4" w:space="0" w:color="auto"/>
            </w:tcBorders>
          </w:tcPr>
          <w:p w14:paraId="01A61FF6" w14:textId="48FE1E32" w:rsidR="001762EE" w:rsidRPr="005A497D" w:rsidRDefault="001762EE" w:rsidP="004D1329">
            <w:pPr>
              <w:rPr>
                <w:sz w:val="22"/>
                <w:szCs w:val="22"/>
              </w:rPr>
            </w:pPr>
            <w:r>
              <w:rPr>
                <w:sz w:val="22"/>
                <w:szCs w:val="22"/>
              </w:rPr>
              <w:t>Forecasts of the budget sensitivity analysis and debt sustainability are published.</w:t>
            </w:r>
          </w:p>
        </w:tc>
      </w:tr>
    </w:tbl>
    <w:p w14:paraId="4159EA9A" w14:textId="77777777" w:rsidR="001762EE" w:rsidRDefault="001762EE" w:rsidP="00D318D0">
      <w:pPr>
        <w:jc w:val="both"/>
        <w:rPr>
          <w:b/>
          <w:i/>
        </w:rPr>
      </w:pPr>
    </w:p>
    <w:p w14:paraId="707F9D79" w14:textId="77777777" w:rsidR="00FA7D33" w:rsidRDefault="00FA7D33" w:rsidP="00D318D0">
      <w:pPr>
        <w:jc w:val="both"/>
        <w:rPr>
          <w:b/>
          <w:i/>
        </w:rPr>
      </w:pPr>
    </w:p>
    <w:p w14:paraId="6AC91787" w14:textId="77777777" w:rsidR="00FA7D33" w:rsidRDefault="00FA7D33" w:rsidP="00D318D0">
      <w:pPr>
        <w:jc w:val="both"/>
        <w:rPr>
          <w:b/>
          <w:i/>
        </w:rPr>
      </w:pPr>
    </w:p>
    <w:p w14:paraId="3AE86990" w14:textId="7D9068D2" w:rsidR="001762EE" w:rsidRPr="00BF1CCD" w:rsidRDefault="001762EE" w:rsidP="00D318D0">
      <w:pPr>
        <w:jc w:val="both"/>
        <w:rPr>
          <w:b/>
          <w:i/>
        </w:rPr>
      </w:pPr>
      <w:r w:rsidRPr="00BF1CCD">
        <w:rPr>
          <w:b/>
          <w:i/>
        </w:rPr>
        <w:t xml:space="preserve">Dimension 14.1 Macroeconomic forecasts </w:t>
      </w:r>
    </w:p>
    <w:p w14:paraId="6E321DDC" w14:textId="77777777" w:rsidR="001762EE" w:rsidRPr="004D1329" w:rsidRDefault="001762EE" w:rsidP="00D318D0">
      <w:pPr>
        <w:jc w:val="both"/>
        <w:rPr>
          <w:i/>
        </w:rPr>
      </w:pPr>
    </w:p>
    <w:p w14:paraId="01268020" w14:textId="6BCC1F70" w:rsidR="001762EE" w:rsidRPr="00306757"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Every year, </w:t>
      </w:r>
      <w:r>
        <w:t>the Department of Budget and Management</w:t>
      </w:r>
      <w:r w:rsidRPr="005A497D">
        <w:t xml:space="preserve"> issues a budget call and budget priorities framework through the </w:t>
      </w:r>
      <w:r>
        <w:t>N</w:t>
      </w:r>
      <w:r w:rsidRPr="005A497D">
        <w:t xml:space="preserve">ational </w:t>
      </w:r>
      <w:r>
        <w:t>B</w:t>
      </w:r>
      <w:r w:rsidRPr="005A497D">
        <w:t xml:space="preserve">udget </w:t>
      </w:r>
      <w:r>
        <w:t>M</w:t>
      </w:r>
      <w:r w:rsidRPr="005A497D">
        <w:t xml:space="preserve">emorandum to guide all departments/agencies in their budget preparation. A </w:t>
      </w:r>
      <w:r>
        <w:t xml:space="preserve">DBM-prepared and DBCC-approved </w:t>
      </w:r>
      <w:r w:rsidRPr="005A497D">
        <w:t xml:space="preserve">three-year fiscal position and macro-economic assumptions are presented in the </w:t>
      </w:r>
      <w:r>
        <w:t>M</w:t>
      </w:r>
      <w:r w:rsidRPr="005A497D">
        <w:t>emorandum</w:t>
      </w:r>
      <w:r>
        <w:t xml:space="preserve">. The three-year projection only started with the 2015 budget preparation and was continued for the 2016 budget process with inputs from NEDA and </w:t>
      </w:r>
      <w:r w:rsidRPr="00306757">
        <w:t>Bangko Sentral ng Pilipinas.</w:t>
      </w:r>
    </w:p>
    <w:p w14:paraId="3D0DF1B0" w14:textId="77777777" w:rsidR="001762EE" w:rsidRPr="005A497D" w:rsidRDefault="001762EE" w:rsidP="00D318D0">
      <w:pPr>
        <w:pStyle w:val="NormalWeb"/>
        <w:autoSpaceDE w:val="0"/>
        <w:autoSpaceDN w:val="0"/>
        <w:adjustRightInd w:val="0"/>
        <w:spacing w:before="0" w:beforeAutospacing="0" w:after="0" w:afterAutospacing="0"/>
        <w:contextualSpacing/>
        <w:jc w:val="both"/>
      </w:pPr>
    </w:p>
    <w:p w14:paraId="5AFDD144" w14:textId="15DCB5A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w:t>
      </w:r>
      <w:r>
        <w:t>is</w:t>
      </w:r>
      <w:r w:rsidRPr="005A497D">
        <w:t xml:space="preserve"> </w:t>
      </w:r>
      <w:r>
        <w:t xml:space="preserve">macroeconomic forecast together with fiscal performance is updated by </w:t>
      </w:r>
      <w:r w:rsidR="00827D32">
        <w:t xml:space="preserve">the </w:t>
      </w:r>
      <w:r>
        <w:t>Development Budget Coordination Committee in its mid-year report published on the DBM website,</w:t>
      </w:r>
      <w:r w:rsidRPr="005A497D">
        <w:t xml:space="preserve"> thus </w:t>
      </w:r>
      <w:r>
        <w:t xml:space="preserve">Dimension 14.1 scores </w:t>
      </w:r>
      <w:r w:rsidRPr="005A497D">
        <w:t>“</w:t>
      </w:r>
      <w:r>
        <w:t>A</w:t>
      </w:r>
      <w:r w:rsidRPr="005A497D">
        <w:t>” under the assessment framework.</w:t>
      </w:r>
    </w:p>
    <w:p w14:paraId="56520B52" w14:textId="77777777" w:rsidR="001762EE" w:rsidRPr="005A497D" w:rsidRDefault="001762EE" w:rsidP="00D318D0">
      <w:pPr>
        <w:pStyle w:val="NormalWeb"/>
        <w:autoSpaceDE w:val="0"/>
        <w:autoSpaceDN w:val="0"/>
        <w:adjustRightInd w:val="0"/>
        <w:spacing w:before="0" w:beforeAutospacing="0" w:after="0" w:afterAutospacing="0"/>
        <w:contextualSpacing/>
        <w:jc w:val="both"/>
      </w:pPr>
    </w:p>
    <w:p w14:paraId="24893F07" w14:textId="4C2061C7" w:rsidR="001762EE" w:rsidRPr="00BF1CCD" w:rsidRDefault="001762EE" w:rsidP="00D318D0">
      <w:pPr>
        <w:pStyle w:val="NormalWeb"/>
        <w:autoSpaceDE w:val="0"/>
        <w:autoSpaceDN w:val="0"/>
        <w:adjustRightInd w:val="0"/>
        <w:spacing w:before="0" w:beforeAutospacing="0" w:after="0" w:afterAutospacing="0"/>
        <w:contextualSpacing/>
        <w:jc w:val="both"/>
        <w:rPr>
          <w:b/>
          <w:i/>
        </w:rPr>
      </w:pPr>
      <w:r w:rsidRPr="00BF1CCD">
        <w:rPr>
          <w:b/>
          <w:i/>
        </w:rPr>
        <w:t>Dimension 14.2 Fiscal forecasts</w:t>
      </w:r>
    </w:p>
    <w:p w14:paraId="28123C39" w14:textId="77777777" w:rsidR="001762EE" w:rsidRPr="00514F9E" w:rsidRDefault="001762EE" w:rsidP="00D318D0">
      <w:pPr>
        <w:pStyle w:val="NormalWeb"/>
        <w:autoSpaceDE w:val="0"/>
        <w:autoSpaceDN w:val="0"/>
        <w:adjustRightInd w:val="0"/>
        <w:spacing w:before="0" w:beforeAutospacing="0" w:after="0" w:afterAutospacing="0"/>
        <w:contextualSpacing/>
        <w:jc w:val="both"/>
      </w:pPr>
    </w:p>
    <w:p w14:paraId="0A8657B0" w14:textId="752A4D65"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BESF presents the three-year projection of </w:t>
      </w:r>
      <w:r>
        <w:t>the main fiscal indicators,</w:t>
      </w:r>
      <w:r w:rsidRPr="005A497D">
        <w:rPr>
          <w:rStyle w:val="EndnoteReference"/>
        </w:rPr>
        <w:endnoteReference w:id="59"/>
      </w:r>
      <w:r>
        <w:t xml:space="preserve"> including </w:t>
      </w:r>
      <w:r w:rsidRPr="005A497D">
        <w:t xml:space="preserve">revenues </w:t>
      </w:r>
      <w:r>
        <w:t>that</w:t>
      </w:r>
      <w:r w:rsidRPr="005A497D">
        <w:t xml:space="preserve"> are generated based on the underlying macro-economic assumptions</w:t>
      </w:r>
      <w:r w:rsidRPr="005A497D">
        <w:rPr>
          <w:rStyle w:val="EndnoteReference"/>
        </w:rPr>
        <w:endnoteReference w:id="60"/>
      </w:r>
      <w:r w:rsidRPr="005A497D">
        <w:t xml:space="preserve"> and budget sensitivity to key macro-economic variables</w:t>
      </w:r>
      <w:r>
        <w:t>,</w:t>
      </w:r>
      <w:r>
        <w:rPr>
          <w:rStyle w:val="EndnoteReference"/>
        </w:rPr>
        <w:endnoteReference w:id="61"/>
      </w:r>
      <w:r>
        <w:t xml:space="preserve"> the aggregate expenditures, and the budget balance that in this case is a deficit</w:t>
      </w:r>
      <w:r w:rsidRPr="005A497D">
        <w:t>. The budget technical notes and the People’s Budget Proposals</w:t>
      </w:r>
      <w:r w:rsidRPr="005A497D">
        <w:rPr>
          <w:rStyle w:val="EndnoteReference"/>
        </w:rPr>
        <w:endnoteReference w:id="62"/>
      </w:r>
      <w:r w:rsidRPr="005A497D">
        <w:t xml:space="preserve"> explain the estimates as well as the underlying macro-economic assumptions. </w:t>
      </w:r>
    </w:p>
    <w:p w14:paraId="5EDEB874" w14:textId="77777777" w:rsidR="001762EE" w:rsidRDefault="001762EE" w:rsidP="004D1329">
      <w:pPr>
        <w:pStyle w:val="NormalWeb"/>
        <w:autoSpaceDE w:val="0"/>
        <w:autoSpaceDN w:val="0"/>
        <w:adjustRightInd w:val="0"/>
        <w:spacing w:before="0" w:beforeAutospacing="0" w:after="0" w:afterAutospacing="0"/>
        <w:contextualSpacing/>
        <w:jc w:val="both"/>
      </w:pPr>
    </w:p>
    <w:p w14:paraId="215718DA" w14:textId="72E80184"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F</w:t>
      </w:r>
      <w:r w:rsidRPr="005A497D">
        <w:t xml:space="preserve">orecast </w:t>
      </w:r>
      <w:r>
        <w:t xml:space="preserve">of the main fiscal indicators </w:t>
      </w:r>
      <w:r w:rsidRPr="005A497D">
        <w:t xml:space="preserve">as presented in BESF covers the fiscal year and the two subsequent years, thus this qualifies </w:t>
      </w:r>
      <w:r>
        <w:t xml:space="preserve">Dimension 14.2 </w:t>
      </w:r>
      <w:r w:rsidRPr="005A497D">
        <w:t>for a rating of “</w:t>
      </w:r>
      <w:r>
        <w:t>B</w:t>
      </w:r>
      <w:r w:rsidRPr="005A497D">
        <w:t>” under the assessment framework.</w:t>
      </w:r>
    </w:p>
    <w:p w14:paraId="016F5ED9" w14:textId="77777777" w:rsidR="001762EE" w:rsidRPr="005A497D" w:rsidRDefault="001762EE" w:rsidP="00D318D0">
      <w:pPr>
        <w:pStyle w:val="NormalWeb"/>
        <w:autoSpaceDE w:val="0"/>
        <w:autoSpaceDN w:val="0"/>
        <w:adjustRightInd w:val="0"/>
        <w:spacing w:before="0" w:beforeAutospacing="0" w:after="0" w:afterAutospacing="0"/>
        <w:contextualSpacing/>
        <w:jc w:val="both"/>
      </w:pPr>
    </w:p>
    <w:p w14:paraId="28966D98" w14:textId="5AB653F0" w:rsidR="001762EE" w:rsidRPr="00BF1CCD" w:rsidRDefault="001762EE" w:rsidP="00D318D0">
      <w:pPr>
        <w:pStyle w:val="NormalWeb"/>
        <w:autoSpaceDE w:val="0"/>
        <w:autoSpaceDN w:val="0"/>
        <w:adjustRightInd w:val="0"/>
        <w:spacing w:before="0" w:beforeAutospacing="0" w:after="0" w:afterAutospacing="0"/>
        <w:contextualSpacing/>
        <w:jc w:val="both"/>
        <w:rPr>
          <w:b/>
          <w:i/>
        </w:rPr>
      </w:pPr>
      <w:r w:rsidRPr="00BF1CCD">
        <w:rPr>
          <w:b/>
          <w:i/>
        </w:rPr>
        <w:t>Dimension 14.3 Macro-fiscal sensitivity analysis</w:t>
      </w:r>
    </w:p>
    <w:p w14:paraId="34BA2E00" w14:textId="77777777" w:rsidR="001762EE" w:rsidRPr="004D1329" w:rsidRDefault="001762EE" w:rsidP="00D318D0">
      <w:pPr>
        <w:pStyle w:val="NormalWeb"/>
        <w:autoSpaceDE w:val="0"/>
        <w:autoSpaceDN w:val="0"/>
        <w:adjustRightInd w:val="0"/>
        <w:spacing w:before="0" w:beforeAutospacing="0" w:after="0" w:afterAutospacing="0"/>
        <w:contextualSpacing/>
        <w:jc w:val="both"/>
        <w:rPr>
          <w:i/>
        </w:rPr>
      </w:pPr>
    </w:p>
    <w:p w14:paraId="7F580922" w14:textId="12B6CB1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information in the BESF includes all the major economic aggregates, aggregate case scenarios (both high and low), and the risk to fiscal variables in the form of a sensitivity analysis. The budget sensitivity to key macroeconomic variables is shown in BESF Table A.6. While the debt sustainability analysis is available in the published Fiscal Risks Statements, Dimension 14.3 qualifies for an “A</w:t>
      </w:r>
      <w:r w:rsidRPr="005A497D">
        <w:t>” score.</w:t>
      </w:r>
    </w:p>
    <w:p w14:paraId="7F925918" w14:textId="77777777" w:rsidR="001762EE" w:rsidRPr="005A497D" w:rsidRDefault="001762EE" w:rsidP="005A497D">
      <w:pPr>
        <w:pStyle w:val="NormalWeb"/>
        <w:autoSpaceDE w:val="0"/>
        <w:autoSpaceDN w:val="0"/>
        <w:adjustRightInd w:val="0"/>
        <w:spacing w:before="0" w:beforeAutospacing="0" w:after="0" w:afterAutospacing="0"/>
        <w:contextualSpacing/>
        <w:jc w:val="both"/>
      </w:pPr>
    </w:p>
    <w:p w14:paraId="2C70F0A8" w14:textId="0CE590E9" w:rsidR="001762EE" w:rsidRPr="005A497D" w:rsidRDefault="001762EE" w:rsidP="001112A1">
      <w:pPr>
        <w:pStyle w:val="PEFATable"/>
        <w:spacing w:after="40"/>
        <w:jc w:val="both"/>
        <w:rPr>
          <w:sz w:val="24"/>
          <w:szCs w:val="24"/>
        </w:rPr>
      </w:pPr>
      <w:bookmarkStart w:id="122" w:name="_Toc454889255"/>
      <w:r w:rsidRPr="005A497D">
        <w:rPr>
          <w:sz w:val="24"/>
          <w:szCs w:val="24"/>
        </w:rPr>
        <w:t>Table 3.</w:t>
      </w:r>
      <w:r>
        <w:rPr>
          <w:sz w:val="24"/>
          <w:szCs w:val="24"/>
        </w:rPr>
        <w:t>1</w:t>
      </w:r>
      <w:r w:rsidR="00A85C58">
        <w:rPr>
          <w:sz w:val="24"/>
          <w:szCs w:val="24"/>
        </w:rPr>
        <w:t>3</w:t>
      </w:r>
      <w:r w:rsidRPr="005A497D">
        <w:rPr>
          <w:sz w:val="24"/>
          <w:szCs w:val="24"/>
        </w:rPr>
        <w:t>: National Government Fiscal Position</w:t>
      </w:r>
      <w:bookmarkEnd w:id="122"/>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98"/>
        <w:gridCol w:w="1874"/>
        <w:gridCol w:w="1875"/>
        <w:gridCol w:w="1875"/>
      </w:tblGrid>
      <w:tr w:rsidR="001762EE" w:rsidRPr="005A497D" w14:paraId="68F15E21" w14:textId="77777777" w:rsidTr="004D1329">
        <w:trPr>
          <w:trHeight w:val="397"/>
          <w:tblHeader/>
        </w:trPr>
        <w:tc>
          <w:tcPr>
            <w:tcW w:w="3690" w:type="dxa"/>
            <w:tcBorders>
              <w:top w:val="double" w:sz="4" w:space="0" w:color="auto"/>
              <w:bottom w:val="double" w:sz="4" w:space="0" w:color="auto"/>
            </w:tcBorders>
            <w:shd w:val="clear" w:color="auto" w:fill="D9D9D9" w:themeFill="background1" w:themeFillShade="D9"/>
            <w:vAlign w:val="center"/>
          </w:tcPr>
          <w:p w14:paraId="03CD33BA"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rPr>
            </w:pPr>
            <w:r w:rsidRPr="00FA7D33">
              <w:rPr>
                <w:b/>
                <w:sz w:val="20"/>
                <w:szCs w:val="20"/>
              </w:rPr>
              <w:t>Particulars</w:t>
            </w:r>
          </w:p>
        </w:tc>
        <w:tc>
          <w:tcPr>
            <w:tcW w:w="1888" w:type="dxa"/>
            <w:tcBorders>
              <w:top w:val="double" w:sz="4" w:space="0" w:color="auto"/>
              <w:bottom w:val="double" w:sz="4" w:space="0" w:color="auto"/>
            </w:tcBorders>
            <w:shd w:val="clear" w:color="auto" w:fill="D9D9D9" w:themeFill="background1" w:themeFillShade="D9"/>
            <w:vAlign w:val="center"/>
          </w:tcPr>
          <w:p w14:paraId="7246201D"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rPr>
            </w:pPr>
            <w:r w:rsidRPr="00FA7D33">
              <w:rPr>
                <w:b/>
                <w:sz w:val="20"/>
                <w:szCs w:val="20"/>
              </w:rPr>
              <w:t>2014</w:t>
            </w:r>
          </w:p>
        </w:tc>
        <w:tc>
          <w:tcPr>
            <w:tcW w:w="1889" w:type="dxa"/>
            <w:tcBorders>
              <w:top w:val="double" w:sz="4" w:space="0" w:color="auto"/>
              <w:bottom w:val="double" w:sz="4" w:space="0" w:color="auto"/>
            </w:tcBorders>
            <w:shd w:val="clear" w:color="auto" w:fill="D9D9D9" w:themeFill="background1" w:themeFillShade="D9"/>
            <w:vAlign w:val="center"/>
          </w:tcPr>
          <w:p w14:paraId="074AE58F"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rPr>
            </w:pPr>
            <w:r w:rsidRPr="00FA7D33">
              <w:rPr>
                <w:b/>
                <w:sz w:val="20"/>
                <w:szCs w:val="20"/>
              </w:rPr>
              <w:t>2013</w:t>
            </w:r>
          </w:p>
        </w:tc>
        <w:tc>
          <w:tcPr>
            <w:tcW w:w="1889" w:type="dxa"/>
            <w:tcBorders>
              <w:top w:val="double" w:sz="4" w:space="0" w:color="auto"/>
              <w:bottom w:val="double" w:sz="4" w:space="0" w:color="auto"/>
            </w:tcBorders>
            <w:shd w:val="clear" w:color="auto" w:fill="D9D9D9" w:themeFill="background1" w:themeFillShade="D9"/>
            <w:vAlign w:val="center"/>
          </w:tcPr>
          <w:p w14:paraId="5F555D83"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rPr>
            </w:pPr>
            <w:r w:rsidRPr="00FA7D33">
              <w:rPr>
                <w:b/>
                <w:sz w:val="20"/>
                <w:szCs w:val="20"/>
              </w:rPr>
              <w:t>2012</w:t>
            </w:r>
          </w:p>
        </w:tc>
      </w:tr>
      <w:tr w:rsidR="001762EE" w:rsidRPr="005A497D" w14:paraId="24C0BBC0" w14:textId="77777777" w:rsidTr="004D1329">
        <w:trPr>
          <w:trHeight w:val="283"/>
        </w:trPr>
        <w:tc>
          <w:tcPr>
            <w:tcW w:w="3690" w:type="dxa"/>
            <w:tcBorders>
              <w:top w:val="double" w:sz="4" w:space="0" w:color="auto"/>
            </w:tcBorders>
          </w:tcPr>
          <w:p w14:paraId="0EB4F547" w14:textId="5DF4EC8C" w:rsidR="001762EE" w:rsidRPr="009A0E96" w:rsidRDefault="001762EE" w:rsidP="001C0CCB">
            <w:pPr>
              <w:pStyle w:val="NormalWeb"/>
              <w:autoSpaceDE w:val="0"/>
              <w:autoSpaceDN w:val="0"/>
              <w:adjustRightInd w:val="0"/>
              <w:spacing w:before="0" w:beforeAutospacing="0" w:after="0" w:afterAutospacing="0"/>
              <w:contextualSpacing/>
              <w:jc w:val="both"/>
              <w:rPr>
                <w:sz w:val="20"/>
                <w:szCs w:val="20"/>
              </w:rPr>
            </w:pPr>
            <w:r w:rsidRPr="009A0E96">
              <w:rPr>
                <w:sz w:val="20"/>
                <w:szCs w:val="20"/>
              </w:rPr>
              <w:t>Revenue</w:t>
            </w:r>
            <w:r>
              <w:rPr>
                <w:sz w:val="20"/>
                <w:szCs w:val="20"/>
              </w:rPr>
              <w:t xml:space="preserve"> </w:t>
            </w:r>
            <w:r w:rsidRPr="009A0E96">
              <w:rPr>
                <w:i/>
                <w:sz w:val="20"/>
                <w:szCs w:val="20"/>
              </w:rPr>
              <w:t>(PhP millions)</w:t>
            </w:r>
          </w:p>
        </w:tc>
        <w:tc>
          <w:tcPr>
            <w:tcW w:w="1888" w:type="dxa"/>
            <w:tcBorders>
              <w:top w:val="double" w:sz="4" w:space="0" w:color="auto"/>
            </w:tcBorders>
          </w:tcPr>
          <w:p w14:paraId="4F325DBD"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1,908,527</w:t>
            </w:r>
          </w:p>
        </w:tc>
        <w:tc>
          <w:tcPr>
            <w:tcW w:w="1889" w:type="dxa"/>
            <w:tcBorders>
              <w:top w:val="double" w:sz="4" w:space="0" w:color="auto"/>
            </w:tcBorders>
          </w:tcPr>
          <w:p w14:paraId="5A42F74C"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1,716,093</w:t>
            </w:r>
          </w:p>
        </w:tc>
        <w:tc>
          <w:tcPr>
            <w:tcW w:w="1889" w:type="dxa"/>
            <w:tcBorders>
              <w:top w:val="double" w:sz="4" w:space="0" w:color="auto"/>
            </w:tcBorders>
          </w:tcPr>
          <w:p w14:paraId="5615FE11"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1,534,932</w:t>
            </w:r>
          </w:p>
        </w:tc>
      </w:tr>
      <w:tr w:rsidR="001762EE" w:rsidRPr="005A497D" w14:paraId="34A90710" w14:textId="77777777" w:rsidTr="004D1329">
        <w:trPr>
          <w:trHeight w:val="283"/>
        </w:trPr>
        <w:tc>
          <w:tcPr>
            <w:tcW w:w="3690" w:type="dxa"/>
          </w:tcPr>
          <w:p w14:paraId="10EF8BF8" w14:textId="49180132" w:rsidR="001762EE" w:rsidRPr="009A0E96" w:rsidRDefault="001762EE" w:rsidP="001C0CCB">
            <w:pPr>
              <w:pStyle w:val="NormalWeb"/>
              <w:autoSpaceDE w:val="0"/>
              <w:autoSpaceDN w:val="0"/>
              <w:adjustRightInd w:val="0"/>
              <w:spacing w:before="0" w:beforeAutospacing="0" w:after="0" w:afterAutospacing="0"/>
              <w:contextualSpacing/>
              <w:jc w:val="both"/>
              <w:rPr>
                <w:sz w:val="20"/>
                <w:szCs w:val="20"/>
              </w:rPr>
            </w:pPr>
            <w:r w:rsidRPr="009A0E96">
              <w:rPr>
                <w:sz w:val="20"/>
                <w:szCs w:val="20"/>
              </w:rPr>
              <w:t>Expenditures</w:t>
            </w:r>
            <w:r>
              <w:rPr>
                <w:sz w:val="20"/>
                <w:szCs w:val="20"/>
              </w:rPr>
              <w:t xml:space="preserve"> </w:t>
            </w:r>
            <w:r w:rsidRPr="009A0E96">
              <w:rPr>
                <w:i/>
                <w:sz w:val="20"/>
                <w:szCs w:val="20"/>
              </w:rPr>
              <w:t>(PhP millions)</w:t>
            </w:r>
          </w:p>
        </w:tc>
        <w:tc>
          <w:tcPr>
            <w:tcW w:w="1888" w:type="dxa"/>
          </w:tcPr>
          <w:p w14:paraId="50D96D0E"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1,981,619</w:t>
            </w:r>
          </w:p>
        </w:tc>
        <w:tc>
          <w:tcPr>
            <w:tcW w:w="1889" w:type="dxa"/>
          </w:tcPr>
          <w:p w14:paraId="40398242"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1,880,155</w:t>
            </w:r>
          </w:p>
        </w:tc>
        <w:tc>
          <w:tcPr>
            <w:tcW w:w="1889" w:type="dxa"/>
          </w:tcPr>
          <w:p w14:paraId="79470573"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1,777,759</w:t>
            </w:r>
          </w:p>
        </w:tc>
      </w:tr>
      <w:tr w:rsidR="001762EE" w:rsidRPr="005A497D" w14:paraId="7970A7C4" w14:textId="77777777" w:rsidTr="004D1329">
        <w:trPr>
          <w:trHeight w:val="283"/>
        </w:trPr>
        <w:tc>
          <w:tcPr>
            <w:tcW w:w="3690" w:type="dxa"/>
          </w:tcPr>
          <w:p w14:paraId="5380B512" w14:textId="38F2C1BE" w:rsidR="001762EE" w:rsidRPr="009A0E96" w:rsidRDefault="001762EE" w:rsidP="001C0CCB">
            <w:pPr>
              <w:pStyle w:val="NormalWeb"/>
              <w:autoSpaceDE w:val="0"/>
              <w:autoSpaceDN w:val="0"/>
              <w:adjustRightInd w:val="0"/>
              <w:spacing w:before="0" w:beforeAutospacing="0" w:after="0" w:afterAutospacing="0"/>
              <w:contextualSpacing/>
              <w:jc w:val="both"/>
              <w:rPr>
                <w:b/>
                <w:sz w:val="20"/>
                <w:szCs w:val="20"/>
              </w:rPr>
            </w:pPr>
            <w:r w:rsidRPr="009A0E96">
              <w:rPr>
                <w:b/>
                <w:sz w:val="20"/>
                <w:szCs w:val="20"/>
              </w:rPr>
              <w:t xml:space="preserve">Deficit </w:t>
            </w:r>
            <w:r>
              <w:rPr>
                <w:b/>
                <w:sz w:val="20"/>
                <w:szCs w:val="20"/>
              </w:rPr>
              <w:t xml:space="preserve"> </w:t>
            </w:r>
            <w:r w:rsidRPr="009A0E96">
              <w:rPr>
                <w:i/>
                <w:sz w:val="20"/>
                <w:szCs w:val="20"/>
              </w:rPr>
              <w:t>(PhP millions)</w:t>
            </w:r>
          </w:p>
        </w:tc>
        <w:tc>
          <w:tcPr>
            <w:tcW w:w="1888" w:type="dxa"/>
          </w:tcPr>
          <w:p w14:paraId="0BAF5F97" w14:textId="77777777" w:rsidR="001762EE" w:rsidRPr="009A0E96" w:rsidRDefault="001762EE" w:rsidP="005A497D">
            <w:pPr>
              <w:pStyle w:val="NormalWeb"/>
              <w:autoSpaceDE w:val="0"/>
              <w:autoSpaceDN w:val="0"/>
              <w:adjustRightInd w:val="0"/>
              <w:spacing w:before="0" w:beforeAutospacing="0" w:after="0" w:afterAutospacing="0"/>
              <w:ind w:right="397"/>
              <w:jc w:val="right"/>
              <w:rPr>
                <w:b/>
                <w:sz w:val="20"/>
                <w:szCs w:val="20"/>
              </w:rPr>
            </w:pPr>
            <w:r w:rsidRPr="009A0E96">
              <w:rPr>
                <w:b/>
                <w:sz w:val="20"/>
                <w:szCs w:val="20"/>
              </w:rPr>
              <w:t>73,092</w:t>
            </w:r>
          </w:p>
        </w:tc>
        <w:tc>
          <w:tcPr>
            <w:tcW w:w="1889" w:type="dxa"/>
          </w:tcPr>
          <w:p w14:paraId="61F2D47B" w14:textId="77777777" w:rsidR="001762EE" w:rsidRPr="009A0E96" w:rsidRDefault="001762EE" w:rsidP="005A497D">
            <w:pPr>
              <w:pStyle w:val="NormalWeb"/>
              <w:autoSpaceDE w:val="0"/>
              <w:autoSpaceDN w:val="0"/>
              <w:adjustRightInd w:val="0"/>
              <w:spacing w:before="0" w:beforeAutospacing="0" w:after="0" w:afterAutospacing="0"/>
              <w:ind w:right="397"/>
              <w:jc w:val="right"/>
              <w:rPr>
                <w:b/>
                <w:sz w:val="20"/>
                <w:szCs w:val="20"/>
              </w:rPr>
            </w:pPr>
            <w:r w:rsidRPr="009A0E96">
              <w:rPr>
                <w:b/>
                <w:sz w:val="20"/>
                <w:szCs w:val="20"/>
              </w:rPr>
              <w:t>164,062</w:t>
            </w:r>
          </w:p>
        </w:tc>
        <w:tc>
          <w:tcPr>
            <w:tcW w:w="1889" w:type="dxa"/>
          </w:tcPr>
          <w:p w14:paraId="3BCE6E77" w14:textId="77777777" w:rsidR="001762EE" w:rsidRPr="009A0E96" w:rsidRDefault="001762EE" w:rsidP="005A497D">
            <w:pPr>
              <w:pStyle w:val="NormalWeb"/>
              <w:autoSpaceDE w:val="0"/>
              <w:autoSpaceDN w:val="0"/>
              <w:adjustRightInd w:val="0"/>
              <w:spacing w:before="0" w:beforeAutospacing="0" w:after="0" w:afterAutospacing="0"/>
              <w:ind w:right="397"/>
              <w:jc w:val="right"/>
              <w:rPr>
                <w:b/>
                <w:sz w:val="20"/>
                <w:szCs w:val="20"/>
              </w:rPr>
            </w:pPr>
            <w:r w:rsidRPr="009A0E96">
              <w:rPr>
                <w:b/>
                <w:sz w:val="20"/>
                <w:szCs w:val="20"/>
              </w:rPr>
              <w:t>242,827</w:t>
            </w:r>
          </w:p>
        </w:tc>
      </w:tr>
      <w:tr w:rsidR="001762EE" w:rsidRPr="005A497D" w14:paraId="6B5A7198" w14:textId="77777777" w:rsidTr="004D1329">
        <w:trPr>
          <w:trHeight w:val="283"/>
        </w:trPr>
        <w:tc>
          <w:tcPr>
            <w:tcW w:w="3690" w:type="dxa"/>
          </w:tcPr>
          <w:p w14:paraId="71E0F08D" w14:textId="4AB11C83" w:rsidR="001762EE" w:rsidRPr="009A0E96" w:rsidRDefault="001762EE" w:rsidP="001C0CCB">
            <w:pPr>
              <w:pStyle w:val="NormalWeb"/>
              <w:autoSpaceDE w:val="0"/>
              <w:autoSpaceDN w:val="0"/>
              <w:adjustRightInd w:val="0"/>
              <w:spacing w:before="0" w:beforeAutospacing="0" w:after="0" w:afterAutospacing="0"/>
              <w:contextualSpacing/>
              <w:jc w:val="both"/>
              <w:rPr>
                <w:sz w:val="20"/>
                <w:szCs w:val="20"/>
              </w:rPr>
            </w:pPr>
            <w:r w:rsidRPr="009A0E96">
              <w:rPr>
                <w:sz w:val="20"/>
                <w:szCs w:val="20"/>
              </w:rPr>
              <w:t xml:space="preserve">Nominal </w:t>
            </w:r>
            <w:r>
              <w:rPr>
                <w:sz w:val="20"/>
                <w:szCs w:val="20"/>
              </w:rPr>
              <w:t xml:space="preserve">GDP </w:t>
            </w:r>
            <w:r w:rsidRPr="009A0E96">
              <w:rPr>
                <w:i/>
                <w:sz w:val="20"/>
                <w:szCs w:val="20"/>
              </w:rPr>
              <w:t>(PhP millions)</w:t>
            </w:r>
          </w:p>
        </w:tc>
        <w:tc>
          <w:tcPr>
            <w:tcW w:w="1888" w:type="dxa"/>
          </w:tcPr>
          <w:p w14:paraId="5D795638"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12,642,736</w:t>
            </w:r>
          </w:p>
        </w:tc>
        <w:tc>
          <w:tcPr>
            <w:tcW w:w="1889" w:type="dxa"/>
          </w:tcPr>
          <w:p w14:paraId="12ED8C12"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11,548,191</w:t>
            </w:r>
          </w:p>
        </w:tc>
        <w:tc>
          <w:tcPr>
            <w:tcW w:w="1889" w:type="dxa"/>
          </w:tcPr>
          <w:p w14:paraId="3E234D54" w14:textId="77777777" w:rsidR="001762EE" w:rsidRPr="009A0E96" w:rsidRDefault="001762EE" w:rsidP="005A497D">
            <w:pPr>
              <w:pStyle w:val="NormalWeb"/>
              <w:autoSpaceDE w:val="0"/>
              <w:autoSpaceDN w:val="0"/>
              <w:adjustRightInd w:val="0"/>
              <w:spacing w:before="0" w:beforeAutospacing="0" w:after="0" w:afterAutospacing="0"/>
              <w:ind w:right="397"/>
              <w:jc w:val="right"/>
              <w:rPr>
                <w:sz w:val="20"/>
                <w:szCs w:val="20"/>
              </w:rPr>
            </w:pPr>
            <w:r w:rsidRPr="009A0E96">
              <w:rPr>
                <w:sz w:val="20"/>
                <w:szCs w:val="20"/>
              </w:rPr>
              <w:t>10,564,886</w:t>
            </w:r>
          </w:p>
        </w:tc>
      </w:tr>
      <w:tr w:rsidR="001762EE" w:rsidRPr="005A497D" w14:paraId="783911F5" w14:textId="77777777" w:rsidTr="004D1329">
        <w:trPr>
          <w:trHeight w:val="283"/>
        </w:trPr>
        <w:tc>
          <w:tcPr>
            <w:tcW w:w="3690" w:type="dxa"/>
          </w:tcPr>
          <w:p w14:paraId="07C4CB82" w14:textId="256DB40C" w:rsidR="001762EE" w:rsidRPr="009A0E96" w:rsidRDefault="001762EE" w:rsidP="001C0CCB">
            <w:pPr>
              <w:pStyle w:val="NormalWeb"/>
              <w:autoSpaceDE w:val="0"/>
              <w:autoSpaceDN w:val="0"/>
              <w:adjustRightInd w:val="0"/>
              <w:spacing w:before="0" w:beforeAutospacing="0" w:after="0" w:afterAutospacing="0"/>
              <w:contextualSpacing/>
              <w:jc w:val="both"/>
              <w:rPr>
                <w:i/>
                <w:sz w:val="20"/>
                <w:szCs w:val="20"/>
              </w:rPr>
            </w:pPr>
            <w:r w:rsidRPr="00FA7D33">
              <w:rPr>
                <w:sz w:val="20"/>
                <w:szCs w:val="20"/>
              </w:rPr>
              <w:t xml:space="preserve">Deficit </w:t>
            </w:r>
            <w:r w:rsidR="00FA7D33">
              <w:rPr>
                <w:i/>
                <w:sz w:val="20"/>
                <w:szCs w:val="20"/>
              </w:rPr>
              <w:t>(</w:t>
            </w:r>
            <w:r w:rsidRPr="009A0E96">
              <w:rPr>
                <w:i/>
                <w:sz w:val="20"/>
                <w:szCs w:val="20"/>
              </w:rPr>
              <w:t>% of GDP</w:t>
            </w:r>
            <w:r w:rsidR="00FA7D33">
              <w:rPr>
                <w:i/>
                <w:sz w:val="20"/>
                <w:szCs w:val="20"/>
              </w:rPr>
              <w:t>)</w:t>
            </w:r>
          </w:p>
        </w:tc>
        <w:tc>
          <w:tcPr>
            <w:tcW w:w="1888" w:type="dxa"/>
          </w:tcPr>
          <w:p w14:paraId="23BFF44C" w14:textId="079FB585" w:rsidR="001762EE" w:rsidRPr="00FA7D33" w:rsidRDefault="001762EE" w:rsidP="001C0CCB">
            <w:pPr>
              <w:pStyle w:val="NormalWeb"/>
              <w:autoSpaceDE w:val="0"/>
              <w:autoSpaceDN w:val="0"/>
              <w:adjustRightInd w:val="0"/>
              <w:spacing w:before="0" w:beforeAutospacing="0" w:after="0" w:afterAutospacing="0"/>
              <w:contextualSpacing/>
              <w:jc w:val="center"/>
              <w:rPr>
                <w:sz w:val="20"/>
                <w:szCs w:val="20"/>
              </w:rPr>
            </w:pPr>
            <w:r w:rsidRPr="00FA7D33">
              <w:rPr>
                <w:sz w:val="20"/>
                <w:szCs w:val="20"/>
              </w:rPr>
              <w:t>0.6</w:t>
            </w:r>
          </w:p>
        </w:tc>
        <w:tc>
          <w:tcPr>
            <w:tcW w:w="1889" w:type="dxa"/>
          </w:tcPr>
          <w:p w14:paraId="160BD8AF" w14:textId="15036053" w:rsidR="001762EE" w:rsidRPr="00FA7D33" w:rsidRDefault="001762EE" w:rsidP="001C0CCB">
            <w:pPr>
              <w:pStyle w:val="NormalWeb"/>
              <w:autoSpaceDE w:val="0"/>
              <w:autoSpaceDN w:val="0"/>
              <w:adjustRightInd w:val="0"/>
              <w:spacing w:before="0" w:beforeAutospacing="0" w:after="0" w:afterAutospacing="0"/>
              <w:contextualSpacing/>
              <w:jc w:val="center"/>
              <w:rPr>
                <w:sz w:val="20"/>
                <w:szCs w:val="20"/>
              </w:rPr>
            </w:pPr>
            <w:r w:rsidRPr="00FA7D33">
              <w:rPr>
                <w:sz w:val="20"/>
                <w:szCs w:val="20"/>
              </w:rPr>
              <w:t>1.4</w:t>
            </w:r>
          </w:p>
        </w:tc>
        <w:tc>
          <w:tcPr>
            <w:tcW w:w="1889" w:type="dxa"/>
          </w:tcPr>
          <w:p w14:paraId="5F847994" w14:textId="3D92FBB0" w:rsidR="001762EE" w:rsidRPr="00FA7D33" w:rsidRDefault="001762EE" w:rsidP="001C0CCB">
            <w:pPr>
              <w:pStyle w:val="NormalWeb"/>
              <w:autoSpaceDE w:val="0"/>
              <w:autoSpaceDN w:val="0"/>
              <w:adjustRightInd w:val="0"/>
              <w:spacing w:before="0" w:beforeAutospacing="0" w:after="0" w:afterAutospacing="0"/>
              <w:contextualSpacing/>
              <w:jc w:val="center"/>
              <w:rPr>
                <w:sz w:val="20"/>
                <w:szCs w:val="20"/>
              </w:rPr>
            </w:pPr>
            <w:r w:rsidRPr="00FA7D33">
              <w:rPr>
                <w:sz w:val="20"/>
                <w:szCs w:val="20"/>
              </w:rPr>
              <w:t>2.3</w:t>
            </w:r>
          </w:p>
        </w:tc>
      </w:tr>
    </w:tbl>
    <w:p w14:paraId="4072D31F" w14:textId="77777777" w:rsidR="001762EE" w:rsidRPr="005A497D" w:rsidRDefault="001762EE" w:rsidP="005A497D">
      <w:pPr>
        <w:spacing w:before="40"/>
        <w:jc w:val="both"/>
        <w:rPr>
          <w:sz w:val="20"/>
          <w:szCs w:val="20"/>
        </w:rPr>
      </w:pPr>
      <w:r w:rsidRPr="009A0E96">
        <w:rPr>
          <w:i/>
          <w:sz w:val="20"/>
          <w:szCs w:val="20"/>
        </w:rPr>
        <w:t>Source</w:t>
      </w:r>
      <w:r w:rsidRPr="005A497D">
        <w:rPr>
          <w:sz w:val="20"/>
          <w:szCs w:val="20"/>
        </w:rPr>
        <w:t>: BTr.</w:t>
      </w:r>
    </w:p>
    <w:p w14:paraId="101A347D" w14:textId="77777777" w:rsidR="001762EE" w:rsidRDefault="001762EE" w:rsidP="00270B86">
      <w:pPr>
        <w:jc w:val="both"/>
      </w:pPr>
    </w:p>
    <w:p w14:paraId="25436FFB" w14:textId="77777777" w:rsidR="00E363F7" w:rsidRDefault="00E363F7" w:rsidP="00270B86">
      <w:pPr>
        <w:jc w:val="both"/>
      </w:pPr>
    </w:p>
    <w:p w14:paraId="272BC1A2" w14:textId="77777777" w:rsidR="00E363F7" w:rsidRPr="005A497D" w:rsidRDefault="00E363F7" w:rsidP="00270B86">
      <w:pPr>
        <w:jc w:val="both"/>
      </w:pPr>
    </w:p>
    <w:p w14:paraId="3F987786" w14:textId="77777777" w:rsidR="00FA7D33" w:rsidRDefault="00FA7D33" w:rsidP="00411651">
      <w:pPr>
        <w:pStyle w:val="Heading3"/>
      </w:pPr>
      <w:bookmarkStart w:id="123" w:name="_Toc328028442"/>
      <w:bookmarkStart w:id="124" w:name="_Toc454811665"/>
    </w:p>
    <w:p w14:paraId="22CD500A" w14:textId="77777777" w:rsidR="00FA7D33" w:rsidRPr="00FA7D33" w:rsidRDefault="00FA7D33" w:rsidP="00FA7D33"/>
    <w:p w14:paraId="585C6C49" w14:textId="37E01A72" w:rsidR="001762EE" w:rsidRDefault="001762EE" w:rsidP="00411651">
      <w:pPr>
        <w:pStyle w:val="Heading3"/>
      </w:pPr>
      <w:bookmarkStart w:id="125" w:name="_Toc454888810"/>
      <w:r w:rsidRPr="005A497D">
        <w:t xml:space="preserve">PI-15 </w:t>
      </w:r>
      <w:bookmarkEnd w:id="123"/>
      <w:r>
        <w:t>Fiscal strategy</w:t>
      </w:r>
      <w:bookmarkEnd w:id="124"/>
      <w:bookmarkEnd w:id="125"/>
    </w:p>
    <w:p w14:paraId="5636A729" w14:textId="77777777" w:rsidR="001762EE" w:rsidRPr="00BA3BB5" w:rsidRDefault="001762EE" w:rsidP="00BA3BB5"/>
    <w:p w14:paraId="6CB3144B" w14:textId="10FBE04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CD3281">
        <w:t xml:space="preserve">This indicator provides an analysis of the capacity to develop and implement a clear fiscal strategy. It also measures the ability to develop and assess the fiscal impact of revenue and expenditure policy proposals that support the achievement of the </w:t>
      </w:r>
      <w:r>
        <w:t>G</w:t>
      </w:r>
      <w:r w:rsidRPr="00CD3281">
        <w:t>overnment’s fiscal goals</w:t>
      </w:r>
      <w:r w:rsidRPr="005A497D">
        <w:t>. The revenue budgeting process is not free of political interferences</w:t>
      </w:r>
      <w:r>
        <w:t xml:space="preserve">; </w:t>
      </w:r>
      <w:r w:rsidRPr="005A497D">
        <w:t>thus having transparent and formalized processes in place is essential to ensure accountability for the revenue collection function.</w:t>
      </w:r>
    </w:p>
    <w:p w14:paraId="2D1E710A" w14:textId="77777777" w:rsidR="001762EE" w:rsidRPr="005A497D" w:rsidRDefault="001762EE" w:rsidP="003A344A">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350"/>
        <w:gridCol w:w="4406"/>
      </w:tblGrid>
      <w:tr w:rsidR="001762EE" w:rsidRPr="00D53B92" w14:paraId="409904C6" w14:textId="77777777" w:rsidTr="009C1A9E">
        <w:trPr>
          <w:trHeight w:val="397"/>
        </w:trPr>
        <w:tc>
          <w:tcPr>
            <w:tcW w:w="3600" w:type="dxa"/>
            <w:tcBorders>
              <w:top w:val="double" w:sz="4" w:space="0" w:color="auto"/>
            </w:tcBorders>
            <w:shd w:val="clear" w:color="auto" w:fill="D9D9D9"/>
            <w:vAlign w:val="center"/>
          </w:tcPr>
          <w:p w14:paraId="03E366C7" w14:textId="77777777" w:rsidR="001762EE" w:rsidRPr="00D53B92" w:rsidRDefault="001762EE" w:rsidP="00954E2E">
            <w:pPr>
              <w:spacing w:before="40" w:after="40"/>
              <w:jc w:val="center"/>
              <w:rPr>
                <w:b/>
                <w:i/>
              </w:rPr>
            </w:pPr>
            <w:r w:rsidRPr="00D53B92">
              <w:rPr>
                <w:b/>
                <w:i/>
                <w:sz w:val="22"/>
                <w:szCs w:val="22"/>
              </w:rPr>
              <w:t>Indicator / Dimension</w:t>
            </w:r>
          </w:p>
        </w:tc>
        <w:tc>
          <w:tcPr>
            <w:tcW w:w="1350" w:type="dxa"/>
            <w:tcBorders>
              <w:top w:val="double" w:sz="4" w:space="0" w:color="auto"/>
            </w:tcBorders>
            <w:shd w:val="clear" w:color="auto" w:fill="D9D9D9"/>
            <w:vAlign w:val="center"/>
          </w:tcPr>
          <w:p w14:paraId="45EA811D" w14:textId="77777777" w:rsidR="001762EE" w:rsidRPr="00D53B92" w:rsidRDefault="001762EE" w:rsidP="00954E2E">
            <w:pPr>
              <w:spacing w:before="40" w:after="40"/>
              <w:jc w:val="center"/>
              <w:rPr>
                <w:b/>
                <w:i/>
              </w:rPr>
            </w:pPr>
            <w:r w:rsidRPr="00D53B92">
              <w:rPr>
                <w:b/>
                <w:i/>
                <w:sz w:val="22"/>
                <w:szCs w:val="22"/>
              </w:rPr>
              <w:t>Score</w:t>
            </w:r>
          </w:p>
        </w:tc>
        <w:tc>
          <w:tcPr>
            <w:tcW w:w="4406" w:type="dxa"/>
            <w:tcBorders>
              <w:top w:val="double" w:sz="4" w:space="0" w:color="auto"/>
            </w:tcBorders>
            <w:shd w:val="clear" w:color="auto" w:fill="D9D9D9"/>
            <w:vAlign w:val="center"/>
          </w:tcPr>
          <w:p w14:paraId="5067FE71" w14:textId="77777777" w:rsidR="001762EE" w:rsidRPr="00D53B92" w:rsidRDefault="001762EE" w:rsidP="00954E2E">
            <w:pPr>
              <w:spacing w:before="40" w:after="40"/>
              <w:jc w:val="center"/>
              <w:rPr>
                <w:b/>
                <w:i/>
              </w:rPr>
            </w:pPr>
            <w:r w:rsidRPr="00D53B92">
              <w:rPr>
                <w:b/>
                <w:i/>
                <w:sz w:val="22"/>
                <w:szCs w:val="22"/>
              </w:rPr>
              <w:t>Brief Explanation</w:t>
            </w:r>
          </w:p>
        </w:tc>
      </w:tr>
      <w:tr w:rsidR="001762EE" w:rsidRPr="005A497D" w14:paraId="21F5A01A" w14:textId="77777777" w:rsidTr="009C1A9E">
        <w:tc>
          <w:tcPr>
            <w:tcW w:w="3600" w:type="dxa"/>
            <w:tcBorders>
              <w:top w:val="double" w:sz="4" w:space="0" w:color="auto"/>
              <w:bottom w:val="single" w:sz="4" w:space="0" w:color="auto"/>
            </w:tcBorders>
          </w:tcPr>
          <w:p w14:paraId="495903F5" w14:textId="3A0FDD6F" w:rsidR="001762EE" w:rsidRPr="005A497D" w:rsidRDefault="001762EE" w:rsidP="00F476BA">
            <w:pPr>
              <w:spacing w:before="40" w:after="40"/>
            </w:pPr>
            <w:r w:rsidRPr="005A497D">
              <w:rPr>
                <w:b/>
                <w:bCs/>
                <w:sz w:val="22"/>
                <w:szCs w:val="22"/>
              </w:rPr>
              <w:t xml:space="preserve">PI-15 </w:t>
            </w:r>
            <w:r>
              <w:rPr>
                <w:b/>
                <w:bCs/>
                <w:sz w:val="22"/>
                <w:szCs w:val="22"/>
              </w:rPr>
              <w:t>Fiscal strategy</w:t>
            </w:r>
          </w:p>
        </w:tc>
        <w:tc>
          <w:tcPr>
            <w:tcW w:w="1350" w:type="dxa"/>
            <w:tcBorders>
              <w:top w:val="double" w:sz="4" w:space="0" w:color="auto"/>
              <w:bottom w:val="single" w:sz="4" w:space="0" w:color="auto"/>
            </w:tcBorders>
          </w:tcPr>
          <w:p w14:paraId="76F9BAA6" w14:textId="02E43352" w:rsidR="001762EE" w:rsidRPr="005A497D" w:rsidRDefault="001762EE" w:rsidP="00954E2E">
            <w:pPr>
              <w:spacing w:before="40" w:after="40"/>
              <w:jc w:val="center"/>
              <w:rPr>
                <w:b/>
              </w:rPr>
            </w:pPr>
            <w:r>
              <w:rPr>
                <w:b/>
                <w:sz w:val="22"/>
                <w:szCs w:val="22"/>
              </w:rPr>
              <w:t>B</w:t>
            </w:r>
          </w:p>
        </w:tc>
        <w:tc>
          <w:tcPr>
            <w:tcW w:w="4406" w:type="dxa"/>
            <w:tcBorders>
              <w:top w:val="double" w:sz="4" w:space="0" w:color="auto"/>
              <w:bottom w:val="single" w:sz="4" w:space="0" w:color="auto"/>
            </w:tcBorders>
          </w:tcPr>
          <w:p w14:paraId="657A5AAE" w14:textId="77777777" w:rsidR="001762EE" w:rsidRPr="005A497D" w:rsidRDefault="001762EE" w:rsidP="00954E2E">
            <w:pPr>
              <w:spacing w:before="40" w:after="40"/>
            </w:pPr>
            <w:r w:rsidRPr="005A497D">
              <w:rPr>
                <w:sz w:val="22"/>
                <w:szCs w:val="22"/>
              </w:rPr>
              <w:t>Overall rating based on M2 methodology.</w:t>
            </w:r>
          </w:p>
        </w:tc>
      </w:tr>
      <w:tr w:rsidR="001762EE" w:rsidRPr="005A497D" w14:paraId="29C52A7B" w14:textId="77777777" w:rsidTr="009C1A9E">
        <w:trPr>
          <w:trHeight w:val="1448"/>
        </w:trPr>
        <w:tc>
          <w:tcPr>
            <w:tcW w:w="3600" w:type="dxa"/>
            <w:tcBorders>
              <w:top w:val="single" w:sz="4" w:space="0" w:color="auto"/>
              <w:bottom w:val="single" w:sz="4" w:space="0" w:color="auto"/>
            </w:tcBorders>
          </w:tcPr>
          <w:p w14:paraId="670BC595" w14:textId="7CA5718E" w:rsidR="001762EE" w:rsidRPr="005A497D" w:rsidRDefault="001762EE" w:rsidP="00BA3BB5">
            <w:pPr>
              <w:pStyle w:val="Default"/>
              <w:rPr>
                <w:sz w:val="22"/>
                <w:szCs w:val="22"/>
              </w:rPr>
            </w:pPr>
            <w:r>
              <w:rPr>
                <w:sz w:val="22"/>
                <w:szCs w:val="22"/>
              </w:rPr>
              <w:t>15.1</w:t>
            </w:r>
            <w:r w:rsidRPr="005A497D">
              <w:rPr>
                <w:sz w:val="22"/>
                <w:szCs w:val="22"/>
              </w:rPr>
              <w:t xml:space="preserve"> </w:t>
            </w:r>
            <w:r>
              <w:rPr>
                <w:sz w:val="22"/>
                <w:szCs w:val="22"/>
              </w:rPr>
              <w:t>F</w:t>
            </w:r>
            <w:r w:rsidRPr="005A497D">
              <w:rPr>
                <w:sz w:val="22"/>
                <w:szCs w:val="22"/>
              </w:rPr>
              <w:t xml:space="preserve">iscal impact of policy </w:t>
            </w:r>
            <w:r>
              <w:rPr>
                <w:sz w:val="22"/>
                <w:szCs w:val="22"/>
              </w:rPr>
              <w:t>proposals</w:t>
            </w:r>
          </w:p>
        </w:tc>
        <w:tc>
          <w:tcPr>
            <w:tcW w:w="1350" w:type="dxa"/>
            <w:tcBorders>
              <w:top w:val="single" w:sz="4" w:space="0" w:color="auto"/>
              <w:bottom w:val="single" w:sz="4" w:space="0" w:color="auto"/>
            </w:tcBorders>
          </w:tcPr>
          <w:p w14:paraId="49A7D18D" w14:textId="4E23DF1A" w:rsidR="001762EE" w:rsidRPr="005A497D" w:rsidRDefault="001762EE" w:rsidP="00BA3BB5">
            <w:pPr>
              <w:spacing w:before="40" w:after="40"/>
              <w:jc w:val="center"/>
            </w:pPr>
            <w:r>
              <w:rPr>
                <w:sz w:val="22"/>
                <w:szCs w:val="22"/>
              </w:rPr>
              <w:t>A</w:t>
            </w:r>
          </w:p>
        </w:tc>
        <w:tc>
          <w:tcPr>
            <w:tcW w:w="4406" w:type="dxa"/>
            <w:tcBorders>
              <w:top w:val="single" w:sz="4" w:space="0" w:color="auto"/>
              <w:bottom w:val="single" w:sz="4" w:space="0" w:color="auto"/>
            </w:tcBorders>
          </w:tcPr>
          <w:p w14:paraId="461EE1B1" w14:textId="18238FA7" w:rsidR="001762EE" w:rsidRPr="005A497D" w:rsidRDefault="001762EE" w:rsidP="00081FC7">
            <w:pPr>
              <w:spacing w:before="40" w:after="40"/>
            </w:pPr>
            <w:r>
              <w:rPr>
                <w:sz w:val="22"/>
                <w:szCs w:val="22"/>
              </w:rPr>
              <w:t xml:space="preserve">Impact of proposed tax policy changes to major sources of revenue </w:t>
            </w:r>
            <w:r w:rsidRPr="005A497D">
              <w:rPr>
                <w:sz w:val="22"/>
                <w:szCs w:val="22"/>
              </w:rPr>
              <w:t>a</w:t>
            </w:r>
            <w:r>
              <w:rPr>
                <w:sz w:val="22"/>
                <w:szCs w:val="22"/>
              </w:rPr>
              <w:t>s well as major investments and programs on the government fiscal program a</w:t>
            </w:r>
            <w:r w:rsidRPr="005A497D">
              <w:rPr>
                <w:sz w:val="22"/>
                <w:szCs w:val="22"/>
              </w:rPr>
              <w:t xml:space="preserve">re </w:t>
            </w:r>
            <w:r>
              <w:rPr>
                <w:sz w:val="22"/>
                <w:szCs w:val="22"/>
              </w:rPr>
              <w:t>estimated for three years</w:t>
            </w:r>
            <w:r w:rsidRPr="005A497D">
              <w:rPr>
                <w:sz w:val="22"/>
                <w:szCs w:val="22"/>
              </w:rPr>
              <w:t>.</w:t>
            </w:r>
            <w:r>
              <w:rPr>
                <w:sz w:val="22"/>
                <w:szCs w:val="22"/>
              </w:rPr>
              <w:t xml:space="preserve"> President’s Budget Message also discusses budget execution and the fiscal policy benefits. These documents are submitted to the legislature.</w:t>
            </w:r>
          </w:p>
        </w:tc>
      </w:tr>
      <w:tr w:rsidR="001762EE" w:rsidRPr="005A497D" w14:paraId="30B91E2A" w14:textId="77777777" w:rsidTr="000D0E8D">
        <w:trPr>
          <w:trHeight w:val="647"/>
        </w:trPr>
        <w:tc>
          <w:tcPr>
            <w:tcW w:w="3600" w:type="dxa"/>
            <w:tcBorders>
              <w:top w:val="single" w:sz="4" w:space="0" w:color="auto"/>
              <w:bottom w:val="single" w:sz="4" w:space="0" w:color="auto"/>
            </w:tcBorders>
          </w:tcPr>
          <w:p w14:paraId="2EF3F5C3" w14:textId="5F2DD31C" w:rsidR="001762EE" w:rsidRPr="005A497D" w:rsidRDefault="001762EE" w:rsidP="00BA3BB5">
            <w:pPr>
              <w:pStyle w:val="Default"/>
              <w:rPr>
                <w:sz w:val="22"/>
                <w:szCs w:val="22"/>
              </w:rPr>
            </w:pPr>
            <w:r>
              <w:rPr>
                <w:color w:val="auto"/>
                <w:sz w:val="22"/>
                <w:szCs w:val="22"/>
              </w:rPr>
              <w:t>15.2</w:t>
            </w:r>
            <w:r w:rsidRPr="005A497D">
              <w:rPr>
                <w:color w:val="auto"/>
                <w:sz w:val="22"/>
                <w:szCs w:val="22"/>
              </w:rPr>
              <w:t xml:space="preserve"> Fiscal strategy</w:t>
            </w:r>
            <w:r>
              <w:rPr>
                <w:color w:val="auto"/>
                <w:sz w:val="22"/>
                <w:szCs w:val="22"/>
              </w:rPr>
              <w:t xml:space="preserve"> adoption</w:t>
            </w:r>
          </w:p>
        </w:tc>
        <w:tc>
          <w:tcPr>
            <w:tcW w:w="1350" w:type="dxa"/>
            <w:tcBorders>
              <w:top w:val="single" w:sz="4" w:space="0" w:color="auto"/>
              <w:bottom w:val="single" w:sz="4" w:space="0" w:color="auto"/>
            </w:tcBorders>
          </w:tcPr>
          <w:p w14:paraId="6027F302" w14:textId="5A910C19" w:rsidR="001762EE" w:rsidRPr="005A497D" w:rsidRDefault="001762EE" w:rsidP="00BA3BB5">
            <w:pPr>
              <w:spacing w:before="40" w:after="40"/>
              <w:jc w:val="center"/>
              <w:rPr>
                <w:sz w:val="22"/>
                <w:szCs w:val="22"/>
              </w:rPr>
            </w:pPr>
            <w:r w:rsidRPr="005A497D">
              <w:rPr>
                <w:sz w:val="22"/>
                <w:szCs w:val="22"/>
              </w:rPr>
              <w:t>B</w:t>
            </w:r>
          </w:p>
        </w:tc>
        <w:tc>
          <w:tcPr>
            <w:tcW w:w="4406" w:type="dxa"/>
            <w:tcBorders>
              <w:top w:val="single" w:sz="4" w:space="0" w:color="auto"/>
              <w:bottom w:val="single" w:sz="4" w:space="0" w:color="auto"/>
            </w:tcBorders>
          </w:tcPr>
          <w:p w14:paraId="77A28444" w14:textId="5132D22B" w:rsidR="001762EE" w:rsidRPr="005A497D" w:rsidRDefault="001762EE" w:rsidP="00081FC7">
            <w:pPr>
              <w:spacing w:before="40" w:after="40"/>
              <w:rPr>
                <w:sz w:val="22"/>
                <w:szCs w:val="22"/>
              </w:rPr>
            </w:pPr>
            <w:r>
              <w:rPr>
                <w:sz w:val="22"/>
                <w:szCs w:val="22"/>
              </w:rPr>
              <w:t>A fiscal strategy including mostly quantitative fiscal objectives is prepared for up to six years and the technical notes provide the narrative for these targets. These documents are submitted to Congress and published in th</w:t>
            </w:r>
            <w:r w:rsidRPr="005A497D">
              <w:rPr>
                <w:sz w:val="22"/>
                <w:szCs w:val="22"/>
              </w:rPr>
              <w:t xml:space="preserve">e last two </w:t>
            </w:r>
            <w:r>
              <w:rPr>
                <w:sz w:val="22"/>
                <w:szCs w:val="22"/>
              </w:rPr>
              <w:t xml:space="preserve">budget </w:t>
            </w:r>
            <w:r w:rsidRPr="005A497D">
              <w:rPr>
                <w:sz w:val="22"/>
                <w:szCs w:val="22"/>
              </w:rPr>
              <w:t>years</w:t>
            </w:r>
            <w:r>
              <w:rPr>
                <w:sz w:val="22"/>
                <w:szCs w:val="22"/>
              </w:rPr>
              <w:t>.</w:t>
            </w:r>
            <w:r w:rsidRPr="005A497D" w:rsidDel="000326A1">
              <w:rPr>
                <w:sz w:val="22"/>
                <w:szCs w:val="22"/>
              </w:rPr>
              <w:t xml:space="preserve"> </w:t>
            </w:r>
          </w:p>
        </w:tc>
      </w:tr>
      <w:tr w:rsidR="001762EE" w:rsidRPr="005A497D" w14:paraId="3B5054C5" w14:textId="77777777" w:rsidTr="009C1A9E">
        <w:tc>
          <w:tcPr>
            <w:tcW w:w="3600" w:type="dxa"/>
            <w:tcBorders>
              <w:top w:val="single" w:sz="4" w:space="0" w:color="auto"/>
              <w:bottom w:val="double" w:sz="4" w:space="0" w:color="auto"/>
            </w:tcBorders>
          </w:tcPr>
          <w:p w14:paraId="0BFB68BC" w14:textId="77B969E0" w:rsidR="001762EE" w:rsidRPr="005A497D" w:rsidRDefault="001762EE" w:rsidP="00BA3BB5">
            <w:pPr>
              <w:pStyle w:val="Default"/>
              <w:rPr>
                <w:sz w:val="22"/>
                <w:szCs w:val="22"/>
              </w:rPr>
            </w:pPr>
            <w:r>
              <w:rPr>
                <w:color w:val="auto"/>
                <w:sz w:val="22"/>
                <w:szCs w:val="22"/>
              </w:rPr>
              <w:t>15.3</w:t>
            </w:r>
            <w:r w:rsidRPr="005A497D">
              <w:rPr>
                <w:color w:val="auto"/>
                <w:sz w:val="22"/>
                <w:szCs w:val="22"/>
              </w:rPr>
              <w:t xml:space="preserve"> </w:t>
            </w:r>
            <w:r>
              <w:rPr>
                <w:color w:val="auto"/>
                <w:sz w:val="22"/>
                <w:szCs w:val="22"/>
              </w:rPr>
              <w:t>Reporting on fiscal outcomes</w:t>
            </w:r>
          </w:p>
        </w:tc>
        <w:tc>
          <w:tcPr>
            <w:tcW w:w="1350" w:type="dxa"/>
            <w:tcBorders>
              <w:top w:val="single" w:sz="4" w:space="0" w:color="auto"/>
              <w:bottom w:val="double" w:sz="4" w:space="0" w:color="auto"/>
            </w:tcBorders>
          </w:tcPr>
          <w:p w14:paraId="46EDA2AD" w14:textId="4AE54B90" w:rsidR="001762EE" w:rsidRPr="005A497D" w:rsidRDefault="001762EE" w:rsidP="00BA3BB5">
            <w:pPr>
              <w:spacing w:before="40" w:after="40"/>
              <w:jc w:val="center"/>
            </w:pPr>
            <w:r>
              <w:rPr>
                <w:sz w:val="22"/>
                <w:szCs w:val="22"/>
              </w:rPr>
              <w:t>C</w:t>
            </w:r>
          </w:p>
        </w:tc>
        <w:tc>
          <w:tcPr>
            <w:tcW w:w="4406" w:type="dxa"/>
            <w:tcBorders>
              <w:top w:val="single" w:sz="4" w:space="0" w:color="auto"/>
              <w:bottom w:val="double" w:sz="4" w:space="0" w:color="auto"/>
            </w:tcBorders>
          </w:tcPr>
          <w:p w14:paraId="2586B166" w14:textId="29D6DF07" w:rsidR="001762EE" w:rsidRPr="005A497D" w:rsidRDefault="001762EE" w:rsidP="00D46430">
            <w:pPr>
              <w:spacing w:before="40" w:after="40"/>
            </w:pPr>
            <w:r>
              <w:rPr>
                <w:sz w:val="22"/>
                <w:szCs w:val="22"/>
              </w:rPr>
              <w:t>DBCC publishes a mid-year and year-end report on Government’s progress of its fiscal strategy but these are not submitted to the legislature.</w:t>
            </w:r>
          </w:p>
        </w:tc>
      </w:tr>
    </w:tbl>
    <w:p w14:paraId="13D0E4AF" w14:textId="77777777" w:rsidR="001762EE" w:rsidRPr="005A497D" w:rsidRDefault="001762EE" w:rsidP="003A344A">
      <w:pPr>
        <w:jc w:val="both"/>
      </w:pPr>
    </w:p>
    <w:p w14:paraId="4FE1BC41" w14:textId="1DC627DC" w:rsidR="001762EE" w:rsidRPr="009A0E96" w:rsidRDefault="001762EE" w:rsidP="003A344A">
      <w:pPr>
        <w:jc w:val="both"/>
        <w:rPr>
          <w:b/>
          <w:i/>
        </w:rPr>
      </w:pPr>
      <w:r w:rsidRPr="009A0E96">
        <w:rPr>
          <w:b/>
          <w:i/>
        </w:rPr>
        <w:t>Dimension 15.1 Fiscal impact of policy proposals</w:t>
      </w:r>
    </w:p>
    <w:p w14:paraId="1E8294E7" w14:textId="77777777" w:rsidR="001762EE" w:rsidRPr="00BA3BB5" w:rsidRDefault="001762EE" w:rsidP="003A344A">
      <w:pPr>
        <w:jc w:val="both"/>
        <w:rPr>
          <w:i/>
        </w:rPr>
      </w:pPr>
    </w:p>
    <w:p w14:paraId="21FFE9AC" w14:textId="274AB683" w:rsidR="001762EE" w:rsidRPr="005A497D" w:rsidRDefault="001762EE" w:rsidP="00CA0D85">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w:t>
      </w:r>
      <w:r>
        <w:t xml:space="preserve">the </w:t>
      </w:r>
      <w:r w:rsidRPr="005A497D">
        <w:t>Fiscal Risks Statement, the quantification of the national government revenue fiscal program</w:t>
      </w:r>
      <w:r w:rsidR="00CA0D85">
        <w:t>, as illustrated in Table 3.19,</w:t>
      </w:r>
      <w:r w:rsidRPr="005A497D">
        <w:t xml:space="preserve"> reflects the impact of the </w:t>
      </w:r>
      <w:r>
        <w:t>recent and proposed tax policy changes to major sources of revenue</w:t>
      </w:r>
      <w:r w:rsidRPr="005A497D">
        <w:t>. The BESF presents the three-year projection of revenues</w:t>
      </w:r>
      <w:r>
        <w:t>,</w:t>
      </w:r>
      <w:r w:rsidRPr="005A497D">
        <w:t xml:space="preserve"> which are generated based on the underlying macro-economic assumptions </w:t>
      </w:r>
      <w:r>
        <w:t>(</w:t>
      </w:r>
      <w:r w:rsidRPr="005A497D">
        <w:t>defined in BESF Table A.1</w:t>
      </w:r>
      <w:r>
        <w:t>)</w:t>
      </w:r>
      <w:r w:rsidRPr="005A497D">
        <w:t xml:space="preserve"> and budget sensitivity to key macro-economic variables </w:t>
      </w:r>
      <w:r>
        <w:t>(</w:t>
      </w:r>
      <w:r w:rsidRPr="005A497D">
        <w:t>shown in BESF Table A.6</w:t>
      </w:r>
      <w:r>
        <w:t>)</w:t>
      </w:r>
      <w:r w:rsidRPr="005A497D">
        <w:t>. The budget technical notes and the People’s Budget Proposals</w:t>
      </w:r>
      <w:r w:rsidRPr="005A497D">
        <w:rPr>
          <w:rStyle w:val="EndnoteReference"/>
        </w:rPr>
        <w:endnoteReference w:id="63"/>
      </w:r>
      <w:r w:rsidRPr="005A497D">
        <w:t xml:space="preserve"> explain the estimates, </w:t>
      </w:r>
      <w:r>
        <w:t>and the details of the different programs and sectors to be funded under the budget</w:t>
      </w:r>
      <w:r w:rsidRPr="005A497D">
        <w:t xml:space="preserve"> as well as the underlying macro-economic assumptions. </w:t>
      </w:r>
      <w:r>
        <w:t xml:space="preserve">The President’s Budget Message discusses plans on how the budget will be spent and the gains of the fiscal policy. This document is included in the proposed budget document to the legislature. </w:t>
      </w:r>
    </w:p>
    <w:p w14:paraId="71B44013" w14:textId="77777777" w:rsidR="001762EE" w:rsidRPr="005A497D" w:rsidRDefault="001762EE" w:rsidP="00411651">
      <w:pPr>
        <w:pStyle w:val="NormalWeb"/>
        <w:autoSpaceDE w:val="0"/>
        <w:autoSpaceDN w:val="0"/>
        <w:adjustRightInd w:val="0"/>
        <w:contextualSpacing/>
        <w:jc w:val="both"/>
      </w:pPr>
    </w:p>
    <w:p w14:paraId="2B0B1BE1" w14:textId="684D820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As previously discussed </w:t>
      </w:r>
      <w:r>
        <w:t xml:space="preserve">in </w:t>
      </w:r>
      <w:r w:rsidRPr="005A497D">
        <w:t xml:space="preserve">PI-3, the </w:t>
      </w:r>
      <w:r>
        <w:t>Development Budget Coordination Committee</w:t>
      </w:r>
      <w:r w:rsidRPr="005A497D">
        <w:t xml:space="preserve"> assesses the reliability of the revenue estimates using the macro-economic assumptions and sensitivity of key fiscal var</w:t>
      </w:r>
      <w:r>
        <w:t>iables to these assumptions (</w:t>
      </w:r>
      <w:r w:rsidRPr="005A497D">
        <w:t>i.e.</w:t>
      </w:r>
      <w:r>
        <w:t>,</w:t>
      </w:r>
      <w:r w:rsidRPr="005A497D">
        <w:t xml:space="preserve"> risk analysis</w:t>
      </w:r>
      <w:r>
        <w:t>)</w:t>
      </w:r>
      <w:r w:rsidRPr="005A497D">
        <w:t>. This forecast as presented in the BESF covers the fiscal year and the two subsequent years</w:t>
      </w:r>
      <w:r>
        <w:t>. Similarly the impact of major new investments and other expenditure policy decisions is estimated for the fiscal year and two subsequent years. T</w:t>
      </w:r>
      <w:r w:rsidRPr="005A497D">
        <w:t>his qualifies</w:t>
      </w:r>
      <w:r>
        <w:t xml:space="preserve"> Dimension 15.1</w:t>
      </w:r>
      <w:r w:rsidRPr="005A497D">
        <w:t xml:space="preserve"> for a rating of “</w:t>
      </w:r>
      <w:r>
        <w:t>A</w:t>
      </w:r>
      <w:r w:rsidRPr="005A497D">
        <w:t>” under the assessment framework.</w:t>
      </w:r>
    </w:p>
    <w:p w14:paraId="64394DB2" w14:textId="77777777" w:rsidR="001762EE" w:rsidRPr="005A497D" w:rsidRDefault="001762EE" w:rsidP="003A344A">
      <w:pPr>
        <w:pStyle w:val="NormalWeb"/>
        <w:autoSpaceDE w:val="0"/>
        <w:autoSpaceDN w:val="0"/>
        <w:adjustRightInd w:val="0"/>
        <w:spacing w:before="0" w:beforeAutospacing="0" w:after="0" w:afterAutospacing="0"/>
        <w:contextualSpacing/>
        <w:jc w:val="both"/>
      </w:pPr>
    </w:p>
    <w:p w14:paraId="05668008" w14:textId="3936EC36" w:rsidR="001762EE" w:rsidRPr="009A0E96" w:rsidRDefault="001762EE" w:rsidP="003A344A">
      <w:pPr>
        <w:pStyle w:val="NormalWeb"/>
        <w:autoSpaceDE w:val="0"/>
        <w:autoSpaceDN w:val="0"/>
        <w:adjustRightInd w:val="0"/>
        <w:spacing w:before="0" w:beforeAutospacing="0" w:after="0" w:afterAutospacing="0"/>
        <w:contextualSpacing/>
        <w:jc w:val="both"/>
        <w:rPr>
          <w:b/>
          <w:i/>
        </w:rPr>
      </w:pPr>
      <w:r w:rsidRPr="009A0E96">
        <w:rPr>
          <w:b/>
          <w:i/>
        </w:rPr>
        <w:t>Dimension 15.2 Fiscal strategy adoption</w:t>
      </w:r>
    </w:p>
    <w:p w14:paraId="75369827" w14:textId="77777777" w:rsidR="001762EE" w:rsidRPr="00C23D36" w:rsidRDefault="001762EE" w:rsidP="003A344A">
      <w:pPr>
        <w:pStyle w:val="NormalWeb"/>
        <w:autoSpaceDE w:val="0"/>
        <w:autoSpaceDN w:val="0"/>
        <w:adjustRightInd w:val="0"/>
        <w:spacing w:before="0" w:beforeAutospacing="0" w:after="0" w:afterAutospacing="0"/>
        <w:contextualSpacing/>
        <w:jc w:val="both"/>
        <w:rPr>
          <w:i/>
        </w:rPr>
      </w:pPr>
    </w:p>
    <w:p w14:paraId="484A68A1" w14:textId="2BA475C6"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budget priorities framework presents the </w:t>
      </w:r>
      <w:r>
        <w:t>G</w:t>
      </w:r>
      <w:r w:rsidRPr="005A497D">
        <w:t xml:space="preserve">overnment’s fiscal strategy. </w:t>
      </w:r>
      <w:r>
        <w:t>T</w:t>
      </w:r>
      <w:r w:rsidRPr="005A497D">
        <w:t xml:space="preserve">he presentation of the three-year fiscal position only started in 2014 to prepare for the 2015 budget. </w:t>
      </w:r>
      <w:r>
        <w:t>The budget submission to the legislature is comprehensive, based on the set quantitative targets of the fiscal objectives and the key variables such as the revenue, expenditure, deficit, and debt. The fiscal objectives are largely quantitative and cover a period of up to six years. The technical notes for the 2016 proposed budget supplement the presented quantitative budget information. R</w:t>
      </w:r>
      <w:r w:rsidRPr="005A497D">
        <w:t>ating</w:t>
      </w:r>
      <w:r>
        <w:t xml:space="preserve"> for Dimension 15.2</w:t>
      </w:r>
      <w:r w:rsidRPr="005A497D">
        <w:t xml:space="preserve"> </w:t>
      </w:r>
      <w:r>
        <w:t xml:space="preserve">is assessed as </w:t>
      </w:r>
      <w:r w:rsidRPr="005A497D">
        <w:t>“</w:t>
      </w:r>
      <w:r>
        <w:t>B</w:t>
      </w:r>
      <w:r w:rsidRPr="005A497D">
        <w:t xml:space="preserve">”. </w:t>
      </w:r>
    </w:p>
    <w:p w14:paraId="5AD20B18" w14:textId="77777777" w:rsidR="001762EE" w:rsidRDefault="001762EE" w:rsidP="00FE745D">
      <w:pPr>
        <w:pStyle w:val="NormalWeb"/>
        <w:autoSpaceDE w:val="0"/>
        <w:autoSpaceDN w:val="0"/>
        <w:adjustRightInd w:val="0"/>
        <w:spacing w:before="0" w:beforeAutospacing="0" w:after="0" w:afterAutospacing="0"/>
        <w:contextualSpacing/>
        <w:jc w:val="both"/>
      </w:pPr>
    </w:p>
    <w:p w14:paraId="7955F27E" w14:textId="17125340" w:rsidR="001762EE" w:rsidRPr="009A0E96" w:rsidRDefault="001762EE" w:rsidP="00FE745D">
      <w:pPr>
        <w:pStyle w:val="NormalWeb"/>
        <w:autoSpaceDE w:val="0"/>
        <w:autoSpaceDN w:val="0"/>
        <w:adjustRightInd w:val="0"/>
        <w:spacing w:before="0" w:beforeAutospacing="0" w:after="0" w:afterAutospacing="0"/>
        <w:contextualSpacing/>
        <w:jc w:val="both"/>
        <w:rPr>
          <w:b/>
          <w:i/>
        </w:rPr>
      </w:pPr>
      <w:r w:rsidRPr="009A0E96">
        <w:rPr>
          <w:b/>
          <w:i/>
        </w:rPr>
        <w:t>Dimension 15.3 Reporting on fiscal outcomes</w:t>
      </w:r>
    </w:p>
    <w:p w14:paraId="7144D710" w14:textId="77777777" w:rsidR="001762EE" w:rsidRPr="009832A1" w:rsidRDefault="001762EE" w:rsidP="00FE745D">
      <w:pPr>
        <w:pStyle w:val="NormalWeb"/>
        <w:autoSpaceDE w:val="0"/>
        <w:autoSpaceDN w:val="0"/>
        <w:adjustRightInd w:val="0"/>
        <w:spacing w:before="0" w:beforeAutospacing="0" w:after="0" w:afterAutospacing="0"/>
        <w:contextualSpacing/>
        <w:jc w:val="both"/>
        <w:rPr>
          <w:i/>
        </w:rPr>
      </w:pPr>
    </w:p>
    <w:p w14:paraId="470080B1" w14:textId="4FB73BA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mid-year and year-end DBCC reports provide a substantive discussion on progress achieved in comparison to the budget estimates and provides updates on programs and activities for revenues, expenditures, financing, and debt. </w:t>
      </w:r>
      <w:r w:rsidR="0045553B">
        <w:t>These reports</w:t>
      </w:r>
      <w:r>
        <w:t xml:space="preserve"> examine the year-to-date performance relative to macroeconomic and fiscal objective targets initially adopted. </w:t>
      </w:r>
      <w:r w:rsidR="0045553B">
        <w:t>While the</w:t>
      </w:r>
      <w:r>
        <w:t xml:space="preserve"> reports are published on the DBM website</w:t>
      </w:r>
      <w:r w:rsidR="0045553B">
        <w:t>, these</w:t>
      </w:r>
      <w:r>
        <w:t xml:space="preserve"> </w:t>
      </w:r>
      <w:r w:rsidR="0045553B">
        <w:t xml:space="preserve">are </w:t>
      </w:r>
      <w:r>
        <w:t>not formally submitted to the legislature. Under the assessment framework, this qualifies Dimension 15.3 for a “C” rating.</w:t>
      </w:r>
    </w:p>
    <w:p w14:paraId="699CCB64" w14:textId="77777777" w:rsidR="001762EE" w:rsidRPr="005A497D" w:rsidRDefault="001762EE" w:rsidP="003467BC">
      <w:pPr>
        <w:jc w:val="both"/>
      </w:pPr>
    </w:p>
    <w:p w14:paraId="3F33B28A" w14:textId="25E24C7F" w:rsidR="001762EE" w:rsidRDefault="001762EE" w:rsidP="00411651">
      <w:pPr>
        <w:pStyle w:val="Heading3"/>
      </w:pPr>
      <w:bookmarkStart w:id="126" w:name="_Toc142561153"/>
      <w:bookmarkStart w:id="127" w:name="_Toc317467009"/>
      <w:bookmarkStart w:id="128" w:name="_Toc318187273"/>
      <w:bookmarkStart w:id="129" w:name="_Toc454811666"/>
      <w:bookmarkStart w:id="130" w:name="_Toc454888811"/>
      <w:bookmarkEnd w:id="117"/>
      <w:bookmarkEnd w:id="118"/>
      <w:r w:rsidRPr="005A497D">
        <w:t xml:space="preserve">PI-16 </w:t>
      </w:r>
      <w:bookmarkEnd w:id="126"/>
      <w:bookmarkEnd w:id="127"/>
      <w:bookmarkEnd w:id="128"/>
      <w:r w:rsidRPr="005A497D">
        <w:t>Medium-term perspective in expenditure budgeting</w:t>
      </w:r>
      <w:bookmarkEnd w:id="129"/>
      <w:bookmarkEnd w:id="130"/>
    </w:p>
    <w:p w14:paraId="53A90F75" w14:textId="77777777" w:rsidR="001762EE" w:rsidRPr="006E4286" w:rsidRDefault="001762EE" w:rsidP="006E4286"/>
    <w:p w14:paraId="085C8FC7" w14:textId="5B295A66"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Expenditure policy decisions have multi-year implications and should be aligned with the availability of resources in the medium-term perspective. The resulting medium-term expenditure estimates should be reconciled with fiscal aggregates determined through a fiscal strategy</w:t>
      </w:r>
      <w:r>
        <w:t xml:space="preserve">. </w:t>
      </w:r>
      <w:r w:rsidRPr="00CD3281">
        <w:t xml:space="preserve">This indicator examines the extent to which expenditure budgets are developed for the medium term within explicit medium-term budget expenditure ceilings. </w:t>
      </w:r>
    </w:p>
    <w:p w14:paraId="5C7DD8DD" w14:textId="77777777" w:rsidR="001762EE" w:rsidRPr="005A497D" w:rsidRDefault="001762EE" w:rsidP="006E4286">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7C2CC5FD" w14:textId="77777777" w:rsidTr="002167BB">
        <w:trPr>
          <w:trHeight w:val="397"/>
          <w:tblHeader/>
        </w:trPr>
        <w:tc>
          <w:tcPr>
            <w:tcW w:w="3600" w:type="dxa"/>
            <w:tcBorders>
              <w:top w:val="double" w:sz="4" w:space="0" w:color="auto"/>
            </w:tcBorders>
            <w:shd w:val="clear" w:color="auto" w:fill="D9D9D9"/>
            <w:vAlign w:val="center"/>
          </w:tcPr>
          <w:p w14:paraId="62048CEC" w14:textId="77777777" w:rsidR="001762EE" w:rsidRPr="00D53B92" w:rsidRDefault="001762EE" w:rsidP="001C0CCB">
            <w:pPr>
              <w:spacing w:before="40" w:after="40"/>
              <w:jc w:val="center"/>
              <w:rPr>
                <w:b/>
                <w:i/>
                <w:sz w:val="22"/>
                <w:szCs w:val="22"/>
              </w:rPr>
            </w:pPr>
            <w:r w:rsidRPr="00D53B92">
              <w:rPr>
                <w:b/>
                <w:i/>
                <w:sz w:val="22"/>
                <w:szCs w:val="22"/>
              </w:rPr>
              <w:t>Indicator / Dimension</w:t>
            </w:r>
          </w:p>
        </w:tc>
        <w:tc>
          <w:tcPr>
            <w:tcW w:w="1843" w:type="dxa"/>
            <w:tcBorders>
              <w:top w:val="double" w:sz="4" w:space="0" w:color="auto"/>
            </w:tcBorders>
            <w:shd w:val="clear" w:color="auto" w:fill="D9D9D9"/>
            <w:vAlign w:val="center"/>
          </w:tcPr>
          <w:p w14:paraId="639F2C73" w14:textId="77777777" w:rsidR="001762EE" w:rsidRPr="00D53B92" w:rsidRDefault="001762EE" w:rsidP="001C0CCB">
            <w:pPr>
              <w:spacing w:before="40" w:after="40"/>
              <w:jc w:val="center"/>
              <w:rPr>
                <w:b/>
                <w:i/>
                <w:sz w:val="22"/>
                <w:szCs w:val="22"/>
              </w:rPr>
            </w:pPr>
            <w:r w:rsidRPr="00D53B92">
              <w:rPr>
                <w:b/>
                <w:i/>
                <w:sz w:val="22"/>
                <w:szCs w:val="22"/>
              </w:rPr>
              <w:t>Score</w:t>
            </w:r>
          </w:p>
        </w:tc>
        <w:tc>
          <w:tcPr>
            <w:tcW w:w="3913" w:type="dxa"/>
            <w:tcBorders>
              <w:top w:val="double" w:sz="4" w:space="0" w:color="auto"/>
            </w:tcBorders>
            <w:shd w:val="clear" w:color="auto" w:fill="D9D9D9"/>
            <w:vAlign w:val="center"/>
          </w:tcPr>
          <w:p w14:paraId="6C791523" w14:textId="77777777" w:rsidR="001762EE" w:rsidRPr="00D53B92" w:rsidRDefault="001762EE" w:rsidP="001C0CCB">
            <w:pPr>
              <w:spacing w:before="40" w:after="40"/>
              <w:jc w:val="center"/>
              <w:rPr>
                <w:b/>
                <w:i/>
                <w:sz w:val="22"/>
                <w:szCs w:val="22"/>
              </w:rPr>
            </w:pPr>
            <w:r w:rsidRPr="00D53B92">
              <w:rPr>
                <w:b/>
                <w:i/>
                <w:sz w:val="22"/>
                <w:szCs w:val="22"/>
              </w:rPr>
              <w:t>Brief Explanation</w:t>
            </w:r>
          </w:p>
        </w:tc>
      </w:tr>
      <w:tr w:rsidR="001762EE" w:rsidRPr="005A497D" w14:paraId="061E4EFA" w14:textId="77777777" w:rsidTr="001C0CCB">
        <w:tc>
          <w:tcPr>
            <w:tcW w:w="3600" w:type="dxa"/>
            <w:tcBorders>
              <w:top w:val="double" w:sz="4" w:space="0" w:color="auto"/>
              <w:bottom w:val="single" w:sz="4" w:space="0" w:color="auto"/>
            </w:tcBorders>
          </w:tcPr>
          <w:p w14:paraId="5CB478DD" w14:textId="77777777" w:rsidR="001762EE" w:rsidRPr="005A497D" w:rsidRDefault="001762EE" w:rsidP="001C0CCB">
            <w:pPr>
              <w:tabs>
                <w:tab w:val="left" w:pos="1350"/>
              </w:tabs>
              <w:autoSpaceDE w:val="0"/>
              <w:autoSpaceDN w:val="0"/>
              <w:adjustRightInd w:val="0"/>
              <w:spacing w:before="20" w:after="20"/>
              <w:rPr>
                <w:b/>
                <w:bCs/>
                <w:sz w:val="22"/>
                <w:szCs w:val="22"/>
              </w:rPr>
            </w:pPr>
            <w:r w:rsidRPr="005A497D">
              <w:rPr>
                <w:b/>
                <w:bCs/>
                <w:sz w:val="22"/>
                <w:szCs w:val="22"/>
              </w:rPr>
              <w:t>PI-16 Medium-term perspective in expenditure budgeting</w:t>
            </w:r>
          </w:p>
        </w:tc>
        <w:tc>
          <w:tcPr>
            <w:tcW w:w="1843" w:type="dxa"/>
            <w:tcBorders>
              <w:top w:val="double" w:sz="4" w:space="0" w:color="auto"/>
              <w:bottom w:val="single" w:sz="4" w:space="0" w:color="auto"/>
            </w:tcBorders>
          </w:tcPr>
          <w:p w14:paraId="128D9D2A" w14:textId="53CCC0A2" w:rsidR="001762EE" w:rsidRPr="005A497D" w:rsidRDefault="001762EE" w:rsidP="001C0CCB">
            <w:pPr>
              <w:spacing w:before="20" w:after="20"/>
              <w:jc w:val="center"/>
              <w:rPr>
                <w:b/>
                <w:sz w:val="22"/>
                <w:szCs w:val="22"/>
              </w:rPr>
            </w:pPr>
            <w:r>
              <w:rPr>
                <w:b/>
                <w:sz w:val="22"/>
                <w:szCs w:val="22"/>
              </w:rPr>
              <w:t>A</w:t>
            </w:r>
          </w:p>
        </w:tc>
        <w:tc>
          <w:tcPr>
            <w:tcW w:w="3913" w:type="dxa"/>
            <w:tcBorders>
              <w:top w:val="double" w:sz="4" w:space="0" w:color="auto"/>
              <w:bottom w:val="single" w:sz="4" w:space="0" w:color="auto"/>
            </w:tcBorders>
          </w:tcPr>
          <w:p w14:paraId="5DD316CB" w14:textId="77777777" w:rsidR="001762EE" w:rsidRPr="005A497D" w:rsidRDefault="001762EE" w:rsidP="001C0CCB">
            <w:pPr>
              <w:spacing w:before="20" w:after="20"/>
              <w:rPr>
                <w:sz w:val="22"/>
                <w:szCs w:val="22"/>
              </w:rPr>
            </w:pPr>
            <w:r w:rsidRPr="005A497D">
              <w:rPr>
                <w:sz w:val="22"/>
                <w:szCs w:val="22"/>
              </w:rPr>
              <w:t>Overall rating based on M2 methodology.</w:t>
            </w:r>
          </w:p>
        </w:tc>
      </w:tr>
      <w:tr w:rsidR="001762EE" w:rsidRPr="005A497D" w14:paraId="43AE68A7" w14:textId="77777777" w:rsidTr="00BA712E">
        <w:trPr>
          <w:trHeight w:val="917"/>
        </w:trPr>
        <w:tc>
          <w:tcPr>
            <w:tcW w:w="3600" w:type="dxa"/>
            <w:tcBorders>
              <w:top w:val="single" w:sz="4" w:space="0" w:color="auto"/>
              <w:bottom w:val="single" w:sz="4" w:space="0" w:color="auto"/>
            </w:tcBorders>
          </w:tcPr>
          <w:p w14:paraId="53C88F81" w14:textId="56855499" w:rsidR="001762EE" w:rsidRPr="005A497D" w:rsidRDefault="001762EE" w:rsidP="006E4286">
            <w:pPr>
              <w:pStyle w:val="Default"/>
              <w:spacing w:before="20" w:after="20"/>
              <w:rPr>
                <w:color w:val="auto"/>
                <w:sz w:val="22"/>
                <w:szCs w:val="22"/>
              </w:rPr>
            </w:pPr>
            <w:r>
              <w:rPr>
                <w:color w:val="auto"/>
                <w:sz w:val="22"/>
                <w:szCs w:val="22"/>
              </w:rPr>
              <w:t>16.1</w:t>
            </w:r>
            <w:r w:rsidRPr="005A497D">
              <w:rPr>
                <w:color w:val="auto"/>
                <w:sz w:val="22"/>
                <w:szCs w:val="22"/>
              </w:rPr>
              <w:t xml:space="preserve"> </w:t>
            </w:r>
            <w:r>
              <w:rPr>
                <w:sz w:val="22"/>
                <w:szCs w:val="22"/>
              </w:rPr>
              <w:t>Medium-term expenditure estimates</w:t>
            </w:r>
          </w:p>
        </w:tc>
        <w:tc>
          <w:tcPr>
            <w:tcW w:w="1843" w:type="dxa"/>
            <w:tcBorders>
              <w:top w:val="single" w:sz="4" w:space="0" w:color="auto"/>
              <w:bottom w:val="single" w:sz="4" w:space="0" w:color="auto"/>
            </w:tcBorders>
          </w:tcPr>
          <w:p w14:paraId="50363B07" w14:textId="6BACDE33" w:rsidR="001762EE" w:rsidRPr="005A497D" w:rsidRDefault="001762EE" w:rsidP="006E4286">
            <w:pPr>
              <w:spacing w:before="20" w:after="20"/>
              <w:jc w:val="center"/>
              <w:rPr>
                <w:sz w:val="22"/>
                <w:szCs w:val="22"/>
              </w:rPr>
            </w:pPr>
            <w:r w:rsidRPr="005A497D">
              <w:rPr>
                <w:sz w:val="22"/>
                <w:szCs w:val="22"/>
              </w:rPr>
              <w:t>A</w:t>
            </w:r>
          </w:p>
        </w:tc>
        <w:tc>
          <w:tcPr>
            <w:tcW w:w="3913" w:type="dxa"/>
            <w:tcBorders>
              <w:top w:val="single" w:sz="4" w:space="0" w:color="auto"/>
              <w:bottom w:val="single" w:sz="4" w:space="0" w:color="auto"/>
            </w:tcBorders>
          </w:tcPr>
          <w:p w14:paraId="097AB640" w14:textId="56F910FD" w:rsidR="001762EE" w:rsidRPr="005A497D" w:rsidRDefault="001762EE" w:rsidP="00BA712E">
            <w:pPr>
              <w:spacing w:before="20" w:after="20"/>
              <w:rPr>
                <w:sz w:val="22"/>
                <w:szCs w:val="22"/>
              </w:rPr>
            </w:pPr>
            <w:r>
              <w:rPr>
                <w:sz w:val="22"/>
                <w:szCs w:val="22"/>
              </w:rPr>
              <w:t xml:space="preserve">Government prepares a three year rolling budget allocated by administrative, economic and program classification. </w:t>
            </w:r>
          </w:p>
        </w:tc>
      </w:tr>
      <w:tr w:rsidR="001762EE" w:rsidRPr="005A497D" w14:paraId="6B79CD2E" w14:textId="77777777" w:rsidTr="00E0249B">
        <w:trPr>
          <w:trHeight w:val="1133"/>
        </w:trPr>
        <w:tc>
          <w:tcPr>
            <w:tcW w:w="3600" w:type="dxa"/>
            <w:tcBorders>
              <w:top w:val="single" w:sz="4" w:space="0" w:color="auto"/>
              <w:bottom w:val="single" w:sz="4" w:space="0" w:color="auto"/>
            </w:tcBorders>
          </w:tcPr>
          <w:p w14:paraId="14F19960" w14:textId="52A3A586" w:rsidR="001762EE" w:rsidRPr="005A497D" w:rsidRDefault="001762EE" w:rsidP="006E4286">
            <w:pPr>
              <w:pStyle w:val="Default"/>
              <w:spacing w:before="20" w:after="20"/>
              <w:rPr>
                <w:color w:val="auto"/>
                <w:sz w:val="22"/>
                <w:szCs w:val="22"/>
              </w:rPr>
            </w:pPr>
            <w:r>
              <w:rPr>
                <w:color w:val="auto"/>
                <w:sz w:val="22"/>
                <w:szCs w:val="22"/>
              </w:rPr>
              <w:t>16.2 Medium-term expenditure ceilings</w:t>
            </w:r>
          </w:p>
        </w:tc>
        <w:tc>
          <w:tcPr>
            <w:tcW w:w="1843" w:type="dxa"/>
            <w:tcBorders>
              <w:top w:val="single" w:sz="4" w:space="0" w:color="auto"/>
              <w:bottom w:val="single" w:sz="4" w:space="0" w:color="auto"/>
            </w:tcBorders>
          </w:tcPr>
          <w:p w14:paraId="1395AF06" w14:textId="1494076B" w:rsidR="001762EE" w:rsidRPr="005A497D" w:rsidRDefault="001762EE" w:rsidP="006E4286">
            <w:pPr>
              <w:spacing w:before="20" w:after="20"/>
              <w:jc w:val="center"/>
              <w:rPr>
                <w:sz w:val="22"/>
                <w:szCs w:val="22"/>
              </w:rPr>
            </w:pPr>
            <w:r>
              <w:rPr>
                <w:sz w:val="22"/>
                <w:szCs w:val="22"/>
              </w:rPr>
              <w:t>A</w:t>
            </w:r>
          </w:p>
        </w:tc>
        <w:tc>
          <w:tcPr>
            <w:tcW w:w="3913" w:type="dxa"/>
            <w:tcBorders>
              <w:top w:val="single" w:sz="4" w:space="0" w:color="auto"/>
              <w:bottom w:val="single" w:sz="4" w:space="0" w:color="auto"/>
            </w:tcBorders>
          </w:tcPr>
          <w:p w14:paraId="70684707" w14:textId="57A5A08F" w:rsidR="001762EE" w:rsidRPr="005A497D" w:rsidRDefault="001762EE" w:rsidP="00081FC7">
            <w:pPr>
              <w:spacing w:before="20" w:after="20"/>
              <w:rPr>
                <w:sz w:val="22"/>
                <w:szCs w:val="22"/>
              </w:rPr>
            </w:pPr>
            <w:r>
              <w:rPr>
                <w:sz w:val="22"/>
                <w:szCs w:val="22"/>
              </w:rPr>
              <w:t>Budget ceilings based on the agencies’ forward estimates are reviewed and discussed by Cabinet. These are issued as part of the pre-budget statement.</w:t>
            </w:r>
          </w:p>
        </w:tc>
      </w:tr>
      <w:tr w:rsidR="001762EE" w:rsidRPr="005A497D" w14:paraId="75D9AE7B" w14:textId="77777777" w:rsidTr="00200AEC">
        <w:trPr>
          <w:trHeight w:val="917"/>
        </w:trPr>
        <w:tc>
          <w:tcPr>
            <w:tcW w:w="3600" w:type="dxa"/>
            <w:tcBorders>
              <w:top w:val="single" w:sz="4" w:space="0" w:color="auto"/>
              <w:bottom w:val="single" w:sz="4" w:space="0" w:color="auto"/>
            </w:tcBorders>
          </w:tcPr>
          <w:p w14:paraId="31FE79E0" w14:textId="581968E7" w:rsidR="001762EE" w:rsidRPr="005A497D" w:rsidRDefault="001762EE" w:rsidP="00BA712E">
            <w:pPr>
              <w:pStyle w:val="Default"/>
              <w:spacing w:before="20" w:after="20"/>
              <w:rPr>
                <w:color w:val="auto"/>
                <w:sz w:val="22"/>
                <w:szCs w:val="22"/>
              </w:rPr>
            </w:pPr>
            <w:r>
              <w:rPr>
                <w:color w:val="auto"/>
                <w:sz w:val="22"/>
                <w:szCs w:val="22"/>
              </w:rPr>
              <w:t>16.3</w:t>
            </w:r>
            <w:r w:rsidRPr="005A497D">
              <w:rPr>
                <w:color w:val="auto"/>
                <w:sz w:val="22"/>
                <w:szCs w:val="22"/>
              </w:rPr>
              <w:t xml:space="preserve"> </w:t>
            </w:r>
            <w:r>
              <w:rPr>
                <w:color w:val="auto"/>
                <w:sz w:val="22"/>
                <w:szCs w:val="22"/>
              </w:rPr>
              <w:t>Alignment of strategic plans and medium-term budgeting</w:t>
            </w:r>
          </w:p>
        </w:tc>
        <w:tc>
          <w:tcPr>
            <w:tcW w:w="1843" w:type="dxa"/>
            <w:tcBorders>
              <w:top w:val="single" w:sz="4" w:space="0" w:color="auto"/>
              <w:bottom w:val="single" w:sz="4" w:space="0" w:color="auto"/>
            </w:tcBorders>
          </w:tcPr>
          <w:p w14:paraId="0A9647F1" w14:textId="0CBCEA24" w:rsidR="001762EE" w:rsidRPr="005A497D" w:rsidRDefault="001762EE" w:rsidP="006E4286">
            <w:pPr>
              <w:spacing w:before="20" w:after="20"/>
              <w:jc w:val="center"/>
              <w:rPr>
                <w:sz w:val="22"/>
                <w:szCs w:val="22"/>
              </w:rPr>
            </w:pPr>
            <w:r>
              <w:rPr>
                <w:sz w:val="22"/>
                <w:szCs w:val="22"/>
              </w:rPr>
              <w:t>B</w:t>
            </w:r>
          </w:p>
        </w:tc>
        <w:tc>
          <w:tcPr>
            <w:tcW w:w="3913" w:type="dxa"/>
            <w:tcBorders>
              <w:top w:val="single" w:sz="4" w:space="0" w:color="auto"/>
              <w:bottom w:val="single" w:sz="4" w:space="0" w:color="auto"/>
            </w:tcBorders>
          </w:tcPr>
          <w:p w14:paraId="4252998E" w14:textId="2217A556" w:rsidR="001762EE" w:rsidRPr="005A497D" w:rsidRDefault="001762EE" w:rsidP="00D46430">
            <w:pPr>
              <w:spacing w:before="20" w:after="20"/>
              <w:rPr>
                <w:sz w:val="22"/>
                <w:szCs w:val="22"/>
              </w:rPr>
            </w:pPr>
            <w:r>
              <w:rPr>
                <w:sz w:val="22"/>
                <w:szCs w:val="22"/>
              </w:rPr>
              <w:t>Majority of agencies align their activities to the priority program of the Government. The three-year plans include cost information.</w:t>
            </w:r>
          </w:p>
        </w:tc>
      </w:tr>
      <w:tr w:rsidR="001762EE" w:rsidRPr="005A497D" w14:paraId="7243B5E5" w14:textId="77777777" w:rsidTr="00007518">
        <w:trPr>
          <w:trHeight w:val="962"/>
        </w:trPr>
        <w:tc>
          <w:tcPr>
            <w:tcW w:w="3600" w:type="dxa"/>
            <w:tcBorders>
              <w:top w:val="single" w:sz="4" w:space="0" w:color="auto"/>
              <w:bottom w:val="double" w:sz="4" w:space="0" w:color="auto"/>
            </w:tcBorders>
          </w:tcPr>
          <w:p w14:paraId="3AC13E72" w14:textId="3C5F9AC4" w:rsidR="001762EE" w:rsidRPr="005A497D" w:rsidRDefault="001762EE" w:rsidP="006E4286">
            <w:pPr>
              <w:pStyle w:val="Default"/>
              <w:spacing w:before="20" w:after="20"/>
              <w:rPr>
                <w:color w:val="auto"/>
                <w:sz w:val="22"/>
                <w:szCs w:val="22"/>
              </w:rPr>
            </w:pPr>
            <w:r>
              <w:rPr>
                <w:color w:val="auto"/>
                <w:sz w:val="22"/>
                <w:szCs w:val="22"/>
              </w:rPr>
              <w:t>16.4</w:t>
            </w:r>
            <w:r w:rsidRPr="005A497D">
              <w:rPr>
                <w:color w:val="auto"/>
                <w:sz w:val="22"/>
                <w:szCs w:val="22"/>
              </w:rPr>
              <w:t xml:space="preserve"> </w:t>
            </w:r>
            <w:r>
              <w:rPr>
                <w:color w:val="auto"/>
                <w:sz w:val="22"/>
                <w:szCs w:val="22"/>
              </w:rPr>
              <w:t xml:space="preserve">Consistency of budgets with previous </w:t>
            </w:r>
            <w:r w:rsidR="0045553B">
              <w:rPr>
                <w:color w:val="auto"/>
                <w:sz w:val="22"/>
                <w:szCs w:val="22"/>
              </w:rPr>
              <w:t xml:space="preserve">year’s </w:t>
            </w:r>
            <w:r>
              <w:rPr>
                <w:color w:val="auto"/>
                <w:sz w:val="22"/>
                <w:szCs w:val="22"/>
              </w:rPr>
              <w:t>estimates</w:t>
            </w:r>
          </w:p>
        </w:tc>
        <w:tc>
          <w:tcPr>
            <w:tcW w:w="1843" w:type="dxa"/>
            <w:tcBorders>
              <w:top w:val="single" w:sz="4" w:space="0" w:color="auto"/>
              <w:bottom w:val="double" w:sz="4" w:space="0" w:color="auto"/>
            </w:tcBorders>
          </w:tcPr>
          <w:p w14:paraId="22856213" w14:textId="5D611ADB" w:rsidR="001762EE" w:rsidRPr="005A497D" w:rsidRDefault="001762EE" w:rsidP="006E4286">
            <w:pPr>
              <w:spacing w:before="20" w:after="20"/>
              <w:jc w:val="center"/>
              <w:rPr>
                <w:sz w:val="22"/>
                <w:szCs w:val="22"/>
              </w:rPr>
            </w:pPr>
            <w:r>
              <w:rPr>
                <w:sz w:val="22"/>
                <w:szCs w:val="22"/>
              </w:rPr>
              <w:t>A</w:t>
            </w:r>
          </w:p>
        </w:tc>
        <w:tc>
          <w:tcPr>
            <w:tcW w:w="3913" w:type="dxa"/>
            <w:tcBorders>
              <w:top w:val="single" w:sz="4" w:space="0" w:color="auto"/>
              <w:bottom w:val="double" w:sz="4" w:space="0" w:color="auto"/>
            </w:tcBorders>
          </w:tcPr>
          <w:p w14:paraId="72103164" w14:textId="002E8D6B" w:rsidR="001762EE" w:rsidRPr="005A497D" w:rsidRDefault="001762EE" w:rsidP="00D46430">
            <w:pPr>
              <w:spacing w:before="20" w:after="20"/>
              <w:rPr>
                <w:sz w:val="22"/>
                <w:szCs w:val="22"/>
              </w:rPr>
            </w:pPr>
            <w:r>
              <w:rPr>
                <w:sz w:val="22"/>
                <w:szCs w:val="22"/>
              </w:rPr>
              <w:t>Deviation from the previous forecasted budget is minimal and any changes are explained in the People’s Budget.</w:t>
            </w:r>
          </w:p>
        </w:tc>
      </w:tr>
    </w:tbl>
    <w:p w14:paraId="2AA61A0A" w14:textId="77777777" w:rsidR="001762EE" w:rsidRPr="005A497D" w:rsidRDefault="001762EE" w:rsidP="005A497D">
      <w:pPr>
        <w:tabs>
          <w:tab w:val="left" w:pos="1350"/>
        </w:tabs>
        <w:autoSpaceDE w:val="0"/>
        <w:autoSpaceDN w:val="0"/>
        <w:adjustRightInd w:val="0"/>
        <w:jc w:val="both"/>
      </w:pPr>
    </w:p>
    <w:p w14:paraId="4141B13F" w14:textId="0CD75B85" w:rsidR="001762EE" w:rsidRPr="009A0E96" w:rsidRDefault="001762EE" w:rsidP="005A497D">
      <w:pPr>
        <w:tabs>
          <w:tab w:val="left" w:pos="1350"/>
        </w:tabs>
        <w:autoSpaceDE w:val="0"/>
        <w:autoSpaceDN w:val="0"/>
        <w:adjustRightInd w:val="0"/>
        <w:jc w:val="both"/>
        <w:rPr>
          <w:b/>
          <w:i/>
          <w:iCs/>
        </w:rPr>
      </w:pPr>
      <w:r w:rsidRPr="009A0E96">
        <w:rPr>
          <w:b/>
          <w:i/>
          <w:iCs/>
        </w:rPr>
        <w:t>Dimension 16.1 Medium-term expenditure estimates</w:t>
      </w:r>
    </w:p>
    <w:p w14:paraId="76F74291" w14:textId="77777777" w:rsidR="001762EE" w:rsidRPr="006E4286" w:rsidRDefault="001762EE" w:rsidP="005A497D">
      <w:pPr>
        <w:tabs>
          <w:tab w:val="left" w:pos="1350"/>
        </w:tabs>
        <w:autoSpaceDE w:val="0"/>
        <w:autoSpaceDN w:val="0"/>
        <w:adjustRightInd w:val="0"/>
        <w:jc w:val="both"/>
        <w:rPr>
          <w:i/>
        </w:rPr>
      </w:pPr>
    </w:p>
    <w:p w14:paraId="0031CA40" w14:textId="6BBF640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budget preparation guideline prescribe</w:t>
      </w:r>
      <w:r>
        <w:t>s</w:t>
      </w:r>
      <w:r w:rsidRPr="005A497D">
        <w:t xml:space="preserve"> key programs and </w:t>
      </w:r>
      <w:r>
        <w:t>mandates</w:t>
      </w:r>
      <w:r w:rsidRPr="005A497D">
        <w:t xml:space="preserve"> all departments and agencies to identify programs, activities, and projects in support </w:t>
      </w:r>
      <w:r>
        <w:t>of</w:t>
      </w:r>
      <w:r w:rsidRPr="005A497D">
        <w:t xml:space="preserve"> the five key results areas</w:t>
      </w:r>
      <w:r w:rsidRPr="005A497D">
        <w:rPr>
          <w:rStyle w:val="EndnoteReference"/>
        </w:rPr>
        <w:endnoteReference w:id="64"/>
      </w:r>
      <w:r w:rsidRPr="005A497D">
        <w:t xml:space="preserve"> of the President’s Social Contract with the Filipino People</w:t>
      </w:r>
      <w:r w:rsidRPr="005A497D">
        <w:rPr>
          <w:rStyle w:val="EndnoteReference"/>
        </w:rPr>
        <w:endnoteReference w:id="65"/>
      </w:r>
      <w:r w:rsidRPr="005A497D">
        <w:t xml:space="preserve"> and to the goals and objectives set under the Philippine Development Plan 2011-2016. This program budgeting</w:t>
      </w:r>
      <w:r w:rsidRPr="005A497D">
        <w:rPr>
          <w:rStyle w:val="EndnoteReference"/>
        </w:rPr>
        <w:endnoteReference w:id="66"/>
      </w:r>
      <w:r w:rsidRPr="005A497D">
        <w:t xml:space="preserve"> sets the need to prioritize those identified programs</w:t>
      </w:r>
      <w:r w:rsidRPr="005A497D">
        <w:rPr>
          <w:rStyle w:val="EndnoteReference"/>
        </w:rPr>
        <w:endnoteReference w:id="67"/>
      </w:r>
      <w:r w:rsidRPr="005A497D">
        <w:t xml:space="preserve"> as well as the related cost (recurrent and investment)</w:t>
      </w:r>
      <w:r w:rsidRPr="005A497D">
        <w:rPr>
          <w:rStyle w:val="EndnoteReference"/>
        </w:rPr>
        <w:endnoteReference w:id="68"/>
      </w:r>
      <w:r w:rsidRPr="005A497D">
        <w:t xml:space="preserve"> to attain the desired outcomes for the 2014-2016 period in line with the </w:t>
      </w:r>
      <w:r>
        <w:t>Philippine Development Plan</w:t>
      </w:r>
      <w:r w:rsidRPr="005A497D">
        <w:t>.</w:t>
      </w:r>
    </w:p>
    <w:p w14:paraId="1128A649" w14:textId="77777777" w:rsidR="001762EE" w:rsidRPr="005A497D" w:rsidRDefault="001762EE" w:rsidP="005A497D">
      <w:pPr>
        <w:pStyle w:val="NormalWeb"/>
        <w:autoSpaceDE w:val="0"/>
        <w:autoSpaceDN w:val="0"/>
        <w:adjustRightInd w:val="0"/>
        <w:spacing w:before="0" w:beforeAutospacing="0" w:after="0" w:afterAutospacing="0"/>
        <w:contextualSpacing/>
        <w:jc w:val="both"/>
      </w:pPr>
    </w:p>
    <w:p w14:paraId="6EBC2903" w14:textId="0EEB750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iCs/>
        </w:rPr>
        <w:t>The budget preparation continues to use the medium</w:t>
      </w:r>
      <w:r>
        <w:rPr>
          <w:iCs/>
        </w:rPr>
        <w:t>-</w:t>
      </w:r>
      <w:r w:rsidRPr="005A497D">
        <w:rPr>
          <w:iCs/>
        </w:rPr>
        <w:t>term</w:t>
      </w:r>
      <w:r>
        <w:rPr>
          <w:iCs/>
        </w:rPr>
        <w:t xml:space="preserve"> </w:t>
      </w:r>
      <w:r w:rsidRPr="005A497D">
        <w:rPr>
          <w:iCs/>
        </w:rPr>
        <w:t>expenditure framework (MTEF)</w:t>
      </w:r>
      <w:r>
        <w:rPr>
          <w:iCs/>
        </w:rPr>
        <w:t>,</w:t>
      </w:r>
      <w:r w:rsidRPr="005A497D">
        <w:rPr>
          <w:rStyle w:val="EndnoteReference"/>
          <w:iCs/>
        </w:rPr>
        <w:endnoteReference w:id="69"/>
      </w:r>
      <w:r>
        <w:rPr>
          <w:iCs/>
        </w:rPr>
        <w:t xml:space="preserve"> </w:t>
      </w:r>
      <w:r w:rsidRPr="005A497D">
        <w:rPr>
          <w:iCs/>
        </w:rPr>
        <w:t xml:space="preserve">which was noted in the </w:t>
      </w:r>
      <w:r>
        <w:rPr>
          <w:iCs/>
        </w:rPr>
        <w:t>2010</w:t>
      </w:r>
      <w:r w:rsidRPr="005A497D">
        <w:rPr>
          <w:iCs/>
        </w:rPr>
        <w:t xml:space="preserve"> assessment. </w:t>
      </w:r>
      <w:r w:rsidRPr="005A497D">
        <w:t>Under MTEF, each agency</w:t>
      </w:r>
      <w:r>
        <w:t xml:space="preserve"> and </w:t>
      </w:r>
      <w:r w:rsidRPr="005A497D">
        <w:t>department prepares a three</w:t>
      </w:r>
      <w:r>
        <w:t>-</w:t>
      </w:r>
      <w:r w:rsidRPr="005A497D">
        <w:t xml:space="preserve">year rolling budget. </w:t>
      </w:r>
      <w:r w:rsidRPr="005A497D">
        <w:rPr>
          <w:iCs/>
        </w:rPr>
        <w:t xml:space="preserve">The MTEF ensures that the next year’s budget takes into account the decisions </w:t>
      </w:r>
      <w:r>
        <w:rPr>
          <w:iCs/>
        </w:rPr>
        <w:t>from</w:t>
      </w:r>
      <w:r w:rsidRPr="005A497D">
        <w:rPr>
          <w:iCs/>
        </w:rPr>
        <w:t xml:space="preserve"> the previous year and provides agencies with a </w:t>
      </w:r>
      <w:r>
        <w:rPr>
          <w:iCs/>
        </w:rPr>
        <w:t>three-</w:t>
      </w:r>
      <w:r w:rsidRPr="005A497D">
        <w:rPr>
          <w:iCs/>
        </w:rPr>
        <w:t>year baseline budget that is considered and decided in a consultative manner</w:t>
      </w:r>
      <w:r w:rsidRPr="005A497D">
        <w:t>.</w:t>
      </w:r>
    </w:p>
    <w:p w14:paraId="437E5751" w14:textId="77777777" w:rsidR="001762EE" w:rsidRPr="005A497D" w:rsidRDefault="001762EE" w:rsidP="005A497D">
      <w:pPr>
        <w:pStyle w:val="NormalWeb"/>
        <w:autoSpaceDE w:val="0"/>
        <w:autoSpaceDN w:val="0"/>
        <w:adjustRightInd w:val="0"/>
        <w:spacing w:before="0" w:beforeAutospacing="0" w:after="0" w:afterAutospacing="0"/>
        <w:contextualSpacing/>
        <w:jc w:val="both"/>
      </w:pPr>
    </w:p>
    <w:p w14:paraId="3FF159E1" w14:textId="5D6FDAE0" w:rsidR="001762EE" w:rsidRPr="00A77E06"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Pr>
          <w:iCs/>
        </w:rPr>
        <w:t>The NEP provides detailed information by operating departments and by program, activities, and projects, while BESF shows the aggregate information by operating department by object and the detailed expenditure programs by sectors. The score for Dimension 16.1 is assessed at “A”.</w:t>
      </w:r>
    </w:p>
    <w:p w14:paraId="64F9B347" w14:textId="77777777" w:rsidR="001762EE" w:rsidRDefault="001762EE" w:rsidP="004A1584">
      <w:pPr>
        <w:pStyle w:val="NormalWeb"/>
        <w:autoSpaceDE w:val="0"/>
        <w:autoSpaceDN w:val="0"/>
        <w:adjustRightInd w:val="0"/>
        <w:spacing w:before="0" w:beforeAutospacing="0" w:after="0" w:afterAutospacing="0"/>
        <w:contextualSpacing/>
        <w:jc w:val="both"/>
        <w:rPr>
          <w:iCs/>
        </w:rPr>
      </w:pPr>
    </w:p>
    <w:p w14:paraId="2094E850" w14:textId="3A9CC716" w:rsidR="001762EE" w:rsidRPr="00C06FE3" w:rsidRDefault="001762EE" w:rsidP="004A1584">
      <w:pPr>
        <w:pStyle w:val="NormalWeb"/>
        <w:autoSpaceDE w:val="0"/>
        <w:autoSpaceDN w:val="0"/>
        <w:adjustRightInd w:val="0"/>
        <w:spacing w:before="0" w:beforeAutospacing="0" w:after="0" w:afterAutospacing="0"/>
        <w:contextualSpacing/>
        <w:jc w:val="both"/>
        <w:rPr>
          <w:b/>
        </w:rPr>
      </w:pPr>
      <w:r w:rsidRPr="00C06FE3">
        <w:rPr>
          <w:b/>
          <w:i/>
          <w:iCs/>
        </w:rPr>
        <w:t>Dimension 16.2 Medium-term expenditure ceilings</w:t>
      </w:r>
    </w:p>
    <w:p w14:paraId="0BA11B75" w14:textId="77777777" w:rsidR="001762EE" w:rsidRPr="005A497D" w:rsidRDefault="001762EE" w:rsidP="004A1584">
      <w:pPr>
        <w:pStyle w:val="NormalWeb"/>
        <w:autoSpaceDE w:val="0"/>
        <w:autoSpaceDN w:val="0"/>
        <w:adjustRightInd w:val="0"/>
        <w:spacing w:before="0" w:beforeAutospacing="0" w:after="0" w:afterAutospacing="0"/>
        <w:contextualSpacing/>
        <w:jc w:val="both"/>
      </w:pPr>
    </w:p>
    <w:p w14:paraId="72FABD3C" w14:textId="4E72A11F" w:rsidR="001762EE" w:rsidRPr="00A77E06"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Pr>
          <w:iCs/>
        </w:rPr>
        <w:t>The Department of Budget and Management</w:t>
      </w:r>
      <w:r w:rsidRPr="00A77E06">
        <w:rPr>
          <w:iCs/>
        </w:rPr>
        <w:t xml:space="preserve"> provides the hard budget ceiling</w:t>
      </w:r>
      <w:r>
        <w:t xml:space="preserve"> that is </w:t>
      </w:r>
      <w:r w:rsidRPr="00A77E06">
        <w:rPr>
          <w:iCs/>
        </w:rPr>
        <w:t>derived from the forward estimates of each department</w:t>
      </w:r>
      <w:r w:rsidRPr="005A497D">
        <w:t>/agency for the budget year</w:t>
      </w:r>
      <w:r>
        <w:rPr>
          <w:iCs/>
        </w:rPr>
        <w:t xml:space="preserve">. Keeping in line with the fiscal program and expenditure framework for </w:t>
      </w:r>
      <w:r w:rsidRPr="00A77E06">
        <w:rPr>
          <w:iCs/>
        </w:rPr>
        <w:t xml:space="preserve">each department/agency </w:t>
      </w:r>
      <w:r>
        <w:rPr>
          <w:iCs/>
        </w:rPr>
        <w:t>the budget proposals are prepared in accordance with these</w:t>
      </w:r>
      <w:r w:rsidRPr="00A77E06">
        <w:rPr>
          <w:iCs/>
        </w:rPr>
        <w:t xml:space="preserve"> indicative budgets ceiling</w:t>
      </w:r>
      <w:r>
        <w:rPr>
          <w:iCs/>
        </w:rPr>
        <w:t>.</w:t>
      </w:r>
      <w:r w:rsidRPr="00A77E06">
        <w:rPr>
          <w:iCs/>
        </w:rPr>
        <w:t xml:space="preserve"> </w:t>
      </w:r>
      <w:r>
        <w:rPr>
          <w:iCs/>
        </w:rPr>
        <w:t>As a consequence, there is</w:t>
      </w:r>
      <w:r w:rsidRPr="00A77E06">
        <w:rPr>
          <w:iCs/>
        </w:rPr>
        <w:t xml:space="preserve"> limited deviation from the prescribed budget ceiling. </w:t>
      </w:r>
      <w:r w:rsidRPr="00A77E06">
        <w:rPr>
          <w:bCs/>
        </w:rPr>
        <w:t xml:space="preserve">In 2016 budget preparation, the forward estimates (hard budget ceilings) </w:t>
      </w:r>
      <w:r>
        <w:rPr>
          <w:bCs/>
        </w:rPr>
        <w:t>we</w:t>
      </w:r>
      <w:r w:rsidRPr="00A77E06">
        <w:rPr>
          <w:bCs/>
        </w:rPr>
        <w:t xml:space="preserve">re formulated, reviewed through technical hearings with the agencies and </w:t>
      </w:r>
      <w:r w:rsidR="00DD0717">
        <w:rPr>
          <w:bCs/>
        </w:rPr>
        <w:t xml:space="preserve">approved </w:t>
      </w:r>
      <w:r w:rsidRPr="00A77E06">
        <w:rPr>
          <w:bCs/>
        </w:rPr>
        <w:t xml:space="preserve">by the </w:t>
      </w:r>
      <w:r>
        <w:rPr>
          <w:bCs/>
        </w:rPr>
        <w:t>D</w:t>
      </w:r>
      <w:r w:rsidR="00DD0717">
        <w:rPr>
          <w:bCs/>
        </w:rPr>
        <w:t>BM prior to issuance to agencies</w:t>
      </w:r>
      <w:r w:rsidRPr="00A77E06">
        <w:rPr>
          <w:bCs/>
        </w:rPr>
        <w:t>.</w:t>
      </w:r>
    </w:p>
    <w:p w14:paraId="183AACD9" w14:textId="77777777" w:rsidR="001762EE" w:rsidRPr="005A497D" w:rsidRDefault="001762EE" w:rsidP="007B3334">
      <w:pPr>
        <w:pStyle w:val="NormalWeb"/>
        <w:autoSpaceDE w:val="0"/>
        <w:autoSpaceDN w:val="0"/>
        <w:adjustRightInd w:val="0"/>
        <w:spacing w:before="0" w:beforeAutospacing="0" w:after="0" w:afterAutospacing="0"/>
        <w:contextualSpacing/>
        <w:jc w:val="both"/>
      </w:pPr>
    </w:p>
    <w:p w14:paraId="1E05B2A9" w14:textId="0858E973" w:rsidR="001762EE" w:rsidRPr="00D21EC6"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t>The budget ceiling for the ongoing projects of line agencies were part of the Budget Priorities Framework issued through National Budget Memorandum 124, dated March 30, 2015. This framework is part of the budget call issued through National Budget Memorandum 123 in January 28, 2015, which serves as a guide to line agencies for their whole budget preparation process. The score for Dimension 16.2 is thus assessed as “A”.</w:t>
      </w:r>
    </w:p>
    <w:p w14:paraId="5BA3CF37" w14:textId="77777777" w:rsidR="001762EE" w:rsidRDefault="001762EE" w:rsidP="007B3334">
      <w:pPr>
        <w:pStyle w:val="NormalWeb"/>
        <w:autoSpaceDE w:val="0"/>
        <w:autoSpaceDN w:val="0"/>
        <w:adjustRightInd w:val="0"/>
        <w:spacing w:before="0" w:beforeAutospacing="0" w:after="0" w:afterAutospacing="0"/>
        <w:contextualSpacing/>
        <w:jc w:val="both"/>
        <w:rPr>
          <w:i/>
        </w:rPr>
      </w:pPr>
    </w:p>
    <w:p w14:paraId="035EA1D2" w14:textId="77777777" w:rsidR="00CA0D85" w:rsidRDefault="00CA0D85" w:rsidP="007B3334">
      <w:pPr>
        <w:pStyle w:val="NormalWeb"/>
        <w:autoSpaceDE w:val="0"/>
        <w:autoSpaceDN w:val="0"/>
        <w:adjustRightInd w:val="0"/>
        <w:spacing w:before="0" w:beforeAutospacing="0" w:after="0" w:afterAutospacing="0"/>
        <w:contextualSpacing/>
        <w:jc w:val="both"/>
        <w:rPr>
          <w:i/>
        </w:rPr>
      </w:pPr>
    </w:p>
    <w:p w14:paraId="3651584F" w14:textId="19411FE3" w:rsidR="001762EE" w:rsidRPr="009A0E96" w:rsidRDefault="001762EE" w:rsidP="007B3334">
      <w:pPr>
        <w:pStyle w:val="NormalWeb"/>
        <w:autoSpaceDE w:val="0"/>
        <w:autoSpaceDN w:val="0"/>
        <w:adjustRightInd w:val="0"/>
        <w:spacing w:before="0" w:beforeAutospacing="0" w:after="0" w:afterAutospacing="0"/>
        <w:contextualSpacing/>
        <w:jc w:val="both"/>
        <w:rPr>
          <w:b/>
          <w:i/>
        </w:rPr>
      </w:pPr>
      <w:r w:rsidRPr="009A0E96">
        <w:rPr>
          <w:b/>
          <w:i/>
        </w:rPr>
        <w:t>Dimension 16.3 Alignment of strategic plans and medium-term budgets</w:t>
      </w:r>
    </w:p>
    <w:p w14:paraId="69B594AE" w14:textId="727105E1" w:rsidR="001762EE" w:rsidRDefault="001762EE" w:rsidP="007B3334">
      <w:pPr>
        <w:pStyle w:val="NormalWeb"/>
        <w:autoSpaceDE w:val="0"/>
        <w:autoSpaceDN w:val="0"/>
        <w:adjustRightInd w:val="0"/>
        <w:spacing w:before="0" w:beforeAutospacing="0" w:after="0" w:afterAutospacing="0"/>
        <w:contextualSpacing/>
        <w:jc w:val="both"/>
      </w:pPr>
    </w:p>
    <w:p w14:paraId="7615CA13" w14:textId="0E51E988" w:rsidR="001762EE" w:rsidRPr="005A497D"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 xml:space="preserve">budget </w:t>
      </w:r>
      <w:r w:rsidRPr="005A497D">
        <w:t>guideline requires output targets, strategies</w:t>
      </w:r>
      <w:r>
        <w:t>,</w:t>
      </w:r>
      <w:r w:rsidRPr="005A497D">
        <w:t xml:space="preserve"> and indicative participation/contribution of each agency to the specific component programs, activities, and projects</w:t>
      </w:r>
      <w:r>
        <w:t>, and includes</w:t>
      </w:r>
      <w:r w:rsidRPr="005A497D">
        <w:t xml:space="preserve"> key annual targets and funding needs. </w:t>
      </w:r>
      <w:r>
        <w:t xml:space="preserve">For the </w:t>
      </w:r>
      <w:r w:rsidRPr="005A497D">
        <w:t>2014 budget</w:t>
      </w:r>
      <w:r>
        <w:t>, the</w:t>
      </w:r>
      <w:r w:rsidRPr="005A497D">
        <w:t xml:space="preserve"> </w:t>
      </w:r>
      <w:r>
        <w:t>Department of Budget and Management</w:t>
      </w:r>
      <w:r w:rsidRPr="005A497D">
        <w:t xml:space="preserve"> issued guidance to all department</w:t>
      </w:r>
      <w:r>
        <w:t>s</w:t>
      </w:r>
      <w:r w:rsidRPr="005A497D">
        <w:t xml:space="preserve"> and agencies in focusing their budget proposals on specific objective</w:t>
      </w:r>
      <w:r>
        <w:t>s</w:t>
      </w:r>
      <w:r w:rsidRPr="005A497D">
        <w:t xml:space="preserve"> and programs to continue the program budgeting approach started in 2013. </w:t>
      </w:r>
      <w:r>
        <w:t xml:space="preserve">The Department </w:t>
      </w:r>
      <w:r w:rsidRPr="005A497D">
        <w:t>presented the sector budget using the COFOG</w:t>
      </w:r>
      <w:r>
        <w:t xml:space="preserve"> concentrating on f</w:t>
      </w:r>
      <w:r w:rsidRPr="005A497D">
        <w:t>ive vital sectors</w:t>
      </w:r>
      <w:r>
        <w:t>:</w:t>
      </w:r>
      <w:r w:rsidRPr="005A497D">
        <w:t xml:space="preserve"> social protection, health, education, economic affairs</w:t>
      </w:r>
      <w:r>
        <w:t>,</w:t>
      </w:r>
      <w:r w:rsidRPr="005A497D">
        <w:t xml:space="preserve"> and housing and community amenities</w:t>
      </w:r>
      <w:r>
        <w:t>.</w:t>
      </w:r>
      <w:r w:rsidRPr="005A497D">
        <w:t xml:space="preserve"> </w:t>
      </w:r>
    </w:p>
    <w:p w14:paraId="3CF62633" w14:textId="7778B216" w:rsidR="001762EE" w:rsidRPr="005A497D" w:rsidRDefault="001762EE" w:rsidP="007B3334">
      <w:pPr>
        <w:pStyle w:val="NormalWeb"/>
        <w:autoSpaceDE w:val="0"/>
        <w:autoSpaceDN w:val="0"/>
        <w:adjustRightInd w:val="0"/>
        <w:spacing w:before="0" w:beforeAutospacing="0" w:after="0" w:afterAutospacing="0"/>
        <w:contextualSpacing/>
        <w:jc w:val="both"/>
      </w:pPr>
    </w:p>
    <w:p w14:paraId="4A245090" w14:textId="08AC8F1B" w:rsidR="001762EE" w:rsidRPr="004024A5"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rPr>
          <w:iCs/>
        </w:rPr>
        <w:t>For</w:t>
      </w:r>
      <w:r w:rsidRPr="005A497D">
        <w:rPr>
          <w:iCs/>
        </w:rPr>
        <w:t xml:space="preserve"> </w:t>
      </w:r>
      <w:r>
        <w:rPr>
          <w:iCs/>
        </w:rPr>
        <w:t xml:space="preserve">both the </w:t>
      </w:r>
      <w:r w:rsidRPr="005A497D">
        <w:rPr>
          <w:iCs/>
        </w:rPr>
        <w:t xml:space="preserve">2015 </w:t>
      </w:r>
      <w:r>
        <w:rPr>
          <w:iCs/>
        </w:rPr>
        <w:t>and 2016 b</w:t>
      </w:r>
      <w:r w:rsidRPr="005A497D">
        <w:rPr>
          <w:iCs/>
        </w:rPr>
        <w:t>udget</w:t>
      </w:r>
      <w:r>
        <w:rPr>
          <w:iCs/>
        </w:rPr>
        <w:t>s</w:t>
      </w:r>
      <w:r w:rsidRPr="005A497D">
        <w:rPr>
          <w:iCs/>
        </w:rPr>
        <w:t xml:space="preserve">, </w:t>
      </w:r>
      <w:r>
        <w:rPr>
          <w:iCs/>
        </w:rPr>
        <w:t xml:space="preserve">64 percent </w:t>
      </w:r>
      <w:r w:rsidRPr="005A497D">
        <w:rPr>
          <w:iCs/>
        </w:rPr>
        <w:t xml:space="preserve">of the budget </w:t>
      </w:r>
      <w:r>
        <w:rPr>
          <w:iCs/>
        </w:rPr>
        <w:t>wa</w:t>
      </w:r>
      <w:r w:rsidRPr="005A497D">
        <w:rPr>
          <w:iCs/>
        </w:rPr>
        <w:t xml:space="preserve">s allocated to social services and economic services to address the sector </w:t>
      </w:r>
      <w:r w:rsidRPr="005A497D">
        <w:t>strategies initiated in 2014</w:t>
      </w:r>
      <w:r w:rsidRPr="005A497D">
        <w:rPr>
          <w:iCs/>
        </w:rPr>
        <w:t>. The Department of Education received the highest share</w:t>
      </w:r>
      <w:r>
        <w:rPr>
          <w:iCs/>
        </w:rPr>
        <w:t xml:space="preserve"> to </w:t>
      </w:r>
      <w:r w:rsidRPr="005A497D">
        <w:rPr>
          <w:iCs/>
        </w:rPr>
        <w:t xml:space="preserve">invest in improving school completion and </w:t>
      </w:r>
      <w:r>
        <w:rPr>
          <w:iCs/>
        </w:rPr>
        <w:t xml:space="preserve">student </w:t>
      </w:r>
      <w:r w:rsidRPr="005A497D">
        <w:rPr>
          <w:iCs/>
        </w:rPr>
        <w:t>achieve</w:t>
      </w:r>
      <w:r>
        <w:rPr>
          <w:iCs/>
        </w:rPr>
        <w:t>ment</w:t>
      </w:r>
      <w:r w:rsidRPr="005A497D">
        <w:rPr>
          <w:iCs/>
        </w:rPr>
        <w:t xml:space="preserve"> rates </w:t>
      </w:r>
      <w:r>
        <w:rPr>
          <w:iCs/>
        </w:rPr>
        <w:t>and to</w:t>
      </w:r>
      <w:r w:rsidRPr="005A497D">
        <w:rPr>
          <w:iCs/>
        </w:rPr>
        <w:t xml:space="preserve"> help the Basic Education Reform Program. The </w:t>
      </w:r>
      <w:r>
        <w:rPr>
          <w:iCs/>
        </w:rPr>
        <w:t xml:space="preserve">Departments of Health and </w:t>
      </w:r>
      <w:r w:rsidRPr="005A497D">
        <w:rPr>
          <w:iCs/>
        </w:rPr>
        <w:t xml:space="preserve">Social Welfare and Development </w:t>
      </w:r>
      <w:r>
        <w:rPr>
          <w:iCs/>
        </w:rPr>
        <w:t xml:space="preserve">were strongly supported </w:t>
      </w:r>
      <w:r w:rsidRPr="005A497D">
        <w:rPr>
          <w:iCs/>
        </w:rPr>
        <w:t xml:space="preserve">to </w:t>
      </w:r>
      <w:r>
        <w:rPr>
          <w:iCs/>
        </w:rPr>
        <w:t>strengthen</w:t>
      </w:r>
      <w:r w:rsidRPr="005A497D">
        <w:rPr>
          <w:iCs/>
        </w:rPr>
        <w:t xml:space="preserve"> </w:t>
      </w:r>
      <w:r>
        <w:rPr>
          <w:iCs/>
        </w:rPr>
        <w:t>health services to the most vulnerable,</w:t>
      </w:r>
      <w:r w:rsidRPr="005A497D">
        <w:rPr>
          <w:iCs/>
        </w:rPr>
        <w:t xml:space="preserve"> including the elderly and the youth</w:t>
      </w:r>
      <w:r>
        <w:rPr>
          <w:iCs/>
        </w:rPr>
        <w:t>,</w:t>
      </w:r>
      <w:r w:rsidRPr="005A497D">
        <w:rPr>
          <w:iCs/>
        </w:rPr>
        <w:t xml:space="preserve"> through social protection packages. </w:t>
      </w:r>
    </w:p>
    <w:p w14:paraId="6E337C93" w14:textId="5EFAB61B" w:rsidR="001762EE" w:rsidRDefault="001762EE" w:rsidP="007B3334">
      <w:pPr>
        <w:pStyle w:val="NormalWeb"/>
        <w:autoSpaceDE w:val="0"/>
        <w:autoSpaceDN w:val="0"/>
        <w:adjustRightInd w:val="0"/>
        <w:spacing w:before="0" w:beforeAutospacing="0" w:after="0" w:afterAutospacing="0"/>
        <w:contextualSpacing/>
        <w:jc w:val="both"/>
      </w:pPr>
    </w:p>
    <w:p w14:paraId="483F128E" w14:textId="67C8859D" w:rsidR="001762EE" w:rsidRDefault="001762EE" w:rsidP="007B3334">
      <w:pPr>
        <w:pStyle w:val="NormalWeb"/>
        <w:numPr>
          <w:ilvl w:val="0"/>
          <w:numId w:val="6"/>
        </w:numPr>
        <w:autoSpaceDE w:val="0"/>
        <w:autoSpaceDN w:val="0"/>
        <w:adjustRightInd w:val="0"/>
        <w:spacing w:before="0" w:beforeAutospacing="0" w:after="0" w:afterAutospacing="0"/>
        <w:ind w:left="0" w:firstLine="0"/>
        <w:contextualSpacing/>
        <w:jc w:val="both"/>
      </w:pPr>
      <w:r>
        <w:t>Budgeting is conducted using the program (activities and projects) classification, specifically aligned with the government’s priorities; and the plans include costing information for most of the ministries. The score for Dimension 16.2 is assessed at “B”.</w:t>
      </w:r>
    </w:p>
    <w:p w14:paraId="468B1E66" w14:textId="77777777" w:rsidR="00CA0D85" w:rsidRDefault="00CA0D85" w:rsidP="00D21EC6">
      <w:pPr>
        <w:pStyle w:val="NormalWeb"/>
        <w:autoSpaceDE w:val="0"/>
        <w:autoSpaceDN w:val="0"/>
        <w:adjustRightInd w:val="0"/>
        <w:spacing w:before="0" w:beforeAutospacing="0" w:after="0" w:afterAutospacing="0"/>
        <w:contextualSpacing/>
        <w:jc w:val="both"/>
      </w:pPr>
    </w:p>
    <w:p w14:paraId="0DE0F94B" w14:textId="0DDA9393" w:rsidR="001762EE" w:rsidRPr="009A0E96" w:rsidRDefault="001762EE" w:rsidP="00D21EC6">
      <w:pPr>
        <w:pStyle w:val="NormalWeb"/>
        <w:autoSpaceDE w:val="0"/>
        <w:autoSpaceDN w:val="0"/>
        <w:adjustRightInd w:val="0"/>
        <w:spacing w:before="0" w:beforeAutospacing="0" w:after="0" w:afterAutospacing="0"/>
        <w:contextualSpacing/>
        <w:jc w:val="both"/>
        <w:rPr>
          <w:b/>
          <w:i/>
        </w:rPr>
      </w:pPr>
      <w:r w:rsidRPr="009A0E96">
        <w:rPr>
          <w:b/>
          <w:i/>
        </w:rPr>
        <w:t>Dimension 16.4 Consistency of budgets with previous year’s estimates</w:t>
      </w:r>
    </w:p>
    <w:p w14:paraId="6CEA1F20" w14:textId="77777777" w:rsidR="001762EE" w:rsidRPr="00D21EC6" w:rsidRDefault="001762EE" w:rsidP="00D21EC6">
      <w:pPr>
        <w:pStyle w:val="NormalWeb"/>
        <w:autoSpaceDE w:val="0"/>
        <w:autoSpaceDN w:val="0"/>
        <w:adjustRightInd w:val="0"/>
        <w:spacing w:before="0" w:beforeAutospacing="0" w:after="0" w:afterAutospacing="0"/>
        <w:contextualSpacing/>
        <w:jc w:val="both"/>
        <w:rPr>
          <w:i/>
        </w:rPr>
      </w:pPr>
    </w:p>
    <w:p w14:paraId="1ECE6E39" w14:textId="3F08E2B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iCs/>
        </w:rPr>
        <w:t xml:space="preserve">Per 2016 </w:t>
      </w:r>
      <w:r>
        <w:rPr>
          <w:iCs/>
        </w:rPr>
        <w:t>b</w:t>
      </w:r>
      <w:r w:rsidRPr="005A497D">
        <w:rPr>
          <w:iCs/>
        </w:rPr>
        <w:t>udget call</w:t>
      </w:r>
      <w:r>
        <w:rPr>
          <w:iCs/>
        </w:rPr>
        <w:t>,</w:t>
      </w:r>
      <w:r w:rsidRPr="005A497D">
        <w:rPr>
          <w:rStyle w:val="EndnoteReference"/>
          <w:iCs/>
        </w:rPr>
        <w:endnoteReference w:id="70"/>
      </w:r>
      <w:r w:rsidRPr="005A497D">
        <w:rPr>
          <w:iCs/>
        </w:rPr>
        <w:t xml:space="preserve"> the 2015-2016 budget amounts for the existing or ongoing projects are based on program plans/profiles</w:t>
      </w:r>
      <w:r>
        <w:rPr>
          <w:iCs/>
        </w:rPr>
        <w:t>.</w:t>
      </w:r>
      <w:r w:rsidRPr="005A497D">
        <w:rPr>
          <w:iCs/>
        </w:rPr>
        <w:t xml:space="preserve"> </w:t>
      </w:r>
      <w:r>
        <w:rPr>
          <w:iCs/>
        </w:rPr>
        <w:t>The</w:t>
      </w:r>
      <w:r w:rsidRPr="005A497D">
        <w:rPr>
          <w:iCs/>
        </w:rPr>
        <w:t xml:space="preserve"> budget level is adjusted considering the latest actual obligations and payments of agencies for 2014. </w:t>
      </w:r>
      <w:r>
        <w:rPr>
          <w:iCs/>
        </w:rPr>
        <w:t>Thus, the budget level for 2015-</w:t>
      </w:r>
      <w:r w:rsidRPr="005A497D">
        <w:rPr>
          <w:iCs/>
        </w:rPr>
        <w:t xml:space="preserve">2018 represents the forecasts of the likely obligations/contracting and payment requirements of the agencies for each </w:t>
      </w:r>
      <w:r>
        <w:rPr>
          <w:iCs/>
        </w:rPr>
        <w:t>program, activity, and project</w:t>
      </w:r>
      <w:r w:rsidRPr="005A497D">
        <w:rPr>
          <w:iCs/>
        </w:rPr>
        <w:t>.</w:t>
      </w:r>
      <w:r>
        <w:rPr>
          <w:iCs/>
        </w:rPr>
        <w:t xml:space="preserve"> Table 3.20 highlights the minimal difference between proposals and ceilings.</w:t>
      </w:r>
    </w:p>
    <w:p w14:paraId="6072A385" w14:textId="77777777" w:rsidR="00CA0D85" w:rsidRDefault="00CA0D85" w:rsidP="001112A1">
      <w:pPr>
        <w:pStyle w:val="PEFATable"/>
        <w:spacing w:after="40"/>
        <w:jc w:val="both"/>
        <w:rPr>
          <w:sz w:val="24"/>
          <w:szCs w:val="24"/>
        </w:rPr>
      </w:pPr>
    </w:p>
    <w:p w14:paraId="2F6D28BD" w14:textId="1E9C0E63" w:rsidR="001762EE" w:rsidRPr="005A497D" w:rsidRDefault="001762EE" w:rsidP="001112A1">
      <w:pPr>
        <w:pStyle w:val="PEFATable"/>
        <w:spacing w:after="40"/>
        <w:jc w:val="both"/>
        <w:rPr>
          <w:sz w:val="24"/>
          <w:szCs w:val="24"/>
        </w:rPr>
      </w:pPr>
      <w:bookmarkStart w:id="131" w:name="_Toc454889256"/>
      <w:r w:rsidRPr="005A497D">
        <w:rPr>
          <w:sz w:val="24"/>
          <w:szCs w:val="24"/>
        </w:rPr>
        <w:t>Table 3.</w:t>
      </w:r>
      <w:r w:rsidR="00A85C58">
        <w:rPr>
          <w:sz w:val="24"/>
          <w:szCs w:val="24"/>
        </w:rPr>
        <w:t>14</w:t>
      </w:r>
      <w:r w:rsidRPr="005A497D">
        <w:rPr>
          <w:sz w:val="24"/>
          <w:szCs w:val="24"/>
        </w:rPr>
        <w:t xml:space="preserve">: </w:t>
      </w:r>
      <w:r w:rsidRPr="00835656">
        <w:rPr>
          <w:sz w:val="24"/>
          <w:szCs w:val="24"/>
        </w:rPr>
        <w:t xml:space="preserve">Variance between budget proposals and ceilings based on </w:t>
      </w:r>
      <w:r>
        <w:rPr>
          <w:sz w:val="24"/>
          <w:szCs w:val="24"/>
        </w:rPr>
        <w:t>projected</w:t>
      </w:r>
      <w:r w:rsidRPr="00835656">
        <w:rPr>
          <w:sz w:val="24"/>
          <w:szCs w:val="24"/>
        </w:rPr>
        <w:t xml:space="preserve"> estimates</w:t>
      </w:r>
      <w:bookmarkEnd w:id="131"/>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609"/>
        <w:gridCol w:w="1114"/>
        <w:gridCol w:w="1115"/>
        <w:gridCol w:w="1114"/>
        <w:gridCol w:w="1115"/>
        <w:gridCol w:w="1114"/>
        <w:gridCol w:w="1115"/>
      </w:tblGrid>
      <w:tr w:rsidR="001762EE" w:rsidRPr="005A497D" w14:paraId="7BA74321" w14:textId="77777777" w:rsidTr="00E0249B">
        <w:trPr>
          <w:trHeight w:val="397"/>
          <w:tblHeader/>
        </w:trPr>
        <w:tc>
          <w:tcPr>
            <w:tcW w:w="2609" w:type="dxa"/>
            <w:vMerge w:val="restart"/>
            <w:shd w:val="clear" w:color="auto" w:fill="D9D9D9" w:themeFill="background1" w:themeFillShade="D9"/>
            <w:vAlign w:val="center"/>
          </w:tcPr>
          <w:p w14:paraId="09C0ABF6" w14:textId="77777777" w:rsidR="001762EE" w:rsidRPr="00FA7D33" w:rsidRDefault="001762EE" w:rsidP="005A497D">
            <w:pPr>
              <w:pStyle w:val="NormalWeb"/>
              <w:autoSpaceDE w:val="0"/>
              <w:autoSpaceDN w:val="0"/>
              <w:adjustRightInd w:val="0"/>
              <w:contextualSpacing/>
              <w:jc w:val="center"/>
              <w:rPr>
                <w:b/>
                <w:sz w:val="20"/>
                <w:szCs w:val="20"/>
                <w:lang w:eastAsia="en-SG"/>
              </w:rPr>
            </w:pPr>
            <w:r w:rsidRPr="00FA7D33">
              <w:rPr>
                <w:b/>
                <w:sz w:val="20"/>
                <w:szCs w:val="20"/>
                <w:lang w:eastAsia="en-SG"/>
              </w:rPr>
              <w:t>Economic classification</w:t>
            </w:r>
          </w:p>
        </w:tc>
        <w:tc>
          <w:tcPr>
            <w:tcW w:w="2229" w:type="dxa"/>
            <w:gridSpan w:val="2"/>
            <w:shd w:val="clear" w:color="auto" w:fill="D9D9D9" w:themeFill="background1" w:themeFillShade="D9"/>
            <w:vAlign w:val="center"/>
          </w:tcPr>
          <w:p w14:paraId="3F91B2EA" w14:textId="0EF9868E" w:rsidR="001762EE" w:rsidRPr="00FA7D33" w:rsidRDefault="001762EE" w:rsidP="005A497D">
            <w:pPr>
              <w:pStyle w:val="NormalWeb"/>
              <w:autoSpaceDE w:val="0"/>
              <w:autoSpaceDN w:val="0"/>
              <w:adjustRightInd w:val="0"/>
              <w:spacing w:before="0" w:beforeAutospacing="0" w:after="0" w:afterAutospacing="0"/>
              <w:contextualSpacing/>
              <w:jc w:val="center"/>
              <w:rPr>
                <w:b/>
                <w:bCs/>
                <w:sz w:val="20"/>
                <w:szCs w:val="20"/>
                <w:lang w:eastAsia="en-SG"/>
              </w:rPr>
            </w:pPr>
            <w:r w:rsidRPr="00FA7D33">
              <w:rPr>
                <w:b/>
                <w:bCs/>
                <w:sz w:val="20"/>
                <w:szCs w:val="20"/>
                <w:lang w:eastAsia="en-SG"/>
              </w:rPr>
              <w:t xml:space="preserve">2013 </w:t>
            </w:r>
            <w:r w:rsidRPr="00FA7D33">
              <w:rPr>
                <w:b/>
                <w:bCs/>
                <w:i/>
                <w:sz w:val="20"/>
                <w:szCs w:val="20"/>
                <w:lang w:eastAsia="en-SG"/>
              </w:rPr>
              <w:t>(PhP billions)</w:t>
            </w:r>
          </w:p>
        </w:tc>
        <w:tc>
          <w:tcPr>
            <w:tcW w:w="2229" w:type="dxa"/>
            <w:gridSpan w:val="2"/>
            <w:shd w:val="clear" w:color="auto" w:fill="D9D9D9" w:themeFill="background1" w:themeFillShade="D9"/>
            <w:vAlign w:val="center"/>
          </w:tcPr>
          <w:p w14:paraId="53899DD6" w14:textId="15ABB235"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 xml:space="preserve">2014 </w:t>
            </w:r>
            <w:r w:rsidRPr="00FA7D33">
              <w:rPr>
                <w:b/>
                <w:bCs/>
                <w:i/>
                <w:sz w:val="20"/>
                <w:szCs w:val="20"/>
                <w:lang w:eastAsia="en-SG"/>
              </w:rPr>
              <w:t>(PhP billions)</w:t>
            </w:r>
          </w:p>
        </w:tc>
        <w:tc>
          <w:tcPr>
            <w:tcW w:w="2229" w:type="dxa"/>
            <w:gridSpan w:val="2"/>
            <w:shd w:val="clear" w:color="auto" w:fill="D9D9D9" w:themeFill="background1" w:themeFillShade="D9"/>
            <w:vAlign w:val="center"/>
          </w:tcPr>
          <w:p w14:paraId="61790AFC" w14:textId="76E04CB4"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 xml:space="preserve">2015 </w:t>
            </w:r>
            <w:r w:rsidRPr="00FA7D33">
              <w:rPr>
                <w:b/>
                <w:bCs/>
                <w:i/>
                <w:sz w:val="20"/>
                <w:szCs w:val="20"/>
                <w:lang w:eastAsia="en-SG"/>
              </w:rPr>
              <w:t>(PhP billions)</w:t>
            </w:r>
          </w:p>
        </w:tc>
      </w:tr>
      <w:tr w:rsidR="001762EE" w:rsidRPr="005A497D" w14:paraId="1B915BDC" w14:textId="77777777" w:rsidTr="00E0249B">
        <w:trPr>
          <w:trHeight w:val="397"/>
          <w:tblHeader/>
        </w:trPr>
        <w:tc>
          <w:tcPr>
            <w:tcW w:w="2609" w:type="dxa"/>
            <w:vMerge/>
            <w:tcBorders>
              <w:bottom w:val="double" w:sz="4" w:space="0" w:color="auto"/>
            </w:tcBorders>
            <w:shd w:val="clear" w:color="auto" w:fill="D9D9D9" w:themeFill="background1" w:themeFillShade="D9"/>
            <w:vAlign w:val="center"/>
          </w:tcPr>
          <w:p w14:paraId="5AC7442B"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p>
        </w:tc>
        <w:tc>
          <w:tcPr>
            <w:tcW w:w="1114" w:type="dxa"/>
            <w:tcBorders>
              <w:bottom w:val="double" w:sz="4" w:space="0" w:color="auto"/>
            </w:tcBorders>
            <w:shd w:val="clear" w:color="auto" w:fill="D9D9D9" w:themeFill="background1" w:themeFillShade="D9"/>
            <w:vAlign w:val="center"/>
          </w:tcPr>
          <w:p w14:paraId="298F1724"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Proposed</w:t>
            </w:r>
          </w:p>
        </w:tc>
        <w:tc>
          <w:tcPr>
            <w:tcW w:w="1115" w:type="dxa"/>
            <w:tcBorders>
              <w:bottom w:val="double" w:sz="4" w:space="0" w:color="auto"/>
            </w:tcBorders>
            <w:shd w:val="clear" w:color="auto" w:fill="D9D9D9" w:themeFill="background1" w:themeFillShade="D9"/>
            <w:vAlign w:val="center"/>
          </w:tcPr>
          <w:p w14:paraId="71777AAB"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Adjusted</w:t>
            </w:r>
          </w:p>
        </w:tc>
        <w:tc>
          <w:tcPr>
            <w:tcW w:w="1114" w:type="dxa"/>
            <w:tcBorders>
              <w:bottom w:val="double" w:sz="4" w:space="0" w:color="auto"/>
            </w:tcBorders>
            <w:shd w:val="clear" w:color="auto" w:fill="D9D9D9" w:themeFill="background1" w:themeFillShade="D9"/>
            <w:vAlign w:val="center"/>
          </w:tcPr>
          <w:p w14:paraId="0FA9F3FA"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Proposed</w:t>
            </w:r>
          </w:p>
        </w:tc>
        <w:tc>
          <w:tcPr>
            <w:tcW w:w="1115" w:type="dxa"/>
            <w:tcBorders>
              <w:bottom w:val="double" w:sz="4" w:space="0" w:color="auto"/>
            </w:tcBorders>
            <w:shd w:val="clear" w:color="auto" w:fill="D9D9D9" w:themeFill="background1" w:themeFillShade="D9"/>
            <w:vAlign w:val="center"/>
          </w:tcPr>
          <w:p w14:paraId="0601690F"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Adjusted</w:t>
            </w:r>
          </w:p>
        </w:tc>
        <w:tc>
          <w:tcPr>
            <w:tcW w:w="1114" w:type="dxa"/>
            <w:tcBorders>
              <w:bottom w:val="double" w:sz="4" w:space="0" w:color="auto"/>
            </w:tcBorders>
            <w:shd w:val="clear" w:color="auto" w:fill="D9D9D9" w:themeFill="background1" w:themeFillShade="D9"/>
            <w:vAlign w:val="center"/>
          </w:tcPr>
          <w:p w14:paraId="7F281081"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Proposed</w:t>
            </w:r>
          </w:p>
        </w:tc>
        <w:tc>
          <w:tcPr>
            <w:tcW w:w="1115" w:type="dxa"/>
            <w:tcBorders>
              <w:bottom w:val="double" w:sz="4" w:space="0" w:color="auto"/>
            </w:tcBorders>
            <w:shd w:val="clear" w:color="auto" w:fill="D9D9D9" w:themeFill="background1" w:themeFillShade="D9"/>
            <w:vAlign w:val="center"/>
          </w:tcPr>
          <w:p w14:paraId="3F0E1D93" w14:textId="77777777" w:rsidR="001762EE" w:rsidRPr="00FA7D33" w:rsidRDefault="001762EE" w:rsidP="005A497D">
            <w:pPr>
              <w:pStyle w:val="NormalWeb"/>
              <w:autoSpaceDE w:val="0"/>
              <w:autoSpaceDN w:val="0"/>
              <w:adjustRightInd w:val="0"/>
              <w:spacing w:before="0" w:beforeAutospacing="0" w:after="0" w:afterAutospacing="0"/>
              <w:contextualSpacing/>
              <w:jc w:val="center"/>
              <w:rPr>
                <w:b/>
                <w:sz w:val="20"/>
                <w:szCs w:val="20"/>
                <w:u w:val="single"/>
              </w:rPr>
            </w:pPr>
            <w:r w:rsidRPr="00FA7D33">
              <w:rPr>
                <w:b/>
                <w:bCs/>
                <w:sz w:val="20"/>
                <w:szCs w:val="20"/>
                <w:lang w:eastAsia="en-SG"/>
              </w:rPr>
              <w:t>Adjusted</w:t>
            </w:r>
          </w:p>
        </w:tc>
      </w:tr>
      <w:tr w:rsidR="001762EE" w:rsidRPr="005A497D" w14:paraId="2550DC70" w14:textId="77777777" w:rsidTr="00835656">
        <w:trPr>
          <w:trHeight w:val="340"/>
        </w:trPr>
        <w:tc>
          <w:tcPr>
            <w:tcW w:w="2609" w:type="dxa"/>
            <w:tcBorders>
              <w:top w:val="double" w:sz="4" w:space="0" w:color="auto"/>
              <w:bottom w:val="single" w:sz="4" w:space="0" w:color="auto"/>
            </w:tcBorders>
            <w:vAlign w:val="center"/>
          </w:tcPr>
          <w:p w14:paraId="327DB707" w14:textId="15EB911A" w:rsidR="001762EE" w:rsidRPr="009A0E96" w:rsidRDefault="001762EE" w:rsidP="00D46430">
            <w:pPr>
              <w:pStyle w:val="NormalWeb"/>
              <w:autoSpaceDE w:val="0"/>
              <w:autoSpaceDN w:val="0"/>
              <w:adjustRightInd w:val="0"/>
              <w:spacing w:before="0" w:beforeAutospacing="0" w:after="0" w:afterAutospacing="0"/>
              <w:contextualSpacing/>
              <w:rPr>
                <w:sz w:val="20"/>
                <w:szCs w:val="20"/>
                <w:u w:val="single"/>
              </w:rPr>
            </w:pPr>
            <w:r w:rsidRPr="009A0E96">
              <w:rPr>
                <w:sz w:val="20"/>
                <w:szCs w:val="20"/>
                <w:lang w:eastAsia="en-SG"/>
              </w:rPr>
              <w:t xml:space="preserve">Agriculture and </w:t>
            </w:r>
            <w:r>
              <w:rPr>
                <w:sz w:val="20"/>
                <w:szCs w:val="20"/>
                <w:lang w:eastAsia="en-SG"/>
              </w:rPr>
              <w:t>a</w:t>
            </w:r>
            <w:r w:rsidRPr="009A0E96">
              <w:rPr>
                <w:sz w:val="20"/>
                <w:szCs w:val="20"/>
                <w:lang w:eastAsia="en-SG"/>
              </w:rPr>
              <w:t>grarian reform</w:t>
            </w:r>
          </w:p>
        </w:tc>
        <w:tc>
          <w:tcPr>
            <w:tcW w:w="1114" w:type="dxa"/>
            <w:tcBorders>
              <w:top w:val="double" w:sz="4" w:space="0" w:color="auto"/>
              <w:bottom w:val="single" w:sz="4" w:space="0" w:color="auto"/>
            </w:tcBorders>
            <w:vAlign w:val="center"/>
          </w:tcPr>
          <w:p w14:paraId="1BE3528C"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109.28</w:t>
            </w:r>
          </w:p>
        </w:tc>
        <w:tc>
          <w:tcPr>
            <w:tcW w:w="1115" w:type="dxa"/>
            <w:tcBorders>
              <w:top w:val="double" w:sz="4" w:space="0" w:color="auto"/>
              <w:bottom w:val="single" w:sz="4" w:space="0" w:color="auto"/>
            </w:tcBorders>
            <w:vAlign w:val="center"/>
          </w:tcPr>
          <w:p w14:paraId="7AE297E0"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111.14</w:t>
            </w:r>
          </w:p>
        </w:tc>
        <w:tc>
          <w:tcPr>
            <w:tcW w:w="1114" w:type="dxa"/>
            <w:tcBorders>
              <w:top w:val="double" w:sz="4" w:space="0" w:color="auto"/>
              <w:bottom w:val="single" w:sz="4" w:space="0" w:color="auto"/>
            </w:tcBorders>
            <w:vAlign w:val="center"/>
          </w:tcPr>
          <w:p w14:paraId="61E97677"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116.58</w:t>
            </w:r>
          </w:p>
        </w:tc>
        <w:tc>
          <w:tcPr>
            <w:tcW w:w="1115" w:type="dxa"/>
            <w:tcBorders>
              <w:top w:val="double" w:sz="4" w:space="0" w:color="auto"/>
              <w:bottom w:val="single" w:sz="4" w:space="0" w:color="auto"/>
            </w:tcBorders>
            <w:vAlign w:val="center"/>
          </w:tcPr>
          <w:p w14:paraId="5472AA71"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112.09</w:t>
            </w:r>
          </w:p>
        </w:tc>
        <w:tc>
          <w:tcPr>
            <w:tcW w:w="1114" w:type="dxa"/>
            <w:tcBorders>
              <w:top w:val="double" w:sz="4" w:space="0" w:color="auto"/>
              <w:bottom w:val="single" w:sz="4" w:space="0" w:color="auto"/>
            </w:tcBorders>
            <w:vAlign w:val="center"/>
          </w:tcPr>
          <w:p w14:paraId="4E018A84"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109.27</w:t>
            </w:r>
          </w:p>
        </w:tc>
        <w:tc>
          <w:tcPr>
            <w:tcW w:w="1115" w:type="dxa"/>
            <w:tcBorders>
              <w:top w:val="double" w:sz="4" w:space="0" w:color="auto"/>
              <w:bottom w:val="single" w:sz="4" w:space="0" w:color="auto"/>
            </w:tcBorders>
            <w:vAlign w:val="center"/>
          </w:tcPr>
          <w:p w14:paraId="2C2BBF26"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114.46</w:t>
            </w:r>
          </w:p>
        </w:tc>
      </w:tr>
      <w:tr w:rsidR="001762EE" w:rsidRPr="005A497D" w14:paraId="081BC8B2" w14:textId="77777777" w:rsidTr="00835656">
        <w:trPr>
          <w:trHeight w:val="340"/>
        </w:trPr>
        <w:tc>
          <w:tcPr>
            <w:tcW w:w="2609" w:type="dxa"/>
            <w:tcBorders>
              <w:top w:val="single" w:sz="4" w:space="0" w:color="auto"/>
              <w:bottom w:val="single" w:sz="4" w:space="0" w:color="auto"/>
            </w:tcBorders>
            <w:vAlign w:val="center"/>
          </w:tcPr>
          <w:p w14:paraId="2A25810B" w14:textId="77777777" w:rsidR="001762EE" w:rsidRPr="009A0E96" w:rsidRDefault="001762EE" w:rsidP="005A497D">
            <w:pPr>
              <w:pStyle w:val="NormalWeb"/>
              <w:autoSpaceDE w:val="0"/>
              <w:autoSpaceDN w:val="0"/>
              <w:adjustRightInd w:val="0"/>
              <w:spacing w:before="0" w:beforeAutospacing="0" w:after="0" w:afterAutospacing="0"/>
              <w:contextualSpacing/>
              <w:rPr>
                <w:sz w:val="20"/>
                <w:szCs w:val="20"/>
                <w:u w:val="single"/>
              </w:rPr>
            </w:pPr>
            <w:r w:rsidRPr="009A0E96">
              <w:rPr>
                <w:sz w:val="20"/>
                <w:szCs w:val="20"/>
                <w:lang w:eastAsia="en-SG"/>
              </w:rPr>
              <w:t>Infrastructure</w:t>
            </w:r>
          </w:p>
        </w:tc>
        <w:tc>
          <w:tcPr>
            <w:tcW w:w="1114" w:type="dxa"/>
            <w:tcBorders>
              <w:top w:val="single" w:sz="4" w:space="0" w:color="auto"/>
              <w:bottom w:val="single" w:sz="4" w:space="0" w:color="auto"/>
            </w:tcBorders>
            <w:vAlign w:val="center"/>
          </w:tcPr>
          <w:p w14:paraId="7BD439FD"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197.57</w:t>
            </w:r>
          </w:p>
        </w:tc>
        <w:tc>
          <w:tcPr>
            <w:tcW w:w="1115" w:type="dxa"/>
            <w:tcBorders>
              <w:top w:val="single" w:sz="4" w:space="0" w:color="auto"/>
              <w:bottom w:val="single" w:sz="4" w:space="0" w:color="auto"/>
            </w:tcBorders>
            <w:vAlign w:val="center"/>
          </w:tcPr>
          <w:p w14:paraId="17C1AB8E"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203.77</w:t>
            </w:r>
          </w:p>
        </w:tc>
        <w:tc>
          <w:tcPr>
            <w:tcW w:w="1114" w:type="dxa"/>
            <w:tcBorders>
              <w:top w:val="single" w:sz="4" w:space="0" w:color="auto"/>
              <w:bottom w:val="single" w:sz="4" w:space="0" w:color="auto"/>
            </w:tcBorders>
            <w:vAlign w:val="center"/>
          </w:tcPr>
          <w:p w14:paraId="7BDF17CF"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253.13</w:t>
            </w:r>
          </w:p>
        </w:tc>
        <w:tc>
          <w:tcPr>
            <w:tcW w:w="1115" w:type="dxa"/>
            <w:tcBorders>
              <w:top w:val="single" w:sz="4" w:space="0" w:color="auto"/>
              <w:bottom w:val="single" w:sz="4" w:space="0" w:color="auto"/>
            </w:tcBorders>
            <w:vAlign w:val="center"/>
          </w:tcPr>
          <w:p w14:paraId="38A16D5D"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260.53</w:t>
            </w:r>
          </w:p>
        </w:tc>
        <w:tc>
          <w:tcPr>
            <w:tcW w:w="1114" w:type="dxa"/>
            <w:tcBorders>
              <w:top w:val="single" w:sz="4" w:space="0" w:color="auto"/>
              <w:bottom w:val="single" w:sz="4" w:space="0" w:color="auto"/>
            </w:tcBorders>
            <w:vAlign w:val="center"/>
          </w:tcPr>
          <w:p w14:paraId="23ED6AB8"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339.44</w:t>
            </w:r>
          </w:p>
        </w:tc>
        <w:tc>
          <w:tcPr>
            <w:tcW w:w="1115" w:type="dxa"/>
            <w:tcBorders>
              <w:top w:val="single" w:sz="4" w:space="0" w:color="auto"/>
              <w:bottom w:val="single" w:sz="4" w:space="0" w:color="auto"/>
            </w:tcBorders>
            <w:vAlign w:val="center"/>
          </w:tcPr>
          <w:p w14:paraId="6623D7D4"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340.16</w:t>
            </w:r>
          </w:p>
        </w:tc>
      </w:tr>
      <w:tr w:rsidR="001762EE" w:rsidRPr="005A497D" w14:paraId="66482B1F" w14:textId="77777777" w:rsidTr="00835656">
        <w:trPr>
          <w:trHeight w:val="340"/>
        </w:trPr>
        <w:tc>
          <w:tcPr>
            <w:tcW w:w="2609" w:type="dxa"/>
            <w:tcBorders>
              <w:top w:val="single" w:sz="4" w:space="0" w:color="auto"/>
              <w:bottom w:val="single" w:sz="4" w:space="0" w:color="auto"/>
            </w:tcBorders>
            <w:vAlign w:val="center"/>
          </w:tcPr>
          <w:p w14:paraId="2CEEFEA0" w14:textId="67E05932" w:rsidR="001762EE" w:rsidRPr="009A0E96" w:rsidRDefault="001762EE" w:rsidP="009E55FB">
            <w:pPr>
              <w:pStyle w:val="NormalWeb"/>
              <w:autoSpaceDE w:val="0"/>
              <w:autoSpaceDN w:val="0"/>
              <w:adjustRightInd w:val="0"/>
              <w:spacing w:before="0" w:beforeAutospacing="0" w:after="0" w:afterAutospacing="0"/>
              <w:contextualSpacing/>
              <w:rPr>
                <w:sz w:val="20"/>
                <w:szCs w:val="20"/>
                <w:u w:val="single"/>
              </w:rPr>
            </w:pPr>
            <w:r w:rsidRPr="009A0E96">
              <w:rPr>
                <w:sz w:val="20"/>
                <w:szCs w:val="20"/>
                <w:lang w:eastAsia="en-SG"/>
              </w:rPr>
              <w:t xml:space="preserve">Education, </w:t>
            </w:r>
            <w:r>
              <w:rPr>
                <w:sz w:val="20"/>
                <w:szCs w:val="20"/>
                <w:lang w:eastAsia="en-SG"/>
              </w:rPr>
              <w:t>c</w:t>
            </w:r>
            <w:r w:rsidRPr="009A0E96">
              <w:rPr>
                <w:sz w:val="20"/>
                <w:szCs w:val="20"/>
                <w:lang w:eastAsia="en-SG"/>
              </w:rPr>
              <w:t xml:space="preserve">ulture and </w:t>
            </w:r>
            <w:r w:rsidR="009E55FB">
              <w:rPr>
                <w:sz w:val="20"/>
                <w:szCs w:val="20"/>
                <w:lang w:eastAsia="en-SG"/>
              </w:rPr>
              <w:t>hu</w:t>
            </w:r>
            <w:r>
              <w:rPr>
                <w:sz w:val="20"/>
                <w:szCs w:val="20"/>
                <w:lang w:eastAsia="en-SG"/>
              </w:rPr>
              <w:t>m</w:t>
            </w:r>
            <w:r w:rsidRPr="009A0E96">
              <w:rPr>
                <w:sz w:val="20"/>
                <w:szCs w:val="20"/>
                <w:lang w:eastAsia="en-SG"/>
              </w:rPr>
              <w:t>an</w:t>
            </w:r>
            <w:r w:rsidR="009E55FB">
              <w:rPr>
                <w:sz w:val="20"/>
                <w:szCs w:val="20"/>
                <w:lang w:eastAsia="en-SG"/>
              </w:rPr>
              <w:t xml:space="preserve"> resource</w:t>
            </w:r>
            <w:r w:rsidRPr="009A0E96">
              <w:rPr>
                <w:sz w:val="20"/>
                <w:szCs w:val="20"/>
                <w:lang w:eastAsia="en-SG"/>
              </w:rPr>
              <w:t xml:space="preserve"> </w:t>
            </w:r>
            <w:r>
              <w:rPr>
                <w:sz w:val="20"/>
                <w:szCs w:val="20"/>
                <w:lang w:eastAsia="en-SG"/>
              </w:rPr>
              <w:t>d</w:t>
            </w:r>
            <w:r w:rsidRPr="009A0E96">
              <w:rPr>
                <w:sz w:val="20"/>
                <w:szCs w:val="20"/>
                <w:lang w:eastAsia="en-SG"/>
              </w:rPr>
              <w:t>evelopment</w:t>
            </w:r>
          </w:p>
        </w:tc>
        <w:tc>
          <w:tcPr>
            <w:tcW w:w="1114" w:type="dxa"/>
            <w:tcBorders>
              <w:top w:val="single" w:sz="4" w:space="0" w:color="auto"/>
              <w:bottom w:val="single" w:sz="4" w:space="0" w:color="auto"/>
            </w:tcBorders>
            <w:vAlign w:val="center"/>
          </w:tcPr>
          <w:p w14:paraId="67AB0F2C"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329.40</w:t>
            </w:r>
          </w:p>
        </w:tc>
        <w:tc>
          <w:tcPr>
            <w:tcW w:w="1115" w:type="dxa"/>
            <w:tcBorders>
              <w:top w:val="single" w:sz="4" w:space="0" w:color="auto"/>
              <w:bottom w:val="single" w:sz="4" w:space="0" w:color="auto"/>
            </w:tcBorders>
            <w:vAlign w:val="center"/>
          </w:tcPr>
          <w:p w14:paraId="2871FD07"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330.18</w:t>
            </w:r>
          </w:p>
        </w:tc>
        <w:tc>
          <w:tcPr>
            <w:tcW w:w="1114" w:type="dxa"/>
            <w:tcBorders>
              <w:top w:val="single" w:sz="4" w:space="0" w:color="auto"/>
              <w:bottom w:val="single" w:sz="4" w:space="0" w:color="auto"/>
            </w:tcBorders>
            <w:vAlign w:val="center"/>
          </w:tcPr>
          <w:p w14:paraId="3804BA8E"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389.52</w:t>
            </w:r>
          </w:p>
        </w:tc>
        <w:tc>
          <w:tcPr>
            <w:tcW w:w="1115" w:type="dxa"/>
            <w:tcBorders>
              <w:top w:val="single" w:sz="4" w:space="0" w:color="auto"/>
              <w:bottom w:val="single" w:sz="4" w:space="0" w:color="auto"/>
            </w:tcBorders>
            <w:vAlign w:val="center"/>
          </w:tcPr>
          <w:p w14:paraId="2875983A"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383.08</w:t>
            </w:r>
          </w:p>
        </w:tc>
        <w:tc>
          <w:tcPr>
            <w:tcW w:w="1114" w:type="dxa"/>
            <w:tcBorders>
              <w:top w:val="single" w:sz="4" w:space="0" w:color="auto"/>
              <w:bottom w:val="single" w:sz="4" w:space="0" w:color="auto"/>
            </w:tcBorders>
            <w:vAlign w:val="center"/>
          </w:tcPr>
          <w:p w14:paraId="425DBD37"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450.21</w:t>
            </w:r>
          </w:p>
        </w:tc>
        <w:tc>
          <w:tcPr>
            <w:tcW w:w="1115" w:type="dxa"/>
            <w:tcBorders>
              <w:top w:val="single" w:sz="4" w:space="0" w:color="auto"/>
              <w:bottom w:val="single" w:sz="4" w:space="0" w:color="auto"/>
            </w:tcBorders>
            <w:vAlign w:val="center"/>
          </w:tcPr>
          <w:p w14:paraId="2130C026"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453.01</w:t>
            </w:r>
          </w:p>
        </w:tc>
      </w:tr>
      <w:tr w:rsidR="001762EE" w:rsidRPr="005A497D" w14:paraId="039B3DD9" w14:textId="77777777" w:rsidTr="00835656">
        <w:trPr>
          <w:trHeight w:val="340"/>
        </w:trPr>
        <w:tc>
          <w:tcPr>
            <w:tcW w:w="2609" w:type="dxa"/>
            <w:tcBorders>
              <w:top w:val="single" w:sz="4" w:space="0" w:color="auto"/>
              <w:bottom w:val="single" w:sz="4" w:space="0" w:color="auto"/>
            </w:tcBorders>
            <w:vAlign w:val="center"/>
          </w:tcPr>
          <w:p w14:paraId="79AB42BD" w14:textId="00E15DBC" w:rsidR="001762EE" w:rsidRPr="009A0E96" w:rsidRDefault="001762EE" w:rsidP="00D46430">
            <w:pPr>
              <w:pStyle w:val="NormalWeb"/>
              <w:autoSpaceDE w:val="0"/>
              <w:autoSpaceDN w:val="0"/>
              <w:adjustRightInd w:val="0"/>
              <w:spacing w:before="0" w:beforeAutospacing="0" w:after="0" w:afterAutospacing="0"/>
              <w:contextualSpacing/>
              <w:rPr>
                <w:sz w:val="20"/>
                <w:szCs w:val="20"/>
                <w:u w:val="single"/>
              </w:rPr>
            </w:pPr>
            <w:r w:rsidRPr="009A0E96">
              <w:rPr>
                <w:sz w:val="20"/>
                <w:szCs w:val="20"/>
                <w:lang w:eastAsia="en-SG"/>
              </w:rPr>
              <w:t xml:space="preserve">Social </w:t>
            </w:r>
            <w:r>
              <w:rPr>
                <w:sz w:val="20"/>
                <w:szCs w:val="20"/>
                <w:lang w:eastAsia="en-SG"/>
              </w:rPr>
              <w:t>s</w:t>
            </w:r>
            <w:r w:rsidRPr="009A0E96">
              <w:rPr>
                <w:sz w:val="20"/>
                <w:szCs w:val="20"/>
                <w:lang w:eastAsia="en-SG"/>
              </w:rPr>
              <w:t xml:space="preserve">ecurity, </w:t>
            </w:r>
            <w:r>
              <w:rPr>
                <w:sz w:val="20"/>
                <w:szCs w:val="20"/>
                <w:lang w:eastAsia="en-SG"/>
              </w:rPr>
              <w:t>w</w:t>
            </w:r>
            <w:r w:rsidRPr="009A0E96">
              <w:rPr>
                <w:sz w:val="20"/>
                <w:szCs w:val="20"/>
                <w:lang w:eastAsia="en-SG"/>
              </w:rPr>
              <w:t xml:space="preserve">elfare and </w:t>
            </w:r>
            <w:r>
              <w:rPr>
                <w:sz w:val="20"/>
                <w:szCs w:val="20"/>
                <w:lang w:eastAsia="en-SG"/>
              </w:rPr>
              <w:t>e</w:t>
            </w:r>
            <w:r w:rsidRPr="009A0E96">
              <w:rPr>
                <w:sz w:val="20"/>
                <w:szCs w:val="20"/>
                <w:lang w:eastAsia="en-SG"/>
              </w:rPr>
              <w:t>mployment</w:t>
            </w:r>
          </w:p>
        </w:tc>
        <w:tc>
          <w:tcPr>
            <w:tcW w:w="1114" w:type="dxa"/>
            <w:tcBorders>
              <w:top w:val="single" w:sz="4" w:space="0" w:color="auto"/>
              <w:bottom w:val="single" w:sz="4" w:space="0" w:color="auto"/>
            </w:tcBorders>
            <w:vAlign w:val="center"/>
          </w:tcPr>
          <w:p w14:paraId="3A2C3DE1"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169.28</w:t>
            </w:r>
          </w:p>
        </w:tc>
        <w:tc>
          <w:tcPr>
            <w:tcW w:w="1115" w:type="dxa"/>
            <w:tcBorders>
              <w:top w:val="single" w:sz="4" w:space="0" w:color="auto"/>
              <w:bottom w:val="single" w:sz="4" w:space="0" w:color="auto"/>
            </w:tcBorders>
            <w:vAlign w:val="center"/>
          </w:tcPr>
          <w:p w14:paraId="4E4EA5E6"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169.46</w:t>
            </w:r>
          </w:p>
        </w:tc>
        <w:tc>
          <w:tcPr>
            <w:tcW w:w="1114" w:type="dxa"/>
            <w:tcBorders>
              <w:top w:val="single" w:sz="4" w:space="0" w:color="auto"/>
              <w:bottom w:val="single" w:sz="4" w:space="0" w:color="auto"/>
            </w:tcBorders>
            <w:vAlign w:val="center"/>
          </w:tcPr>
          <w:p w14:paraId="3A3F3522"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214.92</w:t>
            </w:r>
          </w:p>
        </w:tc>
        <w:tc>
          <w:tcPr>
            <w:tcW w:w="1115" w:type="dxa"/>
            <w:tcBorders>
              <w:top w:val="single" w:sz="4" w:space="0" w:color="auto"/>
              <w:bottom w:val="single" w:sz="4" w:space="0" w:color="auto"/>
            </w:tcBorders>
            <w:vAlign w:val="center"/>
          </w:tcPr>
          <w:p w14:paraId="25E62541"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218.01</w:t>
            </w:r>
          </w:p>
        </w:tc>
        <w:tc>
          <w:tcPr>
            <w:tcW w:w="1114" w:type="dxa"/>
            <w:tcBorders>
              <w:top w:val="single" w:sz="4" w:space="0" w:color="auto"/>
              <w:bottom w:val="single" w:sz="4" w:space="0" w:color="auto"/>
            </w:tcBorders>
            <w:vAlign w:val="center"/>
          </w:tcPr>
          <w:p w14:paraId="09300888"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261.37</w:t>
            </w:r>
          </w:p>
        </w:tc>
        <w:tc>
          <w:tcPr>
            <w:tcW w:w="1115" w:type="dxa"/>
            <w:tcBorders>
              <w:top w:val="single" w:sz="4" w:space="0" w:color="auto"/>
              <w:bottom w:val="single" w:sz="4" w:space="0" w:color="auto"/>
            </w:tcBorders>
            <w:vAlign w:val="center"/>
          </w:tcPr>
          <w:p w14:paraId="12C3FBB0"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246.74</w:t>
            </w:r>
          </w:p>
        </w:tc>
      </w:tr>
      <w:tr w:rsidR="001762EE" w:rsidRPr="005A497D" w14:paraId="5170376C" w14:textId="77777777" w:rsidTr="00835656">
        <w:trPr>
          <w:trHeight w:val="340"/>
        </w:trPr>
        <w:tc>
          <w:tcPr>
            <w:tcW w:w="2609" w:type="dxa"/>
            <w:tcBorders>
              <w:top w:val="single" w:sz="4" w:space="0" w:color="auto"/>
              <w:bottom w:val="single" w:sz="4" w:space="0" w:color="auto"/>
            </w:tcBorders>
            <w:vAlign w:val="center"/>
          </w:tcPr>
          <w:p w14:paraId="75A05611" w14:textId="77777777" w:rsidR="001762EE" w:rsidRPr="009A0E96" w:rsidRDefault="001762EE" w:rsidP="005A497D">
            <w:pPr>
              <w:pStyle w:val="NormalWeb"/>
              <w:autoSpaceDE w:val="0"/>
              <w:autoSpaceDN w:val="0"/>
              <w:adjustRightInd w:val="0"/>
              <w:spacing w:before="0" w:beforeAutospacing="0" w:after="0" w:afterAutospacing="0"/>
              <w:contextualSpacing/>
              <w:rPr>
                <w:sz w:val="20"/>
                <w:szCs w:val="20"/>
                <w:lang w:eastAsia="en-SG"/>
              </w:rPr>
            </w:pPr>
            <w:r w:rsidRPr="009A0E96">
              <w:rPr>
                <w:sz w:val="20"/>
                <w:szCs w:val="20"/>
                <w:lang w:eastAsia="en-SG"/>
              </w:rPr>
              <w:t>Public order and safety</w:t>
            </w:r>
          </w:p>
        </w:tc>
        <w:tc>
          <w:tcPr>
            <w:tcW w:w="1114" w:type="dxa"/>
            <w:tcBorders>
              <w:top w:val="single" w:sz="4" w:space="0" w:color="auto"/>
              <w:bottom w:val="single" w:sz="4" w:space="0" w:color="auto"/>
            </w:tcBorders>
            <w:vAlign w:val="center"/>
          </w:tcPr>
          <w:p w14:paraId="2312B8C6"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124.39</w:t>
            </w:r>
          </w:p>
        </w:tc>
        <w:tc>
          <w:tcPr>
            <w:tcW w:w="1115" w:type="dxa"/>
            <w:tcBorders>
              <w:top w:val="single" w:sz="4" w:space="0" w:color="auto"/>
              <w:bottom w:val="single" w:sz="4" w:space="0" w:color="auto"/>
            </w:tcBorders>
            <w:vAlign w:val="center"/>
          </w:tcPr>
          <w:p w14:paraId="20473B4E"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124.28</w:t>
            </w:r>
          </w:p>
        </w:tc>
        <w:tc>
          <w:tcPr>
            <w:tcW w:w="1114" w:type="dxa"/>
            <w:tcBorders>
              <w:top w:val="single" w:sz="4" w:space="0" w:color="auto"/>
              <w:bottom w:val="single" w:sz="4" w:space="0" w:color="auto"/>
            </w:tcBorders>
            <w:vAlign w:val="center"/>
          </w:tcPr>
          <w:p w14:paraId="67BADBBA"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134.53</w:t>
            </w:r>
          </w:p>
        </w:tc>
        <w:tc>
          <w:tcPr>
            <w:tcW w:w="1115" w:type="dxa"/>
            <w:tcBorders>
              <w:top w:val="single" w:sz="4" w:space="0" w:color="auto"/>
              <w:bottom w:val="single" w:sz="4" w:space="0" w:color="auto"/>
            </w:tcBorders>
            <w:vAlign w:val="center"/>
          </w:tcPr>
          <w:p w14:paraId="068C57D9"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rPr>
              <w:t>134.40</w:t>
            </w:r>
          </w:p>
        </w:tc>
        <w:tc>
          <w:tcPr>
            <w:tcW w:w="1114" w:type="dxa"/>
            <w:tcBorders>
              <w:top w:val="single" w:sz="4" w:space="0" w:color="auto"/>
              <w:bottom w:val="single" w:sz="4" w:space="0" w:color="auto"/>
            </w:tcBorders>
            <w:vAlign w:val="center"/>
          </w:tcPr>
          <w:p w14:paraId="5112DB2D"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141.89</w:t>
            </w:r>
          </w:p>
        </w:tc>
        <w:tc>
          <w:tcPr>
            <w:tcW w:w="1115" w:type="dxa"/>
            <w:tcBorders>
              <w:top w:val="single" w:sz="4" w:space="0" w:color="auto"/>
              <w:bottom w:val="single" w:sz="4" w:space="0" w:color="auto"/>
            </w:tcBorders>
            <w:vAlign w:val="center"/>
          </w:tcPr>
          <w:p w14:paraId="5B6F21CA" w14:textId="77777777" w:rsidR="001762EE" w:rsidRPr="009A0E96" w:rsidRDefault="001762EE" w:rsidP="00835656">
            <w:pPr>
              <w:pStyle w:val="NormalWeb"/>
              <w:autoSpaceDE w:val="0"/>
              <w:autoSpaceDN w:val="0"/>
              <w:adjustRightInd w:val="0"/>
              <w:spacing w:before="0" w:beforeAutospacing="0" w:after="0" w:afterAutospacing="0"/>
              <w:ind w:right="113"/>
              <w:jc w:val="right"/>
              <w:rPr>
                <w:sz w:val="20"/>
                <w:szCs w:val="20"/>
                <w:u w:val="single"/>
              </w:rPr>
            </w:pPr>
            <w:r w:rsidRPr="009A0E96">
              <w:rPr>
                <w:sz w:val="20"/>
                <w:szCs w:val="20"/>
                <w:lang w:eastAsia="en-SG"/>
              </w:rPr>
              <w:t>143.04</w:t>
            </w:r>
          </w:p>
        </w:tc>
      </w:tr>
      <w:tr w:rsidR="001762EE" w:rsidRPr="005A497D" w14:paraId="7FE774E1" w14:textId="77777777" w:rsidTr="00835656">
        <w:trPr>
          <w:trHeight w:val="340"/>
        </w:trPr>
        <w:tc>
          <w:tcPr>
            <w:tcW w:w="2609" w:type="dxa"/>
            <w:tcBorders>
              <w:top w:val="single" w:sz="4" w:space="0" w:color="auto"/>
              <w:bottom w:val="single" w:sz="4" w:space="0" w:color="auto"/>
            </w:tcBorders>
            <w:vAlign w:val="center"/>
          </w:tcPr>
          <w:p w14:paraId="590AF96F" w14:textId="77777777" w:rsidR="001762EE" w:rsidRPr="009A0E96" w:rsidRDefault="001762EE" w:rsidP="005A497D">
            <w:pPr>
              <w:pStyle w:val="NormalWeb"/>
              <w:autoSpaceDE w:val="0"/>
              <w:autoSpaceDN w:val="0"/>
              <w:adjustRightInd w:val="0"/>
              <w:spacing w:before="0" w:beforeAutospacing="0" w:after="0" w:afterAutospacing="0"/>
              <w:contextualSpacing/>
              <w:rPr>
                <w:b/>
                <w:sz w:val="20"/>
                <w:szCs w:val="20"/>
                <w:lang w:eastAsia="en-SG"/>
              </w:rPr>
            </w:pPr>
            <w:r w:rsidRPr="009A0E96">
              <w:rPr>
                <w:b/>
                <w:sz w:val="20"/>
                <w:szCs w:val="20"/>
                <w:lang w:eastAsia="en-SG"/>
              </w:rPr>
              <w:t>Total</w:t>
            </w:r>
          </w:p>
        </w:tc>
        <w:tc>
          <w:tcPr>
            <w:tcW w:w="1114" w:type="dxa"/>
            <w:tcBorders>
              <w:top w:val="single" w:sz="4" w:space="0" w:color="auto"/>
              <w:bottom w:val="single" w:sz="4" w:space="0" w:color="auto"/>
            </w:tcBorders>
            <w:vAlign w:val="center"/>
          </w:tcPr>
          <w:p w14:paraId="150FF0F1" w14:textId="77777777" w:rsidR="001762EE" w:rsidRPr="009A0E96" w:rsidRDefault="001762EE" w:rsidP="00835656">
            <w:pPr>
              <w:pStyle w:val="NormalWeb"/>
              <w:autoSpaceDE w:val="0"/>
              <w:autoSpaceDN w:val="0"/>
              <w:adjustRightInd w:val="0"/>
              <w:spacing w:before="0" w:beforeAutospacing="0" w:after="0" w:afterAutospacing="0"/>
              <w:ind w:right="113"/>
              <w:jc w:val="right"/>
              <w:rPr>
                <w:b/>
                <w:sz w:val="20"/>
                <w:szCs w:val="20"/>
                <w:u w:val="single"/>
              </w:rPr>
            </w:pPr>
            <w:r w:rsidRPr="009A0E96">
              <w:rPr>
                <w:b/>
                <w:sz w:val="20"/>
                <w:szCs w:val="20"/>
                <w:lang w:eastAsia="en-SG"/>
              </w:rPr>
              <w:t>929.92</w:t>
            </w:r>
          </w:p>
        </w:tc>
        <w:tc>
          <w:tcPr>
            <w:tcW w:w="1115" w:type="dxa"/>
            <w:tcBorders>
              <w:top w:val="single" w:sz="4" w:space="0" w:color="auto"/>
              <w:bottom w:val="single" w:sz="4" w:space="0" w:color="auto"/>
            </w:tcBorders>
            <w:vAlign w:val="center"/>
          </w:tcPr>
          <w:p w14:paraId="1F9B0A52" w14:textId="24CAB7A5" w:rsidR="001762EE" w:rsidRPr="009A0E96" w:rsidRDefault="001762EE" w:rsidP="009E55FB">
            <w:pPr>
              <w:pStyle w:val="NormalWeb"/>
              <w:autoSpaceDE w:val="0"/>
              <w:autoSpaceDN w:val="0"/>
              <w:adjustRightInd w:val="0"/>
              <w:spacing w:before="0" w:beforeAutospacing="0" w:after="0" w:afterAutospacing="0"/>
              <w:ind w:right="113"/>
              <w:jc w:val="right"/>
              <w:rPr>
                <w:b/>
                <w:sz w:val="20"/>
                <w:szCs w:val="20"/>
                <w:u w:val="single"/>
              </w:rPr>
            </w:pPr>
            <w:r w:rsidRPr="009A0E96">
              <w:rPr>
                <w:b/>
                <w:sz w:val="20"/>
                <w:szCs w:val="20"/>
                <w:lang w:eastAsia="en-SG"/>
              </w:rPr>
              <w:t>938.8</w:t>
            </w:r>
            <w:r w:rsidR="009E55FB">
              <w:rPr>
                <w:b/>
                <w:sz w:val="20"/>
                <w:szCs w:val="20"/>
                <w:lang w:eastAsia="en-SG"/>
              </w:rPr>
              <w:t>3</w:t>
            </w:r>
          </w:p>
        </w:tc>
        <w:tc>
          <w:tcPr>
            <w:tcW w:w="1114" w:type="dxa"/>
            <w:tcBorders>
              <w:top w:val="single" w:sz="4" w:space="0" w:color="auto"/>
              <w:bottom w:val="single" w:sz="4" w:space="0" w:color="auto"/>
            </w:tcBorders>
            <w:vAlign w:val="center"/>
          </w:tcPr>
          <w:p w14:paraId="19E7AB2E" w14:textId="0FF3FEAD" w:rsidR="001762EE" w:rsidRPr="009A0E96" w:rsidRDefault="001762EE" w:rsidP="009E55FB">
            <w:pPr>
              <w:pStyle w:val="NormalWeb"/>
              <w:autoSpaceDE w:val="0"/>
              <w:autoSpaceDN w:val="0"/>
              <w:adjustRightInd w:val="0"/>
              <w:spacing w:before="0" w:beforeAutospacing="0" w:after="0" w:afterAutospacing="0"/>
              <w:ind w:right="113"/>
              <w:jc w:val="right"/>
              <w:rPr>
                <w:b/>
                <w:sz w:val="20"/>
                <w:szCs w:val="20"/>
                <w:u w:val="single"/>
              </w:rPr>
            </w:pPr>
            <w:r w:rsidRPr="009A0E96">
              <w:rPr>
                <w:b/>
                <w:sz w:val="20"/>
                <w:szCs w:val="20"/>
                <w:lang w:eastAsia="en-SG"/>
              </w:rPr>
              <w:t>1,108.6</w:t>
            </w:r>
            <w:r w:rsidR="009E55FB">
              <w:rPr>
                <w:b/>
                <w:sz w:val="20"/>
                <w:szCs w:val="20"/>
                <w:lang w:eastAsia="en-SG"/>
              </w:rPr>
              <w:t>8</w:t>
            </w:r>
          </w:p>
        </w:tc>
        <w:tc>
          <w:tcPr>
            <w:tcW w:w="1115" w:type="dxa"/>
            <w:tcBorders>
              <w:top w:val="single" w:sz="4" w:space="0" w:color="auto"/>
              <w:bottom w:val="single" w:sz="4" w:space="0" w:color="auto"/>
            </w:tcBorders>
            <w:vAlign w:val="center"/>
          </w:tcPr>
          <w:p w14:paraId="679ED0CF" w14:textId="77777777" w:rsidR="001762EE" w:rsidRPr="009A0E96" w:rsidRDefault="001762EE" w:rsidP="00835656">
            <w:pPr>
              <w:pStyle w:val="NormalWeb"/>
              <w:autoSpaceDE w:val="0"/>
              <w:autoSpaceDN w:val="0"/>
              <w:adjustRightInd w:val="0"/>
              <w:spacing w:before="0" w:beforeAutospacing="0" w:after="0" w:afterAutospacing="0"/>
              <w:ind w:right="113"/>
              <w:jc w:val="right"/>
              <w:rPr>
                <w:b/>
                <w:sz w:val="20"/>
                <w:szCs w:val="20"/>
                <w:u w:val="single"/>
              </w:rPr>
            </w:pPr>
            <w:r w:rsidRPr="009A0E96">
              <w:rPr>
                <w:b/>
                <w:sz w:val="20"/>
                <w:szCs w:val="20"/>
                <w:lang w:eastAsia="en-SG"/>
              </w:rPr>
              <w:t>1,108.11</w:t>
            </w:r>
          </w:p>
        </w:tc>
        <w:tc>
          <w:tcPr>
            <w:tcW w:w="1114" w:type="dxa"/>
            <w:tcBorders>
              <w:top w:val="single" w:sz="4" w:space="0" w:color="auto"/>
              <w:bottom w:val="single" w:sz="4" w:space="0" w:color="auto"/>
            </w:tcBorders>
            <w:vAlign w:val="center"/>
          </w:tcPr>
          <w:p w14:paraId="52BD91E1" w14:textId="77777777" w:rsidR="001762EE" w:rsidRPr="009A0E96" w:rsidRDefault="001762EE" w:rsidP="00835656">
            <w:pPr>
              <w:pStyle w:val="NormalWeb"/>
              <w:autoSpaceDE w:val="0"/>
              <w:autoSpaceDN w:val="0"/>
              <w:adjustRightInd w:val="0"/>
              <w:spacing w:before="0" w:beforeAutospacing="0" w:after="0" w:afterAutospacing="0"/>
              <w:ind w:right="113"/>
              <w:jc w:val="right"/>
              <w:rPr>
                <w:b/>
                <w:sz w:val="20"/>
                <w:szCs w:val="20"/>
                <w:u w:val="single"/>
              </w:rPr>
            </w:pPr>
            <w:r w:rsidRPr="009A0E96">
              <w:rPr>
                <w:b/>
                <w:sz w:val="20"/>
                <w:szCs w:val="20"/>
                <w:lang w:eastAsia="en-SG"/>
              </w:rPr>
              <w:t>1,302.18</w:t>
            </w:r>
          </w:p>
        </w:tc>
        <w:tc>
          <w:tcPr>
            <w:tcW w:w="1115" w:type="dxa"/>
            <w:tcBorders>
              <w:top w:val="single" w:sz="4" w:space="0" w:color="auto"/>
              <w:bottom w:val="single" w:sz="4" w:space="0" w:color="auto"/>
            </w:tcBorders>
            <w:vAlign w:val="center"/>
          </w:tcPr>
          <w:p w14:paraId="4D92482B" w14:textId="1E7DDC23" w:rsidR="001762EE" w:rsidRPr="009A0E96" w:rsidRDefault="001762EE" w:rsidP="009E55FB">
            <w:pPr>
              <w:pStyle w:val="NormalWeb"/>
              <w:autoSpaceDE w:val="0"/>
              <w:autoSpaceDN w:val="0"/>
              <w:adjustRightInd w:val="0"/>
              <w:spacing w:before="0" w:beforeAutospacing="0" w:after="0" w:afterAutospacing="0"/>
              <w:ind w:right="113"/>
              <w:jc w:val="right"/>
              <w:rPr>
                <w:b/>
                <w:sz w:val="20"/>
                <w:szCs w:val="20"/>
                <w:u w:val="single"/>
              </w:rPr>
            </w:pPr>
            <w:r w:rsidRPr="009A0E96">
              <w:rPr>
                <w:b/>
                <w:sz w:val="20"/>
                <w:szCs w:val="20"/>
                <w:lang w:eastAsia="en-SG"/>
              </w:rPr>
              <w:t>1,297.4</w:t>
            </w:r>
            <w:r w:rsidR="009E55FB">
              <w:rPr>
                <w:b/>
                <w:sz w:val="20"/>
                <w:szCs w:val="20"/>
                <w:lang w:eastAsia="en-SG"/>
              </w:rPr>
              <w:t>1</w:t>
            </w:r>
          </w:p>
        </w:tc>
      </w:tr>
      <w:tr w:rsidR="001762EE" w:rsidRPr="005A497D" w14:paraId="00CA3291" w14:textId="77777777" w:rsidTr="00835656">
        <w:trPr>
          <w:trHeight w:val="340"/>
        </w:trPr>
        <w:tc>
          <w:tcPr>
            <w:tcW w:w="2609" w:type="dxa"/>
            <w:tcBorders>
              <w:top w:val="single" w:sz="4" w:space="0" w:color="auto"/>
              <w:bottom w:val="double" w:sz="4" w:space="0" w:color="auto"/>
            </w:tcBorders>
            <w:vAlign w:val="center"/>
          </w:tcPr>
          <w:p w14:paraId="6D7BE514" w14:textId="77777777" w:rsidR="001762EE" w:rsidRPr="009A0E96" w:rsidRDefault="001762EE" w:rsidP="005A497D">
            <w:pPr>
              <w:pStyle w:val="NormalWeb"/>
              <w:autoSpaceDE w:val="0"/>
              <w:autoSpaceDN w:val="0"/>
              <w:adjustRightInd w:val="0"/>
              <w:spacing w:before="0" w:beforeAutospacing="0" w:after="0" w:afterAutospacing="0"/>
              <w:contextualSpacing/>
              <w:rPr>
                <w:b/>
                <w:sz w:val="20"/>
                <w:szCs w:val="20"/>
                <w:lang w:eastAsia="en-SG"/>
              </w:rPr>
            </w:pPr>
            <w:r w:rsidRPr="009A0E96">
              <w:rPr>
                <w:b/>
                <w:sz w:val="20"/>
                <w:szCs w:val="20"/>
                <w:lang w:eastAsia="en-SG"/>
              </w:rPr>
              <w:t>Variance</w:t>
            </w:r>
          </w:p>
        </w:tc>
        <w:tc>
          <w:tcPr>
            <w:tcW w:w="2229" w:type="dxa"/>
            <w:gridSpan w:val="2"/>
            <w:tcBorders>
              <w:top w:val="single" w:sz="4" w:space="0" w:color="auto"/>
              <w:bottom w:val="double" w:sz="4" w:space="0" w:color="auto"/>
            </w:tcBorders>
            <w:vAlign w:val="center"/>
          </w:tcPr>
          <w:p w14:paraId="45102E85" w14:textId="08930165" w:rsidR="001762EE" w:rsidRPr="009A0E96" w:rsidRDefault="001762EE" w:rsidP="005A497D">
            <w:pPr>
              <w:pStyle w:val="NormalWeb"/>
              <w:autoSpaceDE w:val="0"/>
              <w:autoSpaceDN w:val="0"/>
              <w:adjustRightInd w:val="0"/>
              <w:spacing w:before="0" w:beforeAutospacing="0" w:after="0" w:afterAutospacing="0"/>
              <w:contextualSpacing/>
              <w:jc w:val="center"/>
              <w:rPr>
                <w:b/>
                <w:sz w:val="20"/>
                <w:szCs w:val="20"/>
                <w:lang w:eastAsia="en-SG"/>
              </w:rPr>
            </w:pPr>
            <w:r w:rsidRPr="009A0E96">
              <w:rPr>
                <w:b/>
                <w:sz w:val="20"/>
                <w:szCs w:val="20"/>
                <w:lang w:eastAsia="en-SG"/>
              </w:rPr>
              <w:t>0.96%</w:t>
            </w:r>
          </w:p>
        </w:tc>
        <w:tc>
          <w:tcPr>
            <w:tcW w:w="2229" w:type="dxa"/>
            <w:gridSpan w:val="2"/>
            <w:tcBorders>
              <w:top w:val="single" w:sz="4" w:space="0" w:color="auto"/>
              <w:bottom w:val="double" w:sz="4" w:space="0" w:color="auto"/>
            </w:tcBorders>
            <w:vAlign w:val="center"/>
          </w:tcPr>
          <w:p w14:paraId="18D580B5" w14:textId="49DA4D88" w:rsidR="001762EE" w:rsidRPr="009A0E96" w:rsidRDefault="001762EE" w:rsidP="00007518">
            <w:pPr>
              <w:pStyle w:val="NormalWeb"/>
              <w:autoSpaceDE w:val="0"/>
              <w:autoSpaceDN w:val="0"/>
              <w:adjustRightInd w:val="0"/>
              <w:spacing w:before="0" w:beforeAutospacing="0" w:after="0" w:afterAutospacing="0"/>
              <w:contextualSpacing/>
              <w:jc w:val="center"/>
              <w:rPr>
                <w:b/>
                <w:sz w:val="20"/>
                <w:szCs w:val="20"/>
                <w:u w:val="single"/>
              </w:rPr>
            </w:pPr>
            <w:r w:rsidRPr="009A0E96">
              <w:rPr>
                <w:b/>
                <w:sz w:val="20"/>
                <w:szCs w:val="20"/>
                <w:lang w:eastAsia="en-SG"/>
              </w:rPr>
              <w:t>(0.05%)</w:t>
            </w:r>
          </w:p>
        </w:tc>
        <w:tc>
          <w:tcPr>
            <w:tcW w:w="2229" w:type="dxa"/>
            <w:gridSpan w:val="2"/>
            <w:tcBorders>
              <w:top w:val="single" w:sz="4" w:space="0" w:color="auto"/>
              <w:bottom w:val="double" w:sz="4" w:space="0" w:color="auto"/>
            </w:tcBorders>
            <w:vAlign w:val="center"/>
          </w:tcPr>
          <w:p w14:paraId="51B751CE" w14:textId="1F3C5278" w:rsidR="001762EE" w:rsidRPr="009A0E96" w:rsidRDefault="001762EE" w:rsidP="00007518">
            <w:pPr>
              <w:pStyle w:val="NormalWeb"/>
              <w:autoSpaceDE w:val="0"/>
              <w:autoSpaceDN w:val="0"/>
              <w:adjustRightInd w:val="0"/>
              <w:spacing w:before="0" w:beforeAutospacing="0" w:after="0" w:afterAutospacing="0"/>
              <w:contextualSpacing/>
              <w:jc w:val="center"/>
              <w:rPr>
                <w:b/>
                <w:sz w:val="20"/>
                <w:szCs w:val="20"/>
                <w:u w:val="single"/>
              </w:rPr>
            </w:pPr>
            <w:r w:rsidRPr="009A0E96">
              <w:rPr>
                <w:b/>
                <w:sz w:val="20"/>
                <w:szCs w:val="20"/>
                <w:lang w:eastAsia="en-SG"/>
              </w:rPr>
              <w:t>(0.37%)</w:t>
            </w:r>
          </w:p>
        </w:tc>
      </w:tr>
    </w:tbl>
    <w:p w14:paraId="68029946" w14:textId="77777777" w:rsidR="001762EE" w:rsidRPr="005A497D" w:rsidRDefault="001762EE" w:rsidP="005A497D">
      <w:pPr>
        <w:pStyle w:val="NormalWeb"/>
        <w:autoSpaceDE w:val="0"/>
        <w:autoSpaceDN w:val="0"/>
        <w:adjustRightInd w:val="0"/>
        <w:spacing w:before="40" w:beforeAutospacing="0" w:after="0" w:afterAutospacing="0"/>
        <w:jc w:val="both"/>
        <w:rPr>
          <w:sz w:val="20"/>
          <w:szCs w:val="20"/>
        </w:rPr>
      </w:pPr>
      <w:r w:rsidRPr="009A0E96">
        <w:rPr>
          <w:i/>
          <w:sz w:val="20"/>
          <w:szCs w:val="20"/>
        </w:rPr>
        <w:t>Source</w:t>
      </w:r>
      <w:r w:rsidRPr="005A497D">
        <w:rPr>
          <w:sz w:val="20"/>
          <w:szCs w:val="20"/>
        </w:rPr>
        <w:t>: BESF.</w:t>
      </w:r>
    </w:p>
    <w:p w14:paraId="0059CA76" w14:textId="47E6786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As noted in </w:t>
      </w:r>
      <w:r>
        <w:t>Table 3.20</w:t>
      </w:r>
      <w:r w:rsidRPr="005A497D">
        <w:t xml:space="preserve">, deviation from the proposed budget is minimal due to continued use of MTEF. </w:t>
      </w:r>
      <w:r w:rsidRPr="001D44FD">
        <w:t>The mid</w:t>
      </w:r>
      <w:r>
        <w:t>-</w:t>
      </w:r>
      <w:r w:rsidRPr="001D44FD">
        <w:t>year report discloses that in 2014 the national budget tightly linked performance targets to the budget allocations</w:t>
      </w:r>
      <w:r>
        <w:t>,</w:t>
      </w:r>
      <w:r w:rsidRPr="001D44FD">
        <w:t xml:space="preserve"> and in 2015 the national budget affirms the Administration’s promise that each peso spent must result in direct and measurable results for the people to ensure agencies deliver their commitments in exchange. The </w:t>
      </w:r>
      <w:r w:rsidRPr="005A497D">
        <w:t xml:space="preserve">highlight of </w:t>
      </w:r>
      <w:r>
        <w:t xml:space="preserve">all changes to budgets at the </w:t>
      </w:r>
      <w:r w:rsidRPr="005A497D">
        <w:t>sectors</w:t>
      </w:r>
      <w:r>
        <w:t xml:space="preserve"> level</w:t>
      </w:r>
      <w:r w:rsidRPr="005A497D">
        <w:t xml:space="preserve"> is available in the </w:t>
      </w:r>
      <w:r>
        <w:t xml:space="preserve">proposed </w:t>
      </w:r>
      <w:r w:rsidRPr="00D46430">
        <w:t>People’s Budget</w:t>
      </w:r>
      <w:r>
        <w:t xml:space="preserve"> (i.e. in the budget documents)</w:t>
      </w:r>
      <w:r w:rsidRPr="005A497D">
        <w:t>.</w:t>
      </w:r>
      <w:r>
        <w:t xml:space="preserve"> Score for Dimension 16.4 is assessed at “A”.</w:t>
      </w:r>
    </w:p>
    <w:p w14:paraId="546E2B9E" w14:textId="77777777" w:rsidR="001762EE" w:rsidRPr="005A497D" w:rsidRDefault="001762EE" w:rsidP="005A497D">
      <w:pPr>
        <w:pStyle w:val="NormalWeb"/>
        <w:autoSpaceDE w:val="0"/>
        <w:autoSpaceDN w:val="0"/>
        <w:adjustRightInd w:val="0"/>
        <w:spacing w:before="0" w:beforeAutospacing="0" w:after="0" w:afterAutospacing="0"/>
        <w:contextualSpacing/>
        <w:jc w:val="both"/>
      </w:pPr>
    </w:p>
    <w:p w14:paraId="218C1F59" w14:textId="4D4289F0" w:rsidR="001762EE" w:rsidRDefault="001762EE" w:rsidP="00411651">
      <w:pPr>
        <w:pStyle w:val="Heading3"/>
      </w:pPr>
      <w:bookmarkStart w:id="132" w:name="_Toc142561154"/>
      <w:bookmarkStart w:id="133" w:name="_Toc317467010"/>
      <w:bookmarkStart w:id="134" w:name="_Toc318187274"/>
      <w:bookmarkStart w:id="135" w:name="_Toc454811667"/>
      <w:bookmarkStart w:id="136" w:name="_Toc454888812"/>
      <w:r w:rsidRPr="005A497D">
        <w:t xml:space="preserve">PI-17 </w:t>
      </w:r>
      <w:bookmarkEnd w:id="132"/>
      <w:bookmarkEnd w:id="133"/>
      <w:bookmarkEnd w:id="134"/>
      <w:r>
        <w:t>Budget preparation</w:t>
      </w:r>
      <w:r w:rsidRPr="005A497D">
        <w:t xml:space="preserve"> process</w:t>
      </w:r>
      <w:bookmarkEnd w:id="135"/>
      <w:bookmarkEnd w:id="136"/>
    </w:p>
    <w:p w14:paraId="5C3948D6" w14:textId="77777777" w:rsidR="001762EE" w:rsidRPr="00007518" w:rsidRDefault="001762EE" w:rsidP="00007518"/>
    <w:p w14:paraId="179B4FBC" w14:textId="0F2939C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iCs/>
        </w:rPr>
        <w:t xml:space="preserve">A well-planned, well-executed budgeting process is vital for ensuring that the budget – as a policy statement that applies relative spending levels for a variety of programs and activities – reflects the intended fiscal and sector policies of the government. </w:t>
      </w:r>
    </w:p>
    <w:p w14:paraId="3C4E8DD4" w14:textId="77777777" w:rsidR="001762EE" w:rsidRPr="005A497D" w:rsidRDefault="001762EE" w:rsidP="00527FD1">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0FD045FF" w14:textId="77777777" w:rsidTr="00954E2E">
        <w:trPr>
          <w:trHeight w:val="397"/>
        </w:trPr>
        <w:tc>
          <w:tcPr>
            <w:tcW w:w="3600" w:type="dxa"/>
            <w:tcBorders>
              <w:top w:val="double" w:sz="4" w:space="0" w:color="auto"/>
            </w:tcBorders>
            <w:shd w:val="clear" w:color="auto" w:fill="D9D9D9"/>
            <w:vAlign w:val="center"/>
          </w:tcPr>
          <w:p w14:paraId="2CA3D023" w14:textId="77777777" w:rsidR="001762EE" w:rsidRPr="00D53B92" w:rsidRDefault="001762EE" w:rsidP="00954E2E">
            <w:pPr>
              <w:spacing w:before="40" w:after="40"/>
              <w:jc w:val="center"/>
              <w:rPr>
                <w:b/>
                <w:i/>
              </w:rPr>
            </w:pPr>
            <w:r w:rsidRPr="00D53B92">
              <w:rPr>
                <w:b/>
                <w:i/>
                <w:sz w:val="22"/>
                <w:szCs w:val="22"/>
              </w:rPr>
              <w:t>Indicator / Dimension</w:t>
            </w:r>
          </w:p>
        </w:tc>
        <w:tc>
          <w:tcPr>
            <w:tcW w:w="1843" w:type="dxa"/>
            <w:tcBorders>
              <w:top w:val="double" w:sz="4" w:space="0" w:color="auto"/>
            </w:tcBorders>
            <w:shd w:val="clear" w:color="auto" w:fill="D9D9D9"/>
            <w:vAlign w:val="center"/>
          </w:tcPr>
          <w:p w14:paraId="2374AB8E" w14:textId="77777777" w:rsidR="001762EE" w:rsidRPr="00D53B92" w:rsidRDefault="001762EE" w:rsidP="00954E2E">
            <w:pPr>
              <w:spacing w:before="40" w:after="40"/>
              <w:jc w:val="center"/>
              <w:rPr>
                <w:b/>
                <w:i/>
              </w:rPr>
            </w:pPr>
            <w:r w:rsidRPr="00D53B92">
              <w:rPr>
                <w:b/>
                <w:i/>
                <w:sz w:val="22"/>
                <w:szCs w:val="22"/>
              </w:rPr>
              <w:t>Score</w:t>
            </w:r>
          </w:p>
        </w:tc>
        <w:tc>
          <w:tcPr>
            <w:tcW w:w="3913" w:type="dxa"/>
            <w:tcBorders>
              <w:top w:val="double" w:sz="4" w:space="0" w:color="auto"/>
            </w:tcBorders>
            <w:shd w:val="clear" w:color="auto" w:fill="D9D9D9"/>
            <w:vAlign w:val="center"/>
          </w:tcPr>
          <w:p w14:paraId="4DE61C16" w14:textId="77777777" w:rsidR="001762EE" w:rsidRPr="00D53B92" w:rsidRDefault="001762EE" w:rsidP="00954E2E">
            <w:pPr>
              <w:spacing w:before="40" w:after="40"/>
              <w:jc w:val="center"/>
              <w:rPr>
                <w:b/>
                <w:i/>
              </w:rPr>
            </w:pPr>
            <w:r w:rsidRPr="00D53B92">
              <w:rPr>
                <w:b/>
                <w:i/>
                <w:sz w:val="22"/>
                <w:szCs w:val="22"/>
              </w:rPr>
              <w:t>Brief Explanation</w:t>
            </w:r>
          </w:p>
        </w:tc>
      </w:tr>
      <w:tr w:rsidR="001762EE" w:rsidRPr="005A497D" w14:paraId="602EE44A" w14:textId="77777777" w:rsidTr="00954E2E">
        <w:tc>
          <w:tcPr>
            <w:tcW w:w="3600" w:type="dxa"/>
            <w:tcBorders>
              <w:top w:val="double" w:sz="4" w:space="0" w:color="auto"/>
              <w:bottom w:val="single" w:sz="4" w:space="0" w:color="auto"/>
            </w:tcBorders>
          </w:tcPr>
          <w:p w14:paraId="4419FE7C" w14:textId="7B073E5D" w:rsidR="001762EE" w:rsidRPr="005A497D" w:rsidRDefault="001762EE" w:rsidP="00007518">
            <w:pPr>
              <w:spacing w:before="20" w:after="20"/>
            </w:pPr>
            <w:r w:rsidRPr="005A497D">
              <w:rPr>
                <w:b/>
                <w:sz w:val="22"/>
                <w:szCs w:val="22"/>
              </w:rPr>
              <w:t xml:space="preserve">PI-17 </w:t>
            </w:r>
            <w:r>
              <w:rPr>
                <w:b/>
                <w:sz w:val="22"/>
                <w:szCs w:val="22"/>
              </w:rPr>
              <w:t>B</w:t>
            </w:r>
            <w:r w:rsidRPr="005A497D">
              <w:rPr>
                <w:b/>
                <w:sz w:val="22"/>
                <w:szCs w:val="22"/>
              </w:rPr>
              <w:t xml:space="preserve">udget </w:t>
            </w:r>
            <w:r>
              <w:rPr>
                <w:b/>
                <w:sz w:val="22"/>
                <w:szCs w:val="22"/>
              </w:rPr>
              <w:t xml:space="preserve">preparation </w:t>
            </w:r>
            <w:r w:rsidRPr="005A497D">
              <w:rPr>
                <w:b/>
                <w:sz w:val="22"/>
                <w:szCs w:val="22"/>
              </w:rPr>
              <w:t>process</w:t>
            </w:r>
          </w:p>
        </w:tc>
        <w:tc>
          <w:tcPr>
            <w:tcW w:w="1843" w:type="dxa"/>
            <w:tcBorders>
              <w:top w:val="double" w:sz="4" w:space="0" w:color="auto"/>
              <w:bottom w:val="single" w:sz="4" w:space="0" w:color="auto"/>
            </w:tcBorders>
          </w:tcPr>
          <w:p w14:paraId="3444B363" w14:textId="77777777" w:rsidR="001762EE" w:rsidRPr="005A497D" w:rsidRDefault="001762EE" w:rsidP="00954E2E">
            <w:pPr>
              <w:spacing w:before="20" w:after="20"/>
              <w:jc w:val="center"/>
              <w:rPr>
                <w:b/>
              </w:rPr>
            </w:pPr>
            <w:r w:rsidRPr="005A497D">
              <w:rPr>
                <w:b/>
                <w:sz w:val="22"/>
                <w:szCs w:val="22"/>
              </w:rPr>
              <w:t>A</w:t>
            </w:r>
          </w:p>
        </w:tc>
        <w:tc>
          <w:tcPr>
            <w:tcW w:w="3913" w:type="dxa"/>
            <w:tcBorders>
              <w:top w:val="double" w:sz="4" w:space="0" w:color="auto"/>
              <w:bottom w:val="single" w:sz="4" w:space="0" w:color="auto"/>
            </w:tcBorders>
          </w:tcPr>
          <w:p w14:paraId="4AA2BCB9" w14:textId="77777777" w:rsidR="001762EE" w:rsidRPr="005A497D" w:rsidRDefault="001762EE" w:rsidP="00954E2E">
            <w:pPr>
              <w:spacing w:before="20" w:after="20"/>
            </w:pPr>
            <w:r w:rsidRPr="005A497D">
              <w:rPr>
                <w:sz w:val="22"/>
                <w:szCs w:val="22"/>
              </w:rPr>
              <w:t>Overall rating based on M2 methodology.</w:t>
            </w:r>
          </w:p>
        </w:tc>
      </w:tr>
      <w:tr w:rsidR="001762EE" w:rsidRPr="005A497D" w14:paraId="59D13653" w14:textId="77777777" w:rsidTr="00007518">
        <w:trPr>
          <w:trHeight w:val="908"/>
        </w:trPr>
        <w:tc>
          <w:tcPr>
            <w:tcW w:w="3600" w:type="dxa"/>
            <w:tcBorders>
              <w:top w:val="single" w:sz="4" w:space="0" w:color="auto"/>
              <w:bottom w:val="single" w:sz="4" w:space="0" w:color="auto"/>
            </w:tcBorders>
          </w:tcPr>
          <w:p w14:paraId="01F8D7FC" w14:textId="090E379D" w:rsidR="001762EE" w:rsidRPr="005A497D" w:rsidRDefault="001762EE" w:rsidP="00007518">
            <w:pPr>
              <w:spacing w:before="20" w:after="20"/>
            </w:pPr>
            <w:r>
              <w:rPr>
                <w:sz w:val="22"/>
                <w:szCs w:val="22"/>
              </w:rPr>
              <w:t>17.1</w:t>
            </w:r>
            <w:r w:rsidRPr="005A497D">
              <w:rPr>
                <w:sz w:val="22"/>
                <w:szCs w:val="22"/>
              </w:rPr>
              <w:t xml:space="preserve"> </w:t>
            </w:r>
            <w:r>
              <w:rPr>
                <w:sz w:val="22"/>
                <w:szCs w:val="22"/>
              </w:rPr>
              <w:t>B</w:t>
            </w:r>
            <w:r w:rsidRPr="005A497D">
              <w:rPr>
                <w:sz w:val="22"/>
                <w:szCs w:val="22"/>
              </w:rPr>
              <w:t>udget calendar.</w:t>
            </w:r>
          </w:p>
        </w:tc>
        <w:tc>
          <w:tcPr>
            <w:tcW w:w="1843" w:type="dxa"/>
            <w:tcBorders>
              <w:top w:val="single" w:sz="4" w:space="0" w:color="auto"/>
              <w:bottom w:val="single" w:sz="4" w:space="0" w:color="auto"/>
            </w:tcBorders>
          </w:tcPr>
          <w:p w14:paraId="42827DA4" w14:textId="77777777" w:rsidR="001762EE" w:rsidRPr="005A497D" w:rsidRDefault="001762EE" w:rsidP="00954E2E">
            <w:pPr>
              <w:spacing w:before="20" w:after="20"/>
              <w:jc w:val="center"/>
            </w:pPr>
            <w:r w:rsidRPr="005A497D">
              <w:rPr>
                <w:sz w:val="22"/>
                <w:szCs w:val="22"/>
              </w:rPr>
              <w:t>A</w:t>
            </w:r>
          </w:p>
        </w:tc>
        <w:tc>
          <w:tcPr>
            <w:tcW w:w="3913" w:type="dxa"/>
            <w:tcBorders>
              <w:top w:val="single" w:sz="4" w:space="0" w:color="auto"/>
              <w:bottom w:val="single" w:sz="4" w:space="0" w:color="auto"/>
            </w:tcBorders>
          </w:tcPr>
          <w:p w14:paraId="231AE508" w14:textId="599A3C0A" w:rsidR="001762EE" w:rsidRPr="005A497D" w:rsidRDefault="001762EE" w:rsidP="00D46430">
            <w:pPr>
              <w:spacing w:before="20" w:after="20"/>
            </w:pPr>
            <w:r w:rsidRPr="005A497D">
              <w:rPr>
                <w:sz w:val="22"/>
                <w:szCs w:val="22"/>
              </w:rPr>
              <w:t xml:space="preserve">A clear annual budget calendar exists, which allows </w:t>
            </w:r>
            <w:r>
              <w:rPr>
                <w:sz w:val="22"/>
                <w:szCs w:val="22"/>
              </w:rPr>
              <w:t>national government agencies</w:t>
            </w:r>
            <w:r w:rsidRPr="005A497D">
              <w:rPr>
                <w:sz w:val="22"/>
                <w:szCs w:val="22"/>
              </w:rPr>
              <w:t xml:space="preserve"> more than 10 weeks to complete their detailed estimates.</w:t>
            </w:r>
          </w:p>
        </w:tc>
      </w:tr>
      <w:tr w:rsidR="001762EE" w:rsidRPr="005A497D" w14:paraId="132C472E" w14:textId="77777777" w:rsidTr="00007518">
        <w:trPr>
          <w:trHeight w:val="1430"/>
        </w:trPr>
        <w:tc>
          <w:tcPr>
            <w:tcW w:w="3600" w:type="dxa"/>
            <w:tcBorders>
              <w:top w:val="single" w:sz="4" w:space="0" w:color="auto"/>
              <w:bottom w:val="single" w:sz="4" w:space="0" w:color="auto"/>
            </w:tcBorders>
          </w:tcPr>
          <w:p w14:paraId="4A1E06DD" w14:textId="7D3F0206" w:rsidR="001762EE" w:rsidRPr="005A497D" w:rsidRDefault="001762EE" w:rsidP="00007518">
            <w:pPr>
              <w:spacing w:before="20" w:after="20"/>
            </w:pPr>
            <w:r>
              <w:rPr>
                <w:sz w:val="22"/>
                <w:szCs w:val="22"/>
              </w:rPr>
              <w:t>17.2 Guidance on budget preparation</w:t>
            </w:r>
          </w:p>
        </w:tc>
        <w:tc>
          <w:tcPr>
            <w:tcW w:w="1843" w:type="dxa"/>
            <w:tcBorders>
              <w:top w:val="single" w:sz="4" w:space="0" w:color="auto"/>
              <w:bottom w:val="single" w:sz="4" w:space="0" w:color="auto"/>
            </w:tcBorders>
          </w:tcPr>
          <w:p w14:paraId="7CFA17A9" w14:textId="77777777" w:rsidR="001762EE" w:rsidRPr="005A497D" w:rsidRDefault="001762EE" w:rsidP="00954E2E">
            <w:pPr>
              <w:spacing w:before="20" w:after="20"/>
              <w:jc w:val="center"/>
            </w:pPr>
            <w:r w:rsidRPr="005A497D">
              <w:rPr>
                <w:sz w:val="22"/>
                <w:szCs w:val="22"/>
              </w:rPr>
              <w:t>A</w:t>
            </w:r>
          </w:p>
        </w:tc>
        <w:tc>
          <w:tcPr>
            <w:tcW w:w="3913" w:type="dxa"/>
            <w:tcBorders>
              <w:top w:val="single" w:sz="4" w:space="0" w:color="auto"/>
              <w:bottom w:val="single" w:sz="4" w:space="0" w:color="auto"/>
            </w:tcBorders>
          </w:tcPr>
          <w:p w14:paraId="216AA442" w14:textId="0CFE3177" w:rsidR="001762EE" w:rsidRPr="005A497D" w:rsidRDefault="001762EE" w:rsidP="00D46430">
            <w:pPr>
              <w:spacing w:before="20" w:after="20"/>
            </w:pPr>
            <w:r w:rsidRPr="005A497D">
              <w:rPr>
                <w:sz w:val="22"/>
                <w:szCs w:val="22"/>
              </w:rPr>
              <w:t>The National Budget Memoranda for budget preparation are clear and comprehensive. They include the approved “hard” budget ceilings per department and agency.</w:t>
            </w:r>
          </w:p>
        </w:tc>
      </w:tr>
      <w:tr w:rsidR="001762EE" w:rsidRPr="005A497D" w14:paraId="29D6BAEE" w14:textId="77777777" w:rsidTr="00007518">
        <w:trPr>
          <w:trHeight w:val="1250"/>
        </w:trPr>
        <w:tc>
          <w:tcPr>
            <w:tcW w:w="3600" w:type="dxa"/>
            <w:tcBorders>
              <w:top w:val="single" w:sz="4" w:space="0" w:color="auto"/>
              <w:bottom w:val="double" w:sz="4" w:space="0" w:color="auto"/>
            </w:tcBorders>
          </w:tcPr>
          <w:p w14:paraId="24B362F7" w14:textId="5755D749" w:rsidR="001762EE" w:rsidRPr="005A497D" w:rsidRDefault="001762EE" w:rsidP="00007518">
            <w:pPr>
              <w:spacing w:before="20" w:after="20"/>
            </w:pPr>
            <w:r>
              <w:rPr>
                <w:sz w:val="22"/>
                <w:szCs w:val="22"/>
              </w:rPr>
              <w:t>17.3</w:t>
            </w:r>
            <w:r w:rsidRPr="005A497D">
              <w:rPr>
                <w:sz w:val="22"/>
                <w:szCs w:val="22"/>
              </w:rPr>
              <w:t xml:space="preserve"> </w:t>
            </w:r>
            <w:r>
              <w:rPr>
                <w:sz w:val="22"/>
                <w:szCs w:val="22"/>
              </w:rPr>
              <w:t xml:space="preserve">Budget submission to </w:t>
            </w:r>
            <w:r w:rsidRPr="005A497D">
              <w:rPr>
                <w:sz w:val="22"/>
                <w:szCs w:val="22"/>
              </w:rPr>
              <w:t>the legislature</w:t>
            </w:r>
          </w:p>
        </w:tc>
        <w:tc>
          <w:tcPr>
            <w:tcW w:w="1843" w:type="dxa"/>
            <w:tcBorders>
              <w:top w:val="single" w:sz="4" w:space="0" w:color="auto"/>
              <w:bottom w:val="double" w:sz="4" w:space="0" w:color="auto"/>
            </w:tcBorders>
          </w:tcPr>
          <w:p w14:paraId="10E85A80" w14:textId="77777777" w:rsidR="001762EE" w:rsidRPr="005A497D" w:rsidRDefault="001762EE" w:rsidP="00954E2E">
            <w:pPr>
              <w:spacing w:before="20" w:after="20"/>
              <w:jc w:val="center"/>
            </w:pPr>
            <w:r w:rsidRPr="005A497D">
              <w:rPr>
                <w:sz w:val="22"/>
                <w:szCs w:val="22"/>
              </w:rPr>
              <w:t>A</w:t>
            </w:r>
          </w:p>
        </w:tc>
        <w:tc>
          <w:tcPr>
            <w:tcW w:w="3913" w:type="dxa"/>
            <w:tcBorders>
              <w:top w:val="single" w:sz="4" w:space="0" w:color="auto"/>
              <w:bottom w:val="double" w:sz="4" w:space="0" w:color="auto"/>
            </w:tcBorders>
          </w:tcPr>
          <w:p w14:paraId="3CE49FE4" w14:textId="0F48EF60" w:rsidR="001762EE" w:rsidRPr="005A497D" w:rsidRDefault="001762EE" w:rsidP="00007518">
            <w:pPr>
              <w:spacing w:before="20" w:after="20"/>
            </w:pPr>
            <w:r w:rsidRPr="005A497D">
              <w:rPr>
                <w:sz w:val="22"/>
                <w:szCs w:val="22"/>
              </w:rPr>
              <w:t>The President has in each of the last three years submitted the budget proposal to Congress more than f</w:t>
            </w:r>
            <w:r>
              <w:rPr>
                <w:sz w:val="22"/>
                <w:szCs w:val="22"/>
              </w:rPr>
              <w:t>ive</w:t>
            </w:r>
            <w:r w:rsidRPr="005A497D">
              <w:rPr>
                <w:sz w:val="22"/>
                <w:szCs w:val="22"/>
              </w:rPr>
              <w:t xml:space="preserve"> months before the start of the fiscal year.</w:t>
            </w:r>
          </w:p>
        </w:tc>
      </w:tr>
    </w:tbl>
    <w:p w14:paraId="2DCE12C8" w14:textId="77777777" w:rsidR="001762EE" w:rsidRPr="00007518" w:rsidRDefault="001762EE" w:rsidP="00527FD1">
      <w:pPr>
        <w:jc w:val="both"/>
        <w:rPr>
          <w:i/>
        </w:rPr>
      </w:pPr>
    </w:p>
    <w:p w14:paraId="55B33FB9" w14:textId="59AD201F" w:rsidR="001762EE" w:rsidRPr="009A0E96" w:rsidRDefault="001762EE" w:rsidP="00527FD1">
      <w:pPr>
        <w:jc w:val="both"/>
        <w:rPr>
          <w:b/>
          <w:i/>
        </w:rPr>
      </w:pPr>
      <w:r w:rsidRPr="009A0E96">
        <w:rPr>
          <w:b/>
          <w:i/>
        </w:rPr>
        <w:t>Dimension 17.1 Budget calendar</w:t>
      </w:r>
    </w:p>
    <w:p w14:paraId="61FF6235" w14:textId="77777777" w:rsidR="001762EE" w:rsidRPr="00007518" w:rsidRDefault="001762EE" w:rsidP="00527FD1">
      <w:pPr>
        <w:jc w:val="both"/>
        <w:rPr>
          <w:i/>
        </w:rPr>
      </w:pPr>
    </w:p>
    <w:p w14:paraId="58A07778" w14:textId="67A0ACF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 xml:space="preserve">2016 </w:t>
      </w:r>
      <w:r w:rsidRPr="005A497D">
        <w:t xml:space="preserve">annual budget process started with </w:t>
      </w:r>
      <w:r>
        <w:t>Department of Budget and Management</w:t>
      </w:r>
      <w:r w:rsidRPr="005A497D">
        <w:t xml:space="preserve"> issuing a National Budget Memorandum </w:t>
      </w:r>
      <w:r>
        <w:t xml:space="preserve">(January 28, 2015) </w:t>
      </w:r>
      <w:r w:rsidRPr="005A497D">
        <w:t xml:space="preserve">with the </w:t>
      </w:r>
      <w:r>
        <w:t xml:space="preserve">2016 </w:t>
      </w:r>
      <w:r w:rsidRPr="005A497D">
        <w:t xml:space="preserve">Budget Call to all entities covered by the </w:t>
      </w:r>
      <w:r>
        <w:t>Government</w:t>
      </w:r>
      <w:r w:rsidRPr="005A497D">
        <w:t xml:space="preserve"> budget. The purpose of this issuance is to introduce the two-tier budgeting approach,</w:t>
      </w:r>
      <w:r w:rsidRPr="005A497D">
        <w:rPr>
          <w:rStyle w:val="EndnoteReference"/>
        </w:rPr>
        <w:endnoteReference w:id="71"/>
      </w:r>
      <w:r w:rsidRPr="005A497D">
        <w:t xml:space="preserve"> communicate the overall macroeconomic and fiscal policy framework and priority thrusts for the coming budget year; prescribe the guidelines and procedures in the preparation of the agency budget; and set the schedule of budget preparation activities. The detailed guidelines, budget preparation forms</w:t>
      </w:r>
      <w:r>
        <w:t>,</w:t>
      </w:r>
      <w:r w:rsidRPr="005A497D">
        <w:t xml:space="preserve"> and a budget preparation calendar </w:t>
      </w:r>
      <w:r>
        <w:t>are</w:t>
      </w:r>
      <w:r w:rsidRPr="005A497D">
        <w:t xml:space="preserve"> also included. </w:t>
      </w:r>
      <w:r>
        <w:t>Another</w:t>
      </w:r>
      <w:r w:rsidRPr="005A497D">
        <w:t xml:space="preserve"> National Budget Memorandum on budget priorities framework </w:t>
      </w:r>
      <w:r>
        <w:t xml:space="preserve">followed </w:t>
      </w:r>
      <w:r w:rsidRPr="005A497D">
        <w:t>for the 2016</w:t>
      </w:r>
      <w:r>
        <w:t xml:space="preserve"> </w:t>
      </w:r>
      <w:r w:rsidR="000D2D7D">
        <w:t xml:space="preserve">preparation of </w:t>
      </w:r>
      <w:r w:rsidRPr="005A497D">
        <w:t xml:space="preserve">agency budget proposals under Tier 2 of the </w:t>
      </w:r>
      <w:r>
        <w:t>two-tier budgeting approach</w:t>
      </w:r>
      <w:r w:rsidRPr="005A497D">
        <w:t>.</w:t>
      </w:r>
      <w:r w:rsidRPr="005A497D">
        <w:rPr>
          <w:rStyle w:val="EndnoteReference"/>
        </w:rPr>
        <w:endnoteReference w:id="72"/>
      </w:r>
      <w:r w:rsidRPr="005A497D">
        <w:t xml:space="preserve"> All documents are posted on </w:t>
      </w:r>
      <w:r>
        <w:t xml:space="preserve">the </w:t>
      </w:r>
      <w:r w:rsidRPr="005A497D">
        <w:t>DBM website.</w:t>
      </w:r>
      <w:r w:rsidRPr="005A497D">
        <w:rPr>
          <w:rStyle w:val="EndnoteReference"/>
          <w:bCs/>
        </w:rPr>
        <w:endnoteReference w:id="73"/>
      </w:r>
    </w:p>
    <w:p w14:paraId="1F141994" w14:textId="77777777" w:rsidR="001762EE" w:rsidRPr="005A497D" w:rsidRDefault="001762EE" w:rsidP="00527FD1">
      <w:pPr>
        <w:pStyle w:val="NormalWeb"/>
        <w:autoSpaceDE w:val="0"/>
        <w:autoSpaceDN w:val="0"/>
        <w:adjustRightInd w:val="0"/>
        <w:spacing w:before="0" w:beforeAutospacing="0" w:after="0" w:afterAutospacing="0"/>
        <w:contextualSpacing/>
        <w:jc w:val="both"/>
      </w:pPr>
    </w:p>
    <w:p w14:paraId="6125F437" w14:textId="7AF8C5F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bCs/>
        </w:rPr>
        <w:t>The 2016 budget calendar clearly specifies the planned dates for various preparation activities</w:t>
      </w:r>
      <w:r>
        <w:rPr>
          <w:bCs/>
        </w:rPr>
        <w:t>.</w:t>
      </w:r>
      <w:r w:rsidRPr="005A497D">
        <w:rPr>
          <w:bCs/>
        </w:rPr>
        <w:t xml:space="preserve"> </w:t>
      </w:r>
      <w:r w:rsidRPr="005A497D">
        <w:t xml:space="preserve">The planned </w:t>
      </w:r>
      <w:r>
        <w:t xml:space="preserve">and actual </w:t>
      </w:r>
      <w:r w:rsidRPr="005A497D">
        <w:t xml:space="preserve">dates </w:t>
      </w:r>
      <w:r>
        <w:t xml:space="preserve">for the 2016 budget process </w:t>
      </w:r>
      <w:r w:rsidRPr="005A497D">
        <w:t>a</w:t>
      </w:r>
      <w:r w:rsidRPr="005A497D">
        <w:rPr>
          <w:bCs/>
        </w:rPr>
        <w:t xml:space="preserve">re shown </w:t>
      </w:r>
      <w:r>
        <w:rPr>
          <w:bCs/>
        </w:rPr>
        <w:t>in Table 3.21</w:t>
      </w:r>
      <w:r w:rsidRPr="005A497D">
        <w:rPr>
          <w:bCs/>
        </w:rPr>
        <w:t>.</w:t>
      </w:r>
    </w:p>
    <w:p w14:paraId="70437E81" w14:textId="5D72E169" w:rsidR="001762EE" w:rsidRDefault="001762EE" w:rsidP="001112A1">
      <w:pPr>
        <w:pStyle w:val="PEFATable"/>
        <w:spacing w:after="40"/>
        <w:jc w:val="both"/>
        <w:rPr>
          <w:sz w:val="24"/>
          <w:szCs w:val="24"/>
        </w:rPr>
      </w:pPr>
      <w:bookmarkStart w:id="137" w:name="_Toc431326242"/>
      <w:bookmarkStart w:id="138" w:name="_Toc454889257"/>
      <w:r w:rsidRPr="005A497D">
        <w:rPr>
          <w:sz w:val="24"/>
          <w:szCs w:val="24"/>
        </w:rPr>
        <w:t>Table 3.</w:t>
      </w:r>
      <w:r w:rsidR="00A85C58">
        <w:rPr>
          <w:sz w:val="24"/>
          <w:szCs w:val="24"/>
        </w:rPr>
        <w:t>15</w:t>
      </w:r>
      <w:r>
        <w:rPr>
          <w:sz w:val="24"/>
          <w:szCs w:val="24"/>
        </w:rPr>
        <w:t>: Activity Deadlines for 2016</w:t>
      </w:r>
      <w:r w:rsidRPr="005A497D">
        <w:rPr>
          <w:sz w:val="24"/>
          <w:szCs w:val="24"/>
        </w:rPr>
        <w:t xml:space="preserve"> Budget Process</w:t>
      </w:r>
      <w:bookmarkEnd w:id="137"/>
      <w:bookmarkEnd w:id="138"/>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4820"/>
        <w:gridCol w:w="2268"/>
        <w:gridCol w:w="2268"/>
      </w:tblGrid>
      <w:tr w:rsidR="001762EE" w:rsidRPr="00D53B92" w14:paraId="49E69A05" w14:textId="77777777" w:rsidTr="00954E2E">
        <w:trPr>
          <w:trHeight w:val="454"/>
          <w:tblHeader/>
        </w:trPr>
        <w:tc>
          <w:tcPr>
            <w:tcW w:w="4820" w:type="dxa"/>
            <w:tcBorders>
              <w:top w:val="double" w:sz="4" w:space="0" w:color="auto"/>
              <w:bottom w:val="double" w:sz="4" w:space="0" w:color="auto"/>
            </w:tcBorders>
            <w:shd w:val="clear" w:color="auto" w:fill="D9D9D9"/>
            <w:vAlign w:val="center"/>
          </w:tcPr>
          <w:p w14:paraId="68590556" w14:textId="77777777" w:rsidR="001762EE" w:rsidRPr="00FA7D33" w:rsidRDefault="001762EE" w:rsidP="00954E2E">
            <w:pPr>
              <w:spacing w:before="20" w:after="20"/>
              <w:jc w:val="center"/>
              <w:rPr>
                <w:b/>
                <w:sz w:val="20"/>
                <w:szCs w:val="20"/>
              </w:rPr>
            </w:pPr>
            <w:r w:rsidRPr="00FA7D33">
              <w:rPr>
                <w:b/>
                <w:sz w:val="20"/>
                <w:szCs w:val="20"/>
              </w:rPr>
              <w:t>Activity</w:t>
            </w:r>
          </w:p>
        </w:tc>
        <w:tc>
          <w:tcPr>
            <w:tcW w:w="2268" w:type="dxa"/>
            <w:tcBorders>
              <w:top w:val="double" w:sz="4" w:space="0" w:color="auto"/>
              <w:bottom w:val="double" w:sz="4" w:space="0" w:color="auto"/>
            </w:tcBorders>
            <w:shd w:val="clear" w:color="auto" w:fill="D9D9D9"/>
            <w:vAlign w:val="center"/>
          </w:tcPr>
          <w:p w14:paraId="3A2E926D" w14:textId="4E0ABBCD" w:rsidR="001762EE" w:rsidRPr="00FA7D33" w:rsidRDefault="001762EE" w:rsidP="00D46430">
            <w:pPr>
              <w:spacing w:before="20" w:after="20"/>
              <w:jc w:val="center"/>
              <w:rPr>
                <w:b/>
                <w:sz w:val="20"/>
                <w:szCs w:val="20"/>
              </w:rPr>
            </w:pPr>
            <w:r w:rsidRPr="00FA7D33">
              <w:rPr>
                <w:b/>
                <w:sz w:val="20"/>
                <w:szCs w:val="20"/>
              </w:rPr>
              <w:t>Planned date in 2015</w:t>
            </w:r>
          </w:p>
        </w:tc>
        <w:tc>
          <w:tcPr>
            <w:tcW w:w="2268" w:type="dxa"/>
            <w:tcBorders>
              <w:top w:val="double" w:sz="4" w:space="0" w:color="auto"/>
              <w:bottom w:val="double" w:sz="4" w:space="0" w:color="auto"/>
            </w:tcBorders>
            <w:shd w:val="clear" w:color="auto" w:fill="D9D9D9"/>
            <w:vAlign w:val="center"/>
          </w:tcPr>
          <w:p w14:paraId="27B445CD" w14:textId="0CD375ED" w:rsidR="001762EE" w:rsidRPr="00FA7D33" w:rsidRDefault="001762EE" w:rsidP="00D46430">
            <w:pPr>
              <w:spacing w:before="20" w:after="20"/>
              <w:jc w:val="center"/>
              <w:rPr>
                <w:b/>
                <w:sz w:val="20"/>
                <w:szCs w:val="20"/>
              </w:rPr>
            </w:pPr>
            <w:r w:rsidRPr="00FA7D33">
              <w:rPr>
                <w:b/>
                <w:sz w:val="20"/>
                <w:szCs w:val="20"/>
              </w:rPr>
              <w:t>Actual date in 2015</w:t>
            </w:r>
          </w:p>
        </w:tc>
      </w:tr>
      <w:tr w:rsidR="001762EE" w:rsidRPr="00F367CC" w14:paraId="1D6C8142" w14:textId="77777777" w:rsidTr="00954E2E">
        <w:tc>
          <w:tcPr>
            <w:tcW w:w="4820" w:type="dxa"/>
            <w:tcBorders>
              <w:top w:val="double" w:sz="4" w:space="0" w:color="auto"/>
            </w:tcBorders>
            <w:vAlign w:val="center"/>
          </w:tcPr>
          <w:p w14:paraId="2EAF95C6" w14:textId="44FC653A" w:rsidR="001762EE" w:rsidRPr="009A0E96" w:rsidRDefault="001762EE" w:rsidP="0007556E">
            <w:pPr>
              <w:pStyle w:val="ListParagraph"/>
              <w:keepNext/>
              <w:numPr>
                <w:ilvl w:val="0"/>
                <w:numId w:val="15"/>
              </w:numPr>
              <w:spacing w:before="20" w:after="20" w:line="240" w:lineRule="auto"/>
              <w:ind w:left="357" w:hanging="357"/>
              <w:contextualSpacing w:val="0"/>
              <w:outlineLvl w:val="2"/>
              <w:rPr>
                <w:sz w:val="20"/>
                <w:szCs w:val="20"/>
              </w:rPr>
            </w:pPr>
            <w:bookmarkStart w:id="139" w:name="_Toc454811668"/>
            <w:bookmarkStart w:id="140" w:name="_Toc454888813"/>
            <w:r w:rsidRPr="009A0E96">
              <w:rPr>
                <w:sz w:val="20"/>
                <w:szCs w:val="20"/>
              </w:rPr>
              <w:t>Issuance of Budget Call.</w:t>
            </w:r>
            <w:bookmarkEnd w:id="139"/>
            <w:bookmarkEnd w:id="140"/>
          </w:p>
        </w:tc>
        <w:tc>
          <w:tcPr>
            <w:tcW w:w="2268" w:type="dxa"/>
            <w:tcBorders>
              <w:top w:val="double" w:sz="4" w:space="0" w:color="auto"/>
            </w:tcBorders>
            <w:vAlign w:val="center"/>
          </w:tcPr>
          <w:p w14:paraId="21118C3F" w14:textId="5CFED692" w:rsidR="001762EE" w:rsidRPr="009A0E96" w:rsidRDefault="001762EE" w:rsidP="00D46430">
            <w:pPr>
              <w:spacing w:before="20" w:after="20"/>
              <w:jc w:val="center"/>
              <w:rPr>
                <w:sz w:val="20"/>
                <w:szCs w:val="20"/>
              </w:rPr>
            </w:pPr>
            <w:r w:rsidRPr="009A0E96">
              <w:rPr>
                <w:sz w:val="20"/>
                <w:szCs w:val="20"/>
              </w:rPr>
              <w:t xml:space="preserve">January </w:t>
            </w:r>
            <w:r w:rsidR="00E0249B">
              <w:rPr>
                <w:sz w:val="20"/>
                <w:szCs w:val="20"/>
              </w:rPr>
              <w:t>28</w:t>
            </w:r>
          </w:p>
        </w:tc>
        <w:tc>
          <w:tcPr>
            <w:tcW w:w="2268" w:type="dxa"/>
            <w:tcBorders>
              <w:top w:val="double" w:sz="4" w:space="0" w:color="auto"/>
            </w:tcBorders>
            <w:vAlign w:val="center"/>
          </w:tcPr>
          <w:p w14:paraId="393E1305" w14:textId="74647467" w:rsidR="001762EE" w:rsidRPr="009A0E96" w:rsidRDefault="001762EE" w:rsidP="00D46430">
            <w:pPr>
              <w:spacing w:before="20" w:after="20"/>
              <w:jc w:val="center"/>
              <w:rPr>
                <w:sz w:val="20"/>
                <w:szCs w:val="20"/>
              </w:rPr>
            </w:pPr>
            <w:r w:rsidRPr="009A0E96">
              <w:rPr>
                <w:sz w:val="20"/>
                <w:szCs w:val="20"/>
              </w:rPr>
              <w:t xml:space="preserve">January </w:t>
            </w:r>
            <w:r w:rsidR="00E0249B">
              <w:rPr>
                <w:sz w:val="20"/>
                <w:szCs w:val="20"/>
              </w:rPr>
              <w:t>28</w:t>
            </w:r>
          </w:p>
        </w:tc>
      </w:tr>
      <w:tr w:rsidR="001762EE" w:rsidRPr="00F367CC" w14:paraId="5167EE2B" w14:textId="77777777" w:rsidTr="00954E2E">
        <w:tc>
          <w:tcPr>
            <w:tcW w:w="4820" w:type="dxa"/>
            <w:vAlign w:val="center"/>
          </w:tcPr>
          <w:p w14:paraId="66A77DAB" w14:textId="6A2E2CC1" w:rsidR="001762EE" w:rsidRPr="009A0E96" w:rsidRDefault="001762EE" w:rsidP="0007556E">
            <w:pPr>
              <w:pStyle w:val="ListParagraph"/>
              <w:keepNext/>
              <w:numPr>
                <w:ilvl w:val="0"/>
                <w:numId w:val="15"/>
              </w:numPr>
              <w:spacing w:before="20" w:after="20" w:line="240" w:lineRule="auto"/>
              <w:ind w:left="357" w:hanging="357"/>
              <w:contextualSpacing w:val="0"/>
              <w:outlineLvl w:val="2"/>
              <w:rPr>
                <w:sz w:val="20"/>
                <w:szCs w:val="20"/>
              </w:rPr>
            </w:pPr>
            <w:bookmarkStart w:id="141" w:name="_Toc454811669"/>
            <w:bookmarkStart w:id="142" w:name="_Toc454888814"/>
            <w:r w:rsidRPr="009A0E96">
              <w:rPr>
                <w:sz w:val="20"/>
                <w:szCs w:val="20"/>
              </w:rPr>
              <w:t>Budget Forum:</w:t>
            </w:r>
            <w:bookmarkEnd w:id="141"/>
            <w:bookmarkEnd w:id="142"/>
          </w:p>
          <w:p w14:paraId="428CE7E8" w14:textId="77777777" w:rsidR="001762EE" w:rsidRPr="009A0E96" w:rsidRDefault="001762EE" w:rsidP="0007556E">
            <w:pPr>
              <w:pStyle w:val="ListParagraph"/>
              <w:keepNext/>
              <w:numPr>
                <w:ilvl w:val="0"/>
                <w:numId w:val="16"/>
              </w:numPr>
              <w:tabs>
                <w:tab w:val="left" w:pos="357"/>
              </w:tabs>
              <w:spacing w:before="20" w:after="20" w:line="240" w:lineRule="auto"/>
              <w:ind w:left="714" w:hanging="357"/>
              <w:contextualSpacing w:val="0"/>
              <w:outlineLvl w:val="2"/>
              <w:rPr>
                <w:sz w:val="20"/>
                <w:szCs w:val="20"/>
              </w:rPr>
            </w:pPr>
            <w:bookmarkStart w:id="143" w:name="_Toc454811670"/>
            <w:bookmarkStart w:id="144" w:name="_Toc454888815"/>
            <w:r w:rsidRPr="009A0E96">
              <w:rPr>
                <w:sz w:val="20"/>
                <w:szCs w:val="20"/>
              </w:rPr>
              <w:t>DBM officials and staff.</w:t>
            </w:r>
            <w:bookmarkEnd w:id="143"/>
            <w:bookmarkEnd w:id="144"/>
          </w:p>
          <w:p w14:paraId="32A98081" w14:textId="1FC99195" w:rsidR="001762EE" w:rsidRPr="009A0E96" w:rsidRDefault="001762EE" w:rsidP="0007556E">
            <w:pPr>
              <w:pStyle w:val="ListParagraph"/>
              <w:keepNext/>
              <w:numPr>
                <w:ilvl w:val="0"/>
                <w:numId w:val="16"/>
              </w:numPr>
              <w:tabs>
                <w:tab w:val="left" w:pos="357"/>
              </w:tabs>
              <w:spacing w:before="20" w:after="20" w:line="240" w:lineRule="auto"/>
              <w:ind w:left="714" w:hanging="357"/>
              <w:contextualSpacing w:val="0"/>
              <w:outlineLvl w:val="2"/>
              <w:rPr>
                <w:sz w:val="20"/>
                <w:szCs w:val="20"/>
              </w:rPr>
            </w:pPr>
            <w:bookmarkStart w:id="145" w:name="_Toc454811671"/>
            <w:bookmarkStart w:id="146" w:name="_Toc454888816"/>
            <w:r w:rsidRPr="009A0E96">
              <w:rPr>
                <w:sz w:val="20"/>
                <w:szCs w:val="20"/>
              </w:rPr>
              <w:t>National government agencies.</w:t>
            </w:r>
            <w:bookmarkEnd w:id="145"/>
            <w:bookmarkEnd w:id="146"/>
            <w:r w:rsidRPr="009A0E96">
              <w:rPr>
                <w:sz w:val="20"/>
                <w:szCs w:val="20"/>
              </w:rPr>
              <w:t xml:space="preserve"> </w:t>
            </w:r>
          </w:p>
          <w:p w14:paraId="2BB3AACF" w14:textId="77777777" w:rsidR="001762EE" w:rsidRPr="009A0E96" w:rsidRDefault="001762EE" w:rsidP="0007556E">
            <w:pPr>
              <w:pStyle w:val="ListParagraph"/>
              <w:keepNext/>
              <w:numPr>
                <w:ilvl w:val="0"/>
                <w:numId w:val="16"/>
              </w:numPr>
              <w:tabs>
                <w:tab w:val="left" w:pos="357"/>
              </w:tabs>
              <w:spacing w:before="20" w:after="20" w:line="240" w:lineRule="auto"/>
              <w:ind w:left="714" w:hanging="357"/>
              <w:contextualSpacing w:val="0"/>
              <w:outlineLvl w:val="2"/>
              <w:rPr>
                <w:sz w:val="20"/>
                <w:szCs w:val="20"/>
              </w:rPr>
            </w:pPr>
            <w:bookmarkStart w:id="147" w:name="_Toc454811672"/>
            <w:bookmarkStart w:id="148" w:name="_Toc454888817"/>
            <w:r w:rsidRPr="009A0E96">
              <w:rPr>
                <w:sz w:val="20"/>
                <w:szCs w:val="20"/>
              </w:rPr>
              <w:t>Corporate Budget Forum.</w:t>
            </w:r>
            <w:bookmarkEnd w:id="147"/>
            <w:bookmarkEnd w:id="148"/>
          </w:p>
        </w:tc>
        <w:tc>
          <w:tcPr>
            <w:tcW w:w="2268" w:type="dxa"/>
            <w:vAlign w:val="center"/>
          </w:tcPr>
          <w:p w14:paraId="26AC87CA" w14:textId="433166A2" w:rsidR="001762EE" w:rsidRPr="009A0E96" w:rsidRDefault="001762EE" w:rsidP="00954E2E">
            <w:pPr>
              <w:spacing w:before="20" w:after="20"/>
              <w:jc w:val="center"/>
              <w:rPr>
                <w:sz w:val="20"/>
                <w:szCs w:val="20"/>
              </w:rPr>
            </w:pPr>
            <w:r w:rsidRPr="009A0E96">
              <w:rPr>
                <w:sz w:val="20"/>
                <w:szCs w:val="20"/>
              </w:rPr>
              <w:t xml:space="preserve">February </w:t>
            </w:r>
            <w:r w:rsidR="00E0249B">
              <w:rPr>
                <w:sz w:val="20"/>
                <w:szCs w:val="20"/>
              </w:rPr>
              <w:t>10</w:t>
            </w:r>
          </w:p>
          <w:p w14:paraId="43E219E3" w14:textId="3BB96F79" w:rsidR="001762EE" w:rsidRPr="009A0E96" w:rsidRDefault="001762EE" w:rsidP="00D46430">
            <w:pPr>
              <w:spacing w:before="20" w:after="20"/>
              <w:jc w:val="center"/>
              <w:rPr>
                <w:sz w:val="20"/>
                <w:szCs w:val="20"/>
              </w:rPr>
            </w:pPr>
            <w:r w:rsidRPr="009A0E96">
              <w:rPr>
                <w:sz w:val="20"/>
                <w:szCs w:val="20"/>
              </w:rPr>
              <w:t>February</w:t>
            </w:r>
            <w:r w:rsidR="00E0249B">
              <w:rPr>
                <w:sz w:val="20"/>
                <w:szCs w:val="20"/>
              </w:rPr>
              <w:t xml:space="preserve"> 11-17</w:t>
            </w:r>
            <w:r w:rsidRPr="009A0E96">
              <w:rPr>
                <w:sz w:val="20"/>
                <w:szCs w:val="20"/>
              </w:rPr>
              <w:t xml:space="preserve"> </w:t>
            </w:r>
          </w:p>
          <w:p w14:paraId="5407FA92" w14:textId="29FAA823" w:rsidR="001762EE" w:rsidRPr="009A0E96" w:rsidRDefault="001762EE" w:rsidP="00D46430">
            <w:pPr>
              <w:spacing w:before="20" w:after="20"/>
              <w:jc w:val="center"/>
              <w:rPr>
                <w:sz w:val="20"/>
                <w:szCs w:val="20"/>
              </w:rPr>
            </w:pPr>
            <w:r w:rsidRPr="009A0E96">
              <w:rPr>
                <w:sz w:val="20"/>
                <w:szCs w:val="20"/>
              </w:rPr>
              <w:t xml:space="preserve">February </w:t>
            </w:r>
            <w:r w:rsidR="00E0249B">
              <w:rPr>
                <w:sz w:val="20"/>
                <w:szCs w:val="20"/>
              </w:rPr>
              <w:t>18</w:t>
            </w:r>
          </w:p>
        </w:tc>
        <w:tc>
          <w:tcPr>
            <w:tcW w:w="2268" w:type="dxa"/>
            <w:vAlign w:val="center"/>
          </w:tcPr>
          <w:p w14:paraId="51249C76" w14:textId="4DBA76A3" w:rsidR="001762EE" w:rsidRPr="009A0E96" w:rsidRDefault="001762EE" w:rsidP="00954E2E">
            <w:pPr>
              <w:spacing w:before="20" w:after="20"/>
              <w:jc w:val="center"/>
              <w:rPr>
                <w:sz w:val="20"/>
                <w:szCs w:val="20"/>
              </w:rPr>
            </w:pPr>
            <w:r w:rsidRPr="009A0E96">
              <w:rPr>
                <w:sz w:val="20"/>
                <w:szCs w:val="20"/>
              </w:rPr>
              <w:t xml:space="preserve">February </w:t>
            </w:r>
            <w:r w:rsidR="00E0249B">
              <w:rPr>
                <w:sz w:val="20"/>
                <w:szCs w:val="20"/>
              </w:rPr>
              <w:t>10</w:t>
            </w:r>
          </w:p>
          <w:p w14:paraId="04934A84" w14:textId="7091B53F" w:rsidR="001762EE" w:rsidRPr="009A0E96" w:rsidRDefault="001762EE" w:rsidP="00954E2E">
            <w:pPr>
              <w:spacing w:before="20" w:after="20"/>
              <w:jc w:val="center"/>
              <w:rPr>
                <w:sz w:val="20"/>
                <w:szCs w:val="20"/>
              </w:rPr>
            </w:pPr>
            <w:r w:rsidRPr="009A0E96">
              <w:rPr>
                <w:sz w:val="20"/>
                <w:szCs w:val="20"/>
              </w:rPr>
              <w:t xml:space="preserve">February </w:t>
            </w:r>
            <w:r w:rsidR="00E0249B">
              <w:rPr>
                <w:sz w:val="20"/>
                <w:szCs w:val="20"/>
              </w:rPr>
              <w:t>11-17</w:t>
            </w:r>
          </w:p>
          <w:p w14:paraId="219E4FCB" w14:textId="14666933" w:rsidR="001762EE" w:rsidRPr="009A0E96" w:rsidRDefault="001762EE" w:rsidP="00D46430">
            <w:pPr>
              <w:spacing w:before="20" w:after="20"/>
              <w:jc w:val="center"/>
              <w:rPr>
                <w:sz w:val="20"/>
                <w:szCs w:val="20"/>
              </w:rPr>
            </w:pPr>
            <w:r w:rsidRPr="009A0E96">
              <w:rPr>
                <w:sz w:val="20"/>
                <w:szCs w:val="20"/>
              </w:rPr>
              <w:t xml:space="preserve">February </w:t>
            </w:r>
            <w:r w:rsidR="00E0249B" w:rsidRPr="009A0E96">
              <w:rPr>
                <w:sz w:val="20"/>
                <w:szCs w:val="20"/>
              </w:rPr>
              <w:t>18</w:t>
            </w:r>
          </w:p>
        </w:tc>
      </w:tr>
      <w:tr w:rsidR="001762EE" w:rsidRPr="00F367CC" w14:paraId="3FA5AADE" w14:textId="77777777" w:rsidTr="00954E2E">
        <w:tc>
          <w:tcPr>
            <w:tcW w:w="4820" w:type="dxa"/>
            <w:vAlign w:val="center"/>
          </w:tcPr>
          <w:p w14:paraId="1B28D625" w14:textId="213E00F6" w:rsidR="001762EE" w:rsidRPr="009A0E96" w:rsidRDefault="001762EE" w:rsidP="0007556E">
            <w:pPr>
              <w:pStyle w:val="ListParagraph"/>
              <w:keepNext/>
              <w:numPr>
                <w:ilvl w:val="0"/>
                <w:numId w:val="15"/>
              </w:numPr>
              <w:spacing w:before="20" w:after="20" w:line="240" w:lineRule="auto"/>
              <w:ind w:left="357" w:hanging="357"/>
              <w:contextualSpacing w:val="0"/>
              <w:outlineLvl w:val="2"/>
              <w:rPr>
                <w:sz w:val="20"/>
                <w:szCs w:val="20"/>
              </w:rPr>
            </w:pPr>
            <w:bookmarkStart w:id="149" w:name="_Toc454811673"/>
            <w:bookmarkStart w:id="150" w:name="_Toc454888818"/>
            <w:r w:rsidRPr="009A0E96">
              <w:rPr>
                <w:sz w:val="20"/>
                <w:szCs w:val="20"/>
              </w:rPr>
              <w:t>DBM-RO/Agency-RO Budget Forum on the 2016 National Budget.</w:t>
            </w:r>
            <w:bookmarkEnd w:id="149"/>
            <w:bookmarkEnd w:id="150"/>
          </w:p>
        </w:tc>
        <w:tc>
          <w:tcPr>
            <w:tcW w:w="2268" w:type="dxa"/>
            <w:vAlign w:val="center"/>
          </w:tcPr>
          <w:p w14:paraId="08ABF9D9" w14:textId="69D863EB" w:rsidR="001762EE" w:rsidRPr="009A0E96" w:rsidRDefault="001762EE" w:rsidP="00D46430">
            <w:pPr>
              <w:spacing w:before="20" w:after="20"/>
              <w:jc w:val="center"/>
              <w:rPr>
                <w:sz w:val="20"/>
                <w:szCs w:val="20"/>
              </w:rPr>
            </w:pPr>
            <w:r w:rsidRPr="009A0E96">
              <w:rPr>
                <w:sz w:val="20"/>
                <w:szCs w:val="20"/>
              </w:rPr>
              <w:t xml:space="preserve">February </w:t>
            </w:r>
            <w:r w:rsidR="00E0249B" w:rsidRPr="009A0E96">
              <w:rPr>
                <w:sz w:val="20"/>
                <w:szCs w:val="20"/>
              </w:rPr>
              <w:t>12</w:t>
            </w:r>
          </w:p>
        </w:tc>
        <w:tc>
          <w:tcPr>
            <w:tcW w:w="2268" w:type="dxa"/>
            <w:vAlign w:val="center"/>
          </w:tcPr>
          <w:p w14:paraId="489CBA58" w14:textId="21C52182" w:rsidR="001762EE" w:rsidRPr="009A0E96" w:rsidRDefault="001762EE" w:rsidP="00E0249B">
            <w:pPr>
              <w:spacing w:before="20" w:after="20"/>
              <w:jc w:val="center"/>
              <w:rPr>
                <w:sz w:val="20"/>
                <w:szCs w:val="20"/>
                <w:highlight w:val="yellow"/>
              </w:rPr>
            </w:pPr>
            <w:r w:rsidRPr="009A0E96">
              <w:rPr>
                <w:sz w:val="20"/>
                <w:szCs w:val="20"/>
              </w:rPr>
              <w:t xml:space="preserve">February </w:t>
            </w:r>
            <w:r w:rsidR="00E0249B" w:rsidRPr="009A0E96">
              <w:rPr>
                <w:sz w:val="20"/>
                <w:szCs w:val="20"/>
              </w:rPr>
              <w:t xml:space="preserve">12 </w:t>
            </w:r>
          </w:p>
        </w:tc>
      </w:tr>
      <w:tr w:rsidR="001762EE" w:rsidRPr="00F367CC" w14:paraId="68C35220" w14:textId="77777777" w:rsidTr="00954E2E">
        <w:tc>
          <w:tcPr>
            <w:tcW w:w="4820" w:type="dxa"/>
            <w:vAlign w:val="center"/>
          </w:tcPr>
          <w:p w14:paraId="5198EBE0" w14:textId="1C13ED18" w:rsidR="001762EE" w:rsidRPr="009A0E96" w:rsidRDefault="001762EE" w:rsidP="0007556E">
            <w:pPr>
              <w:pStyle w:val="ListParagraph"/>
              <w:keepNext/>
              <w:numPr>
                <w:ilvl w:val="0"/>
                <w:numId w:val="15"/>
              </w:numPr>
              <w:spacing w:before="20" w:after="20" w:line="240" w:lineRule="auto"/>
              <w:ind w:left="357" w:hanging="357"/>
              <w:contextualSpacing w:val="0"/>
              <w:outlineLvl w:val="2"/>
              <w:rPr>
                <w:sz w:val="20"/>
                <w:szCs w:val="20"/>
              </w:rPr>
            </w:pPr>
            <w:bookmarkStart w:id="151" w:name="_Toc454811674"/>
            <w:bookmarkStart w:id="152" w:name="_Toc454888819"/>
            <w:r w:rsidRPr="009A0E96">
              <w:rPr>
                <w:sz w:val="20"/>
                <w:szCs w:val="20"/>
              </w:rPr>
              <w:t xml:space="preserve">Consultations on </w:t>
            </w:r>
            <w:r w:rsidR="000D2D7D">
              <w:rPr>
                <w:sz w:val="20"/>
                <w:szCs w:val="20"/>
              </w:rPr>
              <w:t>a</w:t>
            </w:r>
            <w:r w:rsidRPr="009A0E96">
              <w:rPr>
                <w:sz w:val="20"/>
                <w:szCs w:val="20"/>
              </w:rPr>
              <w:t>gencies’ on-going programs and projects with:</w:t>
            </w:r>
            <w:bookmarkEnd w:id="151"/>
            <w:bookmarkEnd w:id="152"/>
          </w:p>
          <w:p w14:paraId="729DD96C" w14:textId="77777777" w:rsidR="001762EE" w:rsidRPr="009A0E96" w:rsidRDefault="001762EE" w:rsidP="0007556E">
            <w:pPr>
              <w:pStyle w:val="ListParagraph"/>
              <w:keepNext/>
              <w:numPr>
                <w:ilvl w:val="0"/>
                <w:numId w:val="17"/>
              </w:numPr>
              <w:spacing w:before="20" w:after="20" w:line="240" w:lineRule="auto"/>
              <w:ind w:left="714" w:hanging="357"/>
              <w:contextualSpacing w:val="0"/>
              <w:outlineLvl w:val="2"/>
              <w:rPr>
                <w:sz w:val="20"/>
                <w:szCs w:val="20"/>
              </w:rPr>
            </w:pPr>
            <w:bookmarkStart w:id="153" w:name="_Toc454811675"/>
            <w:bookmarkStart w:id="154" w:name="_Toc454888820"/>
            <w:r w:rsidRPr="009A0E96">
              <w:rPr>
                <w:sz w:val="20"/>
                <w:szCs w:val="20"/>
              </w:rPr>
              <w:t>Regional Development Councils.</w:t>
            </w:r>
            <w:bookmarkEnd w:id="153"/>
            <w:bookmarkEnd w:id="154"/>
          </w:p>
          <w:p w14:paraId="2CAAF767" w14:textId="204078CD" w:rsidR="001762EE" w:rsidRPr="009A0E96" w:rsidRDefault="001762EE" w:rsidP="0007556E">
            <w:pPr>
              <w:pStyle w:val="ListParagraph"/>
              <w:keepNext/>
              <w:numPr>
                <w:ilvl w:val="0"/>
                <w:numId w:val="17"/>
              </w:numPr>
              <w:spacing w:before="20" w:after="20" w:line="240" w:lineRule="auto"/>
              <w:ind w:left="714" w:hanging="357"/>
              <w:contextualSpacing w:val="0"/>
              <w:outlineLvl w:val="2"/>
              <w:rPr>
                <w:sz w:val="20"/>
                <w:szCs w:val="20"/>
              </w:rPr>
            </w:pPr>
            <w:bookmarkStart w:id="155" w:name="_Toc454811676"/>
            <w:bookmarkStart w:id="156" w:name="_Toc454888821"/>
            <w:r w:rsidRPr="009A0E96">
              <w:rPr>
                <w:sz w:val="20"/>
                <w:szCs w:val="20"/>
              </w:rPr>
              <w:t>Ci</w:t>
            </w:r>
            <w:r w:rsidR="0007556E">
              <w:rPr>
                <w:sz w:val="20"/>
                <w:szCs w:val="20"/>
              </w:rPr>
              <w:t>vil Society Organizations</w:t>
            </w:r>
            <w:r w:rsidRPr="009A0E96">
              <w:rPr>
                <w:sz w:val="20"/>
                <w:szCs w:val="20"/>
              </w:rPr>
              <w:t>.</w:t>
            </w:r>
            <w:bookmarkEnd w:id="155"/>
            <w:bookmarkEnd w:id="156"/>
          </w:p>
          <w:p w14:paraId="35E1E4F0" w14:textId="64672271" w:rsidR="001762EE" w:rsidRPr="009A0E96" w:rsidRDefault="001762EE" w:rsidP="0007556E">
            <w:pPr>
              <w:pStyle w:val="ListParagraph"/>
              <w:keepNext/>
              <w:numPr>
                <w:ilvl w:val="0"/>
                <w:numId w:val="17"/>
              </w:numPr>
              <w:spacing w:before="20" w:after="20" w:line="240" w:lineRule="auto"/>
              <w:ind w:left="714" w:hanging="357"/>
              <w:contextualSpacing w:val="0"/>
              <w:outlineLvl w:val="2"/>
              <w:rPr>
                <w:sz w:val="20"/>
                <w:szCs w:val="20"/>
              </w:rPr>
            </w:pPr>
            <w:bookmarkStart w:id="157" w:name="_Toc454811677"/>
            <w:bookmarkStart w:id="158" w:name="_Toc454888822"/>
            <w:r w:rsidRPr="009A0E96">
              <w:rPr>
                <w:sz w:val="20"/>
                <w:szCs w:val="20"/>
              </w:rPr>
              <w:t>Other stakeholders under Bottom-Up Budgeting.</w:t>
            </w:r>
            <w:bookmarkEnd w:id="157"/>
            <w:bookmarkEnd w:id="158"/>
          </w:p>
        </w:tc>
        <w:tc>
          <w:tcPr>
            <w:tcW w:w="2268" w:type="dxa"/>
          </w:tcPr>
          <w:p w14:paraId="36189FB5" w14:textId="1B6F874F" w:rsidR="001762EE" w:rsidRPr="009A0E96" w:rsidRDefault="001762EE" w:rsidP="00D46430">
            <w:pPr>
              <w:spacing w:before="20" w:after="20"/>
              <w:jc w:val="center"/>
              <w:rPr>
                <w:sz w:val="20"/>
                <w:szCs w:val="20"/>
              </w:rPr>
            </w:pPr>
            <w:r w:rsidRPr="009A0E96">
              <w:rPr>
                <w:sz w:val="20"/>
                <w:szCs w:val="20"/>
              </w:rPr>
              <w:t xml:space="preserve">January to February </w:t>
            </w:r>
          </w:p>
        </w:tc>
        <w:tc>
          <w:tcPr>
            <w:tcW w:w="2268" w:type="dxa"/>
          </w:tcPr>
          <w:p w14:paraId="69B3B865" w14:textId="20A6B0E7" w:rsidR="001762EE" w:rsidRPr="009A0E96" w:rsidRDefault="001762EE" w:rsidP="00954E2E">
            <w:pPr>
              <w:spacing w:before="20" w:after="20"/>
              <w:jc w:val="center"/>
              <w:rPr>
                <w:sz w:val="20"/>
                <w:szCs w:val="20"/>
              </w:rPr>
            </w:pPr>
            <w:r w:rsidRPr="009A0E96">
              <w:rPr>
                <w:sz w:val="20"/>
                <w:szCs w:val="20"/>
              </w:rPr>
              <w:t xml:space="preserve">January to February </w:t>
            </w:r>
          </w:p>
          <w:p w14:paraId="2EB5EC22" w14:textId="77777777" w:rsidR="001762EE" w:rsidRPr="009A0E96" w:rsidRDefault="001762EE" w:rsidP="00954E2E">
            <w:pPr>
              <w:spacing w:before="20" w:after="20"/>
              <w:jc w:val="center"/>
              <w:rPr>
                <w:sz w:val="20"/>
                <w:szCs w:val="20"/>
              </w:rPr>
            </w:pPr>
          </w:p>
          <w:p w14:paraId="1430AE58" w14:textId="77777777" w:rsidR="001762EE" w:rsidRPr="009A0E96" w:rsidRDefault="001762EE" w:rsidP="00954E2E">
            <w:pPr>
              <w:spacing w:before="20" w:after="20"/>
              <w:jc w:val="center"/>
              <w:rPr>
                <w:sz w:val="20"/>
                <w:szCs w:val="20"/>
              </w:rPr>
            </w:pPr>
          </w:p>
          <w:p w14:paraId="2A9D1F37" w14:textId="34C6BAEF" w:rsidR="001762EE" w:rsidRPr="009A0E96" w:rsidRDefault="001762EE" w:rsidP="00D46430">
            <w:pPr>
              <w:spacing w:before="20" w:after="20"/>
              <w:jc w:val="center"/>
              <w:rPr>
                <w:sz w:val="20"/>
                <w:szCs w:val="20"/>
                <w:highlight w:val="yellow"/>
              </w:rPr>
            </w:pPr>
            <w:r w:rsidRPr="009A0E96">
              <w:rPr>
                <w:sz w:val="20"/>
                <w:szCs w:val="20"/>
              </w:rPr>
              <w:t xml:space="preserve">February </w:t>
            </w:r>
            <w:r w:rsidR="00E0249B" w:rsidRPr="009A0E96">
              <w:rPr>
                <w:sz w:val="20"/>
                <w:szCs w:val="20"/>
              </w:rPr>
              <w:t>24</w:t>
            </w:r>
          </w:p>
        </w:tc>
      </w:tr>
      <w:tr w:rsidR="001762EE" w:rsidRPr="00F367CC" w14:paraId="33BA5B57" w14:textId="77777777" w:rsidTr="00954E2E">
        <w:tc>
          <w:tcPr>
            <w:tcW w:w="4820" w:type="dxa"/>
            <w:vAlign w:val="center"/>
          </w:tcPr>
          <w:p w14:paraId="28328AF7" w14:textId="7CDC6FD3" w:rsidR="001762EE" w:rsidRPr="009A0E96" w:rsidRDefault="001762EE" w:rsidP="0007556E">
            <w:pPr>
              <w:pStyle w:val="ListParagraph"/>
              <w:keepNext/>
              <w:numPr>
                <w:ilvl w:val="0"/>
                <w:numId w:val="15"/>
              </w:numPr>
              <w:spacing w:before="20" w:after="20" w:line="240" w:lineRule="auto"/>
              <w:ind w:left="357" w:hanging="357"/>
              <w:contextualSpacing w:val="0"/>
              <w:outlineLvl w:val="2"/>
              <w:rPr>
                <w:sz w:val="20"/>
                <w:szCs w:val="20"/>
              </w:rPr>
            </w:pPr>
            <w:bookmarkStart w:id="159" w:name="_Toc454811678"/>
            <w:bookmarkStart w:id="160" w:name="_Toc454888823"/>
            <w:r w:rsidRPr="009A0E96">
              <w:rPr>
                <w:sz w:val="20"/>
                <w:szCs w:val="20"/>
              </w:rPr>
              <w:t>Submission of B.P. Form No. 201 A, B, C – Past year’s actual obligation and current year appropriation (through OSBP)</w:t>
            </w:r>
            <w:bookmarkEnd w:id="159"/>
            <w:bookmarkEnd w:id="160"/>
          </w:p>
        </w:tc>
        <w:tc>
          <w:tcPr>
            <w:tcW w:w="2268" w:type="dxa"/>
            <w:vAlign w:val="center"/>
          </w:tcPr>
          <w:p w14:paraId="3609EA71" w14:textId="0419F1C1" w:rsidR="001762EE" w:rsidRPr="009A0E96" w:rsidRDefault="001762EE" w:rsidP="00D46430">
            <w:pPr>
              <w:spacing w:before="20" w:after="20"/>
              <w:jc w:val="center"/>
              <w:rPr>
                <w:sz w:val="20"/>
                <w:szCs w:val="20"/>
              </w:rPr>
            </w:pPr>
            <w:r w:rsidRPr="009A0E96">
              <w:rPr>
                <w:sz w:val="20"/>
                <w:szCs w:val="20"/>
              </w:rPr>
              <w:t>February</w:t>
            </w:r>
          </w:p>
        </w:tc>
        <w:tc>
          <w:tcPr>
            <w:tcW w:w="2268" w:type="dxa"/>
            <w:vAlign w:val="center"/>
          </w:tcPr>
          <w:p w14:paraId="3573BA2F" w14:textId="39387C7A" w:rsidR="001762EE" w:rsidRPr="009A0E96" w:rsidRDefault="001762EE" w:rsidP="00E0249B">
            <w:pPr>
              <w:spacing w:before="20" w:after="20"/>
              <w:jc w:val="center"/>
              <w:rPr>
                <w:sz w:val="20"/>
                <w:szCs w:val="20"/>
                <w:highlight w:val="yellow"/>
              </w:rPr>
            </w:pPr>
            <w:r w:rsidRPr="009A0E96">
              <w:rPr>
                <w:sz w:val="20"/>
                <w:szCs w:val="20"/>
              </w:rPr>
              <w:t xml:space="preserve">February to May </w:t>
            </w:r>
            <w:r w:rsidR="00E0249B" w:rsidRPr="009A0E96">
              <w:rPr>
                <w:sz w:val="20"/>
                <w:szCs w:val="20"/>
              </w:rPr>
              <w:t>5</w:t>
            </w:r>
          </w:p>
        </w:tc>
      </w:tr>
      <w:tr w:rsidR="001762EE" w:rsidRPr="00F367CC" w14:paraId="1C71F1F3" w14:textId="77777777" w:rsidTr="00954E2E">
        <w:tc>
          <w:tcPr>
            <w:tcW w:w="4820" w:type="dxa"/>
            <w:vAlign w:val="center"/>
          </w:tcPr>
          <w:p w14:paraId="0F4EF046" w14:textId="0739F9FB" w:rsidR="001762EE" w:rsidRPr="009A0E96" w:rsidRDefault="001762EE" w:rsidP="0007556E">
            <w:pPr>
              <w:pStyle w:val="ListParagraph"/>
              <w:keepNext/>
              <w:numPr>
                <w:ilvl w:val="0"/>
                <w:numId w:val="15"/>
              </w:numPr>
              <w:spacing w:before="20" w:after="20" w:line="240" w:lineRule="auto"/>
              <w:ind w:left="357" w:hanging="357"/>
              <w:contextualSpacing w:val="0"/>
              <w:outlineLvl w:val="2"/>
              <w:rPr>
                <w:sz w:val="20"/>
                <w:szCs w:val="20"/>
              </w:rPr>
            </w:pPr>
            <w:bookmarkStart w:id="161" w:name="_Toc454811679"/>
            <w:bookmarkStart w:id="162" w:name="_Toc454888824"/>
            <w:r w:rsidRPr="009A0E96">
              <w:rPr>
                <w:sz w:val="20"/>
                <w:szCs w:val="20"/>
              </w:rPr>
              <w:t>Formulation of Forward Estimates (Hard Budget Ceiling)</w:t>
            </w:r>
            <w:bookmarkEnd w:id="161"/>
            <w:bookmarkEnd w:id="162"/>
          </w:p>
        </w:tc>
        <w:tc>
          <w:tcPr>
            <w:tcW w:w="2268" w:type="dxa"/>
            <w:vAlign w:val="center"/>
          </w:tcPr>
          <w:p w14:paraId="626474D6" w14:textId="56F079F7" w:rsidR="001762EE" w:rsidRPr="009A0E96" w:rsidRDefault="001762EE" w:rsidP="00D46430">
            <w:pPr>
              <w:spacing w:before="20" w:after="20"/>
              <w:jc w:val="center"/>
              <w:rPr>
                <w:sz w:val="20"/>
                <w:szCs w:val="20"/>
              </w:rPr>
            </w:pPr>
            <w:r w:rsidRPr="009A0E96">
              <w:rPr>
                <w:sz w:val="20"/>
                <w:szCs w:val="20"/>
              </w:rPr>
              <w:t xml:space="preserve">January to February </w:t>
            </w:r>
          </w:p>
        </w:tc>
        <w:tc>
          <w:tcPr>
            <w:tcW w:w="2268" w:type="dxa"/>
            <w:vAlign w:val="center"/>
          </w:tcPr>
          <w:p w14:paraId="42E3138D" w14:textId="2533D6AE" w:rsidR="001762EE" w:rsidRPr="009A0E96" w:rsidRDefault="001762EE" w:rsidP="00E0249B">
            <w:pPr>
              <w:spacing w:before="20" w:after="20"/>
              <w:jc w:val="center"/>
              <w:rPr>
                <w:sz w:val="20"/>
                <w:szCs w:val="20"/>
              </w:rPr>
            </w:pPr>
            <w:r w:rsidRPr="009A0E96">
              <w:rPr>
                <w:sz w:val="20"/>
                <w:szCs w:val="20"/>
              </w:rPr>
              <w:t xml:space="preserve">January to February </w:t>
            </w:r>
            <w:r w:rsidR="00E0249B" w:rsidRPr="009A0E96">
              <w:rPr>
                <w:sz w:val="20"/>
                <w:szCs w:val="20"/>
              </w:rPr>
              <w:t>20</w:t>
            </w:r>
          </w:p>
        </w:tc>
      </w:tr>
      <w:tr w:rsidR="001762EE" w:rsidRPr="00F367CC" w14:paraId="7274A7FC" w14:textId="77777777" w:rsidTr="00954E2E">
        <w:tc>
          <w:tcPr>
            <w:tcW w:w="4820" w:type="dxa"/>
            <w:vAlign w:val="center"/>
          </w:tcPr>
          <w:p w14:paraId="5A5BB611" w14:textId="4DCB6E72"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163" w:name="_Toc454811680"/>
            <w:bookmarkStart w:id="164" w:name="_Toc454888825"/>
            <w:r w:rsidRPr="009A0E96">
              <w:rPr>
                <w:sz w:val="20"/>
                <w:szCs w:val="20"/>
              </w:rPr>
              <w:t>Technical Budget hearings with Agencies (Forward Estimates)</w:t>
            </w:r>
            <w:bookmarkEnd w:id="163"/>
            <w:bookmarkEnd w:id="164"/>
          </w:p>
        </w:tc>
        <w:tc>
          <w:tcPr>
            <w:tcW w:w="2268" w:type="dxa"/>
            <w:vAlign w:val="center"/>
          </w:tcPr>
          <w:p w14:paraId="0B648C43" w14:textId="38AFE7AF" w:rsidR="001762EE" w:rsidRPr="009A0E96" w:rsidRDefault="001762EE" w:rsidP="00D46430">
            <w:pPr>
              <w:spacing w:before="20" w:after="20"/>
              <w:jc w:val="center"/>
              <w:rPr>
                <w:sz w:val="20"/>
                <w:szCs w:val="20"/>
              </w:rPr>
            </w:pPr>
            <w:r w:rsidRPr="009A0E96">
              <w:rPr>
                <w:sz w:val="20"/>
                <w:szCs w:val="20"/>
              </w:rPr>
              <w:t xml:space="preserve">February </w:t>
            </w:r>
            <w:r w:rsidR="00E0249B" w:rsidRPr="009A0E96">
              <w:rPr>
                <w:sz w:val="20"/>
                <w:szCs w:val="20"/>
              </w:rPr>
              <w:t>9-27</w:t>
            </w:r>
          </w:p>
        </w:tc>
        <w:tc>
          <w:tcPr>
            <w:tcW w:w="2268" w:type="dxa"/>
            <w:vAlign w:val="center"/>
          </w:tcPr>
          <w:p w14:paraId="52740822" w14:textId="7EC820FD" w:rsidR="001762EE" w:rsidRPr="009A0E96" w:rsidRDefault="001762EE" w:rsidP="00D46430">
            <w:pPr>
              <w:spacing w:before="20" w:after="20"/>
              <w:jc w:val="center"/>
              <w:rPr>
                <w:sz w:val="20"/>
                <w:szCs w:val="20"/>
              </w:rPr>
            </w:pPr>
            <w:r w:rsidRPr="009A0E96">
              <w:rPr>
                <w:sz w:val="20"/>
                <w:szCs w:val="20"/>
              </w:rPr>
              <w:t xml:space="preserve">February </w:t>
            </w:r>
            <w:r w:rsidR="00E0249B" w:rsidRPr="009A0E96">
              <w:rPr>
                <w:sz w:val="20"/>
                <w:szCs w:val="20"/>
              </w:rPr>
              <w:t>17</w:t>
            </w:r>
            <w:r w:rsidR="00E0249B">
              <w:rPr>
                <w:sz w:val="20"/>
                <w:szCs w:val="20"/>
              </w:rPr>
              <w:t xml:space="preserve"> </w:t>
            </w:r>
            <w:r w:rsidRPr="009A0E96">
              <w:rPr>
                <w:sz w:val="20"/>
                <w:szCs w:val="20"/>
              </w:rPr>
              <w:t xml:space="preserve">to </w:t>
            </w:r>
          </w:p>
          <w:p w14:paraId="2B6590E7" w14:textId="7880C30F" w:rsidR="001762EE" w:rsidRPr="009A0E96" w:rsidRDefault="001762EE" w:rsidP="00CE517D">
            <w:pPr>
              <w:spacing w:before="20" w:after="20"/>
              <w:jc w:val="center"/>
              <w:rPr>
                <w:sz w:val="20"/>
                <w:szCs w:val="20"/>
              </w:rPr>
            </w:pPr>
            <w:r w:rsidRPr="009A0E96">
              <w:rPr>
                <w:sz w:val="20"/>
                <w:szCs w:val="20"/>
              </w:rPr>
              <w:t xml:space="preserve">March </w:t>
            </w:r>
            <w:r w:rsidR="00E0249B" w:rsidRPr="009A0E96">
              <w:rPr>
                <w:sz w:val="20"/>
                <w:szCs w:val="20"/>
              </w:rPr>
              <w:t>10</w:t>
            </w:r>
          </w:p>
        </w:tc>
      </w:tr>
      <w:tr w:rsidR="001762EE" w:rsidRPr="00F367CC" w14:paraId="79729FC6" w14:textId="77777777" w:rsidTr="00954E2E">
        <w:tc>
          <w:tcPr>
            <w:tcW w:w="4820" w:type="dxa"/>
            <w:vAlign w:val="center"/>
          </w:tcPr>
          <w:p w14:paraId="005D65FD" w14:textId="26E816F5" w:rsidR="001762EE" w:rsidRPr="009A0E96" w:rsidRDefault="001762EE" w:rsidP="005108BC">
            <w:pPr>
              <w:pStyle w:val="ListParagraph"/>
              <w:keepNext/>
              <w:numPr>
                <w:ilvl w:val="0"/>
                <w:numId w:val="19"/>
              </w:numPr>
              <w:spacing w:before="20" w:after="20" w:line="240" w:lineRule="auto"/>
              <w:ind w:left="357" w:hanging="357"/>
              <w:contextualSpacing w:val="0"/>
              <w:jc w:val="both"/>
              <w:outlineLvl w:val="2"/>
              <w:rPr>
                <w:sz w:val="20"/>
                <w:szCs w:val="20"/>
              </w:rPr>
            </w:pPr>
            <w:bookmarkStart w:id="165" w:name="_Toc454811681"/>
            <w:bookmarkStart w:id="166" w:name="_Toc454888826"/>
            <w:r w:rsidRPr="009A0E96">
              <w:rPr>
                <w:sz w:val="20"/>
                <w:szCs w:val="20"/>
              </w:rPr>
              <w:t>Updating of GMIS</w:t>
            </w:r>
            <w:bookmarkEnd w:id="165"/>
            <w:bookmarkEnd w:id="166"/>
          </w:p>
        </w:tc>
        <w:tc>
          <w:tcPr>
            <w:tcW w:w="2268" w:type="dxa"/>
            <w:vAlign w:val="center"/>
          </w:tcPr>
          <w:p w14:paraId="1A1E3CB5" w14:textId="77777777" w:rsidR="001762EE" w:rsidRPr="009A0E96" w:rsidRDefault="001762EE" w:rsidP="00954E2E">
            <w:pPr>
              <w:spacing w:before="20" w:after="20"/>
              <w:jc w:val="center"/>
              <w:rPr>
                <w:sz w:val="20"/>
                <w:szCs w:val="20"/>
              </w:rPr>
            </w:pPr>
          </w:p>
        </w:tc>
        <w:tc>
          <w:tcPr>
            <w:tcW w:w="2268" w:type="dxa"/>
            <w:vAlign w:val="center"/>
          </w:tcPr>
          <w:p w14:paraId="27CE305C" w14:textId="4732F8F4" w:rsidR="001762EE" w:rsidRPr="009A0E96" w:rsidRDefault="001762EE" w:rsidP="00D46430">
            <w:pPr>
              <w:spacing w:before="20" w:after="20"/>
              <w:jc w:val="center"/>
              <w:rPr>
                <w:sz w:val="20"/>
                <w:szCs w:val="20"/>
              </w:rPr>
            </w:pPr>
            <w:r w:rsidRPr="009A0E96">
              <w:rPr>
                <w:sz w:val="20"/>
                <w:szCs w:val="20"/>
              </w:rPr>
              <w:t xml:space="preserve">February </w:t>
            </w:r>
            <w:r w:rsidR="00E0249B" w:rsidRPr="009A0E96">
              <w:rPr>
                <w:sz w:val="20"/>
                <w:szCs w:val="20"/>
              </w:rPr>
              <w:t xml:space="preserve">21 </w:t>
            </w:r>
            <w:r w:rsidRPr="009A0E96">
              <w:rPr>
                <w:sz w:val="20"/>
                <w:szCs w:val="20"/>
              </w:rPr>
              <w:t xml:space="preserve">to </w:t>
            </w:r>
          </w:p>
          <w:p w14:paraId="150B9C29" w14:textId="13E638B8"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7</w:t>
            </w:r>
          </w:p>
        </w:tc>
      </w:tr>
      <w:tr w:rsidR="001762EE" w:rsidRPr="00F367CC" w14:paraId="5151E6F0" w14:textId="77777777" w:rsidTr="00954E2E">
        <w:tc>
          <w:tcPr>
            <w:tcW w:w="4820" w:type="dxa"/>
            <w:vAlign w:val="center"/>
          </w:tcPr>
          <w:p w14:paraId="3D685AE2" w14:textId="0ADB06A2"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67" w:name="_Toc454811682"/>
            <w:bookmarkStart w:id="168" w:name="_Toc454888827"/>
            <w:r w:rsidRPr="009A0E96">
              <w:rPr>
                <w:sz w:val="20"/>
                <w:szCs w:val="20"/>
              </w:rPr>
              <w:t>DBM Budget Review</w:t>
            </w:r>
            <w:bookmarkEnd w:id="167"/>
            <w:bookmarkEnd w:id="168"/>
          </w:p>
        </w:tc>
        <w:tc>
          <w:tcPr>
            <w:tcW w:w="2268" w:type="dxa"/>
            <w:vAlign w:val="center"/>
          </w:tcPr>
          <w:p w14:paraId="677367FE" w14:textId="0B7BDAD1"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2-6</w:t>
            </w:r>
          </w:p>
        </w:tc>
        <w:tc>
          <w:tcPr>
            <w:tcW w:w="2268" w:type="dxa"/>
            <w:vAlign w:val="center"/>
          </w:tcPr>
          <w:p w14:paraId="51695796" w14:textId="63B1E717"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9-19</w:t>
            </w:r>
          </w:p>
        </w:tc>
      </w:tr>
      <w:tr w:rsidR="001762EE" w:rsidRPr="00F367CC" w14:paraId="2245ACC4" w14:textId="77777777" w:rsidTr="00954E2E">
        <w:tc>
          <w:tcPr>
            <w:tcW w:w="4820" w:type="dxa"/>
            <w:vAlign w:val="center"/>
          </w:tcPr>
          <w:p w14:paraId="4E157009" w14:textId="017840D2" w:rsidR="001762EE" w:rsidRPr="009A0E96" w:rsidRDefault="001762EE" w:rsidP="0007556E">
            <w:pPr>
              <w:pStyle w:val="ListParagraph"/>
              <w:keepNext/>
              <w:numPr>
                <w:ilvl w:val="0"/>
                <w:numId w:val="19"/>
              </w:numPr>
              <w:spacing w:before="20" w:after="20" w:line="240" w:lineRule="auto"/>
              <w:ind w:left="357" w:hanging="357"/>
              <w:contextualSpacing w:val="0"/>
              <w:jc w:val="both"/>
              <w:outlineLvl w:val="2"/>
              <w:rPr>
                <w:sz w:val="20"/>
                <w:szCs w:val="20"/>
              </w:rPr>
            </w:pPr>
            <w:bookmarkStart w:id="169" w:name="_Toc454811683"/>
            <w:bookmarkStart w:id="170" w:name="_Toc454888828"/>
            <w:r w:rsidRPr="009A0E96">
              <w:rPr>
                <w:sz w:val="20"/>
                <w:szCs w:val="20"/>
              </w:rPr>
              <w:t xml:space="preserve">Sending of confirmation letters to </w:t>
            </w:r>
            <w:r w:rsidR="0007556E">
              <w:rPr>
                <w:sz w:val="20"/>
                <w:szCs w:val="20"/>
              </w:rPr>
              <w:t>a</w:t>
            </w:r>
            <w:r w:rsidRPr="009A0E96">
              <w:rPr>
                <w:sz w:val="20"/>
                <w:szCs w:val="20"/>
              </w:rPr>
              <w:t>gencies.</w:t>
            </w:r>
            <w:bookmarkEnd w:id="169"/>
            <w:bookmarkEnd w:id="170"/>
          </w:p>
        </w:tc>
        <w:tc>
          <w:tcPr>
            <w:tcW w:w="2268" w:type="dxa"/>
            <w:vAlign w:val="center"/>
          </w:tcPr>
          <w:p w14:paraId="2777E3DC" w14:textId="55F3C27E"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9-10</w:t>
            </w:r>
          </w:p>
        </w:tc>
        <w:tc>
          <w:tcPr>
            <w:tcW w:w="2268" w:type="dxa"/>
            <w:vAlign w:val="center"/>
          </w:tcPr>
          <w:p w14:paraId="3D6D398D" w14:textId="0A9B8D26"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23-26</w:t>
            </w:r>
          </w:p>
        </w:tc>
      </w:tr>
      <w:tr w:rsidR="001762EE" w:rsidRPr="00F367CC" w14:paraId="3E047F62" w14:textId="77777777" w:rsidTr="00954E2E">
        <w:tc>
          <w:tcPr>
            <w:tcW w:w="4820" w:type="dxa"/>
            <w:vAlign w:val="center"/>
          </w:tcPr>
          <w:p w14:paraId="0E7833F0" w14:textId="3415F1EC"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171" w:name="_Toc454811685"/>
            <w:bookmarkStart w:id="172" w:name="_Toc454888829"/>
            <w:r w:rsidRPr="009A0E96">
              <w:rPr>
                <w:sz w:val="20"/>
                <w:szCs w:val="20"/>
              </w:rPr>
              <w:t>Issuance of Ceiling and Budget Priorities Framework</w:t>
            </w:r>
            <w:bookmarkEnd w:id="171"/>
            <w:bookmarkEnd w:id="172"/>
          </w:p>
        </w:tc>
        <w:tc>
          <w:tcPr>
            <w:tcW w:w="2268" w:type="dxa"/>
            <w:vAlign w:val="center"/>
          </w:tcPr>
          <w:p w14:paraId="346D3303" w14:textId="1C93AAFC"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20</w:t>
            </w:r>
          </w:p>
        </w:tc>
        <w:tc>
          <w:tcPr>
            <w:tcW w:w="2268" w:type="dxa"/>
            <w:vAlign w:val="center"/>
          </w:tcPr>
          <w:p w14:paraId="5C4AD61A" w14:textId="2A7B023F" w:rsidR="001762EE" w:rsidRPr="009A0E96" w:rsidRDefault="001762EE" w:rsidP="00D46430">
            <w:pPr>
              <w:spacing w:before="20" w:after="20"/>
              <w:jc w:val="center"/>
              <w:rPr>
                <w:sz w:val="20"/>
                <w:szCs w:val="20"/>
                <w:highlight w:val="yellow"/>
              </w:rPr>
            </w:pPr>
            <w:r w:rsidRPr="009A0E96">
              <w:rPr>
                <w:sz w:val="20"/>
                <w:szCs w:val="20"/>
              </w:rPr>
              <w:t xml:space="preserve">March </w:t>
            </w:r>
            <w:r w:rsidR="00E0249B" w:rsidRPr="009A0E96">
              <w:rPr>
                <w:sz w:val="20"/>
                <w:szCs w:val="20"/>
              </w:rPr>
              <w:t>30</w:t>
            </w:r>
          </w:p>
        </w:tc>
      </w:tr>
      <w:tr w:rsidR="001762EE" w:rsidRPr="00F367CC" w14:paraId="4BE5AD85" w14:textId="77777777" w:rsidTr="006F0072">
        <w:tc>
          <w:tcPr>
            <w:tcW w:w="4820" w:type="dxa"/>
            <w:vAlign w:val="center"/>
          </w:tcPr>
          <w:p w14:paraId="4D97A792" w14:textId="74DD163B"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73" w:name="_Toc454811686"/>
            <w:bookmarkStart w:id="174" w:name="_Toc454888830"/>
            <w:r w:rsidRPr="009A0E96">
              <w:rPr>
                <w:sz w:val="20"/>
                <w:szCs w:val="20"/>
              </w:rPr>
              <w:t>Budget Forum</w:t>
            </w:r>
            <w:bookmarkEnd w:id="173"/>
            <w:bookmarkEnd w:id="174"/>
          </w:p>
          <w:p w14:paraId="4E046521" w14:textId="77777777" w:rsidR="001762EE" w:rsidRPr="009A0E96" w:rsidRDefault="001762EE" w:rsidP="0007556E">
            <w:pPr>
              <w:pStyle w:val="ListParagraph"/>
              <w:keepNext/>
              <w:numPr>
                <w:ilvl w:val="1"/>
                <w:numId w:val="19"/>
              </w:numPr>
              <w:spacing w:before="20" w:after="20" w:line="240" w:lineRule="auto"/>
              <w:ind w:left="792"/>
              <w:contextualSpacing w:val="0"/>
              <w:jc w:val="both"/>
              <w:outlineLvl w:val="2"/>
              <w:rPr>
                <w:sz w:val="20"/>
                <w:szCs w:val="20"/>
              </w:rPr>
            </w:pPr>
            <w:bookmarkStart w:id="175" w:name="_Toc454811687"/>
            <w:bookmarkStart w:id="176" w:name="_Toc454888831"/>
            <w:r w:rsidRPr="009A0E96">
              <w:rPr>
                <w:sz w:val="20"/>
                <w:szCs w:val="20"/>
              </w:rPr>
              <w:t>National Government Agencies</w:t>
            </w:r>
            <w:bookmarkEnd w:id="175"/>
            <w:bookmarkEnd w:id="176"/>
          </w:p>
          <w:p w14:paraId="19A87BB5" w14:textId="77777777" w:rsidR="001762EE" w:rsidRPr="009A0E96" w:rsidRDefault="001762EE" w:rsidP="0007556E">
            <w:pPr>
              <w:spacing w:before="20" w:after="20"/>
              <w:ind w:left="792"/>
              <w:rPr>
                <w:sz w:val="20"/>
                <w:szCs w:val="20"/>
              </w:rPr>
            </w:pPr>
            <w:r w:rsidRPr="009A0E96">
              <w:rPr>
                <w:sz w:val="20"/>
                <w:szCs w:val="20"/>
              </w:rPr>
              <w:t>Batch 1</w:t>
            </w:r>
          </w:p>
          <w:p w14:paraId="6F9E84A0" w14:textId="77777777" w:rsidR="001762EE" w:rsidRPr="009A0E96" w:rsidRDefault="001762EE" w:rsidP="0007556E">
            <w:pPr>
              <w:spacing w:before="20" w:after="20"/>
              <w:ind w:left="792"/>
              <w:rPr>
                <w:sz w:val="20"/>
                <w:szCs w:val="20"/>
              </w:rPr>
            </w:pPr>
            <w:r w:rsidRPr="009A0E96">
              <w:rPr>
                <w:sz w:val="20"/>
                <w:szCs w:val="20"/>
              </w:rPr>
              <w:t>Batch 2</w:t>
            </w:r>
          </w:p>
          <w:p w14:paraId="2F52DEF8" w14:textId="77777777" w:rsidR="001762EE" w:rsidRPr="009A0E96" w:rsidRDefault="001762EE" w:rsidP="0007556E">
            <w:pPr>
              <w:pStyle w:val="ListParagraph"/>
              <w:keepNext/>
              <w:numPr>
                <w:ilvl w:val="1"/>
                <w:numId w:val="19"/>
              </w:numPr>
              <w:spacing w:before="20" w:after="20" w:line="240" w:lineRule="auto"/>
              <w:ind w:left="792"/>
              <w:contextualSpacing w:val="0"/>
              <w:jc w:val="both"/>
              <w:outlineLvl w:val="2"/>
              <w:rPr>
                <w:sz w:val="20"/>
                <w:szCs w:val="20"/>
              </w:rPr>
            </w:pPr>
            <w:bookmarkStart w:id="177" w:name="_Toc454811688"/>
            <w:bookmarkStart w:id="178" w:name="_Toc454888832"/>
            <w:r w:rsidRPr="009A0E96">
              <w:rPr>
                <w:sz w:val="20"/>
                <w:szCs w:val="20"/>
              </w:rPr>
              <w:t>Corporate Budget Forum</w:t>
            </w:r>
            <w:bookmarkEnd w:id="177"/>
            <w:bookmarkEnd w:id="178"/>
          </w:p>
        </w:tc>
        <w:tc>
          <w:tcPr>
            <w:tcW w:w="2268" w:type="dxa"/>
          </w:tcPr>
          <w:p w14:paraId="194098DA" w14:textId="77777777" w:rsidR="001762EE" w:rsidRPr="009A0E96" w:rsidRDefault="001762EE" w:rsidP="006F0072">
            <w:pPr>
              <w:spacing w:before="20" w:after="20"/>
              <w:rPr>
                <w:sz w:val="20"/>
                <w:szCs w:val="20"/>
              </w:rPr>
            </w:pPr>
          </w:p>
          <w:p w14:paraId="5E34A4FB" w14:textId="77777777" w:rsidR="001762EE" w:rsidRPr="009A0E96" w:rsidRDefault="001762EE" w:rsidP="006F0072">
            <w:pPr>
              <w:spacing w:before="20" w:after="20"/>
              <w:rPr>
                <w:sz w:val="20"/>
                <w:szCs w:val="20"/>
              </w:rPr>
            </w:pPr>
          </w:p>
          <w:p w14:paraId="24AA1D75" w14:textId="22F7ADAB" w:rsidR="001762EE" w:rsidRPr="009A0E96" w:rsidRDefault="001762EE" w:rsidP="006F0072">
            <w:pPr>
              <w:spacing w:before="20" w:after="20"/>
              <w:jc w:val="center"/>
              <w:rPr>
                <w:sz w:val="20"/>
                <w:szCs w:val="20"/>
              </w:rPr>
            </w:pPr>
            <w:r w:rsidRPr="009A0E96">
              <w:rPr>
                <w:sz w:val="20"/>
                <w:szCs w:val="20"/>
              </w:rPr>
              <w:t xml:space="preserve">March </w:t>
            </w:r>
            <w:r w:rsidR="00E0249B" w:rsidRPr="009A0E96">
              <w:rPr>
                <w:sz w:val="20"/>
                <w:szCs w:val="20"/>
              </w:rPr>
              <w:t>23</w:t>
            </w:r>
          </w:p>
          <w:p w14:paraId="2D38D70A" w14:textId="5EB6E3A5"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24</w:t>
            </w:r>
          </w:p>
          <w:p w14:paraId="789E63AF" w14:textId="3E97C3D2" w:rsidR="001762EE" w:rsidRPr="009A0E96" w:rsidRDefault="001762EE" w:rsidP="00D46430">
            <w:pPr>
              <w:spacing w:before="20" w:after="20"/>
              <w:jc w:val="center"/>
              <w:rPr>
                <w:sz w:val="20"/>
                <w:szCs w:val="20"/>
              </w:rPr>
            </w:pPr>
            <w:r w:rsidRPr="009A0E96">
              <w:rPr>
                <w:sz w:val="20"/>
                <w:szCs w:val="20"/>
              </w:rPr>
              <w:t xml:space="preserve">March </w:t>
            </w:r>
            <w:r w:rsidR="00E0249B" w:rsidRPr="009A0E96">
              <w:rPr>
                <w:sz w:val="20"/>
                <w:szCs w:val="20"/>
              </w:rPr>
              <w:t>25</w:t>
            </w:r>
          </w:p>
        </w:tc>
        <w:tc>
          <w:tcPr>
            <w:tcW w:w="2268" w:type="dxa"/>
          </w:tcPr>
          <w:p w14:paraId="6F633498" w14:textId="73B14531" w:rsidR="001762EE" w:rsidRPr="009A0E96" w:rsidRDefault="001762EE" w:rsidP="00CE517D">
            <w:pPr>
              <w:spacing w:before="20" w:after="20"/>
              <w:jc w:val="center"/>
              <w:rPr>
                <w:sz w:val="20"/>
                <w:szCs w:val="20"/>
                <w:highlight w:val="yellow"/>
              </w:rPr>
            </w:pPr>
            <w:r w:rsidRPr="009A0E96">
              <w:rPr>
                <w:sz w:val="20"/>
                <w:szCs w:val="20"/>
              </w:rPr>
              <w:t xml:space="preserve">April </w:t>
            </w:r>
            <w:r w:rsidR="00E0249B" w:rsidRPr="009A0E96">
              <w:rPr>
                <w:sz w:val="20"/>
                <w:szCs w:val="20"/>
              </w:rPr>
              <w:t>13-17</w:t>
            </w:r>
          </w:p>
        </w:tc>
      </w:tr>
      <w:tr w:rsidR="001762EE" w:rsidRPr="00F367CC" w14:paraId="7F319467" w14:textId="77777777" w:rsidTr="00954E2E">
        <w:tc>
          <w:tcPr>
            <w:tcW w:w="4820" w:type="dxa"/>
            <w:vAlign w:val="center"/>
          </w:tcPr>
          <w:p w14:paraId="453E9C5C" w14:textId="488341E5"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179" w:name="_Toc454811689"/>
            <w:bookmarkStart w:id="180" w:name="_Toc454888833"/>
            <w:r w:rsidRPr="009A0E96">
              <w:rPr>
                <w:sz w:val="20"/>
                <w:szCs w:val="20"/>
              </w:rPr>
              <w:t xml:space="preserve">RDC </w:t>
            </w:r>
            <w:r w:rsidR="0007556E">
              <w:rPr>
                <w:sz w:val="20"/>
                <w:szCs w:val="20"/>
              </w:rPr>
              <w:t>c</w:t>
            </w:r>
            <w:r w:rsidRPr="009A0E96">
              <w:rPr>
                <w:sz w:val="20"/>
                <w:szCs w:val="20"/>
              </w:rPr>
              <w:t>onsultation/</w:t>
            </w:r>
            <w:r w:rsidR="0007556E">
              <w:rPr>
                <w:sz w:val="20"/>
                <w:szCs w:val="20"/>
              </w:rPr>
              <w:t>d</w:t>
            </w:r>
            <w:r w:rsidRPr="009A0E96">
              <w:rPr>
                <w:sz w:val="20"/>
                <w:szCs w:val="20"/>
              </w:rPr>
              <w:t xml:space="preserve">ialogue with </w:t>
            </w:r>
            <w:r w:rsidR="0007556E">
              <w:rPr>
                <w:sz w:val="20"/>
                <w:szCs w:val="20"/>
              </w:rPr>
              <w:t>s</w:t>
            </w:r>
            <w:r w:rsidRPr="009A0E96">
              <w:rPr>
                <w:sz w:val="20"/>
                <w:szCs w:val="20"/>
              </w:rPr>
              <w:t xml:space="preserve">elected </w:t>
            </w:r>
            <w:r w:rsidR="0007556E">
              <w:rPr>
                <w:sz w:val="20"/>
                <w:szCs w:val="20"/>
              </w:rPr>
              <w:t>a</w:t>
            </w:r>
            <w:r w:rsidRPr="009A0E96">
              <w:rPr>
                <w:sz w:val="20"/>
                <w:szCs w:val="20"/>
              </w:rPr>
              <w:t xml:space="preserve">gency </w:t>
            </w:r>
            <w:r w:rsidR="0007556E">
              <w:rPr>
                <w:sz w:val="20"/>
                <w:szCs w:val="20"/>
              </w:rPr>
              <w:t>c</w:t>
            </w:r>
            <w:r w:rsidRPr="009A0E96">
              <w:rPr>
                <w:sz w:val="20"/>
                <w:szCs w:val="20"/>
              </w:rPr>
              <w:t xml:space="preserve">entral </w:t>
            </w:r>
            <w:r w:rsidR="0007556E">
              <w:rPr>
                <w:sz w:val="20"/>
                <w:szCs w:val="20"/>
              </w:rPr>
              <w:t>o</w:t>
            </w:r>
            <w:r w:rsidRPr="009A0E96">
              <w:rPr>
                <w:sz w:val="20"/>
                <w:szCs w:val="20"/>
              </w:rPr>
              <w:t>ffices</w:t>
            </w:r>
            <w:bookmarkEnd w:id="179"/>
            <w:bookmarkEnd w:id="180"/>
          </w:p>
        </w:tc>
        <w:tc>
          <w:tcPr>
            <w:tcW w:w="2268" w:type="dxa"/>
            <w:vAlign w:val="center"/>
          </w:tcPr>
          <w:p w14:paraId="0E01557C" w14:textId="00266258" w:rsidR="001762EE" w:rsidRPr="009A0E96" w:rsidRDefault="001762EE" w:rsidP="00E0249B">
            <w:pPr>
              <w:spacing w:before="20" w:after="20"/>
              <w:jc w:val="center"/>
              <w:rPr>
                <w:sz w:val="20"/>
                <w:szCs w:val="20"/>
              </w:rPr>
            </w:pPr>
            <w:r w:rsidRPr="009A0E96">
              <w:rPr>
                <w:sz w:val="20"/>
                <w:szCs w:val="20"/>
              </w:rPr>
              <w:t xml:space="preserve">March </w:t>
            </w:r>
            <w:r w:rsidR="00E0249B" w:rsidRPr="009A0E96">
              <w:rPr>
                <w:sz w:val="20"/>
                <w:szCs w:val="20"/>
              </w:rPr>
              <w:t>26</w:t>
            </w:r>
            <w:r w:rsidR="00E0249B">
              <w:rPr>
                <w:sz w:val="20"/>
                <w:szCs w:val="20"/>
              </w:rPr>
              <w:t xml:space="preserve"> </w:t>
            </w:r>
            <w:r w:rsidRPr="009A0E96">
              <w:rPr>
                <w:sz w:val="20"/>
                <w:szCs w:val="20"/>
              </w:rPr>
              <w:t>to</w:t>
            </w:r>
            <w:r w:rsidR="00E0249B">
              <w:rPr>
                <w:sz w:val="20"/>
                <w:szCs w:val="20"/>
              </w:rPr>
              <w:t xml:space="preserve"> </w:t>
            </w:r>
            <w:r w:rsidRPr="009A0E96">
              <w:rPr>
                <w:sz w:val="20"/>
                <w:szCs w:val="20"/>
              </w:rPr>
              <w:t xml:space="preserve">April </w:t>
            </w:r>
            <w:r w:rsidR="00E0249B" w:rsidRPr="009A0E96">
              <w:rPr>
                <w:sz w:val="20"/>
                <w:szCs w:val="20"/>
              </w:rPr>
              <w:t>1</w:t>
            </w:r>
          </w:p>
        </w:tc>
        <w:tc>
          <w:tcPr>
            <w:tcW w:w="2268" w:type="dxa"/>
            <w:vAlign w:val="center"/>
          </w:tcPr>
          <w:p w14:paraId="64392447" w14:textId="62C4A778" w:rsidR="001762EE" w:rsidRPr="009A0E96" w:rsidRDefault="001762EE" w:rsidP="00E0249B">
            <w:pPr>
              <w:spacing w:before="20" w:after="20"/>
              <w:jc w:val="center"/>
              <w:rPr>
                <w:sz w:val="20"/>
                <w:szCs w:val="20"/>
                <w:highlight w:val="yellow"/>
              </w:rPr>
            </w:pPr>
            <w:r w:rsidRPr="009A0E96">
              <w:rPr>
                <w:sz w:val="20"/>
                <w:szCs w:val="20"/>
              </w:rPr>
              <w:t xml:space="preserve">March </w:t>
            </w:r>
            <w:r w:rsidR="00E0249B" w:rsidRPr="009A0E96">
              <w:rPr>
                <w:sz w:val="20"/>
                <w:szCs w:val="20"/>
              </w:rPr>
              <w:t xml:space="preserve">30 </w:t>
            </w:r>
            <w:r w:rsidRPr="009A0E96">
              <w:rPr>
                <w:sz w:val="20"/>
                <w:szCs w:val="20"/>
              </w:rPr>
              <w:t xml:space="preserve">to April </w:t>
            </w:r>
            <w:r w:rsidR="00E0249B" w:rsidRPr="009A0E96">
              <w:rPr>
                <w:sz w:val="20"/>
                <w:szCs w:val="20"/>
              </w:rPr>
              <w:t>1</w:t>
            </w:r>
          </w:p>
        </w:tc>
      </w:tr>
      <w:tr w:rsidR="001762EE" w:rsidRPr="00F367CC" w14:paraId="0229EC81" w14:textId="77777777" w:rsidTr="00954E2E">
        <w:tc>
          <w:tcPr>
            <w:tcW w:w="4820" w:type="dxa"/>
            <w:vAlign w:val="center"/>
          </w:tcPr>
          <w:p w14:paraId="2C1720BD" w14:textId="1F1AB219"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181" w:name="_Toc454811690"/>
            <w:bookmarkStart w:id="182" w:name="_Toc454888834"/>
            <w:r w:rsidRPr="009A0E96">
              <w:rPr>
                <w:sz w:val="20"/>
                <w:szCs w:val="20"/>
              </w:rPr>
              <w:t>Encoding in OSBPS of 2016 Budget Proposals (New Spending Proposals) and Details of Forward Estimates (Hard Budget Ceiling)</w:t>
            </w:r>
            <w:bookmarkEnd w:id="181"/>
            <w:bookmarkEnd w:id="182"/>
          </w:p>
        </w:tc>
        <w:tc>
          <w:tcPr>
            <w:tcW w:w="2268" w:type="dxa"/>
            <w:vAlign w:val="center"/>
          </w:tcPr>
          <w:p w14:paraId="0E4FCD1A" w14:textId="499BF020" w:rsidR="001762EE" w:rsidRPr="009A0E96" w:rsidRDefault="001762EE" w:rsidP="00D46430">
            <w:pPr>
              <w:spacing w:before="20" w:after="20"/>
              <w:jc w:val="center"/>
              <w:rPr>
                <w:sz w:val="20"/>
                <w:szCs w:val="20"/>
              </w:rPr>
            </w:pPr>
            <w:r w:rsidRPr="009A0E96">
              <w:rPr>
                <w:sz w:val="20"/>
                <w:szCs w:val="20"/>
              </w:rPr>
              <w:t xml:space="preserve">April </w:t>
            </w:r>
            <w:r w:rsidR="00E0249B" w:rsidRPr="009A0E96">
              <w:rPr>
                <w:sz w:val="20"/>
                <w:szCs w:val="20"/>
              </w:rPr>
              <w:t>2-27</w:t>
            </w:r>
          </w:p>
        </w:tc>
        <w:tc>
          <w:tcPr>
            <w:tcW w:w="2268" w:type="dxa"/>
            <w:vAlign w:val="center"/>
          </w:tcPr>
          <w:p w14:paraId="267C1B24" w14:textId="28506C8E" w:rsidR="001762EE" w:rsidRPr="009A0E96" w:rsidRDefault="001762EE" w:rsidP="00E0249B">
            <w:pPr>
              <w:spacing w:before="20" w:after="20"/>
              <w:jc w:val="center"/>
              <w:rPr>
                <w:sz w:val="20"/>
                <w:szCs w:val="20"/>
                <w:highlight w:val="yellow"/>
              </w:rPr>
            </w:pPr>
            <w:r w:rsidRPr="009A0E96">
              <w:rPr>
                <w:sz w:val="20"/>
                <w:szCs w:val="20"/>
              </w:rPr>
              <w:t xml:space="preserve">April </w:t>
            </w:r>
            <w:r w:rsidR="00E0249B" w:rsidRPr="009A0E96">
              <w:rPr>
                <w:sz w:val="20"/>
                <w:szCs w:val="20"/>
              </w:rPr>
              <w:t xml:space="preserve">13 </w:t>
            </w:r>
            <w:r w:rsidRPr="009A0E96">
              <w:rPr>
                <w:sz w:val="20"/>
                <w:szCs w:val="20"/>
              </w:rPr>
              <w:t xml:space="preserve">to May </w:t>
            </w:r>
            <w:r w:rsidR="00E0249B" w:rsidRPr="009A0E96">
              <w:rPr>
                <w:sz w:val="20"/>
                <w:szCs w:val="20"/>
              </w:rPr>
              <w:t>15</w:t>
            </w:r>
          </w:p>
        </w:tc>
      </w:tr>
      <w:tr w:rsidR="001762EE" w:rsidRPr="00F367CC" w14:paraId="025E7A5B" w14:textId="77777777" w:rsidTr="00954E2E">
        <w:tc>
          <w:tcPr>
            <w:tcW w:w="4820" w:type="dxa"/>
            <w:vAlign w:val="center"/>
          </w:tcPr>
          <w:p w14:paraId="1D62BBBA" w14:textId="0EAF3657"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183" w:name="_Toc454811691"/>
            <w:bookmarkStart w:id="184" w:name="_Toc454888835"/>
            <w:r w:rsidRPr="009A0E96">
              <w:rPr>
                <w:sz w:val="20"/>
                <w:szCs w:val="20"/>
              </w:rPr>
              <w:t>Deadline of Submission (thru OSBPS) of 2016 Budget Proposals (New Spending Proposals and Hard Budget Ceiling)</w:t>
            </w:r>
            <w:bookmarkEnd w:id="183"/>
            <w:bookmarkEnd w:id="184"/>
          </w:p>
        </w:tc>
        <w:tc>
          <w:tcPr>
            <w:tcW w:w="2268" w:type="dxa"/>
            <w:vAlign w:val="center"/>
          </w:tcPr>
          <w:p w14:paraId="6FC87E26" w14:textId="5D92F899" w:rsidR="001762EE" w:rsidRPr="009A0E96" w:rsidRDefault="001762EE" w:rsidP="00D46430">
            <w:pPr>
              <w:spacing w:before="20" w:after="20"/>
              <w:jc w:val="center"/>
              <w:rPr>
                <w:sz w:val="20"/>
                <w:szCs w:val="20"/>
              </w:rPr>
            </w:pPr>
            <w:r w:rsidRPr="009A0E96">
              <w:rPr>
                <w:sz w:val="20"/>
                <w:szCs w:val="20"/>
              </w:rPr>
              <w:t xml:space="preserve">April </w:t>
            </w:r>
            <w:r w:rsidR="00E0249B" w:rsidRPr="009A0E96">
              <w:rPr>
                <w:sz w:val="20"/>
                <w:szCs w:val="20"/>
              </w:rPr>
              <w:t>27</w:t>
            </w:r>
          </w:p>
        </w:tc>
        <w:tc>
          <w:tcPr>
            <w:tcW w:w="2268" w:type="dxa"/>
            <w:vAlign w:val="center"/>
          </w:tcPr>
          <w:p w14:paraId="799C75C2" w14:textId="55E3B309" w:rsidR="001762EE" w:rsidRPr="009A0E96" w:rsidRDefault="001762EE" w:rsidP="00D46430">
            <w:pPr>
              <w:spacing w:before="20" w:after="20"/>
              <w:jc w:val="center"/>
              <w:rPr>
                <w:sz w:val="20"/>
                <w:szCs w:val="20"/>
                <w:highlight w:val="yellow"/>
              </w:rPr>
            </w:pPr>
            <w:r w:rsidRPr="009A0E96">
              <w:rPr>
                <w:sz w:val="20"/>
                <w:szCs w:val="20"/>
              </w:rPr>
              <w:t xml:space="preserve">June </w:t>
            </w:r>
            <w:r w:rsidR="00E0249B" w:rsidRPr="009A0E96">
              <w:rPr>
                <w:sz w:val="20"/>
                <w:szCs w:val="20"/>
              </w:rPr>
              <w:t>1</w:t>
            </w:r>
          </w:p>
        </w:tc>
      </w:tr>
      <w:tr w:rsidR="001762EE" w:rsidRPr="00F367CC" w14:paraId="001B2F68" w14:textId="77777777" w:rsidTr="00954E2E">
        <w:tc>
          <w:tcPr>
            <w:tcW w:w="4820" w:type="dxa"/>
            <w:vAlign w:val="center"/>
          </w:tcPr>
          <w:p w14:paraId="7D88B7AB" w14:textId="77777777" w:rsidR="001762EE" w:rsidRPr="009A0E96" w:rsidRDefault="001762EE" w:rsidP="0007556E">
            <w:pPr>
              <w:pStyle w:val="ListParagraph"/>
              <w:numPr>
                <w:ilvl w:val="0"/>
                <w:numId w:val="19"/>
              </w:numPr>
              <w:spacing w:before="20" w:after="20" w:line="240" w:lineRule="auto"/>
              <w:ind w:left="357" w:hanging="357"/>
              <w:contextualSpacing w:val="0"/>
              <w:rPr>
                <w:sz w:val="20"/>
                <w:szCs w:val="20"/>
              </w:rPr>
            </w:pPr>
            <w:r w:rsidRPr="009A0E96">
              <w:rPr>
                <w:sz w:val="20"/>
                <w:szCs w:val="20"/>
              </w:rPr>
              <w:t>Technical Budget Hearing on New Spending Proposals</w:t>
            </w:r>
          </w:p>
        </w:tc>
        <w:tc>
          <w:tcPr>
            <w:tcW w:w="2268" w:type="dxa"/>
            <w:vAlign w:val="center"/>
          </w:tcPr>
          <w:p w14:paraId="00FB0753" w14:textId="5B9BFB0B" w:rsidR="001762EE" w:rsidRPr="009A0E96" w:rsidRDefault="001762EE" w:rsidP="00D46430">
            <w:pPr>
              <w:spacing w:before="20" w:after="20"/>
              <w:jc w:val="center"/>
              <w:rPr>
                <w:sz w:val="20"/>
                <w:szCs w:val="20"/>
              </w:rPr>
            </w:pPr>
            <w:r w:rsidRPr="009A0E96">
              <w:rPr>
                <w:sz w:val="20"/>
                <w:szCs w:val="20"/>
              </w:rPr>
              <w:t xml:space="preserve">May </w:t>
            </w:r>
            <w:r w:rsidR="00E0249B" w:rsidRPr="009A0E96">
              <w:rPr>
                <w:sz w:val="20"/>
                <w:szCs w:val="20"/>
              </w:rPr>
              <w:t>4-22</w:t>
            </w:r>
          </w:p>
        </w:tc>
        <w:tc>
          <w:tcPr>
            <w:tcW w:w="2268" w:type="dxa"/>
            <w:vAlign w:val="center"/>
          </w:tcPr>
          <w:p w14:paraId="3954AA6F" w14:textId="12D3AC86" w:rsidR="001762EE" w:rsidRPr="009A0E96" w:rsidRDefault="001762EE" w:rsidP="00E0249B">
            <w:pPr>
              <w:spacing w:before="20" w:after="20"/>
              <w:jc w:val="center"/>
              <w:rPr>
                <w:sz w:val="20"/>
                <w:szCs w:val="20"/>
                <w:highlight w:val="yellow"/>
              </w:rPr>
            </w:pPr>
            <w:r w:rsidRPr="009A0E96">
              <w:rPr>
                <w:sz w:val="20"/>
                <w:szCs w:val="20"/>
              </w:rPr>
              <w:t xml:space="preserve">May </w:t>
            </w:r>
            <w:r w:rsidR="00E0249B" w:rsidRPr="009A0E96">
              <w:rPr>
                <w:sz w:val="20"/>
                <w:szCs w:val="20"/>
              </w:rPr>
              <w:t xml:space="preserve">18 </w:t>
            </w:r>
            <w:r w:rsidRPr="009A0E96">
              <w:rPr>
                <w:sz w:val="20"/>
                <w:szCs w:val="20"/>
              </w:rPr>
              <w:t xml:space="preserve">to June </w:t>
            </w:r>
            <w:r w:rsidR="00E0249B" w:rsidRPr="009A0E96">
              <w:rPr>
                <w:sz w:val="20"/>
                <w:szCs w:val="20"/>
              </w:rPr>
              <w:t>9</w:t>
            </w:r>
          </w:p>
        </w:tc>
      </w:tr>
      <w:tr w:rsidR="001762EE" w:rsidRPr="00F367CC" w14:paraId="57D30F7C" w14:textId="77777777" w:rsidTr="00954E2E">
        <w:tc>
          <w:tcPr>
            <w:tcW w:w="4820" w:type="dxa"/>
            <w:vAlign w:val="center"/>
          </w:tcPr>
          <w:p w14:paraId="2DF667DF" w14:textId="4EB13A87" w:rsidR="001762EE" w:rsidRPr="009A0E96" w:rsidRDefault="001762EE" w:rsidP="005108BC">
            <w:pPr>
              <w:pStyle w:val="ListParagraph"/>
              <w:keepNext/>
              <w:numPr>
                <w:ilvl w:val="0"/>
                <w:numId w:val="19"/>
              </w:numPr>
              <w:spacing w:before="20" w:after="20" w:line="240" w:lineRule="auto"/>
              <w:ind w:left="357" w:hanging="357"/>
              <w:contextualSpacing w:val="0"/>
              <w:jc w:val="both"/>
              <w:outlineLvl w:val="2"/>
              <w:rPr>
                <w:sz w:val="20"/>
                <w:szCs w:val="20"/>
              </w:rPr>
            </w:pPr>
            <w:bookmarkStart w:id="185" w:name="_Toc454811692"/>
            <w:bookmarkStart w:id="186" w:name="_Toc454888836"/>
            <w:r w:rsidRPr="009A0E96">
              <w:rPr>
                <w:sz w:val="20"/>
                <w:szCs w:val="20"/>
              </w:rPr>
              <w:t>Updating of GMIS</w:t>
            </w:r>
            <w:bookmarkEnd w:id="185"/>
            <w:bookmarkEnd w:id="186"/>
          </w:p>
        </w:tc>
        <w:tc>
          <w:tcPr>
            <w:tcW w:w="2268" w:type="dxa"/>
            <w:vAlign w:val="center"/>
          </w:tcPr>
          <w:p w14:paraId="60FBAD9A" w14:textId="77777777" w:rsidR="001762EE" w:rsidRPr="009A0E96" w:rsidRDefault="001762EE" w:rsidP="00954E2E">
            <w:pPr>
              <w:pStyle w:val="ListParagraph"/>
              <w:spacing w:before="20" w:after="20"/>
              <w:ind w:left="0" w:firstLine="0"/>
              <w:jc w:val="center"/>
              <w:rPr>
                <w:sz w:val="20"/>
                <w:szCs w:val="20"/>
              </w:rPr>
            </w:pPr>
          </w:p>
        </w:tc>
        <w:tc>
          <w:tcPr>
            <w:tcW w:w="2268" w:type="dxa"/>
            <w:vAlign w:val="center"/>
          </w:tcPr>
          <w:p w14:paraId="323FE222" w14:textId="08A73B91" w:rsidR="001762EE" w:rsidRPr="009A0E96" w:rsidRDefault="001762EE" w:rsidP="00D46430">
            <w:pPr>
              <w:spacing w:before="20" w:after="20"/>
              <w:jc w:val="center"/>
              <w:rPr>
                <w:sz w:val="20"/>
                <w:szCs w:val="20"/>
                <w:highlight w:val="yellow"/>
              </w:rPr>
            </w:pPr>
            <w:r w:rsidRPr="009A0E96">
              <w:rPr>
                <w:sz w:val="20"/>
                <w:szCs w:val="20"/>
              </w:rPr>
              <w:t xml:space="preserve">June </w:t>
            </w:r>
            <w:r w:rsidR="00E0249B" w:rsidRPr="009A0E96">
              <w:rPr>
                <w:sz w:val="20"/>
                <w:szCs w:val="20"/>
              </w:rPr>
              <w:t>15</w:t>
            </w:r>
          </w:p>
        </w:tc>
      </w:tr>
      <w:tr w:rsidR="001762EE" w:rsidRPr="00F367CC" w14:paraId="425D0FD4" w14:textId="77777777" w:rsidTr="00954E2E">
        <w:tc>
          <w:tcPr>
            <w:tcW w:w="4820" w:type="dxa"/>
            <w:vAlign w:val="center"/>
          </w:tcPr>
          <w:p w14:paraId="5705FFC8" w14:textId="2870317D"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87" w:name="_Toc454811693"/>
            <w:bookmarkStart w:id="188" w:name="_Toc454888837"/>
            <w:r w:rsidRPr="009A0E96">
              <w:rPr>
                <w:sz w:val="20"/>
                <w:szCs w:val="20"/>
              </w:rPr>
              <w:t>Transfer of files from GMIS database to BPMS</w:t>
            </w:r>
            <w:bookmarkEnd w:id="187"/>
            <w:bookmarkEnd w:id="188"/>
          </w:p>
          <w:p w14:paraId="1C327F8A" w14:textId="77777777" w:rsidR="001762EE" w:rsidRPr="009A0E96" w:rsidRDefault="001762EE" w:rsidP="00954E2E">
            <w:pPr>
              <w:spacing w:before="20" w:after="20"/>
              <w:ind w:left="357"/>
              <w:rPr>
                <w:sz w:val="20"/>
                <w:szCs w:val="20"/>
              </w:rPr>
            </w:pPr>
            <w:r w:rsidRPr="009A0E96">
              <w:rPr>
                <w:sz w:val="20"/>
                <w:szCs w:val="20"/>
              </w:rPr>
              <w:t>Conduct of SC-PPA Meeting</w:t>
            </w:r>
          </w:p>
        </w:tc>
        <w:tc>
          <w:tcPr>
            <w:tcW w:w="2268" w:type="dxa"/>
            <w:vAlign w:val="center"/>
          </w:tcPr>
          <w:p w14:paraId="5853897A" w14:textId="77777777" w:rsidR="001762EE" w:rsidRPr="009A0E96" w:rsidRDefault="001762EE" w:rsidP="00954E2E">
            <w:pPr>
              <w:pStyle w:val="ListParagraph"/>
              <w:spacing w:before="20" w:after="20"/>
              <w:ind w:left="0" w:firstLine="0"/>
              <w:jc w:val="center"/>
              <w:rPr>
                <w:sz w:val="20"/>
                <w:szCs w:val="20"/>
              </w:rPr>
            </w:pPr>
          </w:p>
        </w:tc>
        <w:tc>
          <w:tcPr>
            <w:tcW w:w="2268" w:type="dxa"/>
            <w:vAlign w:val="center"/>
          </w:tcPr>
          <w:p w14:paraId="17CDFDF1" w14:textId="70BACDC0" w:rsidR="001762EE" w:rsidRPr="009A0E96" w:rsidRDefault="001762EE" w:rsidP="00D46430">
            <w:pPr>
              <w:spacing w:before="20" w:after="20"/>
              <w:jc w:val="center"/>
              <w:rPr>
                <w:sz w:val="20"/>
                <w:szCs w:val="20"/>
              </w:rPr>
            </w:pPr>
            <w:r w:rsidRPr="009A0E96">
              <w:rPr>
                <w:sz w:val="20"/>
                <w:szCs w:val="20"/>
              </w:rPr>
              <w:t xml:space="preserve">June </w:t>
            </w:r>
            <w:r w:rsidR="00E0249B" w:rsidRPr="009A0E96">
              <w:rPr>
                <w:sz w:val="20"/>
                <w:szCs w:val="20"/>
              </w:rPr>
              <w:t>16</w:t>
            </w:r>
          </w:p>
          <w:p w14:paraId="5493BA40" w14:textId="5C77410F" w:rsidR="001762EE" w:rsidRPr="009A0E96" w:rsidRDefault="001762EE" w:rsidP="00D46430">
            <w:pPr>
              <w:spacing w:before="20" w:after="20"/>
              <w:jc w:val="center"/>
              <w:rPr>
                <w:sz w:val="20"/>
                <w:szCs w:val="20"/>
                <w:highlight w:val="yellow"/>
              </w:rPr>
            </w:pPr>
            <w:r w:rsidRPr="009A0E96">
              <w:rPr>
                <w:sz w:val="20"/>
                <w:szCs w:val="20"/>
              </w:rPr>
              <w:t xml:space="preserve">June </w:t>
            </w:r>
            <w:r w:rsidR="00E0249B" w:rsidRPr="009A0E96">
              <w:rPr>
                <w:sz w:val="20"/>
                <w:szCs w:val="20"/>
              </w:rPr>
              <w:t>10-19</w:t>
            </w:r>
          </w:p>
        </w:tc>
      </w:tr>
      <w:tr w:rsidR="001762EE" w:rsidRPr="00F367CC" w14:paraId="37B11A35" w14:textId="77777777" w:rsidTr="00954E2E">
        <w:tc>
          <w:tcPr>
            <w:tcW w:w="4820" w:type="dxa"/>
            <w:vAlign w:val="center"/>
          </w:tcPr>
          <w:p w14:paraId="0735050C" w14:textId="1383A28A"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89" w:name="_Toc454811694"/>
            <w:bookmarkStart w:id="190" w:name="_Toc454888838"/>
            <w:r w:rsidRPr="009A0E96">
              <w:rPr>
                <w:sz w:val="20"/>
                <w:szCs w:val="20"/>
              </w:rPr>
              <w:t>Conduct of ERB – New Spending Proposals</w:t>
            </w:r>
            <w:bookmarkEnd w:id="189"/>
            <w:bookmarkEnd w:id="190"/>
          </w:p>
        </w:tc>
        <w:tc>
          <w:tcPr>
            <w:tcW w:w="2268" w:type="dxa"/>
            <w:vAlign w:val="center"/>
          </w:tcPr>
          <w:p w14:paraId="180F4659" w14:textId="5F9A6AA9" w:rsidR="001762EE" w:rsidRPr="009A0E96" w:rsidRDefault="001762EE" w:rsidP="00D46430">
            <w:pPr>
              <w:pStyle w:val="ListParagraph"/>
              <w:keepNext/>
              <w:spacing w:before="20" w:after="20"/>
              <w:ind w:left="0" w:firstLine="0"/>
              <w:jc w:val="center"/>
              <w:outlineLvl w:val="2"/>
              <w:rPr>
                <w:sz w:val="20"/>
                <w:szCs w:val="20"/>
              </w:rPr>
            </w:pPr>
            <w:bookmarkStart w:id="191" w:name="_Toc454811695"/>
            <w:bookmarkStart w:id="192" w:name="_Toc454888839"/>
            <w:r w:rsidRPr="009A0E96">
              <w:rPr>
                <w:sz w:val="20"/>
                <w:szCs w:val="20"/>
              </w:rPr>
              <w:t xml:space="preserve">June </w:t>
            </w:r>
            <w:r w:rsidR="0007556E" w:rsidRPr="009A0E96">
              <w:rPr>
                <w:sz w:val="20"/>
                <w:szCs w:val="20"/>
              </w:rPr>
              <w:t>1-12</w:t>
            </w:r>
            <w:bookmarkEnd w:id="191"/>
            <w:bookmarkEnd w:id="192"/>
          </w:p>
        </w:tc>
        <w:tc>
          <w:tcPr>
            <w:tcW w:w="2268" w:type="dxa"/>
            <w:vAlign w:val="center"/>
          </w:tcPr>
          <w:p w14:paraId="1D0A8586" w14:textId="501D1119" w:rsidR="001762EE" w:rsidRPr="009A0E96" w:rsidRDefault="001762EE" w:rsidP="00D46430">
            <w:pPr>
              <w:spacing w:before="20" w:after="20"/>
              <w:jc w:val="center"/>
              <w:rPr>
                <w:sz w:val="20"/>
                <w:szCs w:val="20"/>
              </w:rPr>
            </w:pPr>
            <w:r w:rsidRPr="009A0E96">
              <w:rPr>
                <w:sz w:val="20"/>
                <w:szCs w:val="20"/>
              </w:rPr>
              <w:t xml:space="preserve">June </w:t>
            </w:r>
            <w:r w:rsidR="0007556E" w:rsidRPr="009A0E96">
              <w:rPr>
                <w:sz w:val="20"/>
                <w:szCs w:val="20"/>
              </w:rPr>
              <w:t>23-26</w:t>
            </w:r>
          </w:p>
        </w:tc>
      </w:tr>
      <w:tr w:rsidR="001762EE" w:rsidRPr="00F367CC" w14:paraId="2ED4B785" w14:textId="77777777" w:rsidTr="00954E2E">
        <w:tc>
          <w:tcPr>
            <w:tcW w:w="4820" w:type="dxa"/>
            <w:vAlign w:val="center"/>
          </w:tcPr>
          <w:p w14:paraId="20472365" w14:textId="07100003"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93" w:name="_Toc454811696"/>
            <w:bookmarkStart w:id="194" w:name="_Toc454888840"/>
            <w:r w:rsidRPr="009A0E96">
              <w:rPr>
                <w:sz w:val="20"/>
                <w:szCs w:val="20"/>
              </w:rPr>
              <w:t>Encode adjustments/corrections and budget levels per FERB - BTS</w:t>
            </w:r>
            <w:bookmarkEnd w:id="193"/>
            <w:bookmarkEnd w:id="194"/>
          </w:p>
        </w:tc>
        <w:tc>
          <w:tcPr>
            <w:tcW w:w="2268" w:type="dxa"/>
            <w:vAlign w:val="center"/>
          </w:tcPr>
          <w:p w14:paraId="64259FBF" w14:textId="77777777" w:rsidR="001762EE" w:rsidRPr="009A0E96" w:rsidRDefault="001762EE" w:rsidP="00954E2E">
            <w:pPr>
              <w:pStyle w:val="ListParagraph"/>
              <w:spacing w:before="20" w:after="20"/>
              <w:ind w:left="0" w:firstLine="0"/>
              <w:jc w:val="center"/>
              <w:rPr>
                <w:sz w:val="20"/>
                <w:szCs w:val="20"/>
              </w:rPr>
            </w:pPr>
          </w:p>
        </w:tc>
        <w:tc>
          <w:tcPr>
            <w:tcW w:w="2268" w:type="dxa"/>
            <w:vAlign w:val="center"/>
          </w:tcPr>
          <w:p w14:paraId="126E5C39" w14:textId="750760C1" w:rsidR="001762EE" w:rsidRPr="009A0E96" w:rsidRDefault="001762EE" w:rsidP="0007556E">
            <w:pPr>
              <w:spacing w:before="20" w:after="20"/>
              <w:jc w:val="center"/>
              <w:rPr>
                <w:sz w:val="20"/>
                <w:szCs w:val="20"/>
              </w:rPr>
            </w:pPr>
            <w:r w:rsidRPr="009A0E96">
              <w:rPr>
                <w:sz w:val="20"/>
                <w:szCs w:val="20"/>
              </w:rPr>
              <w:t>Up to</w:t>
            </w:r>
            <w:r w:rsidR="0007556E">
              <w:rPr>
                <w:sz w:val="20"/>
                <w:szCs w:val="20"/>
              </w:rPr>
              <w:t xml:space="preserve"> June</w:t>
            </w:r>
            <w:r w:rsidR="0007556E" w:rsidRPr="009A0E96">
              <w:rPr>
                <w:sz w:val="20"/>
                <w:szCs w:val="20"/>
              </w:rPr>
              <w:t xml:space="preserve"> 26</w:t>
            </w:r>
          </w:p>
        </w:tc>
      </w:tr>
      <w:tr w:rsidR="001762EE" w:rsidRPr="00F367CC" w14:paraId="4DA1E7C0" w14:textId="77777777" w:rsidTr="00954E2E">
        <w:tc>
          <w:tcPr>
            <w:tcW w:w="4820" w:type="dxa"/>
            <w:vAlign w:val="center"/>
          </w:tcPr>
          <w:p w14:paraId="319147BA" w14:textId="713B0534"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195" w:name="_Toc454811697"/>
            <w:bookmarkStart w:id="196" w:name="_Toc454888841"/>
            <w:r w:rsidRPr="009A0E96">
              <w:rPr>
                <w:sz w:val="20"/>
                <w:szCs w:val="20"/>
              </w:rPr>
              <w:t>Generate FERB level of the NEP for agency confirmation – BTS/BMBs</w:t>
            </w:r>
            <w:bookmarkEnd w:id="195"/>
            <w:bookmarkEnd w:id="196"/>
          </w:p>
        </w:tc>
        <w:tc>
          <w:tcPr>
            <w:tcW w:w="2268" w:type="dxa"/>
            <w:vAlign w:val="center"/>
          </w:tcPr>
          <w:p w14:paraId="2D797F51" w14:textId="77777777" w:rsidR="001762EE" w:rsidRPr="009A0E96" w:rsidRDefault="001762EE" w:rsidP="00954E2E">
            <w:pPr>
              <w:spacing w:before="20" w:after="20"/>
              <w:jc w:val="center"/>
              <w:rPr>
                <w:sz w:val="20"/>
                <w:szCs w:val="20"/>
              </w:rPr>
            </w:pPr>
          </w:p>
        </w:tc>
        <w:tc>
          <w:tcPr>
            <w:tcW w:w="2268" w:type="dxa"/>
            <w:vAlign w:val="center"/>
          </w:tcPr>
          <w:p w14:paraId="29160A9D" w14:textId="1E86A349" w:rsidR="001762EE" w:rsidRPr="009A0E96" w:rsidRDefault="001762EE" w:rsidP="0007556E">
            <w:pPr>
              <w:spacing w:before="20" w:after="20"/>
              <w:jc w:val="center"/>
              <w:rPr>
                <w:sz w:val="20"/>
                <w:szCs w:val="20"/>
              </w:rPr>
            </w:pPr>
            <w:r w:rsidRPr="009A0E96">
              <w:rPr>
                <w:sz w:val="20"/>
                <w:szCs w:val="20"/>
              </w:rPr>
              <w:t xml:space="preserve">Up to June </w:t>
            </w:r>
            <w:r w:rsidR="0007556E" w:rsidRPr="009A0E96">
              <w:rPr>
                <w:sz w:val="20"/>
                <w:szCs w:val="20"/>
              </w:rPr>
              <w:t>26</w:t>
            </w:r>
          </w:p>
        </w:tc>
      </w:tr>
      <w:tr w:rsidR="001762EE" w:rsidRPr="00F367CC" w14:paraId="1D503C26" w14:textId="77777777" w:rsidTr="00954E2E">
        <w:tc>
          <w:tcPr>
            <w:tcW w:w="4820" w:type="dxa"/>
            <w:vAlign w:val="center"/>
          </w:tcPr>
          <w:p w14:paraId="57448BDD" w14:textId="5A53886B"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97" w:name="_Toc454811698"/>
            <w:bookmarkStart w:id="198" w:name="_Toc454888842"/>
            <w:r w:rsidRPr="009A0E96">
              <w:rPr>
                <w:sz w:val="20"/>
                <w:szCs w:val="20"/>
              </w:rPr>
              <w:t>Take up agency appeals and finalization of budget levels. Sending of Confirmation Letters to Agencies</w:t>
            </w:r>
            <w:bookmarkEnd w:id="197"/>
            <w:bookmarkEnd w:id="198"/>
            <w:r w:rsidRPr="009A0E96">
              <w:rPr>
                <w:sz w:val="20"/>
                <w:szCs w:val="20"/>
              </w:rPr>
              <w:t xml:space="preserve"> </w:t>
            </w:r>
          </w:p>
        </w:tc>
        <w:tc>
          <w:tcPr>
            <w:tcW w:w="2268" w:type="dxa"/>
            <w:vAlign w:val="center"/>
          </w:tcPr>
          <w:p w14:paraId="7BB67253" w14:textId="77777777" w:rsidR="001762EE" w:rsidRPr="009A0E96" w:rsidRDefault="001762EE" w:rsidP="00954E2E">
            <w:pPr>
              <w:spacing w:before="20" w:after="20"/>
              <w:jc w:val="center"/>
              <w:rPr>
                <w:sz w:val="20"/>
                <w:szCs w:val="20"/>
              </w:rPr>
            </w:pPr>
          </w:p>
        </w:tc>
        <w:tc>
          <w:tcPr>
            <w:tcW w:w="2268" w:type="dxa"/>
            <w:vAlign w:val="center"/>
          </w:tcPr>
          <w:p w14:paraId="214CE093" w14:textId="0E6EA5E6" w:rsidR="001762EE" w:rsidRPr="009A0E96" w:rsidRDefault="001762EE" w:rsidP="00D46430">
            <w:pPr>
              <w:spacing w:before="20" w:after="20"/>
              <w:jc w:val="center"/>
              <w:rPr>
                <w:sz w:val="20"/>
                <w:szCs w:val="20"/>
              </w:rPr>
            </w:pPr>
            <w:r w:rsidRPr="009A0E96">
              <w:rPr>
                <w:sz w:val="20"/>
                <w:szCs w:val="20"/>
              </w:rPr>
              <w:t xml:space="preserve">June </w:t>
            </w:r>
            <w:r w:rsidR="0007556E" w:rsidRPr="009A0E96">
              <w:rPr>
                <w:sz w:val="20"/>
                <w:szCs w:val="20"/>
              </w:rPr>
              <w:t>23-26</w:t>
            </w:r>
          </w:p>
        </w:tc>
      </w:tr>
      <w:tr w:rsidR="001762EE" w:rsidRPr="00F367CC" w14:paraId="7F814634" w14:textId="77777777" w:rsidTr="00954E2E">
        <w:tc>
          <w:tcPr>
            <w:tcW w:w="4820" w:type="dxa"/>
            <w:vAlign w:val="center"/>
          </w:tcPr>
          <w:p w14:paraId="2A2041FE" w14:textId="7B23F572"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199" w:name="_Toc454811699"/>
            <w:bookmarkStart w:id="200" w:name="_Toc454888843"/>
            <w:r w:rsidRPr="009A0E96">
              <w:rPr>
                <w:rFonts w:eastAsiaTheme="minorHAnsi"/>
                <w:sz w:val="20"/>
                <w:szCs w:val="20"/>
              </w:rPr>
              <w:t>Presentation of the 2016 Budget level to:</w:t>
            </w:r>
            <w:bookmarkEnd w:id="199"/>
            <w:bookmarkEnd w:id="200"/>
          </w:p>
          <w:p w14:paraId="32906BFD" w14:textId="77777777" w:rsidR="001762EE" w:rsidRPr="009A0E96" w:rsidRDefault="001762EE" w:rsidP="00954E2E">
            <w:pPr>
              <w:spacing w:before="20" w:after="20"/>
              <w:ind w:left="357"/>
              <w:rPr>
                <w:rFonts w:eastAsiaTheme="minorHAnsi"/>
                <w:sz w:val="20"/>
                <w:szCs w:val="20"/>
              </w:rPr>
            </w:pPr>
            <w:r w:rsidRPr="009A0E96">
              <w:rPr>
                <w:rFonts w:eastAsiaTheme="minorHAnsi"/>
                <w:sz w:val="20"/>
                <w:szCs w:val="20"/>
              </w:rPr>
              <w:t>CSOs, private sector, academe</w:t>
            </w:r>
          </w:p>
          <w:p w14:paraId="698BA405" w14:textId="77777777" w:rsidR="001762EE" w:rsidRPr="009A0E96" w:rsidRDefault="001762EE" w:rsidP="00954E2E">
            <w:pPr>
              <w:spacing w:before="20" w:after="20"/>
              <w:ind w:left="357"/>
              <w:rPr>
                <w:rFonts w:eastAsiaTheme="minorHAnsi"/>
                <w:sz w:val="20"/>
                <w:szCs w:val="20"/>
              </w:rPr>
            </w:pPr>
            <w:r w:rsidRPr="009A0E96">
              <w:rPr>
                <w:rFonts w:eastAsiaTheme="minorHAnsi"/>
                <w:sz w:val="20"/>
                <w:szCs w:val="20"/>
              </w:rPr>
              <w:t>DBCC with key Department secretaries</w:t>
            </w:r>
          </w:p>
          <w:p w14:paraId="2D204F3A" w14:textId="77777777" w:rsidR="001762EE" w:rsidRPr="009A0E96" w:rsidRDefault="001762EE" w:rsidP="00954E2E">
            <w:pPr>
              <w:spacing w:before="20" w:after="20"/>
              <w:ind w:left="357"/>
              <w:rPr>
                <w:rFonts w:eastAsiaTheme="minorHAnsi"/>
                <w:sz w:val="20"/>
                <w:szCs w:val="20"/>
              </w:rPr>
            </w:pPr>
            <w:r w:rsidRPr="009A0E96">
              <w:rPr>
                <w:rFonts w:eastAsiaTheme="minorHAnsi"/>
                <w:sz w:val="20"/>
                <w:szCs w:val="20"/>
              </w:rPr>
              <w:t>(Cabinet) Clusters General presentation</w:t>
            </w:r>
          </w:p>
          <w:p w14:paraId="37A0C8E0" w14:textId="493839A2" w:rsidR="001762EE" w:rsidRDefault="001762EE" w:rsidP="007173DF">
            <w:pPr>
              <w:spacing w:before="20" w:after="20"/>
              <w:ind w:left="357"/>
              <w:rPr>
                <w:rFonts w:eastAsiaTheme="minorHAnsi"/>
                <w:sz w:val="20"/>
                <w:szCs w:val="20"/>
              </w:rPr>
            </w:pPr>
            <w:r w:rsidRPr="009A0E96">
              <w:rPr>
                <w:rFonts w:eastAsiaTheme="minorHAnsi"/>
                <w:sz w:val="20"/>
                <w:szCs w:val="20"/>
              </w:rPr>
              <w:t xml:space="preserve">President </w:t>
            </w:r>
          </w:p>
          <w:p w14:paraId="595EBCCC" w14:textId="75904C5A" w:rsidR="001762EE" w:rsidRPr="009A0E96" w:rsidRDefault="001762EE" w:rsidP="007173DF">
            <w:pPr>
              <w:spacing w:before="20" w:after="20"/>
              <w:ind w:left="357"/>
              <w:rPr>
                <w:sz w:val="20"/>
                <w:szCs w:val="20"/>
              </w:rPr>
            </w:pPr>
            <w:r w:rsidRPr="009A0E96">
              <w:rPr>
                <w:rFonts w:eastAsiaTheme="minorHAnsi"/>
                <w:sz w:val="20"/>
                <w:szCs w:val="20"/>
              </w:rPr>
              <w:t>Cabinet</w:t>
            </w:r>
          </w:p>
        </w:tc>
        <w:tc>
          <w:tcPr>
            <w:tcW w:w="2268" w:type="dxa"/>
          </w:tcPr>
          <w:p w14:paraId="227DBAB9" w14:textId="77777777" w:rsidR="001762EE" w:rsidRPr="009A0E96" w:rsidRDefault="001762EE" w:rsidP="00954E2E">
            <w:pPr>
              <w:spacing w:before="20" w:after="20"/>
              <w:jc w:val="center"/>
              <w:rPr>
                <w:sz w:val="20"/>
                <w:szCs w:val="20"/>
              </w:rPr>
            </w:pPr>
          </w:p>
          <w:p w14:paraId="4C71122A" w14:textId="77777777" w:rsidR="001762EE" w:rsidRPr="009A0E96" w:rsidRDefault="001762EE" w:rsidP="00954E2E">
            <w:pPr>
              <w:spacing w:before="20" w:after="20"/>
              <w:jc w:val="center"/>
              <w:rPr>
                <w:sz w:val="20"/>
                <w:szCs w:val="20"/>
              </w:rPr>
            </w:pPr>
          </w:p>
          <w:p w14:paraId="28D2AFA0" w14:textId="77777777" w:rsidR="001762EE" w:rsidRPr="009A0E96" w:rsidRDefault="001762EE" w:rsidP="00954E2E">
            <w:pPr>
              <w:spacing w:before="20" w:after="20"/>
              <w:jc w:val="center"/>
              <w:rPr>
                <w:sz w:val="20"/>
                <w:szCs w:val="20"/>
              </w:rPr>
            </w:pPr>
          </w:p>
          <w:p w14:paraId="35A842D9" w14:textId="77777777" w:rsidR="001762EE" w:rsidRPr="009A0E96" w:rsidRDefault="001762EE" w:rsidP="00954E2E">
            <w:pPr>
              <w:spacing w:before="20" w:after="20"/>
              <w:jc w:val="center"/>
              <w:rPr>
                <w:sz w:val="20"/>
                <w:szCs w:val="20"/>
              </w:rPr>
            </w:pPr>
          </w:p>
          <w:p w14:paraId="131961BE" w14:textId="20E3B529" w:rsidR="001762EE" w:rsidRPr="009A0E96" w:rsidRDefault="001762EE" w:rsidP="00D46430">
            <w:pPr>
              <w:spacing w:before="20" w:after="20"/>
              <w:jc w:val="center"/>
              <w:rPr>
                <w:sz w:val="20"/>
                <w:szCs w:val="20"/>
              </w:rPr>
            </w:pPr>
            <w:r w:rsidRPr="009A0E96">
              <w:rPr>
                <w:sz w:val="20"/>
                <w:szCs w:val="20"/>
              </w:rPr>
              <w:t xml:space="preserve">June </w:t>
            </w:r>
            <w:r w:rsidR="0007556E" w:rsidRPr="009A0E96">
              <w:rPr>
                <w:sz w:val="20"/>
                <w:szCs w:val="20"/>
              </w:rPr>
              <w:t>22</w:t>
            </w:r>
          </w:p>
        </w:tc>
        <w:tc>
          <w:tcPr>
            <w:tcW w:w="2268" w:type="dxa"/>
            <w:vAlign w:val="center"/>
          </w:tcPr>
          <w:p w14:paraId="4FC76082" w14:textId="77777777" w:rsidR="001762EE" w:rsidRPr="009A0E96" w:rsidRDefault="001762EE" w:rsidP="00954E2E">
            <w:pPr>
              <w:spacing w:before="20" w:after="20"/>
              <w:jc w:val="center"/>
              <w:rPr>
                <w:sz w:val="20"/>
                <w:szCs w:val="20"/>
              </w:rPr>
            </w:pPr>
          </w:p>
          <w:p w14:paraId="2ECE34B1" w14:textId="63B04EB1" w:rsidR="001762EE" w:rsidRPr="009A0E96" w:rsidRDefault="001762EE" w:rsidP="00954E2E">
            <w:pPr>
              <w:spacing w:before="20" w:after="20"/>
              <w:jc w:val="center"/>
              <w:rPr>
                <w:sz w:val="20"/>
                <w:szCs w:val="20"/>
              </w:rPr>
            </w:pPr>
            <w:r w:rsidRPr="009A0E96">
              <w:rPr>
                <w:sz w:val="20"/>
                <w:szCs w:val="20"/>
              </w:rPr>
              <w:t xml:space="preserve">June </w:t>
            </w:r>
            <w:r w:rsidR="0007556E" w:rsidRPr="009A0E96">
              <w:rPr>
                <w:sz w:val="20"/>
                <w:szCs w:val="20"/>
              </w:rPr>
              <w:t>29</w:t>
            </w:r>
          </w:p>
          <w:p w14:paraId="37C83F7F" w14:textId="2D84EB03" w:rsidR="001762EE" w:rsidRPr="009A0E96" w:rsidRDefault="001762EE" w:rsidP="00954E2E">
            <w:pPr>
              <w:spacing w:before="20" w:after="20"/>
              <w:jc w:val="center"/>
              <w:rPr>
                <w:sz w:val="20"/>
                <w:szCs w:val="20"/>
              </w:rPr>
            </w:pPr>
            <w:r w:rsidRPr="009A0E96">
              <w:rPr>
                <w:sz w:val="20"/>
                <w:szCs w:val="20"/>
              </w:rPr>
              <w:t xml:space="preserve">June </w:t>
            </w:r>
            <w:r w:rsidR="0007556E" w:rsidRPr="009A0E96">
              <w:rPr>
                <w:sz w:val="20"/>
                <w:szCs w:val="20"/>
              </w:rPr>
              <w:t>30</w:t>
            </w:r>
          </w:p>
          <w:p w14:paraId="1838B2C5" w14:textId="44B1AF9C" w:rsidR="001762EE" w:rsidRPr="009A0E96" w:rsidRDefault="001762EE" w:rsidP="00954E2E">
            <w:pPr>
              <w:spacing w:before="20" w:after="20"/>
              <w:jc w:val="center"/>
              <w:rPr>
                <w:sz w:val="20"/>
                <w:szCs w:val="20"/>
              </w:rPr>
            </w:pPr>
            <w:r w:rsidRPr="009A0E96">
              <w:rPr>
                <w:sz w:val="20"/>
                <w:szCs w:val="20"/>
              </w:rPr>
              <w:t xml:space="preserve">June </w:t>
            </w:r>
            <w:r w:rsidR="0007556E" w:rsidRPr="009A0E96">
              <w:rPr>
                <w:sz w:val="20"/>
                <w:szCs w:val="20"/>
              </w:rPr>
              <w:t>30</w:t>
            </w:r>
          </w:p>
          <w:p w14:paraId="6F8343BB" w14:textId="4A6FEE93" w:rsidR="001762EE" w:rsidRPr="009A0E96" w:rsidRDefault="001762EE" w:rsidP="00D46430">
            <w:pPr>
              <w:spacing w:before="20" w:after="20"/>
              <w:jc w:val="center"/>
              <w:rPr>
                <w:sz w:val="20"/>
                <w:szCs w:val="20"/>
              </w:rPr>
            </w:pPr>
            <w:r w:rsidRPr="009A0E96">
              <w:rPr>
                <w:sz w:val="20"/>
                <w:szCs w:val="20"/>
              </w:rPr>
              <w:t xml:space="preserve">July </w:t>
            </w:r>
            <w:r w:rsidR="0007556E" w:rsidRPr="009A0E96">
              <w:rPr>
                <w:sz w:val="20"/>
                <w:szCs w:val="20"/>
              </w:rPr>
              <w:t>6</w:t>
            </w:r>
          </w:p>
          <w:p w14:paraId="19CA4337" w14:textId="53C1F8B8" w:rsidR="001762EE" w:rsidRPr="009A0E96" w:rsidRDefault="001762EE" w:rsidP="00D46430">
            <w:pPr>
              <w:spacing w:before="20" w:after="20"/>
              <w:jc w:val="center"/>
              <w:rPr>
                <w:sz w:val="20"/>
                <w:szCs w:val="20"/>
                <w:highlight w:val="yellow"/>
              </w:rPr>
            </w:pPr>
            <w:r w:rsidRPr="009A0E96">
              <w:rPr>
                <w:sz w:val="20"/>
                <w:szCs w:val="20"/>
              </w:rPr>
              <w:t>July</w:t>
            </w:r>
            <w:r w:rsidR="0007556E">
              <w:rPr>
                <w:sz w:val="20"/>
                <w:szCs w:val="20"/>
              </w:rPr>
              <w:t xml:space="preserve"> 7</w:t>
            </w:r>
            <w:r w:rsidRPr="009A0E96">
              <w:rPr>
                <w:sz w:val="20"/>
                <w:szCs w:val="20"/>
              </w:rPr>
              <w:t xml:space="preserve"> </w:t>
            </w:r>
          </w:p>
        </w:tc>
      </w:tr>
      <w:tr w:rsidR="001762EE" w:rsidRPr="00F367CC" w14:paraId="1EACA70A" w14:textId="77777777" w:rsidTr="00954E2E">
        <w:tc>
          <w:tcPr>
            <w:tcW w:w="4820" w:type="dxa"/>
            <w:vAlign w:val="center"/>
          </w:tcPr>
          <w:p w14:paraId="1D6F460F" w14:textId="68103580" w:rsidR="001762EE" w:rsidRPr="009A0E96" w:rsidRDefault="001762EE" w:rsidP="0007556E">
            <w:pPr>
              <w:pStyle w:val="ListParagraph"/>
              <w:keepNext/>
              <w:numPr>
                <w:ilvl w:val="0"/>
                <w:numId w:val="19"/>
              </w:numPr>
              <w:spacing w:before="20" w:after="20" w:line="240" w:lineRule="auto"/>
              <w:ind w:left="357" w:hanging="357"/>
              <w:contextualSpacing w:val="0"/>
              <w:outlineLvl w:val="2"/>
              <w:rPr>
                <w:sz w:val="20"/>
                <w:szCs w:val="20"/>
              </w:rPr>
            </w:pPr>
            <w:bookmarkStart w:id="201" w:name="_Toc454811700"/>
            <w:bookmarkStart w:id="202" w:name="_Toc454888844"/>
            <w:r w:rsidRPr="009A0E96">
              <w:rPr>
                <w:sz w:val="20"/>
                <w:szCs w:val="20"/>
              </w:rPr>
              <w:t xml:space="preserve">Generate, </w:t>
            </w:r>
            <w:r w:rsidR="0007556E">
              <w:rPr>
                <w:sz w:val="20"/>
                <w:szCs w:val="20"/>
              </w:rPr>
              <w:t>p</w:t>
            </w:r>
            <w:r w:rsidRPr="009A0E96">
              <w:rPr>
                <w:sz w:val="20"/>
                <w:szCs w:val="20"/>
              </w:rPr>
              <w:t xml:space="preserve">rint and </w:t>
            </w:r>
            <w:r w:rsidR="0007556E">
              <w:rPr>
                <w:sz w:val="20"/>
                <w:szCs w:val="20"/>
              </w:rPr>
              <w:t>r</w:t>
            </w:r>
            <w:r w:rsidRPr="009A0E96">
              <w:rPr>
                <w:sz w:val="20"/>
                <w:szCs w:val="20"/>
              </w:rPr>
              <w:t>eview of the 2016 NEP, BESF tables, Staffing Summary, President Budget Message</w:t>
            </w:r>
            <w:bookmarkEnd w:id="201"/>
            <w:bookmarkEnd w:id="202"/>
            <w:r w:rsidRPr="009A0E96">
              <w:rPr>
                <w:sz w:val="20"/>
                <w:szCs w:val="20"/>
              </w:rPr>
              <w:t xml:space="preserve"> </w:t>
            </w:r>
          </w:p>
          <w:p w14:paraId="50DF6904" w14:textId="77777777" w:rsidR="001762EE" w:rsidRPr="009A0E96" w:rsidRDefault="001762EE" w:rsidP="00954E2E">
            <w:pPr>
              <w:spacing w:before="20" w:after="20"/>
              <w:ind w:left="357"/>
              <w:rPr>
                <w:sz w:val="20"/>
                <w:szCs w:val="20"/>
              </w:rPr>
            </w:pPr>
            <w:r w:rsidRPr="009A0E96">
              <w:rPr>
                <w:sz w:val="20"/>
                <w:szCs w:val="20"/>
              </w:rPr>
              <w:t>1</w:t>
            </w:r>
            <w:r w:rsidRPr="009A0E96">
              <w:rPr>
                <w:sz w:val="20"/>
                <w:szCs w:val="20"/>
                <w:vertAlign w:val="superscript"/>
              </w:rPr>
              <w:t>st</w:t>
            </w:r>
            <w:r w:rsidRPr="009A0E96">
              <w:rPr>
                <w:sz w:val="20"/>
                <w:szCs w:val="20"/>
              </w:rPr>
              <w:t xml:space="preserve"> Draft </w:t>
            </w:r>
          </w:p>
          <w:p w14:paraId="25CCA7CE" w14:textId="093E59FB" w:rsidR="001762EE" w:rsidRPr="009A0E96" w:rsidRDefault="001762EE" w:rsidP="0007556E">
            <w:pPr>
              <w:spacing w:before="20" w:after="20"/>
              <w:ind w:left="357"/>
              <w:rPr>
                <w:sz w:val="20"/>
                <w:szCs w:val="20"/>
              </w:rPr>
            </w:pPr>
            <w:r w:rsidRPr="009A0E96">
              <w:rPr>
                <w:sz w:val="20"/>
                <w:szCs w:val="20"/>
              </w:rPr>
              <w:t>2</w:t>
            </w:r>
            <w:r w:rsidRPr="009A0E96">
              <w:rPr>
                <w:sz w:val="20"/>
                <w:szCs w:val="20"/>
                <w:vertAlign w:val="superscript"/>
              </w:rPr>
              <w:t>nd</w:t>
            </w:r>
            <w:r w:rsidRPr="009A0E96">
              <w:rPr>
                <w:sz w:val="20"/>
                <w:szCs w:val="20"/>
              </w:rPr>
              <w:t xml:space="preserve"> Draft Finalization of NEP, BESF tables, </w:t>
            </w:r>
            <w:r w:rsidR="0007556E">
              <w:rPr>
                <w:sz w:val="20"/>
                <w:szCs w:val="20"/>
              </w:rPr>
              <w:t>camera-</w:t>
            </w:r>
            <w:r w:rsidRPr="009A0E96">
              <w:rPr>
                <w:sz w:val="20"/>
                <w:szCs w:val="20"/>
              </w:rPr>
              <w:t xml:space="preserve">ready NEP, Details (Volume 1 &amp; 2), BESF, </w:t>
            </w:r>
            <w:r w:rsidR="0007556E" w:rsidRPr="009A0E96">
              <w:rPr>
                <w:sz w:val="20"/>
                <w:szCs w:val="20"/>
              </w:rPr>
              <w:t>President Budget Message</w:t>
            </w:r>
            <w:r w:rsidRPr="009A0E96">
              <w:rPr>
                <w:sz w:val="20"/>
                <w:szCs w:val="20"/>
              </w:rPr>
              <w:t>, Staffing Summary</w:t>
            </w:r>
          </w:p>
        </w:tc>
        <w:tc>
          <w:tcPr>
            <w:tcW w:w="2268" w:type="dxa"/>
          </w:tcPr>
          <w:p w14:paraId="374E4C26" w14:textId="1B60F8E6" w:rsidR="001762EE" w:rsidRPr="009A0E96" w:rsidRDefault="001762EE" w:rsidP="0007556E">
            <w:pPr>
              <w:spacing w:before="20" w:after="20"/>
              <w:jc w:val="center"/>
              <w:rPr>
                <w:sz w:val="20"/>
                <w:szCs w:val="20"/>
              </w:rPr>
            </w:pPr>
            <w:r w:rsidRPr="009A0E96">
              <w:rPr>
                <w:sz w:val="20"/>
                <w:szCs w:val="20"/>
              </w:rPr>
              <w:t xml:space="preserve">June </w:t>
            </w:r>
            <w:r w:rsidR="0007556E" w:rsidRPr="009A0E96">
              <w:rPr>
                <w:sz w:val="20"/>
                <w:szCs w:val="20"/>
              </w:rPr>
              <w:t xml:space="preserve">24 </w:t>
            </w:r>
            <w:r w:rsidRPr="009A0E96">
              <w:rPr>
                <w:sz w:val="20"/>
                <w:szCs w:val="20"/>
              </w:rPr>
              <w:t xml:space="preserve">to July </w:t>
            </w:r>
            <w:r w:rsidR="0007556E" w:rsidRPr="009A0E96">
              <w:rPr>
                <w:sz w:val="20"/>
                <w:szCs w:val="20"/>
              </w:rPr>
              <w:t>3</w:t>
            </w:r>
          </w:p>
        </w:tc>
        <w:tc>
          <w:tcPr>
            <w:tcW w:w="2268" w:type="dxa"/>
          </w:tcPr>
          <w:p w14:paraId="51CC1E21" w14:textId="2AEE52A0" w:rsidR="001762EE" w:rsidRPr="009A0E96" w:rsidRDefault="001762EE" w:rsidP="00D46430">
            <w:pPr>
              <w:spacing w:before="20" w:after="20"/>
              <w:jc w:val="center"/>
              <w:rPr>
                <w:sz w:val="20"/>
                <w:szCs w:val="20"/>
                <w:highlight w:val="yellow"/>
              </w:rPr>
            </w:pPr>
            <w:r w:rsidRPr="009A0E96">
              <w:rPr>
                <w:sz w:val="20"/>
                <w:szCs w:val="20"/>
              </w:rPr>
              <w:t xml:space="preserve">July </w:t>
            </w:r>
            <w:r w:rsidR="0007556E" w:rsidRPr="009A0E96">
              <w:rPr>
                <w:sz w:val="20"/>
                <w:szCs w:val="20"/>
              </w:rPr>
              <w:t>10-22</w:t>
            </w:r>
          </w:p>
        </w:tc>
      </w:tr>
      <w:tr w:rsidR="001762EE" w:rsidRPr="00F367CC" w14:paraId="0F7FEB08" w14:textId="77777777" w:rsidTr="00954E2E">
        <w:tc>
          <w:tcPr>
            <w:tcW w:w="4820" w:type="dxa"/>
            <w:vAlign w:val="center"/>
          </w:tcPr>
          <w:p w14:paraId="6090F64F" w14:textId="25228C7F"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203" w:name="_Toc454811701"/>
            <w:bookmarkStart w:id="204" w:name="_Toc454888845"/>
            <w:r w:rsidRPr="009A0E96">
              <w:rPr>
                <w:sz w:val="20"/>
                <w:szCs w:val="20"/>
              </w:rPr>
              <w:t>Printing of 2016 Budget Documents</w:t>
            </w:r>
            <w:bookmarkEnd w:id="203"/>
            <w:bookmarkEnd w:id="204"/>
            <w:r w:rsidRPr="009A0E96">
              <w:rPr>
                <w:sz w:val="20"/>
                <w:szCs w:val="20"/>
              </w:rPr>
              <w:t xml:space="preserve"> </w:t>
            </w:r>
          </w:p>
          <w:p w14:paraId="34462013" w14:textId="7BDAAF2D" w:rsidR="001762EE" w:rsidRPr="009A0E96" w:rsidRDefault="001762EE" w:rsidP="00954E2E">
            <w:pPr>
              <w:spacing w:before="20" w:after="20"/>
              <w:ind w:left="357"/>
              <w:rPr>
                <w:sz w:val="20"/>
                <w:szCs w:val="20"/>
              </w:rPr>
            </w:pPr>
            <w:r w:rsidRPr="009A0E96">
              <w:rPr>
                <w:sz w:val="20"/>
                <w:szCs w:val="20"/>
              </w:rPr>
              <w:t xml:space="preserve">Submission of </w:t>
            </w:r>
            <w:r w:rsidR="0007556E" w:rsidRPr="009A0E96">
              <w:rPr>
                <w:sz w:val="20"/>
                <w:szCs w:val="20"/>
              </w:rPr>
              <w:t>President Budget Message</w:t>
            </w:r>
          </w:p>
          <w:p w14:paraId="0149378C" w14:textId="77777777" w:rsidR="001762EE" w:rsidRPr="009A0E96" w:rsidRDefault="001762EE" w:rsidP="00954E2E">
            <w:pPr>
              <w:spacing w:before="20" w:after="20"/>
              <w:ind w:left="357"/>
              <w:rPr>
                <w:sz w:val="20"/>
                <w:szCs w:val="20"/>
              </w:rPr>
            </w:pPr>
            <w:r w:rsidRPr="009A0E96">
              <w:rPr>
                <w:sz w:val="20"/>
                <w:szCs w:val="20"/>
              </w:rPr>
              <w:t>Presentation to the President</w:t>
            </w:r>
          </w:p>
        </w:tc>
        <w:tc>
          <w:tcPr>
            <w:tcW w:w="2268" w:type="dxa"/>
            <w:vAlign w:val="center"/>
          </w:tcPr>
          <w:p w14:paraId="70E4A3A3" w14:textId="1EC9290C" w:rsidR="001762EE" w:rsidRPr="009A0E96" w:rsidRDefault="001762EE" w:rsidP="00D46430">
            <w:pPr>
              <w:spacing w:before="20" w:after="20"/>
              <w:jc w:val="center"/>
              <w:rPr>
                <w:sz w:val="20"/>
                <w:szCs w:val="20"/>
              </w:rPr>
            </w:pPr>
            <w:r w:rsidRPr="009A0E96">
              <w:rPr>
                <w:sz w:val="20"/>
                <w:szCs w:val="20"/>
              </w:rPr>
              <w:t xml:space="preserve">July </w:t>
            </w:r>
            <w:r w:rsidR="0007556E" w:rsidRPr="009A0E96">
              <w:rPr>
                <w:sz w:val="20"/>
                <w:szCs w:val="20"/>
              </w:rPr>
              <w:t>6-22</w:t>
            </w:r>
          </w:p>
        </w:tc>
        <w:tc>
          <w:tcPr>
            <w:tcW w:w="2268" w:type="dxa"/>
          </w:tcPr>
          <w:p w14:paraId="0E66A3BF" w14:textId="5CD67AFB" w:rsidR="001762EE" w:rsidRPr="009A0E96" w:rsidRDefault="001762EE" w:rsidP="00954E2E">
            <w:pPr>
              <w:spacing w:before="20" w:after="20"/>
              <w:jc w:val="center"/>
              <w:rPr>
                <w:sz w:val="20"/>
                <w:szCs w:val="20"/>
              </w:rPr>
            </w:pPr>
            <w:r w:rsidRPr="009A0E96">
              <w:rPr>
                <w:sz w:val="20"/>
                <w:szCs w:val="20"/>
              </w:rPr>
              <w:t xml:space="preserve">July </w:t>
            </w:r>
            <w:r w:rsidR="0007556E" w:rsidRPr="009A0E96">
              <w:rPr>
                <w:sz w:val="20"/>
                <w:szCs w:val="20"/>
              </w:rPr>
              <w:t>10-22</w:t>
            </w:r>
          </w:p>
          <w:p w14:paraId="12A49B40" w14:textId="731B9BD8" w:rsidR="001762EE" w:rsidRPr="009A0E96" w:rsidRDefault="001762EE" w:rsidP="00D46430">
            <w:pPr>
              <w:spacing w:before="20" w:after="20"/>
              <w:jc w:val="center"/>
              <w:rPr>
                <w:sz w:val="20"/>
                <w:szCs w:val="20"/>
              </w:rPr>
            </w:pPr>
            <w:r w:rsidRPr="009A0E96">
              <w:rPr>
                <w:sz w:val="20"/>
                <w:szCs w:val="20"/>
              </w:rPr>
              <w:t xml:space="preserve">July </w:t>
            </w:r>
            <w:r w:rsidR="0007556E" w:rsidRPr="009A0E96">
              <w:rPr>
                <w:sz w:val="20"/>
                <w:szCs w:val="20"/>
              </w:rPr>
              <w:t>24</w:t>
            </w:r>
          </w:p>
          <w:p w14:paraId="4FE496F4" w14:textId="041940AC" w:rsidR="001762EE" w:rsidRPr="009A0E96" w:rsidRDefault="001762EE" w:rsidP="00D46430">
            <w:pPr>
              <w:spacing w:before="20" w:after="20"/>
              <w:jc w:val="center"/>
              <w:rPr>
                <w:sz w:val="20"/>
                <w:szCs w:val="20"/>
                <w:highlight w:val="yellow"/>
              </w:rPr>
            </w:pPr>
            <w:r w:rsidRPr="009A0E96">
              <w:rPr>
                <w:sz w:val="20"/>
                <w:szCs w:val="20"/>
              </w:rPr>
              <w:t>July</w:t>
            </w:r>
            <w:r w:rsidR="0007556E">
              <w:rPr>
                <w:sz w:val="20"/>
                <w:szCs w:val="20"/>
              </w:rPr>
              <w:t xml:space="preserve"> 24</w:t>
            </w:r>
            <w:r w:rsidRPr="009A0E96">
              <w:rPr>
                <w:sz w:val="20"/>
                <w:szCs w:val="20"/>
              </w:rPr>
              <w:t xml:space="preserve"> </w:t>
            </w:r>
          </w:p>
        </w:tc>
      </w:tr>
      <w:tr w:rsidR="001762EE" w:rsidRPr="00F367CC" w14:paraId="748732CF" w14:textId="77777777" w:rsidTr="00954E2E">
        <w:tc>
          <w:tcPr>
            <w:tcW w:w="4820" w:type="dxa"/>
            <w:vAlign w:val="center"/>
          </w:tcPr>
          <w:p w14:paraId="396843F6" w14:textId="431FE779" w:rsidR="001762EE" w:rsidRPr="009A0E96" w:rsidRDefault="001762EE" w:rsidP="0007556E">
            <w:pPr>
              <w:pStyle w:val="ListParagraph"/>
              <w:keepNext/>
              <w:numPr>
                <w:ilvl w:val="0"/>
                <w:numId w:val="19"/>
              </w:numPr>
              <w:spacing w:before="20" w:after="20" w:line="240" w:lineRule="auto"/>
              <w:ind w:left="357" w:hanging="357"/>
              <w:contextualSpacing w:val="0"/>
              <w:jc w:val="both"/>
              <w:outlineLvl w:val="2"/>
              <w:rPr>
                <w:sz w:val="20"/>
                <w:szCs w:val="20"/>
              </w:rPr>
            </w:pPr>
            <w:bookmarkStart w:id="205" w:name="_Toc454811702"/>
            <w:bookmarkStart w:id="206" w:name="_Toc454888846"/>
            <w:r w:rsidRPr="009A0E96">
              <w:rPr>
                <w:sz w:val="20"/>
                <w:szCs w:val="20"/>
              </w:rPr>
              <w:t>Submission of 2016 Budget Documents to President.</w:t>
            </w:r>
            <w:bookmarkEnd w:id="205"/>
            <w:bookmarkEnd w:id="206"/>
          </w:p>
        </w:tc>
        <w:tc>
          <w:tcPr>
            <w:tcW w:w="2268" w:type="dxa"/>
            <w:vAlign w:val="center"/>
          </w:tcPr>
          <w:p w14:paraId="7003F4BA" w14:textId="6F31A974" w:rsidR="001762EE" w:rsidRPr="009A0E96" w:rsidRDefault="001762EE" w:rsidP="00D46430">
            <w:pPr>
              <w:spacing w:before="20" w:after="20"/>
              <w:jc w:val="center"/>
              <w:rPr>
                <w:sz w:val="20"/>
                <w:szCs w:val="20"/>
              </w:rPr>
            </w:pPr>
            <w:r w:rsidRPr="009A0E96">
              <w:rPr>
                <w:sz w:val="20"/>
                <w:szCs w:val="20"/>
              </w:rPr>
              <w:t xml:space="preserve">July </w:t>
            </w:r>
            <w:r w:rsidR="0007556E" w:rsidRPr="009A0E96">
              <w:rPr>
                <w:sz w:val="20"/>
                <w:szCs w:val="20"/>
              </w:rPr>
              <w:t>26</w:t>
            </w:r>
          </w:p>
        </w:tc>
        <w:tc>
          <w:tcPr>
            <w:tcW w:w="2268" w:type="dxa"/>
            <w:vAlign w:val="center"/>
          </w:tcPr>
          <w:p w14:paraId="62D084E5" w14:textId="7F59E731" w:rsidR="001762EE" w:rsidRPr="009A0E96" w:rsidRDefault="001762EE" w:rsidP="00D46430">
            <w:pPr>
              <w:spacing w:before="20" w:after="20"/>
              <w:jc w:val="center"/>
              <w:rPr>
                <w:sz w:val="20"/>
                <w:szCs w:val="20"/>
              </w:rPr>
            </w:pPr>
            <w:r w:rsidRPr="009A0E96">
              <w:rPr>
                <w:sz w:val="20"/>
                <w:szCs w:val="20"/>
              </w:rPr>
              <w:t xml:space="preserve">July </w:t>
            </w:r>
            <w:r w:rsidR="0007556E" w:rsidRPr="009A0E96">
              <w:rPr>
                <w:sz w:val="20"/>
                <w:szCs w:val="20"/>
              </w:rPr>
              <w:t>24</w:t>
            </w:r>
          </w:p>
        </w:tc>
      </w:tr>
      <w:tr w:rsidR="001762EE" w:rsidRPr="00F367CC" w14:paraId="778BE06D" w14:textId="77777777" w:rsidTr="00954E2E">
        <w:tc>
          <w:tcPr>
            <w:tcW w:w="4820" w:type="dxa"/>
            <w:tcBorders>
              <w:bottom w:val="double" w:sz="4" w:space="0" w:color="auto"/>
            </w:tcBorders>
            <w:vAlign w:val="center"/>
          </w:tcPr>
          <w:p w14:paraId="01B52571" w14:textId="18CA5BFC" w:rsidR="001762EE" w:rsidRPr="009A0E96" w:rsidRDefault="001762EE" w:rsidP="005A03CD">
            <w:pPr>
              <w:pStyle w:val="ListParagraph"/>
              <w:keepNext/>
              <w:numPr>
                <w:ilvl w:val="0"/>
                <w:numId w:val="19"/>
              </w:numPr>
              <w:spacing w:before="20" w:after="20" w:line="240" w:lineRule="auto"/>
              <w:ind w:left="357" w:hanging="357"/>
              <w:contextualSpacing w:val="0"/>
              <w:jc w:val="both"/>
              <w:outlineLvl w:val="2"/>
              <w:rPr>
                <w:sz w:val="20"/>
                <w:szCs w:val="20"/>
              </w:rPr>
            </w:pPr>
            <w:bookmarkStart w:id="207" w:name="_Toc454811703"/>
            <w:bookmarkStart w:id="208" w:name="_Toc454888847"/>
            <w:r w:rsidRPr="009A0E96">
              <w:rPr>
                <w:sz w:val="20"/>
                <w:szCs w:val="20"/>
              </w:rPr>
              <w:t>Submission of the President’s Budget to Congress.</w:t>
            </w:r>
            <w:bookmarkEnd w:id="207"/>
            <w:bookmarkEnd w:id="208"/>
          </w:p>
        </w:tc>
        <w:tc>
          <w:tcPr>
            <w:tcW w:w="2268" w:type="dxa"/>
            <w:tcBorders>
              <w:bottom w:val="double" w:sz="4" w:space="0" w:color="auto"/>
            </w:tcBorders>
            <w:vAlign w:val="center"/>
          </w:tcPr>
          <w:p w14:paraId="1D6A0571" w14:textId="1D8A942C" w:rsidR="001762EE" w:rsidRPr="009A0E96" w:rsidRDefault="001762EE" w:rsidP="00D46430">
            <w:pPr>
              <w:spacing w:before="20" w:after="20"/>
              <w:jc w:val="center"/>
              <w:rPr>
                <w:sz w:val="20"/>
                <w:szCs w:val="20"/>
              </w:rPr>
            </w:pPr>
            <w:r w:rsidRPr="009A0E96">
              <w:rPr>
                <w:sz w:val="20"/>
                <w:szCs w:val="20"/>
              </w:rPr>
              <w:t xml:space="preserve">July </w:t>
            </w:r>
            <w:r w:rsidR="0007556E" w:rsidRPr="009A0E96">
              <w:rPr>
                <w:sz w:val="20"/>
                <w:szCs w:val="20"/>
              </w:rPr>
              <w:t>28</w:t>
            </w:r>
          </w:p>
        </w:tc>
        <w:tc>
          <w:tcPr>
            <w:tcW w:w="2268" w:type="dxa"/>
            <w:tcBorders>
              <w:bottom w:val="double" w:sz="4" w:space="0" w:color="auto"/>
            </w:tcBorders>
            <w:vAlign w:val="center"/>
          </w:tcPr>
          <w:p w14:paraId="075F8C09" w14:textId="66E062B9" w:rsidR="001762EE" w:rsidRPr="009A0E96" w:rsidRDefault="001762EE" w:rsidP="00D46430">
            <w:pPr>
              <w:pStyle w:val="ListParagraph"/>
              <w:spacing w:before="20" w:after="20" w:line="240" w:lineRule="auto"/>
              <w:ind w:left="0" w:firstLine="0"/>
              <w:contextualSpacing w:val="0"/>
              <w:jc w:val="center"/>
              <w:rPr>
                <w:sz w:val="20"/>
                <w:szCs w:val="20"/>
                <w:highlight w:val="yellow"/>
              </w:rPr>
            </w:pPr>
            <w:r w:rsidRPr="009A0E96">
              <w:rPr>
                <w:sz w:val="20"/>
                <w:szCs w:val="20"/>
              </w:rPr>
              <w:t xml:space="preserve">July </w:t>
            </w:r>
            <w:r w:rsidR="0007556E" w:rsidRPr="009A0E96">
              <w:rPr>
                <w:sz w:val="20"/>
                <w:szCs w:val="20"/>
              </w:rPr>
              <w:t>28</w:t>
            </w:r>
          </w:p>
        </w:tc>
      </w:tr>
    </w:tbl>
    <w:p w14:paraId="4C2DA76A" w14:textId="36FC8A2E" w:rsidR="001762EE" w:rsidRDefault="001762EE" w:rsidP="00527FD1">
      <w:pPr>
        <w:pStyle w:val="NormalWeb"/>
        <w:autoSpaceDE w:val="0"/>
        <w:autoSpaceDN w:val="0"/>
        <w:adjustRightInd w:val="0"/>
        <w:spacing w:before="0" w:beforeAutospacing="0" w:after="0" w:afterAutospacing="0"/>
        <w:contextualSpacing/>
        <w:jc w:val="both"/>
        <w:rPr>
          <w:sz w:val="20"/>
        </w:rPr>
      </w:pPr>
      <w:r w:rsidRPr="009A0E96">
        <w:rPr>
          <w:i/>
          <w:sz w:val="20"/>
        </w:rPr>
        <w:t>Source</w:t>
      </w:r>
      <w:r w:rsidRPr="00DF28E6">
        <w:rPr>
          <w:sz w:val="20"/>
        </w:rPr>
        <w:t>: DBM</w:t>
      </w:r>
    </w:p>
    <w:p w14:paraId="794E446A" w14:textId="77777777" w:rsidR="001762EE" w:rsidRPr="00DF28E6" w:rsidRDefault="001762EE" w:rsidP="00527FD1">
      <w:pPr>
        <w:pStyle w:val="NormalWeb"/>
        <w:autoSpaceDE w:val="0"/>
        <w:autoSpaceDN w:val="0"/>
        <w:adjustRightInd w:val="0"/>
        <w:spacing w:before="0" w:beforeAutospacing="0" w:after="0" w:afterAutospacing="0"/>
        <w:contextualSpacing/>
        <w:jc w:val="both"/>
        <w:rPr>
          <w:sz w:val="20"/>
        </w:rPr>
      </w:pPr>
    </w:p>
    <w:p w14:paraId="721B3390" w14:textId="22EE2BA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Pr>
          <w:bCs/>
        </w:rPr>
        <w:t>The budge</w:t>
      </w:r>
      <w:r w:rsidR="006B36BE">
        <w:rPr>
          <w:bCs/>
        </w:rPr>
        <w:t>t</w:t>
      </w:r>
      <w:r>
        <w:rPr>
          <w:bCs/>
        </w:rPr>
        <w:t xml:space="preserve"> calendar</w:t>
      </w:r>
      <w:r w:rsidRPr="007173DF">
        <w:rPr>
          <w:bCs/>
        </w:rPr>
        <w:t xml:space="preserve"> shows that while </w:t>
      </w:r>
      <w:r w:rsidRPr="005A497D">
        <w:t xml:space="preserve">the key dates were generally met, there were some delays in the process as the budget preparation implements the </w:t>
      </w:r>
      <w:r>
        <w:t>two-tier budgeting approach</w:t>
      </w:r>
      <w:r w:rsidRPr="005A497D">
        <w:t xml:space="preserve"> for the first time.</w:t>
      </w:r>
      <w:r>
        <w:t xml:space="preserve"> </w:t>
      </w:r>
      <w:r w:rsidRPr="007173DF">
        <w:rPr>
          <w:bCs/>
        </w:rPr>
        <w:t xml:space="preserve">Specifically with regard to the time available for the </w:t>
      </w:r>
      <w:r>
        <w:rPr>
          <w:bCs/>
        </w:rPr>
        <w:t>national government agencies</w:t>
      </w:r>
      <w:r w:rsidRPr="007173DF">
        <w:rPr>
          <w:bCs/>
        </w:rPr>
        <w:t xml:space="preserve"> to prepare their detailed budget est</w:t>
      </w:r>
      <w:r>
        <w:rPr>
          <w:bCs/>
        </w:rPr>
        <w:t>imates, it is seen that the 2016</w:t>
      </w:r>
      <w:r w:rsidRPr="007173DF">
        <w:rPr>
          <w:bCs/>
        </w:rPr>
        <w:t xml:space="preserve"> budget calendar allowed for 10 weeks from the issuance of the Budget Call to submission of the budget proposal.</w:t>
      </w:r>
      <w:r>
        <w:rPr>
          <w:bCs/>
        </w:rPr>
        <w:t xml:space="preserve"> Score for Dimension 17.1 is assessed at “A”.</w:t>
      </w:r>
    </w:p>
    <w:p w14:paraId="1895FF6B" w14:textId="77777777" w:rsidR="001762EE" w:rsidRPr="005A497D" w:rsidRDefault="001762EE" w:rsidP="00527FD1">
      <w:pPr>
        <w:pStyle w:val="NormalWeb"/>
        <w:autoSpaceDE w:val="0"/>
        <w:autoSpaceDN w:val="0"/>
        <w:adjustRightInd w:val="0"/>
        <w:spacing w:before="0" w:beforeAutospacing="0" w:after="0" w:afterAutospacing="0"/>
        <w:contextualSpacing/>
        <w:jc w:val="both"/>
      </w:pPr>
    </w:p>
    <w:p w14:paraId="4D74791F" w14:textId="25801B57" w:rsidR="001762EE" w:rsidRPr="009A0E96" w:rsidRDefault="001762EE" w:rsidP="00527FD1">
      <w:pPr>
        <w:jc w:val="both"/>
        <w:rPr>
          <w:b/>
          <w:i/>
        </w:rPr>
      </w:pPr>
      <w:r w:rsidRPr="009A0E96">
        <w:rPr>
          <w:b/>
          <w:i/>
        </w:rPr>
        <w:t>Dimension 17.2 Guidance on budget preparation</w:t>
      </w:r>
    </w:p>
    <w:p w14:paraId="2A917A8E" w14:textId="77777777" w:rsidR="001762EE" w:rsidRPr="007173DF" w:rsidRDefault="001762EE" w:rsidP="00527FD1">
      <w:pPr>
        <w:jc w:val="both"/>
        <w:rPr>
          <w:i/>
        </w:rPr>
      </w:pPr>
    </w:p>
    <w:p w14:paraId="08577E85" w14:textId="1A17401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bCs/>
        </w:rPr>
        <w:t xml:space="preserve">The </w:t>
      </w:r>
      <w:r>
        <w:rPr>
          <w:bCs/>
        </w:rPr>
        <w:t xml:space="preserve">DBM-issued </w:t>
      </w:r>
      <w:r w:rsidRPr="005A497D">
        <w:t xml:space="preserve">National Budget Memoranda on the Budget Call provide clear and </w:t>
      </w:r>
      <w:r w:rsidRPr="005A497D">
        <w:rPr>
          <w:bCs/>
        </w:rPr>
        <w:t xml:space="preserve">comprehensive instructions to </w:t>
      </w:r>
      <w:r>
        <w:rPr>
          <w:bCs/>
        </w:rPr>
        <w:t>national government agencies</w:t>
      </w:r>
      <w:r w:rsidRPr="005A497D">
        <w:rPr>
          <w:bCs/>
        </w:rPr>
        <w:t xml:space="preserve"> on how to prepare their budget proposals.</w:t>
      </w:r>
    </w:p>
    <w:p w14:paraId="1F9D6925" w14:textId="77777777" w:rsidR="001762EE" w:rsidRPr="005A497D" w:rsidRDefault="001762EE" w:rsidP="00527FD1">
      <w:pPr>
        <w:pStyle w:val="NormalWeb"/>
        <w:autoSpaceDE w:val="0"/>
        <w:autoSpaceDN w:val="0"/>
        <w:adjustRightInd w:val="0"/>
        <w:spacing w:before="0" w:beforeAutospacing="0" w:after="0" w:afterAutospacing="0"/>
        <w:contextualSpacing/>
        <w:jc w:val="both"/>
      </w:pPr>
    </w:p>
    <w:p w14:paraId="74D76616" w14:textId="1F13384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201</w:t>
      </w:r>
      <w:r>
        <w:t>6</w:t>
      </w:r>
      <w:r w:rsidRPr="005A497D">
        <w:t xml:space="preserve"> budget preparation incorporate</w:t>
      </w:r>
      <w:r>
        <w:t>d</w:t>
      </w:r>
      <w:r w:rsidRPr="005A497D">
        <w:t xml:space="preserve"> all the public financial management and public expenditure management reforms</w:t>
      </w:r>
      <w:r>
        <w:t>,</w:t>
      </w:r>
      <w:r w:rsidRPr="005A497D">
        <w:t xml:space="preserve"> including those previous initiative such as the MTEF</w:t>
      </w:r>
      <w:r w:rsidRPr="005A497D">
        <w:rPr>
          <w:rStyle w:val="EndnoteReference"/>
        </w:rPr>
        <w:endnoteReference w:id="74"/>
      </w:r>
      <w:r w:rsidRPr="005A497D">
        <w:t xml:space="preserve"> and the new initiatives like enhanced performance informed budgeting</w:t>
      </w:r>
      <w:r w:rsidRPr="005A497D">
        <w:rPr>
          <w:rStyle w:val="EndnoteReference"/>
        </w:rPr>
        <w:endnoteReference w:id="75"/>
      </w:r>
      <w:r w:rsidRPr="005A497D">
        <w:t xml:space="preserve"> and its associated organizational performance indicator framework, zero-based budgeting,</w:t>
      </w:r>
      <w:r w:rsidRPr="005A497D">
        <w:rPr>
          <w:rStyle w:val="EndnoteReference"/>
        </w:rPr>
        <w:endnoteReference w:id="76"/>
      </w:r>
      <w:r w:rsidRPr="005A497D">
        <w:t xml:space="preserve"> program budgeting,</w:t>
      </w:r>
      <w:r w:rsidRPr="005A497D">
        <w:rPr>
          <w:rStyle w:val="EndnoteReference"/>
        </w:rPr>
        <w:endnoteReference w:id="77"/>
      </w:r>
      <w:r w:rsidRPr="005A497D">
        <w:t xml:space="preserve"> and bottom-up budgeting (formerly known as grassroots participatory budgeting).</w:t>
      </w:r>
      <w:r w:rsidRPr="005A497D">
        <w:rPr>
          <w:rStyle w:val="EndnoteReference"/>
        </w:rPr>
        <w:endnoteReference w:id="78"/>
      </w:r>
      <w:r w:rsidRPr="007173DF">
        <w:t xml:space="preserve"> </w:t>
      </w:r>
      <w:r>
        <w:t>The</w:t>
      </w:r>
      <w:r w:rsidRPr="005A497D">
        <w:t xml:space="preserve"> two-tier budgeting approach</w:t>
      </w:r>
      <w:r w:rsidRPr="005A497D">
        <w:rPr>
          <w:rStyle w:val="EndnoteReference"/>
        </w:rPr>
        <w:endnoteReference w:id="79"/>
      </w:r>
      <w:r w:rsidRPr="005A497D">
        <w:t xml:space="preserve"> was introduced</w:t>
      </w:r>
      <w:r>
        <w:t xml:space="preserve"> to supplement the MTEF</w:t>
      </w:r>
      <w:r w:rsidRPr="005A497D">
        <w:t xml:space="preserve">. These new processes are still in </w:t>
      </w:r>
      <w:r>
        <w:t>an</w:t>
      </w:r>
      <w:r w:rsidRPr="005A497D">
        <w:t xml:space="preserve"> early stage of development and are yet to be fully institutionalized. </w:t>
      </w:r>
    </w:p>
    <w:p w14:paraId="06745C4C" w14:textId="77777777" w:rsidR="001762EE" w:rsidRPr="005A497D" w:rsidRDefault="001762EE" w:rsidP="00527FD1">
      <w:pPr>
        <w:pStyle w:val="NormalWeb"/>
        <w:autoSpaceDE w:val="0"/>
        <w:autoSpaceDN w:val="0"/>
        <w:adjustRightInd w:val="0"/>
        <w:spacing w:before="0" w:beforeAutospacing="0" w:after="0" w:afterAutospacing="0"/>
        <w:contextualSpacing/>
        <w:jc w:val="both"/>
      </w:pPr>
    </w:p>
    <w:p w14:paraId="39057E4A" w14:textId="2E2432E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bCs/>
        </w:rPr>
        <w:t xml:space="preserve">Prior to 2016, the </w:t>
      </w:r>
      <w:r w:rsidRPr="005A497D">
        <w:t xml:space="preserve">National Budget Memorandum on the budget priorities framework includes indicative budget ceilings per department and agency, but </w:t>
      </w:r>
      <w:r>
        <w:t xml:space="preserve">the Cabinet has not approved either </w:t>
      </w:r>
      <w:r w:rsidRPr="005A497D">
        <w:t xml:space="preserve">the budget priorities framework or the ceilings </w:t>
      </w:r>
      <w:r w:rsidRPr="005A497D">
        <w:rPr>
          <w:bCs/>
        </w:rPr>
        <w:t>prior to the</w:t>
      </w:r>
      <w:r>
        <w:rPr>
          <w:bCs/>
        </w:rPr>
        <w:t>ir</w:t>
      </w:r>
      <w:r w:rsidRPr="005A497D">
        <w:rPr>
          <w:bCs/>
        </w:rPr>
        <w:t xml:space="preserve"> issuance. In </w:t>
      </w:r>
      <w:r>
        <w:rPr>
          <w:bCs/>
        </w:rPr>
        <w:t xml:space="preserve">the </w:t>
      </w:r>
      <w:r w:rsidRPr="005A497D">
        <w:rPr>
          <w:bCs/>
        </w:rPr>
        <w:t xml:space="preserve">2016 budget preparation, the forward estimates (hard budget ceilings) </w:t>
      </w:r>
      <w:r w:rsidR="006B36BE">
        <w:rPr>
          <w:bCs/>
        </w:rPr>
        <w:t>we</w:t>
      </w:r>
      <w:r w:rsidRPr="005A497D">
        <w:rPr>
          <w:bCs/>
        </w:rPr>
        <w:t>re formulated, reviewed</w:t>
      </w:r>
      <w:r>
        <w:rPr>
          <w:bCs/>
        </w:rPr>
        <w:t>,</w:t>
      </w:r>
      <w:r w:rsidRPr="005A497D">
        <w:rPr>
          <w:bCs/>
        </w:rPr>
        <w:t xml:space="preserve"> and approved</w:t>
      </w:r>
      <w:r w:rsidR="006B36BE" w:rsidRPr="006B36BE">
        <w:t xml:space="preserve"> </w:t>
      </w:r>
      <w:r w:rsidR="006B36BE">
        <w:t>by the DBM Executive Review Board separately from the rest of the agency proposals on new and expanded programs, thereby simplifying the review of agency proposals</w:t>
      </w:r>
      <w:r w:rsidR="006B36BE" w:rsidRPr="005A497D">
        <w:t>.</w:t>
      </w:r>
      <w:r>
        <w:rPr>
          <w:bCs/>
        </w:rPr>
        <w:t xml:space="preserve"> Score for Dimension 17.2 is assessed at “A”.</w:t>
      </w:r>
    </w:p>
    <w:p w14:paraId="22CABCF1" w14:textId="77777777" w:rsidR="001762EE" w:rsidRPr="005A497D" w:rsidRDefault="001762EE" w:rsidP="00527FD1">
      <w:pPr>
        <w:pStyle w:val="NormalWeb"/>
        <w:autoSpaceDE w:val="0"/>
        <w:autoSpaceDN w:val="0"/>
        <w:adjustRightInd w:val="0"/>
        <w:spacing w:before="0" w:beforeAutospacing="0" w:after="0" w:afterAutospacing="0"/>
        <w:contextualSpacing/>
        <w:jc w:val="both"/>
      </w:pPr>
    </w:p>
    <w:p w14:paraId="56BF3E25" w14:textId="7268B75D" w:rsidR="001762EE" w:rsidRPr="009A0E96" w:rsidRDefault="001762EE" w:rsidP="00527FD1">
      <w:pPr>
        <w:jc w:val="both"/>
        <w:rPr>
          <w:b/>
          <w:i/>
        </w:rPr>
      </w:pPr>
      <w:r w:rsidRPr="009A0E96">
        <w:rPr>
          <w:b/>
          <w:i/>
        </w:rPr>
        <w:t xml:space="preserve">Dimension 17.3 Budget submission to the legislature </w:t>
      </w:r>
    </w:p>
    <w:p w14:paraId="61656A7C" w14:textId="77777777" w:rsidR="001762EE" w:rsidRPr="007173DF" w:rsidRDefault="001762EE" w:rsidP="00527FD1">
      <w:pPr>
        <w:jc w:val="both"/>
        <w:rPr>
          <w:i/>
        </w:rPr>
      </w:pPr>
    </w:p>
    <w:p w14:paraId="19715D43" w14:textId="391DFBFC"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annual budget is presented to Congress in July, and detailed discussions occur from then onwards.</w:t>
      </w:r>
      <w:r>
        <w:t xml:space="preserve"> </w:t>
      </w:r>
      <w:r w:rsidRPr="005A497D">
        <w:t xml:space="preserve">Since 2012, the Executive has consistently submitted the budget proposal to the </w:t>
      </w:r>
      <w:r>
        <w:t>House of Representatives</w:t>
      </w:r>
      <w:r w:rsidRPr="005A497D">
        <w:t xml:space="preserve"> at the end of July, usually a day after the President delivers his State of the Nation Address allowing Congress sufficient time to review and scrutinize it. </w:t>
      </w:r>
      <w:r>
        <w:t>Since the budget proposal has consistently been submitted five months before the start of the fiscal year for the last three years, the score for Dimension 17.3 is assessed at “A”.</w:t>
      </w:r>
    </w:p>
    <w:p w14:paraId="2F5FBE59" w14:textId="77777777" w:rsidR="001762EE" w:rsidRPr="005A497D" w:rsidRDefault="001762EE" w:rsidP="00F27188">
      <w:pPr>
        <w:pStyle w:val="NormalWeb"/>
        <w:autoSpaceDE w:val="0"/>
        <w:autoSpaceDN w:val="0"/>
        <w:adjustRightInd w:val="0"/>
        <w:spacing w:before="0" w:beforeAutospacing="0" w:after="0" w:afterAutospacing="0"/>
        <w:contextualSpacing/>
        <w:jc w:val="both"/>
      </w:pPr>
    </w:p>
    <w:p w14:paraId="07162697" w14:textId="21336C00" w:rsidR="001762EE" w:rsidRDefault="001762EE" w:rsidP="00411651">
      <w:pPr>
        <w:pStyle w:val="Heading3"/>
      </w:pPr>
      <w:bookmarkStart w:id="209" w:name="_Toc142131764"/>
      <w:bookmarkStart w:id="210" w:name="_Toc142146105"/>
      <w:bookmarkStart w:id="211" w:name="_Toc142561155"/>
      <w:bookmarkStart w:id="212" w:name="_Toc317467011"/>
      <w:bookmarkStart w:id="213" w:name="_Toc318187275"/>
      <w:bookmarkStart w:id="214" w:name="_Toc454811704"/>
      <w:bookmarkStart w:id="215" w:name="_Toc454888848"/>
      <w:r w:rsidRPr="005A497D">
        <w:t xml:space="preserve">PI-18 </w:t>
      </w:r>
      <w:bookmarkEnd w:id="209"/>
      <w:bookmarkEnd w:id="210"/>
      <w:bookmarkEnd w:id="211"/>
      <w:bookmarkEnd w:id="212"/>
      <w:bookmarkEnd w:id="213"/>
      <w:r w:rsidRPr="005A497D">
        <w:t xml:space="preserve">Legislative scrutiny of </w:t>
      </w:r>
      <w:r>
        <w:t>budgets</w:t>
      </w:r>
      <w:bookmarkEnd w:id="214"/>
      <w:bookmarkEnd w:id="215"/>
    </w:p>
    <w:p w14:paraId="0C8F5143" w14:textId="77777777" w:rsidR="001762EE" w:rsidRPr="007173DF" w:rsidRDefault="001762EE" w:rsidP="007173DF"/>
    <w:p w14:paraId="79E18829" w14:textId="3E2774D6"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power to give the government authority to spend rests with the legislature and is exercised through the passing of the General Appropriations Act</w:t>
      </w:r>
      <w:r>
        <w:t xml:space="preserve">. </w:t>
      </w:r>
      <w:r w:rsidRPr="005A497D">
        <w:t>If the legislature does not rigorously examine and debate the law, the power is not being effectively exercised and will undermine the accountability of the government to the electorate.</w:t>
      </w:r>
      <w:r>
        <w:t xml:space="preserve"> This indicator considers the extent to which the legislature scrutinizes, debates, and approves the annual budget. </w:t>
      </w:r>
    </w:p>
    <w:p w14:paraId="772353F5" w14:textId="77777777" w:rsidR="001762EE" w:rsidRPr="005A497D" w:rsidRDefault="001762EE" w:rsidP="00312F6E">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0E94AC83" w14:textId="77777777" w:rsidTr="00C06FE3">
        <w:trPr>
          <w:trHeight w:val="397"/>
          <w:tblHeader/>
        </w:trPr>
        <w:tc>
          <w:tcPr>
            <w:tcW w:w="3600" w:type="dxa"/>
            <w:tcBorders>
              <w:top w:val="double" w:sz="4" w:space="0" w:color="auto"/>
            </w:tcBorders>
            <w:shd w:val="clear" w:color="auto" w:fill="D9D9D9"/>
            <w:vAlign w:val="center"/>
          </w:tcPr>
          <w:p w14:paraId="5C31805C" w14:textId="77777777" w:rsidR="001762EE" w:rsidRPr="00D53B92" w:rsidRDefault="001762EE" w:rsidP="00882C4F">
            <w:pPr>
              <w:spacing w:before="40" w:after="40"/>
              <w:jc w:val="center"/>
              <w:rPr>
                <w:b/>
                <w:i/>
                <w:sz w:val="22"/>
                <w:szCs w:val="22"/>
              </w:rPr>
            </w:pPr>
            <w:r w:rsidRPr="00D53B92">
              <w:rPr>
                <w:b/>
                <w:i/>
                <w:sz w:val="22"/>
                <w:szCs w:val="22"/>
              </w:rPr>
              <w:t>Indicator / Dimension</w:t>
            </w:r>
          </w:p>
        </w:tc>
        <w:tc>
          <w:tcPr>
            <w:tcW w:w="1843" w:type="dxa"/>
            <w:tcBorders>
              <w:top w:val="double" w:sz="4" w:space="0" w:color="auto"/>
            </w:tcBorders>
            <w:shd w:val="clear" w:color="auto" w:fill="D9D9D9"/>
            <w:vAlign w:val="center"/>
          </w:tcPr>
          <w:p w14:paraId="72161FD0" w14:textId="77777777" w:rsidR="001762EE" w:rsidRPr="00D53B92" w:rsidRDefault="001762EE" w:rsidP="00F27188">
            <w:pPr>
              <w:spacing w:before="40" w:after="40"/>
              <w:jc w:val="center"/>
              <w:rPr>
                <w:b/>
                <w:i/>
                <w:sz w:val="22"/>
                <w:szCs w:val="22"/>
              </w:rPr>
            </w:pPr>
            <w:r w:rsidRPr="00D53B92">
              <w:rPr>
                <w:b/>
                <w:i/>
                <w:sz w:val="22"/>
                <w:szCs w:val="22"/>
              </w:rPr>
              <w:t>Score</w:t>
            </w:r>
          </w:p>
        </w:tc>
        <w:tc>
          <w:tcPr>
            <w:tcW w:w="3913" w:type="dxa"/>
            <w:tcBorders>
              <w:top w:val="double" w:sz="4" w:space="0" w:color="auto"/>
            </w:tcBorders>
            <w:shd w:val="clear" w:color="auto" w:fill="D9D9D9"/>
            <w:vAlign w:val="center"/>
          </w:tcPr>
          <w:p w14:paraId="55CF58F6" w14:textId="77777777" w:rsidR="001762EE" w:rsidRPr="00D53B92" w:rsidRDefault="001762EE" w:rsidP="00882C4F">
            <w:pPr>
              <w:spacing w:before="40" w:after="40"/>
              <w:jc w:val="center"/>
              <w:rPr>
                <w:b/>
                <w:i/>
                <w:sz w:val="22"/>
                <w:szCs w:val="22"/>
              </w:rPr>
            </w:pPr>
            <w:r w:rsidRPr="00D53B92">
              <w:rPr>
                <w:b/>
                <w:i/>
                <w:sz w:val="22"/>
                <w:szCs w:val="22"/>
              </w:rPr>
              <w:t>Brief Explanation</w:t>
            </w:r>
          </w:p>
        </w:tc>
      </w:tr>
      <w:tr w:rsidR="001762EE" w:rsidRPr="005A497D" w14:paraId="64BA428D" w14:textId="77777777" w:rsidTr="00882C4F">
        <w:tc>
          <w:tcPr>
            <w:tcW w:w="3600" w:type="dxa"/>
            <w:tcBorders>
              <w:top w:val="double" w:sz="4" w:space="0" w:color="auto"/>
              <w:bottom w:val="single" w:sz="4" w:space="0" w:color="auto"/>
            </w:tcBorders>
          </w:tcPr>
          <w:p w14:paraId="78AADA94" w14:textId="2158D8BD" w:rsidR="001762EE" w:rsidRPr="005A497D" w:rsidRDefault="001762EE" w:rsidP="00241373">
            <w:pPr>
              <w:spacing w:before="40" w:after="40"/>
              <w:rPr>
                <w:sz w:val="22"/>
                <w:szCs w:val="22"/>
              </w:rPr>
            </w:pPr>
            <w:r w:rsidRPr="005A497D">
              <w:rPr>
                <w:b/>
                <w:bCs/>
                <w:sz w:val="22"/>
                <w:szCs w:val="22"/>
              </w:rPr>
              <w:t xml:space="preserve">PI-18 Legislative scrutiny of </w:t>
            </w:r>
            <w:r>
              <w:rPr>
                <w:b/>
                <w:bCs/>
                <w:sz w:val="22"/>
                <w:szCs w:val="22"/>
              </w:rPr>
              <w:t xml:space="preserve">budgets </w:t>
            </w:r>
          </w:p>
        </w:tc>
        <w:tc>
          <w:tcPr>
            <w:tcW w:w="1843" w:type="dxa"/>
            <w:tcBorders>
              <w:top w:val="double" w:sz="4" w:space="0" w:color="auto"/>
              <w:bottom w:val="single" w:sz="4" w:space="0" w:color="auto"/>
            </w:tcBorders>
          </w:tcPr>
          <w:p w14:paraId="4D905A6C" w14:textId="77777777" w:rsidR="001762EE" w:rsidRPr="005A497D" w:rsidRDefault="001762EE" w:rsidP="00F27188">
            <w:pPr>
              <w:spacing w:before="40" w:after="40"/>
              <w:jc w:val="center"/>
              <w:rPr>
                <w:b/>
                <w:sz w:val="22"/>
                <w:szCs w:val="22"/>
              </w:rPr>
            </w:pPr>
            <w:r w:rsidRPr="005A497D">
              <w:rPr>
                <w:b/>
                <w:sz w:val="22"/>
                <w:szCs w:val="22"/>
              </w:rPr>
              <w:t>B+</w:t>
            </w:r>
          </w:p>
        </w:tc>
        <w:tc>
          <w:tcPr>
            <w:tcW w:w="3913" w:type="dxa"/>
            <w:tcBorders>
              <w:top w:val="double" w:sz="4" w:space="0" w:color="auto"/>
              <w:bottom w:val="single" w:sz="4" w:space="0" w:color="auto"/>
            </w:tcBorders>
          </w:tcPr>
          <w:p w14:paraId="35E9C869" w14:textId="77777777" w:rsidR="001762EE" w:rsidRPr="005A497D" w:rsidRDefault="001762EE" w:rsidP="00882C4F">
            <w:pPr>
              <w:spacing w:before="40" w:after="40"/>
              <w:rPr>
                <w:sz w:val="22"/>
                <w:szCs w:val="22"/>
              </w:rPr>
            </w:pPr>
            <w:r w:rsidRPr="005A497D">
              <w:rPr>
                <w:sz w:val="22"/>
                <w:szCs w:val="22"/>
              </w:rPr>
              <w:t>Overall rating based on M1 methodology.</w:t>
            </w:r>
          </w:p>
        </w:tc>
      </w:tr>
      <w:tr w:rsidR="001762EE" w:rsidRPr="005A497D" w14:paraId="3D249EF1" w14:textId="77777777" w:rsidTr="00312F6E">
        <w:trPr>
          <w:trHeight w:val="1817"/>
        </w:trPr>
        <w:tc>
          <w:tcPr>
            <w:tcW w:w="3600" w:type="dxa"/>
            <w:tcBorders>
              <w:top w:val="single" w:sz="4" w:space="0" w:color="auto"/>
              <w:bottom w:val="single" w:sz="4" w:space="0" w:color="auto"/>
            </w:tcBorders>
          </w:tcPr>
          <w:p w14:paraId="58981654" w14:textId="1E8C0BE3" w:rsidR="001762EE" w:rsidRPr="005A497D" w:rsidRDefault="001762EE" w:rsidP="00241373">
            <w:pPr>
              <w:pStyle w:val="BodyB"/>
              <w:rPr>
                <w:rFonts w:ascii="Times New Roman" w:hAnsi="Times New Roman"/>
                <w:sz w:val="22"/>
              </w:rPr>
            </w:pPr>
            <w:r>
              <w:rPr>
                <w:rFonts w:ascii="Times New Roman" w:hAnsi="Times New Roman"/>
                <w:sz w:val="22"/>
              </w:rPr>
              <w:t>18.1</w:t>
            </w:r>
            <w:r w:rsidRPr="005A497D">
              <w:rPr>
                <w:rFonts w:ascii="Times New Roman" w:hAnsi="Times New Roman"/>
                <w:sz w:val="22"/>
              </w:rPr>
              <w:t xml:space="preserve"> Scope of </w:t>
            </w:r>
            <w:r>
              <w:rPr>
                <w:rFonts w:ascii="Times New Roman" w:hAnsi="Times New Roman"/>
                <w:sz w:val="22"/>
              </w:rPr>
              <w:t xml:space="preserve">budget </w:t>
            </w:r>
            <w:r w:rsidRPr="005A497D">
              <w:rPr>
                <w:rFonts w:ascii="Times New Roman" w:hAnsi="Times New Roman"/>
                <w:sz w:val="22"/>
              </w:rPr>
              <w:t>scrutiny.</w:t>
            </w:r>
          </w:p>
        </w:tc>
        <w:tc>
          <w:tcPr>
            <w:tcW w:w="1843" w:type="dxa"/>
            <w:tcBorders>
              <w:top w:val="single" w:sz="4" w:space="0" w:color="auto"/>
              <w:bottom w:val="single" w:sz="4" w:space="0" w:color="auto"/>
            </w:tcBorders>
          </w:tcPr>
          <w:p w14:paraId="5D9D7F10" w14:textId="77777777" w:rsidR="001762EE" w:rsidRPr="005A497D" w:rsidRDefault="001762EE" w:rsidP="008F153D">
            <w:pPr>
              <w:pStyle w:val="BodyB"/>
              <w:jc w:val="center"/>
              <w:rPr>
                <w:rFonts w:ascii="Times New Roman" w:hAnsi="Times New Roman"/>
                <w:sz w:val="22"/>
              </w:rPr>
            </w:pPr>
            <w:r w:rsidRPr="005A497D">
              <w:rPr>
                <w:rFonts w:ascii="Times New Roman" w:hAnsi="Times New Roman"/>
                <w:sz w:val="22"/>
              </w:rPr>
              <w:t>B</w:t>
            </w:r>
          </w:p>
        </w:tc>
        <w:tc>
          <w:tcPr>
            <w:tcW w:w="3913" w:type="dxa"/>
            <w:tcBorders>
              <w:top w:val="single" w:sz="4" w:space="0" w:color="auto"/>
              <w:bottom w:val="single" w:sz="4" w:space="0" w:color="auto"/>
            </w:tcBorders>
          </w:tcPr>
          <w:p w14:paraId="7E206DE3" w14:textId="1A369960" w:rsidR="001762EE" w:rsidRPr="005A497D" w:rsidRDefault="001762EE" w:rsidP="00D46430">
            <w:pPr>
              <w:pStyle w:val="BodyB"/>
              <w:ind w:left="123"/>
              <w:rPr>
                <w:rFonts w:ascii="Times New Roman" w:hAnsi="Times New Roman"/>
                <w:sz w:val="22"/>
                <w:u w:color="000000"/>
              </w:rPr>
            </w:pPr>
            <w:r w:rsidRPr="005A497D">
              <w:rPr>
                <w:rFonts w:ascii="Times New Roman" w:hAnsi="Times New Roman"/>
                <w:sz w:val="22"/>
              </w:rPr>
              <w:t xml:space="preserve">The Legislature scrutinizes the budget proposal submitted which includes fiscal policies, aggregates and detailed estimates for revenue and expenditure. </w:t>
            </w:r>
            <w:r w:rsidRPr="005A497D">
              <w:rPr>
                <w:rFonts w:ascii="Times New Roman" w:hAnsi="Times New Roman"/>
                <w:sz w:val="22"/>
                <w:u w:color="000000"/>
              </w:rPr>
              <w:t>MTFF</w:t>
            </w:r>
            <w:r>
              <w:rPr>
                <w:rFonts w:ascii="Times New Roman" w:hAnsi="Times New Roman"/>
                <w:sz w:val="22"/>
                <w:u w:color="000000"/>
              </w:rPr>
              <w:t xml:space="preserve"> </w:t>
            </w:r>
            <w:r w:rsidRPr="005A497D">
              <w:rPr>
                <w:rFonts w:ascii="Times New Roman" w:hAnsi="Times New Roman"/>
                <w:sz w:val="22"/>
                <w:u w:color="000000"/>
              </w:rPr>
              <w:t>and priorities are not included in the budget document.</w:t>
            </w:r>
          </w:p>
        </w:tc>
      </w:tr>
      <w:tr w:rsidR="001762EE" w:rsidRPr="005A497D" w14:paraId="4A372193" w14:textId="77777777" w:rsidTr="00312F6E">
        <w:trPr>
          <w:trHeight w:val="908"/>
        </w:trPr>
        <w:tc>
          <w:tcPr>
            <w:tcW w:w="3600" w:type="dxa"/>
            <w:tcBorders>
              <w:top w:val="single" w:sz="4" w:space="0" w:color="auto"/>
              <w:bottom w:val="single" w:sz="4" w:space="0" w:color="auto"/>
            </w:tcBorders>
          </w:tcPr>
          <w:p w14:paraId="40F25898" w14:textId="7F52EE20" w:rsidR="001762EE" w:rsidRPr="005A497D" w:rsidRDefault="001762EE" w:rsidP="00241373">
            <w:pPr>
              <w:pStyle w:val="BodyB"/>
              <w:rPr>
                <w:rFonts w:ascii="Times New Roman" w:hAnsi="Times New Roman"/>
                <w:sz w:val="22"/>
              </w:rPr>
            </w:pPr>
            <w:r>
              <w:rPr>
                <w:rFonts w:ascii="Times New Roman" w:hAnsi="Times New Roman"/>
                <w:sz w:val="22"/>
              </w:rPr>
              <w:t>18.2</w:t>
            </w:r>
            <w:r w:rsidRPr="005A497D">
              <w:rPr>
                <w:rFonts w:ascii="Times New Roman" w:hAnsi="Times New Roman"/>
                <w:sz w:val="22"/>
              </w:rPr>
              <w:t xml:space="preserve"> </w:t>
            </w:r>
            <w:r>
              <w:rPr>
                <w:rFonts w:ascii="Times New Roman" w:hAnsi="Times New Roman"/>
                <w:sz w:val="22"/>
              </w:rPr>
              <w:t xml:space="preserve">Legislative procedures for budget scrutiny. </w:t>
            </w:r>
          </w:p>
        </w:tc>
        <w:tc>
          <w:tcPr>
            <w:tcW w:w="1843" w:type="dxa"/>
            <w:tcBorders>
              <w:top w:val="single" w:sz="4" w:space="0" w:color="auto"/>
              <w:bottom w:val="single" w:sz="4" w:space="0" w:color="auto"/>
            </w:tcBorders>
          </w:tcPr>
          <w:p w14:paraId="2C3D9F47" w14:textId="77777777" w:rsidR="001762EE" w:rsidRPr="005A497D" w:rsidRDefault="001762EE" w:rsidP="008F153D">
            <w:pPr>
              <w:pStyle w:val="BodyB"/>
              <w:jc w:val="center"/>
              <w:rPr>
                <w:rFonts w:ascii="Times New Roman" w:hAnsi="Times New Roman"/>
                <w:sz w:val="22"/>
              </w:rPr>
            </w:pPr>
            <w:r w:rsidRPr="005A497D">
              <w:rPr>
                <w:rFonts w:ascii="Times New Roman" w:hAnsi="Times New Roman"/>
                <w:sz w:val="22"/>
              </w:rPr>
              <w:t>A</w:t>
            </w:r>
          </w:p>
        </w:tc>
        <w:tc>
          <w:tcPr>
            <w:tcW w:w="3913" w:type="dxa"/>
            <w:tcBorders>
              <w:top w:val="single" w:sz="4" w:space="0" w:color="auto"/>
              <w:bottom w:val="single" w:sz="4" w:space="0" w:color="auto"/>
            </w:tcBorders>
          </w:tcPr>
          <w:p w14:paraId="53143B63" w14:textId="77777777" w:rsidR="001762EE" w:rsidRPr="005A497D" w:rsidRDefault="001762EE" w:rsidP="008F153D">
            <w:pPr>
              <w:pStyle w:val="BodyB"/>
              <w:ind w:left="123"/>
              <w:rPr>
                <w:rFonts w:ascii="Times New Roman" w:hAnsi="Times New Roman"/>
                <w:sz w:val="22"/>
              </w:rPr>
            </w:pPr>
            <w:r w:rsidRPr="005A497D">
              <w:rPr>
                <w:rFonts w:ascii="Times New Roman" w:hAnsi="Times New Roman"/>
                <w:sz w:val="22"/>
              </w:rPr>
              <w:t xml:space="preserve">Both Houses of Congress have established, comprehensive procedures that are respected. </w:t>
            </w:r>
          </w:p>
        </w:tc>
      </w:tr>
      <w:tr w:rsidR="001762EE" w:rsidRPr="005A497D" w14:paraId="6AB87787" w14:textId="77777777" w:rsidTr="00312F6E">
        <w:trPr>
          <w:trHeight w:val="1412"/>
        </w:trPr>
        <w:tc>
          <w:tcPr>
            <w:tcW w:w="3600" w:type="dxa"/>
            <w:tcBorders>
              <w:top w:val="single" w:sz="4" w:space="0" w:color="auto"/>
              <w:bottom w:val="single" w:sz="4" w:space="0" w:color="auto"/>
            </w:tcBorders>
          </w:tcPr>
          <w:p w14:paraId="400FF1B9" w14:textId="571CC4D5" w:rsidR="001762EE" w:rsidRPr="005A497D" w:rsidRDefault="001762EE" w:rsidP="00241373">
            <w:pPr>
              <w:pStyle w:val="BodyB"/>
              <w:rPr>
                <w:rFonts w:ascii="Times New Roman" w:hAnsi="Times New Roman"/>
                <w:sz w:val="22"/>
              </w:rPr>
            </w:pPr>
            <w:r>
              <w:rPr>
                <w:rFonts w:ascii="Times New Roman" w:hAnsi="Times New Roman"/>
                <w:sz w:val="22"/>
              </w:rPr>
              <w:t>18.3</w:t>
            </w:r>
            <w:r w:rsidRPr="005A497D">
              <w:rPr>
                <w:rFonts w:ascii="Times New Roman" w:hAnsi="Times New Roman"/>
                <w:sz w:val="22"/>
              </w:rPr>
              <w:t xml:space="preserve"> </w:t>
            </w:r>
            <w:r>
              <w:rPr>
                <w:rFonts w:ascii="Times New Roman" w:hAnsi="Times New Roman"/>
                <w:sz w:val="22"/>
              </w:rPr>
              <w:t xml:space="preserve">Timing of budget approval. </w:t>
            </w:r>
          </w:p>
        </w:tc>
        <w:tc>
          <w:tcPr>
            <w:tcW w:w="1843" w:type="dxa"/>
            <w:tcBorders>
              <w:top w:val="single" w:sz="4" w:space="0" w:color="auto"/>
              <w:bottom w:val="single" w:sz="4" w:space="0" w:color="auto"/>
            </w:tcBorders>
          </w:tcPr>
          <w:p w14:paraId="3EB92092" w14:textId="77777777" w:rsidR="001762EE" w:rsidRPr="005A497D" w:rsidRDefault="001762EE" w:rsidP="008F153D">
            <w:pPr>
              <w:pStyle w:val="BodyB"/>
              <w:jc w:val="center"/>
              <w:rPr>
                <w:rFonts w:ascii="Times New Roman" w:hAnsi="Times New Roman"/>
                <w:sz w:val="22"/>
              </w:rPr>
            </w:pPr>
            <w:r w:rsidRPr="005A497D">
              <w:rPr>
                <w:rFonts w:ascii="Times New Roman" w:hAnsi="Times New Roman"/>
                <w:sz w:val="22"/>
              </w:rPr>
              <w:t>A</w:t>
            </w:r>
          </w:p>
        </w:tc>
        <w:tc>
          <w:tcPr>
            <w:tcW w:w="3913" w:type="dxa"/>
            <w:tcBorders>
              <w:top w:val="single" w:sz="4" w:space="0" w:color="auto"/>
              <w:bottom w:val="single" w:sz="4" w:space="0" w:color="auto"/>
            </w:tcBorders>
          </w:tcPr>
          <w:p w14:paraId="5F235D20" w14:textId="150D5BA1" w:rsidR="001762EE" w:rsidRPr="005A497D" w:rsidRDefault="001762EE" w:rsidP="00CC09EA">
            <w:pPr>
              <w:pStyle w:val="BodyB"/>
              <w:ind w:left="123"/>
              <w:rPr>
                <w:rFonts w:ascii="Times New Roman" w:hAnsi="Times New Roman"/>
                <w:sz w:val="22"/>
              </w:rPr>
            </w:pPr>
            <w:r w:rsidRPr="005A497D">
              <w:rPr>
                <w:rFonts w:ascii="Times New Roman" w:hAnsi="Times New Roman"/>
                <w:sz w:val="22"/>
              </w:rPr>
              <w:t xml:space="preserve">In each of the last three years, the Bicameral </w:t>
            </w:r>
            <w:r>
              <w:rPr>
                <w:rFonts w:ascii="Times New Roman" w:hAnsi="Times New Roman"/>
                <w:sz w:val="22"/>
              </w:rPr>
              <w:t xml:space="preserve">Conference </w:t>
            </w:r>
            <w:r w:rsidRPr="005A497D">
              <w:rPr>
                <w:rFonts w:ascii="Times New Roman" w:hAnsi="Times New Roman"/>
                <w:sz w:val="22"/>
              </w:rPr>
              <w:t xml:space="preserve">Committee composed of representatives from both Houses of Congress approved the GAA before the start of the fiscal year. </w:t>
            </w:r>
          </w:p>
        </w:tc>
      </w:tr>
      <w:tr w:rsidR="001762EE" w:rsidRPr="005A497D" w14:paraId="49BE2A80" w14:textId="77777777" w:rsidTr="00312F6E">
        <w:trPr>
          <w:trHeight w:val="1628"/>
        </w:trPr>
        <w:tc>
          <w:tcPr>
            <w:tcW w:w="3600" w:type="dxa"/>
            <w:tcBorders>
              <w:top w:val="single" w:sz="4" w:space="0" w:color="auto"/>
              <w:bottom w:val="double" w:sz="4" w:space="0" w:color="auto"/>
            </w:tcBorders>
          </w:tcPr>
          <w:p w14:paraId="41CE6D41" w14:textId="7FE333DD" w:rsidR="001762EE" w:rsidRPr="005A497D" w:rsidRDefault="001762EE" w:rsidP="00241373">
            <w:pPr>
              <w:pStyle w:val="BodyB"/>
              <w:rPr>
                <w:rFonts w:ascii="Times New Roman" w:hAnsi="Times New Roman"/>
                <w:sz w:val="22"/>
              </w:rPr>
            </w:pPr>
            <w:r>
              <w:rPr>
                <w:rFonts w:ascii="Times New Roman" w:hAnsi="Times New Roman"/>
                <w:sz w:val="22"/>
              </w:rPr>
              <w:t>18.4</w:t>
            </w:r>
            <w:r w:rsidRPr="005A497D">
              <w:rPr>
                <w:rFonts w:ascii="Times New Roman" w:hAnsi="Times New Roman"/>
                <w:sz w:val="22"/>
              </w:rPr>
              <w:t xml:space="preserve"> Rules for </w:t>
            </w:r>
            <w:r>
              <w:rPr>
                <w:rFonts w:ascii="Times New Roman" w:hAnsi="Times New Roman"/>
                <w:sz w:val="22"/>
              </w:rPr>
              <w:t xml:space="preserve">budget adjustments by the executive. </w:t>
            </w:r>
          </w:p>
        </w:tc>
        <w:tc>
          <w:tcPr>
            <w:tcW w:w="1843" w:type="dxa"/>
            <w:tcBorders>
              <w:top w:val="single" w:sz="4" w:space="0" w:color="auto"/>
              <w:bottom w:val="double" w:sz="4" w:space="0" w:color="auto"/>
            </w:tcBorders>
          </w:tcPr>
          <w:p w14:paraId="27423014" w14:textId="77777777" w:rsidR="001762EE" w:rsidRPr="005A497D" w:rsidRDefault="001762EE" w:rsidP="008F153D">
            <w:pPr>
              <w:pStyle w:val="BodyB"/>
              <w:jc w:val="center"/>
              <w:rPr>
                <w:rFonts w:ascii="Times New Roman" w:hAnsi="Times New Roman"/>
                <w:sz w:val="22"/>
              </w:rPr>
            </w:pPr>
            <w:r w:rsidRPr="005A497D">
              <w:rPr>
                <w:rFonts w:ascii="Times New Roman" w:hAnsi="Times New Roman"/>
                <w:sz w:val="22"/>
              </w:rPr>
              <w:t>B</w:t>
            </w:r>
          </w:p>
        </w:tc>
        <w:tc>
          <w:tcPr>
            <w:tcW w:w="3913" w:type="dxa"/>
            <w:tcBorders>
              <w:top w:val="single" w:sz="4" w:space="0" w:color="auto"/>
              <w:bottom w:val="double" w:sz="4" w:space="0" w:color="auto"/>
            </w:tcBorders>
          </w:tcPr>
          <w:p w14:paraId="313B4476" w14:textId="77777777" w:rsidR="001762EE" w:rsidRPr="005A497D" w:rsidRDefault="001762EE" w:rsidP="008F153D">
            <w:pPr>
              <w:pStyle w:val="BodyB"/>
              <w:ind w:left="123"/>
              <w:rPr>
                <w:rFonts w:ascii="Times New Roman" w:hAnsi="Times New Roman"/>
                <w:sz w:val="22"/>
              </w:rPr>
            </w:pPr>
            <w:r w:rsidRPr="005A497D">
              <w:rPr>
                <w:rFonts w:ascii="Times New Roman" w:hAnsi="Times New Roman"/>
                <w:sz w:val="22"/>
              </w:rPr>
              <w:t xml:space="preserve">Expansion of the total expenditure is not allowed but under EO 292, the President is authorized to reallocate among approved items of the budget to utilize savings and cover deficits in any line item. </w:t>
            </w:r>
          </w:p>
        </w:tc>
      </w:tr>
    </w:tbl>
    <w:p w14:paraId="1F713CDB" w14:textId="77777777" w:rsidR="001762EE" w:rsidRPr="005A497D" w:rsidRDefault="001762EE" w:rsidP="00F27188">
      <w:pPr>
        <w:pStyle w:val="NormalWeb"/>
        <w:autoSpaceDE w:val="0"/>
        <w:autoSpaceDN w:val="0"/>
        <w:adjustRightInd w:val="0"/>
        <w:spacing w:before="0" w:beforeAutospacing="0" w:after="0" w:afterAutospacing="0"/>
        <w:contextualSpacing/>
        <w:jc w:val="both"/>
      </w:pPr>
    </w:p>
    <w:p w14:paraId="5638548E" w14:textId="04FCEDFE" w:rsidR="001762EE" w:rsidRPr="009A0E96" w:rsidRDefault="001762EE" w:rsidP="00F27188">
      <w:pPr>
        <w:pStyle w:val="BodyB"/>
        <w:tabs>
          <w:tab w:val="left" w:pos="287"/>
        </w:tabs>
        <w:jc w:val="both"/>
        <w:rPr>
          <w:rFonts w:ascii="Times New Roman" w:hAnsi="Times New Roman"/>
          <w:b/>
          <w:i/>
          <w:szCs w:val="24"/>
        </w:rPr>
      </w:pPr>
      <w:r w:rsidRPr="009A0E96">
        <w:rPr>
          <w:rFonts w:ascii="Times New Roman" w:hAnsi="Times New Roman"/>
          <w:b/>
          <w:i/>
          <w:szCs w:val="24"/>
        </w:rPr>
        <w:t>Dimension 18.1 Scope of budget scrutiny</w:t>
      </w:r>
    </w:p>
    <w:p w14:paraId="318C8D0C" w14:textId="77777777" w:rsidR="001762EE" w:rsidRPr="00312F6E" w:rsidRDefault="001762EE" w:rsidP="00F27188">
      <w:pPr>
        <w:pStyle w:val="BodyB"/>
        <w:tabs>
          <w:tab w:val="left" w:pos="287"/>
        </w:tabs>
        <w:jc w:val="both"/>
        <w:rPr>
          <w:rFonts w:ascii="Times New Roman" w:hAnsi="Times New Roman"/>
          <w:i/>
          <w:szCs w:val="24"/>
        </w:rPr>
      </w:pPr>
    </w:p>
    <w:p w14:paraId="4A10B1DD" w14:textId="0838E51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w:t>
      </w:r>
      <w:r w:rsidRPr="005A497D">
        <w:t xml:space="preserve"> </w:t>
      </w:r>
      <w:r>
        <w:rPr>
          <w:u w:color="000000"/>
        </w:rPr>
        <w:t xml:space="preserve">Senate Finance Committee and </w:t>
      </w:r>
      <w:r w:rsidRPr="005A497D">
        <w:rPr>
          <w:u w:color="000000"/>
        </w:rPr>
        <w:t>the House</w:t>
      </w:r>
      <w:r>
        <w:rPr>
          <w:u w:color="000000"/>
        </w:rPr>
        <w:t xml:space="preserve"> (of Representatives)</w:t>
      </w:r>
      <w:r w:rsidRPr="005A497D">
        <w:rPr>
          <w:u w:color="000000"/>
        </w:rPr>
        <w:t xml:space="preserve"> Appropriations Committee</w:t>
      </w:r>
      <w:r>
        <w:rPr>
          <w:u w:color="000000"/>
        </w:rPr>
        <w:t xml:space="preserve"> and</w:t>
      </w:r>
      <w:r w:rsidRPr="005A497D">
        <w:rPr>
          <w:u w:color="000000"/>
        </w:rPr>
        <w:t xml:space="preserve"> their corresponding sub-committees</w:t>
      </w:r>
      <w:r w:rsidRPr="005A497D">
        <w:t xml:space="preserve"> </w:t>
      </w:r>
      <w:r w:rsidRPr="005A497D">
        <w:rPr>
          <w:u w:color="000000"/>
        </w:rPr>
        <w:t>review the budget proposal submitted by the Executive. The BESF includes a</w:t>
      </w:r>
      <w:r w:rsidR="00CA0D85">
        <w:rPr>
          <w:u w:color="000000"/>
        </w:rPr>
        <w:t>n</w:t>
      </w:r>
      <w:r w:rsidRPr="005A497D">
        <w:rPr>
          <w:u w:color="000000"/>
        </w:rPr>
        <w:t xml:space="preserve"> </w:t>
      </w:r>
      <w:r>
        <w:rPr>
          <w:u w:color="000000"/>
        </w:rPr>
        <w:t>MTEF,</w:t>
      </w:r>
      <w:r w:rsidRPr="005A497D">
        <w:rPr>
          <w:u w:color="000000"/>
        </w:rPr>
        <w:t xml:space="preserve"> but not a</w:t>
      </w:r>
      <w:r>
        <w:rPr>
          <w:u w:color="000000"/>
        </w:rPr>
        <w:t xml:space="preserve"> medium-term fiscal framework</w:t>
      </w:r>
      <w:r w:rsidRPr="005A497D">
        <w:rPr>
          <w:u w:color="000000"/>
        </w:rPr>
        <w:t xml:space="preserve"> </w:t>
      </w:r>
      <w:r>
        <w:rPr>
          <w:u w:color="000000"/>
        </w:rPr>
        <w:t>(</w:t>
      </w:r>
      <w:r w:rsidRPr="005A497D">
        <w:rPr>
          <w:u w:color="000000"/>
        </w:rPr>
        <w:t>MTFF</w:t>
      </w:r>
      <w:r>
        <w:rPr>
          <w:u w:color="000000"/>
        </w:rPr>
        <w:t>)</w:t>
      </w:r>
      <w:r w:rsidRPr="005A497D">
        <w:rPr>
          <w:u w:color="000000"/>
        </w:rPr>
        <w:t xml:space="preserve">. </w:t>
      </w:r>
      <w:r w:rsidR="00CA0D85" w:rsidRPr="00CA0D85">
        <w:rPr>
          <w:u w:color="000000"/>
        </w:rPr>
        <w:t xml:space="preserve">Budget priorities framework is published at the start of the budget process on the DBM website but is not subject to legislative review, which is limited to the documents submitted. However it is used for reference regarding priority programs, strategies and approach in formulation of the budget. </w:t>
      </w:r>
      <w:r w:rsidRPr="005A497D">
        <w:rPr>
          <w:u w:color="000000"/>
        </w:rPr>
        <w:t>Departments are required to appear before the committees to defend their budget proposal. Score</w:t>
      </w:r>
      <w:r>
        <w:rPr>
          <w:u w:color="000000"/>
        </w:rPr>
        <w:t xml:space="preserve"> for Dimension 18.1</w:t>
      </w:r>
      <w:r w:rsidRPr="005A497D">
        <w:rPr>
          <w:u w:color="000000"/>
        </w:rPr>
        <w:t xml:space="preserve"> is assessed as “B”.</w:t>
      </w:r>
    </w:p>
    <w:p w14:paraId="7D8442CC" w14:textId="77777777" w:rsidR="001762EE" w:rsidRPr="005A497D" w:rsidRDefault="001762EE" w:rsidP="00F27188">
      <w:pPr>
        <w:pStyle w:val="NormalWeb"/>
        <w:autoSpaceDE w:val="0"/>
        <w:autoSpaceDN w:val="0"/>
        <w:adjustRightInd w:val="0"/>
        <w:spacing w:before="0" w:beforeAutospacing="0" w:after="0" w:afterAutospacing="0"/>
        <w:contextualSpacing/>
        <w:jc w:val="both"/>
      </w:pPr>
    </w:p>
    <w:p w14:paraId="5603924E" w14:textId="6A1516DE" w:rsidR="001762EE" w:rsidRPr="009A0E96" w:rsidRDefault="001762EE" w:rsidP="00F27188">
      <w:pPr>
        <w:pStyle w:val="BodyB"/>
        <w:tabs>
          <w:tab w:val="left" w:pos="353"/>
        </w:tabs>
        <w:jc w:val="both"/>
        <w:rPr>
          <w:rFonts w:ascii="Times New Roman" w:hAnsi="Times New Roman"/>
          <w:b/>
          <w:i/>
          <w:szCs w:val="24"/>
        </w:rPr>
      </w:pPr>
      <w:r w:rsidRPr="009A0E96">
        <w:rPr>
          <w:rFonts w:ascii="Times New Roman" w:hAnsi="Times New Roman"/>
          <w:b/>
          <w:i/>
          <w:szCs w:val="24"/>
        </w:rPr>
        <w:t xml:space="preserve">Dimension 18.2 Legislative procedures for budget scrutiny </w:t>
      </w:r>
    </w:p>
    <w:p w14:paraId="2C6B4220" w14:textId="77777777" w:rsidR="001762EE" w:rsidRPr="00312F6E" w:rsidRDefault="001762EE" w:rsidP="00F27188">
      <w:pPr>
        <w:pStyle w:val="BodyB"/>
        <w:tabs>
          <w:tab w:val="left" w:pos="353"/>
        </w:tabs>
        <w:jc w:val="both"/>
        <w:rPr>
          <w:rFonts w:ascii="Times New Roman" w:hAnsi="Times New Roman"/>
          <w:i/>
          <w:szCs w:val="24"/>
        </w:rPr>
      </w:pPr>
    </w:p>
    <w:p w14:paraId="6210A076" w14:textId="191932C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Both the </w:t>
      </w:r>
      <w:r>
        <w:t>House of Representatives</w:t>
      </w:r>
      <w:r w:rsidRPr="005A497D">
        <w:t xml:space="preserve"> and the Senate have well established and respected procedures for review of the budget law. The </w:t>
      </w:r>
      <w:r>
        <w:t>House of Representatives</w:t>
      </w:r>
      <w:r w:rsidRPr="005A497D">
        <w:t xml:space="preserve"> through the Appropriations Committee with its sub-committees, after receiving the budget proposal from the Executive, usually spends one month to review and conduct budget hearings before a </w:t>
      </w:r>
      <w:r>
        <w:t>General Appropriations Bill</w:t>
      </w:r>
      <w:r w:rsidRPr="005A497D">
        <w:t xml:space="preserve"> is endorsed for plenary deliberation until its approval. The Senate conducts simultaneous budget hearings but will only act on the approved </w:t>
      </w:r>
      <w:r>
        <w:t>the House of Representatives</w:t>
      </w:r>
      <w:r w:rsidRPr="005A497D">
        <w:t xml:space="preserve"> version. After the Senate approval, a Bicameral Conference Committee reconciles the difference between the </w:t>
      </w:r>
      <w:r>
        <w:t>House of Representatives</w:t>
      </w:r>
      <w:r w:rsidRPr="005A497D">
        <w:t xml:space="preserve"> and Senate version</w:t>
      </w:r>
      <w:r>
        <w:t>s.</w:t>
      </w:r>
      <w:r w:rsidRPr="005A497D">
        <w:t xml:space="preserve"> </w:t>
      </w:r>
      <w:r>
        <w:t>A</w:t>
      </w:r>
      <w:r w:rsidRPr="005A497D">
        <w:t xml:space="preserve"> Bicameral </w:t>
      </w:r>
      <w:r>
        <w:t xml:space="preserve">Conference </w:t>
      </w:r>
      <w:r w:rsidRPr="005A497D">
        <w:t>Committee report is then ratified by both Houses</w:t>
      </w:r>
      <w:r>
        <w:t xml:space="preserve">. The </w:t>
      </w:r>
      <w:r w:rsidR="00CA0D85">
        <w:t xml:space="preserve">enrolled </w:t>
      </w:r>
      <w:r>
        <w:t xml:space="preserve">copy of the general appropriations bill is finalized, printed, </w:t>
      </w:r>
      <w:r w:rsidRPr="005A497D">
        <w:t>and sent to the President for signature.</w:t>
      </w:r>
    </w:p>
    <w:p w14:paraId="32E8BED0" w14:textId="77777777" w:rsidR="001762EE" w:rsidRPr="005A497D" w:rsidRDefault="001762EE" w:rsidP="00CC09EA">
      <w:pPr>
        <w:pStyle w:val="NormalWeb"/>
        <w:autoSpaceDE w:val="0"/>
        <w:autoSpaceDN w:val="0"/>
        <w:adjustRightInd w:val="0"/>
        <w:spacing w:before="0" w:beforeAutospacing="0" w:after="0" w:afterAutospacing="0"/>
        <w:contextualSpacing/>
        <w:jc w:val="both"/>
      </w:pPr>
    </w:p>
    <w:p w14:paraId="25ECF347" w14:textId="4385D7E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To aid legislators during budget hearings, particularly in the House of Representatives, the Congressional Policy and Budget Research Department in August 2013</w:t>
      </w:r>
      <w:r>
        <w:t xml:space="preserve"> </w:t>
      </w:r>
      <w:r w:rsidRPr="005A497D">
        <w:t>issued “A Legislator’s Guide in Analyzing the National Budget”</w:t>
      </w:r>
      <w:r>
        <w:t xml:space="preserve"> that </w:t>
      </w:r>
      <w:r w:rsidRPr="005A497D">
        <w:t>contains the framework and guide questions for budget analysis. Agency Budget Notes containing pertinent information about the department or agency under review are prepared and distributed by the Congressional Policy and Budget Research Department. In addition, the Congressional District Representatives usually meet with their constituents to gather relevant information for budget deliberation.</w:t>
      </w:r>
    </w:p>
    <w:p w14:paraId="0E3DA9BC" w14:textId="77777777" w:rsidR="001762EE" w:rsidRPr="005A497D" w:rsidRDefault="001762EE" w:rsidP="00CC09EA">
      <w:pPr>
        <w:pStyle w:val="NormalWeb"/>
        <w:autoSpaceDE w:val="0"/>
        <w:autoSpaceDN w:val="0"/>
        <w:adjustRightInd w:val="0"/>
        <w:spacing w:before="0" w:beforeAutospacing="0" w:after="0" w:afterAutospacing="0"/>
        <w:contextualSpacing/>
        <w:jc w:val="both"/>
      </w:pPr>
    </w:p>
    <w:p w14:paraId="6EA55AF3" w14:textId="406F724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procedures remain firmly established, comprehensive</w:t>
      </w:r>
      <w:r>
        <w:t>,</w:t>
      </w:r>
      <w:r w:rsidRPr="005A497D">
        <w:t xml:space="preserve"> and respected</w:t>
      </w:r>
      <w:r>
        <w:t>.</w:t>
      </w:r>
      <w:r w:rsidRPr="005A497D">
        <w:t xml:space="preserve"> </w:t>
      </w:r>
      <w:r>
        <w:t>The</w:t>
      </w:r>
      <w:r w:rsidRPr="005A497D">
        <w:t xml:space="preserve"> score</w:t>
      </w:r>
      <w:r>
        <w:t xml:space="preserve"> for Dimension 18.2</w:t>
      </w:r>
      <w:r w:rsidRPr="005A497D">
        <w:t xml:space="preserve"> is assessed at “A”.</w:t>
      </w:r>
    </w:p>
    <w:p w14:paraId="589F0B52" w14:textId="77777777" w:rsidR="001762EE" w:rsidRPr="005A497D" w:rsidRDefault="001762EE" w:rsidP="00F27188">
      <w:pPr>
        <w:pStyle w:val="NormalWeb"/>
        <w:autoSpaceDE w:val="0"/>
        <w:autoSpaceDN w:val="0"/>
        <w:adjustRightInd w:val="0"/>
        <w:spacing w:before="0" w:beforeAutospacing="0" w:after="0" w:afterAutospacing="0"/>
        <w:contextualSpacing/>
        <w:jc w:val="both"/>
      </w:pPr>
    </w:p>
    <w:p w14:paraId="68822A1E" w14:textId="1ACA25F2" w:rsidR="001762EE" w:rsidRPr="009A0E96" w:rsidRDefault="001762EE" w:rsidP="00F27188">
      <w:pPr>
        <w:pStyle w:val="BodyB"/>
        <w:tabs>
          <w:tab w:val="left" w:pos="420"/>
        </w:tabs>
        <w:jc w:val="both"/>
        <w:rPr>
          <w:rFonts w:ascii="Times New Roman" w:hAnsi="Times New Roman"/>
          <w:b/>
          <w:i/>
          <w:szCs w:val="24"/>
        </w:rPr>
      </w:pPr>
      <w:r w:rsidRPr="009A0E96">
        <w:rPr>
          <w:rFonts w:ascii="Times New Roman" w:hAnsi="Times New Roman"/>
          <w:b/>
          <w:i/>
          <w:szCs w:val="24"/>
        </w:rPr>
        <w:t xml:space="preserve">Dimension 18.3 Timing of budget approval </w:t>
      </w:r>
    </w:p>
    <w:p w14:paraId="5A670763" w14:textId="77777777" w:rsidR="001762EE" w:rsidRPr="00312F6E" w:rsidRDefault="001762EE" w:rsidP="00F27188">
      <w:pPr>
        <w:pStyle w:val="BodyB"/>
        <w:tabs>
          <w:tab w:val="left" w:pos="420"/>
        </w:tabs>
        <w:jc w:val="both"/>
        <w:rPr>
          <w:rFonts w:ascii="Times New Roman" w:hAnsi="Times New Roman"/>
          <w:i/>
          <w:szCs w:val="24"/>
        </w:rPr>
      </w:pPr>
    </w:p>
    <w:p w14:paraId="6496BF3A" w14:textId="6A11ABC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As shown in </w:t>
      </w:r>
      <w:r>
        <w:t>Table 3.22</w:t>
      </w:r>
      <w:r w:rsidRPr="005A497D">
        <w:t xml:space="preserve">, the </w:t>
      </w:r>
      <w:r>
        <w:t>House of Representatives</w:t>
      </w:r>
      <w:r w:rsidRPr="005A497D">
        <w:t xml:space="preserve"> in the past three years has approved the budget proposal in October followed by Senate’s approval in November. After which </w:t>
      </w:r>
      <w:r>
        <w:t xml:space="preserve">the </w:t>
      </w:r>
      <w:r w:rsidRPr="005A497D">
        <w:t>Bicameral Conference Committee has approved the budget well in time for the President to complete the process before the start of the fiscal year. Score</w:t>
      </w:r>
      <w:r>
        <w:t xml:space="preserve"> for Dimension 18.3</w:t>
      </w:r>
      <w:r w:rsidRPr="005A497D">
        <w:t xml:space="preserve"> is thus assessed at “A”.</w:t>
      </w:r>
    </w:p>
    <w:p w14:paraId="7C3702CB" w14:textId="77777777" w:rsidR="001762EE" w:rsidRPr="005A497D" w:rsidRDefault="001762EE" w:rsidP="007173DF">
      <w:pPr>
        <w:pStyle w:val="NormalWeb"/>
        <w:autoSpaceDE w:val="0"/>
        <w:autoSpaceDN w:val="0"/>
        <w:adjustRightInd w:val="0"/>
        <w:spacing w:before="0" w:beforeAutospacing="0" w:after="0" w:afterAutospacing="0"/>
        <w:contextualSpacing/>
        <w:jc w:val="both"/>
      </w:pPr>
    </w:p>
    <w:p w14:paraId="6C480505" w14:textId="3DC21359" w:rsidR="001762EE" w:rsidRPr="005A497D" w:rsidRDefault="001762EE" w:rsidP="001112A1">
      <w:pPr>
        <w:pStyle w:val="PEFATable"/>
        <w:spacing w:after="40"/>
        <w:jc w:val="both"/>
        <w:rPr>
          <w:sz w:val="24"/>
          <w:szCs w:val="24"/>
        </w:rPr>
      </w:pPr>
      <w:bookmarkStart w:id="216" w:name="_Toc454889258"/>
      <w:r w:rsidRPr="005A497D">
        <w:rPr>
          <w:sz w:val="24"/>
          <w:szCs w:val="24"/>
        </w:rPr>
        <w:t>Table 3.</w:t>
      </w:r>
      <w:r w:rsidR="00A85C58">
        <w:rPr>
          <w:sz w:val="24"/>
          <w:szCs w:val="24"/>
        </w:rPr>
        <w:t>16</w:t>
      </w:r>
      <w:r w:rsidRPr="005A497D">
        <w:rPr>
          <w:sz w:val="24"/>
          <w:szCs w:val="24"/>
        </w:rPr>
        <w:t>: Submission and Approval Dates of Budget Bills</w:t>
      </w:r>
      <w:bookmarkEnd w:id="216"/>
    </w:p>
    <w:tbl>
      <w:tblPr>
        <w:tblW w:w="9544" w:type="dxa"/>
        <w:tblInd w:w="108" w:type="dxa"/>
        <w:shd w:val="clear" w:color="auto" w:fill="FFFFFF"/>
        <w:tblLayout w:type="fixed"/>
        <w:tblLook w:val="0000" w:firstRow="0" w:lastRow="0" w:firstColumn="0" w:lastColumn="0" w:noHBand="0" w:noVBand="0"/>
      </w:tblPr>
      <w:tblGrid>
        <w:gridCol w:w="851"/>
        <w:gridCol w:w="1448"/>
        <w:gridCol w:w="1449"/>
        <w:gridCol w:w="1449"/>
        <w:gridCol w:w="1449"/>
        <w:gridCol w:w="1449"/>
        <w:gridCol w:w="1449"/>
      </w:tblGrid>
      <w:tr w:rsidR="001762EE" w:rsidRPr="00EE3D16" w14:paraId="0DD7F599" w14:textId="77777777" w:rsidTr="00312F6E">
        <w:trPr>
          <w:cantSplit/>
          <w:trHeight w:val="520"/>
        </w:trPr>
        <w:tc>
          <w:tcPr>
            <w:tcW w:w="851" w:type="dxa"/>
            <w:tcBorders>
              <w:top w:val="double" w:sz="4" w:space="0" w:color="auto"/>
              <w:left w:val="double" w:sz="4" w:space="0" w:color="auto"/>
              <w:bottom w:val="double" w:sz="4" w:space="0" w:color="auto"/>
              <w:right w:val="single" w:sz="2" w:space="0" w:color="000000"/>
            </w:tcBorders>
            <w:shd w:val="clear" w:color="auto" w:fill="D9D9D9"/>
            <w:vAlign w:val="center"/>
          </w:tcPr>
          <w:p w14:paraId="21F57C0A" w14:textId="77777777" w:rsidR="001762EE" w:rsidRPr="00FA7D33" w:rsidRDefault="001762EE" w:rsidP="008F153D">
            <w:pPr>
              <w:pStyle w:val="FreeFormAAAAA"/>
              <w:jc w:val="center"/>
              <w:rPr>
                <w:b/>
                <w:lang w:val="en-US"/>
              </w:rPr>
            </w:pPr>
            <w:r w:rsidRPr="00FA7D33">
              <w:rPr>
                <w:b/>
                <w:lang w:val="en-US"/>
              </w:rPr>
              <w:t>Fiscal Year</w:t>
            </w:r>
          </w:p>
        </w:tc>
        <w:tc>
          <w:tcPr>
            <w:tcW w:w="1448" w:type="dxa"/>
            <w:tcBorders>
              <w:top w:val="double" w:sz="4" w:space="0" w:color="auto"/>
              <w:left w:val="single" w:sz="2" w:space="0" w:color="000000"/>
              <w:bottom w:val="double" w:sz="4" w:space="0" w:color="auto"/>
              <w:right w:val="single" w:sz="2" w:space="0" w:color="000000"/>
            </w:tcBorders>
            <w:shd w:val="clear" w:color="auto" w:fill="D9D9D9"/>
            <w:vAlign w:val="center"/>
          </w:tcPr>
          <w:p w14:paraId="61A462C6" w14:textId="13914F7B" w:rsidR="001762EE" w:rsidRPr="00FA7D33" w:rsidRDefault="001762EE" w:rsidP="00D46430">
            <w:pPr>
              <w:pStyle w:val="FreeFormAAAAA"/>
              <w:jc w:val="center"/>
              <w:rPr>
                <w:b/>
                <w:lang w:val="en-US"/>
              </w:rPr>
            </w:pPr>
            <w:r w:rsidRPr="00FA7D33">
              <w:rPr>
                <w:b/>
                <w:lang w:val="en-US"/>
              </w:rPr>
              <w:t>Budget proposal</w:t>
            </w:r>
          </w:p>
        </w:tc>
        <w:tc>
          <w:tcPr>
            <w:tcW w:w="1449" w:type="dxa"/>
            <w:tcBorders>
              <w:top w:val="double" w:sz="4" w:space="0" w:color="auto"/>
              <w:left w:val="single" w:sz="2" w:space="0" w:color="000000"/>
              <w:bottom w:val="double" w:sz="4" w:space="0" w:color="auto"/>
              <w:right w:val="single" w:sz="2" w:space="0" w:color="000000"/>
            </w:tcBorders>
            <w:shd w:val="clear" w:color="auto" w:fill="D9D9D9"/>
            <w:vAlign w:val="center"/>
          </w:tcPr>
          <w:p w14:paraId="7A6E2948" w14:textId="29EC76AA" w:rsidR="001762EE" w:rsidRPr="00FA7D33" w:rsidRDefault="001762EE" w:rsidP="00D46430">
            <w:pPr>
              <w:pStyle w:val="FreeFormAAAAA"/>
              <w:keepNext/>
              <w:jc w:val="center"/>
              <w:outlineLvl w:val="2"/>
              <w:rPr>
                <w:b/>
                <w:lang w:val="en-US"/>
              </w:rPr>
            </w:pPr>
            <w:bookmarkStart w:id="217" w:name="_Toc454811705"/>
            <w:bookmarkStart w:id="218" w:name="_Toc454888849"/>
            <w:r w:rsidRPr="00FA7D33">
              <w:rPr>
                <w:b/>
                <w:lang w:val="en-US"/>
              </w:rPr>
              <w:t>House approval</w:t>
            </w:r>
            <w:bookmarkEnd w:id="217"/>
            <w:bookmarkEnd w:id="218"/>
          </w:p>
        </w:tc>
        <w:tc>
          <w:tcPr>
            <w:tcW w:w="1449" w:type="dxa"/>
            <w:tcBorders>
              <w:top w:val="double" w:sz="4" w:space="0" w:color="auto"/>
              <w:left w:val="single" w:sz="2" w:space="0" w:color="000000"/>
              <w:bottom w:val="double" w:sz="4" w:space="0" w:color="auto"/>
              <w:right w:val="single" w:sz="2" w:space="0" w:color="000000"/>
            </w:tcBorders>
            <w:shd w:val="clear" w:color="auto" w:fill="D9D9D9"/>
            <w:vAlign w:val="center"/>
          </w:tcPr>
          <w:p w14:paraId="6F32A9D0" w14:textId="2BC49ED2" w:rsidR="001762EE" w:rsidRPr="00FA7D33" w:rsidRDefault="001762EE" w:rsidP="00CE517D">
            <w:pPr>
              <w:pStyle w:val="FreeFormAAAAA"/>
              <w:jc w:val="center"/>
              <w:rPr>
                <w:b/>
                <w:lang w:val="en-US"/>
              </w:rPr>
            </w:pPr>
            <w:r w:rsidRPr="00FA7D33">
              <w:rPr>
                <w:b/>
                <w:lang w:val="en-US"/>
              </w:rPr>
              <w:t>Senate approval</w:t>
            </w:r>
          </w:p>
        </w:tc>
        <w:tc>
          <w:tcPr>
            <w:tcW w:w="1449" w:type="dxa"/>
            <w:tcBorders>
              <w:top w:val="double" w:sz="4" w:space="0" w:color="auto"/>
              <w:left w:val="single" w:sz="2" w:space="0" w:color="000000"/>
              <w:bottom w:val="double" w:sz="4" w:space="0" w:color="auto"/>
              <w:right w:val="single" w:sz="2" w:space="0" w:color="000000"/>
            </w:tcBorders>
            <w:shd w:val="clear" w:color="auto" w:fill="D9D9D9"/>
            <w:vAlign w:val="center"/>
          </w:tcPr>
          <w:p w14:paraId="05A977BE" w14:textId="310DB7D4" w:rsidR="001762EE" w:rsidRPr="00FA7D33" w:rsidRDefault="001762EE" w:rsidP="00F87F7C">
            <w:pPr>
              <w:pStyle w:val="FreeFormAAAAA"/>
              <w:ind w:left="57" w:right="57"/>
              <w:jc w:val="center"/>
              <w:rPr>
                <w:b/>
                <w:lang w:val="en-US"/>
              </w:rPr>
            </w:pPr>
            <w:r w:rsidRPr="00FA7D33">
              <w:rPr>
                <w:b/>
                <w:lang w:val="en-US"/>
              </w:rPr>
              <w:t>Bicameral approval</w:t>
            </w:r>
          </w:p>
        </w:tc>
        <w:tc>
          <w:tcPr>
            <w:tcW w:w="1449" w:type="dxa"/>
            <w:tcBorders>
              <w:top w:val="double" w:sz="4" w:space="0" w:color="auto"/>
              <w:left w:val="single" w:sz="2" w:space="0" w:color="000000"/>
              <w:bottom w:val="double" w:sz="4" w:space="0" w:color="auto"/>
              <w:right w:val="single" w:sz="2" w:space="0" w:color="000000"/>
            </w:tcBorders>
            <w:shd w:val="clear" w:color="auto" w:fill="D9D9D9"/>
            <w:vAlign w:val="center"/>
          </w:tcPr>
          <w:p w14:paraId="51636C25" w14:textId="76521C2D" w:rsidR="001762EE" w:rsidRPr="00FA7D33" w:rsidRDefault="001762EE" w:rsidP="008E5936">
            <w:pPr>
              <w:pStyle w:val="FreeFormAAAAA"/>
              <w:jc w:val="center"/>
              <w:rPr>
                <w:b/>
                <w:lang w:val="en-US"/>
              </w:rPr>
            </w:pPr>
            <w:r w:rsidRPr="00FA7D33">
              <w:rPr>
                <w:b/>
                <w:lang w:val="en-US"/>
              </w:rPr>
              <w:t>President’s approval</w:t>
            </w:r>
          </w:p>
        </w:tc>
        <w:tc>
          <w:tcPr>
            <w:tcW w:w="1449" w:type="dxa"/>
            <w:tcBorders>
              <w:top w:val="double" w:sz="4" w:space="0" w:color="auto"/>
              <w:left w:val="single" w:sz="2" w:space="0" w:color="000000"/>
              <w:bottom w:val="double" w:sz="4" w:space="0" w:color="auto"/>
              <w:right w:val="double" w:sz="4" w:space="0" w:color="auto"/>
            </w:tcBorders>
            <w:shd w:val="clear" w:color="auto" w:fill="D9D9D9"/>
            <w:vAlign w:val="center"/>
          </w:tcPr>
          <w:p w14:paraId="6E38A327" w14:textId="77777777" w:rsidR="001762EE" w:rsidRPr="00FA7D33" w:rsidRDefault="001762EE" w:rsidP="008F153D">
            <w:pPr>
              <w:pStyle w:val="FreeFormAAAAA"/>
              <w:jc w:val="center"/>
              <w:rPr>
                <w:b/>
                <w:lang w:val="en-US"/>
              </w:rPr>
            </w:pPr>
            <w:r w:rsidRPr="00FA7D33">
              <w:rPr>
                <w:b/>
                <w:lang w:val="en-US"/>
              </w:rPr>
              <w:t>Republic Act</w:t>
            </w:r>
          </w:p>
        </w:tc>
      </w:tr>
      <w:tr w:rsidR="001762EE" w:rsidRPr="005A497D" w14:paraId="456CE388" w14:textId="77777777" w:rsidTr="00312F6E">
        <w:trPr>
          <w:cantSplit/>
          <w:trHeight w:val="280"/>
        </w:trPr>
        <w:tc>
          <w:tcPr>
            <w:tcW w:w="851" w:type="dxa"/>
            <w:tcBorders>
              <w:top w:val="double" w:sz="4" w:space="0" w:color="auto"/>
              <w:left w:val="double" w:sz="4" w:space="0" w:color="auto"/>
              <w:bottom w:val="single" w:sz="2" w:space="0" w:color="000000"/>
              <w:right w:val="single" w:sz="2" w:space="0" w:color="000000"/>
            </w:tcBorders>
            <w:shd w:val="clear" w:color="auto" w:fill="FFFFFF"/>
          </w:tcPr>
          <w:p w14:paraId="30F5ADBF" w14:textId="77777777" w:rsidR="001762EE" w:rsidRPr="005A497D" w:rsidRDefault="001762EE" w:rsidP="008F153D">
            <w:pPr>
              <w:pStyle w:val="FreeFormAAAAA"/>
              <w:jc w:val="center"/>
              <w:rPr>
                <w:lang w:val="en-US"/>
              </w:rPr>
            </w:pPr>
            <w:r w:rsidRPr="005A497D">
              <w:rPr>
                <w:lang w:val="en-US"/>
              </w:rPr>
              <w:t>2012</w:t>
            </w:r>
          </w:p>
        </w:tc>
        <w:tc>
          <w:tcPr>
            <w:tcW w:w="1448" w:type="dxa"/>
            <w:tcBorders>
              <w:top w:val="double" w:sz="4" w:space="0" w:color="auto"/>
              <w:left w:val="single" w:sz="2" w:space="0" w:color="000000"/>
              <w:bottom w:val="single" w:sz="2" w:space="0" w:color="000000"/>
              <w:right w:val="single" w:sz="2" w:space="0" w:color="000000"/>
            </w:tcBorders>
            <w:shd w:val="clear" w:color="auto" w:fill="FFFFFF"/>
          </w:tcPr>
          <w:p w14:paraId="5C1756F2" w14:textId="77777777" w:rsidR="001762EE" w:rsidRPr="005A497D" w:rsidRDefault="001762EE" w:rsidP="008F153D">
            <w:pPr>
              <w:pStyle w:val="FreeFormAAAAA"/>
              <w:jc w:val="center"/>
              <w:rPr>
                <w:lang w:val="en-US"/>
              </w:rPr>
            </w:pPr>
            <w:r w:rsidRPr="005A497D">
              <w:rPr>
                <w:lang w:val="en-US"/>
              </w:rPr>
              <w:t>July 26, 2011</w:t>
            </w:r>
          </w:p>
        </w:tc>
        <w:tc>
          <w:tcPr>
            <w:tcW w:w="1449" w:type="dxa"/>
            <w:tcBorders>
              <w:top w:val="double" w:sz="4" w:space="0" w:color="auto"/>
              <w:left w:val="single" w:sz="2" w:space="0" w:color="000000"/>
              <w:bottom w:val="single" w:sz="2" w:space="0" w:color="000000"/>
              <w:right w:val="single" w:sz="2" w:space="0" w:color="000000"/>
            </w:tcBorders>
            <w:shd w:val="clear" w:color="auto" w:fill="FFFFFF"/>
          </w:tcPr>
          <w:p w14:paraId="066F6499" w14:textId="77777777" w:rsidR="001762EE" w:rsidRPr="005A497D" w:rsidRDefault="001762EE" w:rsidP="008F153D">
            <w:pPr>
              <w:pStyle w:val="FreeFormAAAAA"/>
              <w:jc w:val="center"/>
              <w:rPr>
                <w:lang w:val="en-US"/>
              </w:rPr>
            </w:pPr>
            <w:r w:rsidRPr="005A497D">
              <w:rPr>
                <w:lang w:val="en-US"/>
              </w:rPr>
              <w:t>Oct.12, 2011</w:t>
            </w:r>
          </w:p>
        </w:tc>
        <w:tc>
          <w:tcPr>
            <w:tcW w:w="1449" w:type="dxa"/>
            <w:tcBorders>
              <w:top w:val="double" w:sz="4" w:space="0" w:color="auto"/>
              <w:left w:val="single" w:sz="2" w:space="0" w:color="000000"/>
              <w:bottom w:val="single" w:sz="2" w:space="0" w:color="000000"/>
              <w:right w:val="single" w:sz="2" w:space="0" w:color="000000"/>
            </w:tcBorders>
            <w:shd w:val="clear" w:color="auto" w:fill="FFFFFF"/>
          </w:tcPr>
          <w:p w14:paraId="7A72FD85" w14:textId="77777777" w:rsidR="001762EE" w:rsidRPr="005A497D" w:rsidRDefault="001762EE" w:rsidP="008F153D">
            <w:pPr>
              <w:pStyle w:val="FreeFormAAAAA"/>
              <w:jc w:val="center"/>
              <w:rPr>
                <w:lang w:val="en-US"/>
              </w:rPr>
            </w:pPr>
            <w:r w:rsidRPr="005A497D">
              <w:rPr>
                <w:lang w:val="en-US"/>
              </w:rPr>
              <w:t>Nov. 22, 2011</w:t>
            </w:r>
          </w:p>
        </w:tc>
        <w:tc>
          <w:tcPr>
            <w:tcW w:w="1449" w:type="dxa"/>
            <w:tcBorders>
              <w:top w:val="double" w:sz="4" w:space="0" w:color="auto"/>
              <w:left w:val="single" w:sz="2" w:space="0" w:color="000000"/>
              <w:bottom w:val="single" w:sz="2" w:space="0" w:color="000000"/>
              <w:right w:val="single" w:sz="2" w:space="0" w:color="000000"/>
            </w:tcBorders>
            <w:shd w:val="clear" w:color="auto" w:fill="FFFFFF"/>
          </w:tcPr>
          <w:p w14:paraId="2874E382" w14:textId="77777777" w:rsidR="001762EE" w:rsidRPr="005A497D" w:rsidRDefault="001762EE" w:rsidP="008F153D">
            <w:pPr>
              <w:pStyle w:val="FreeFormAAAAA"/>
              <w:jc w:val="center"/>
              <w:rPr>
                <w:lang w:val="en-US"/>
              </w:rPr>
            </w:pPr>
            <w:r w:rsidRPr="005A497D">
              <w:rPr>
                <w:lang w:val="en-US"/>
              </w:rPr>
              <w:t>Nov. 29, 2011</w:t>
            </w:r>
          </w:p>
        </w:tc>
        <w:tc>
          <w:tcPr>
            <w:tcW w:w="1449" w:type="dxa"/>
            <w:tcBorders>
              <w:top w:val="double" w:sz="4" w:space="0" w:color="auto"/>
              <w:left w:val="single" w:sz="2" w:space="0" w:color="000000"/>
              <w:bottom w:val="single" w:sz="2" w:space="0" w:color="000000"/>
              <w:right w:val="single" w:sz="2" w:space="0" w:color="000000"/>
            </w:tcBorders>
            <w:shd w:val="clear" w:color="auto" w:fill="FFFFFF"/>
          </w:tcPr>
          <w:p w14:paraId="2748C65F" w14:textId="77777777" w:rsidR="001762EE" w:rsidRPr="005A497D" w:rsidRDefault="001762EE" w:rsidP="008F153D">
            <w:pPr>
              <w:pStyle w:val="FreeFormAAAAA"/>
              <w:jc w:val="center"/>
              <w:rPr>
                <w:lang w:val="en-US"/>
              </w:rPr>
            </w:pPr>
            <w:r w:rsidRPr="005A497D">
              <w:rPr>
                <w:lang w:val="en-US"/>
              </w:rPr>
              <w:t>Dec. 15, 2011</w:t>
            </w:r>
          </w:p>
        </w:tc>
        <w:tc>
          <w:tcPr>
            <w:tcW w:w="1449" w:type="dxa"/>
            <w:tcBorders>
              <w:top w:val="double" w:sz="4" w:space="0" w:color="auto"/>
              <w:left w:val="single" w:sz="2" w:space="0" w:color="000000"/>
              <w:bottom w:val="single" w:sz="2" w:space="0" w:color="000000"/>
              <w:right w:val="double" w:sz="4" w:space="0" w:color="auto"/>
            </w:tcBorders>
            <w:shd w:val="clear" w:color="auto" w:fill="FFFFFF"/>
          </w:tcPr>
          <w:p w14:paraId="2DEF03AE" w14:textId="77777777" w:rsidR="001762EE" w:rsidRPr="005A497D" w:rsidRDefault="001762EE" w:rsidP="008F153D">
            <w:pPr>
              <w:pStyle w:val="FreeFormAAAAA"/>
              <w:jc w:val="center"/>
              <w:rPr>
                <w:lang w:val="en-US"/>
              </w:rPr>
            </w:pPr>
            <w:r w:rsidRPr="005A497D">
              <w:rPr>
                <w:lang w:val="en-US"/>
              </w:rPr>
              <w:t>RA 10155</w:t>
            </w:r>
          </w:p>
        </w:tc>
      </w:tr>
      <w:tr w:rsidR="001762EE" w:rsidRPr="005A497D" w14:paraId="0972F741" w14:textId="77777777" w:rsidTr="00312F6E">
        <w:trPr>
          <w:cantSplit/>
          <w:trHeight w:val="275"/>
        </w:trPr>
        <w:tc>
          <w:tcPr>
            <w:tcW w:w="851" w:type="dxa"/>
            <w:tcBorders>
              <w:top w:val="single" w:sz="2" w:space="0" w:color="000000"/>
              <w:left w:val="double" w:sz="4" w:space="0" w:color="auto"/>
              <w:bottom w:val="single" w:sz="2" w:space="0" w:color="000000"/>
              <w:right w:val="single" w:sz="2" w:space="0" w:color="000000"/>
            </w:tcBorders>
            <w:shd w:val="clear" w:color="auto" w:fill="FFFFFF"/>
          </w:tcPr>
          <w:p w14:paraId="7D61B085" w14:textId="77777777" w:rsidR="001762EE" w:rsidRPr="005A497D" w:rsidRDefault="001762EE" w:rsidP="008F153D">
            <w:pPr>
              <w:pStyle w:val="FreeFormAAAAA"/>
              <w:jc w:val="center"/>
              <w:rPr>
                <w:lang w:val="en-US"/>
              </w:rPr>
            </w:pPr>
            <w:r w:rsidRPr="005A497D">
              <w:rPr>
                <w:lang w:val="en-US"/>
              </w:rPr>
              <w:t>2013</w:t>
            </w:r>
          </w:p>
        </w:tc>
        <w:tc>
          <w:tcPr>
            <w:tcW w:w="1448" w:type="dxa"/>
            <w:tcBorders>
              <w:top w:val="single" w:sz="2" w:space="0" w:color="000000"/>
              <w:left w:val="single" w:sz="2" w:space="0" w:color="000000"/>
              <w:bottom w:val="single" w:sz="2" w:space="0" w:color="000000"/>
              <w:right w:val="single" w:sz="2" w:space="0" w:color="000000"/>
            </w:tcBorders>
            <w:shd w:val="clear" w:color="auto" w:fill="FFFFFF"/>
          </w:tcPr>
          <w:p w14:paraId="27BDCF89" w14:textId="77777777" w:rsidR="001762EE" w:rsidRPr="005A497D" w:rsidRDefault="001762EE" w:rsidP="008F153D">
            <w:pPr>
              <w:pStyle w:val="FreeFormAAAAA"/>
              <w:jc w:val="center"/>
              <w:rPr>
                <w:lang w:val="en-US"/>
              </w:rPr>
            </w:pPr>
            <w:r w:rsidRPr="005A497D">
              <w:rPr>
                <w:lang w:val="en-US"/>
              </w:rPr>
              <w:t>July 24, 2012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37CF7FEE" w14:textId="77777777" w:rsidR="001762EE" w:rsidRPr="005A497D" w:rsidRDefault="001762EE" w:rsidP="008F153D">
            <w:pPr>
              <w:pStyle w:val="FreeFormAAAAA"/>
              <w:jc w:val="center"/>
              <w:rPr>
                <w:lang w:val="en-US"/>
              </w:rPr>
            </w:pPr>
            <w:r w:rsidRPr="005A497D">
              <w:rPr>
                <w:lang w:val="en-US"/>
              </w:rPr>
              <w:t>Oct. 15, 2012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2E6B9A0A" w14:textId="77777777" w:rsidR="001762EE" w:rsidRPr="005A497D" w:rsidRDefault="001762EE" w:rsidP="008F153D">
            <w:pPr>
              <w:pStyle w:val="FreeFormAAAAA"/>
              <w:jc w:val="center"/>
              <w:rPr>
                <w:lang w:val="en-US"/>
              </w:rPr>
            </w:pPr>
            <w:r w:rsidRPr="005A497D">
              <w:rPr>
                <w:lang w:val="en-US"/>
              </w:rPr>
              <w:t>Nov. 28, 2012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71013D88" w14:textId="77777777" w:rsidR="001762EE" w:rsidRPr="005A497D" w:rsidRDefault="001762EE" w:rsidP="008F153D">
            <w:pPr>
              <w:pStyle w:val="FreeFormAAAAA"/>
              <w:jc w:val="center"/>
              <w:rPr>
                <w:lang w:val="en-US"/>
              </w:rPr>
            </w:pPr>
            <w:r w:rsidRPr="005A497D">
              <w:rPr>
                <w:lang w:val="en-US"/>
              </w:rPr>
              <w:t>Dec. 5, 2012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57A28AAF" w14:textId="77777777" w:rsidR="001762EE" w:rsidRPr="005A497D" w:rsidRDefault="001762EE" w:rsidP="008F153D">
            <w:pPr>
              <w:pStyle w:val="FreeFormAAAAA"/>
              <w:jc w:val="center"/>
              <w:rPr>
                <w:lang w:val="en-US"/>
              </w:rPr>
            </w:pPr>
            <w:r w:rsidRPr="005A497D">
              <w:rPr>
                <w:lang w:val="en-US"/>
              </w:rPr>
              <w:t>Dec. 19, 2012</w:t>
            </w:r>
          </w:p>
        </w:tc>
        <w:tc>
          <w:tcPr>
            <w:tcW w:w="1449" w:type="dxa"/>
            <w:tcBorders>
              <w:top w:val="single" w:sz="2" w:space="0" w:color="000000"/>
              <w:left w:val="single" w:sz="2" w:space="0" w:color="000000"/>
              <w:bottom w:val="single" w:sz="2" w:space="0" w:color="000000"/>
              <w:right w:val="double" w:sz="4" w:space="0" w:color="auto"/>
            </w:tcBorders>
            <w:shd w:val="clear" w:color="auto" w:fill="FFFFFF"/>
          </w:tcPr>
          <w:p w14:paraId="11AF3438" w14:textId="77777777" w:rsidR="001762EE" w:rsidRPr="005A497D" w:rsidRDefault="001762EE" w:rsidP="008F153D">
            <w:pPr>
              <w:pStyle w:val="FreeFormAAAAA"/>
              <w:jc w:val="center"/>
              <w:rPr>
                <w:lang w:val="en-US"/>
              </w:rPr>
            </w:pPr>
            <w:r w:rsidRPr="005A497D">
              <w:rPr>
                <w:lang w:val="en-US"/>
              </w:rPr>
              <w:t>RA 10352</w:t>
            </w:r>
          </w:p>
        </w:tc>
      </w:tr>
      <w:tr w:rsidR="001762EE" w:rsidRPr="005A497D" w14:paraId="042FEFF5" w14:textId="77777777" w:rsidTr="00312F6E">
        <w:trPr>
          <w:cantSplit/>
          <w:trHeight w:val="526"/>
        </w:trPr>
        <w:tc>
          <w:tcPr>
            <w:tcW w:w="851" w:type="dxa"/>
            <w:tcBorders>
              <w:top w:val="single" w:sz="2" w:space="0" w:color="000000"/>
              <w:left w:val="double" w:sz="4" w:space="0" w:color="auto"/>
              <w:bottom w:val="single" w:sz="2" w:space="0" w:color="000000"/>
              <w:right w:val="single" w:sz="2" w:space="0" w:color="000000"/>
            </w:tcBorders>
            <w:shd w:val="clear" w:color="auto" w:fill="FFFFFF"/>
          </w:tcPr>
          <w:p w14:paraId="1A8420DA" w14:textId="77777777" w:rsidR="001762EE" w:rsidRPr="005A497D" w:rsidRDefault="001762EE" w:rsidP="008F153D">
            <w:pPr>
              <w:pStyle w:val="FreeFormAAAAA"/>
              <w:jc w:val="center"/>
              <w:rPr>
                <w:lang w:val="en-US"/>
              </w:rPr>
            </w:pPr>
            <w:r w:rsidRPr="005A497D">
              <w:rPr>
                <w:lang w:val="en-US"/>
              </w:rPr>
              <w:t>2014</w:t>
            </w:r>
          </w:p>
        </w:tc>
        <w:tc>
          <w:tcPr>
            <w:tcW w:w="1448" w:type="dxa"/>
            <w:tcBorders>
              <w:top w:val="single" w:sz="2" w:space="0" w:color="000000"/>
              <w:left w:val="single" w:sz="2" w:space="0" w:color="000000"/>
              <w:bottom w:val="single" w:sz="2" w:space="0" w:color="000000"/>
              <w:right w:val="single" w:sz="2" w:space="0" w:color="000000"/>
            </w:tcBorders>
            <w:shd w:val="clear" w:color="auto" w:fill="FFFFFF"/>
          </w:tcPr>
          <w:p w14:paraId="59ED136D" w14:textId="77777777" w:rsidR="001762EE" w:rsidRPr="005A497D" w:rsidRDefault="001762EE" w:rsidP="008F153D">
            <w:pPr>
              <w:pStyle w:val="FreeFormAAAAA"/>
              <w:jc w:val="center"/>
              <w:rPr>
                <w:lang w:val="en-US"/>
              </w:rPr>
            </w:pPr>
            <w:r w:rsidRPr="005A497D">
              <w:rPr>
                <w:lang w:val="en-US"/>
              </w:rPr>
              <w:t>July 23, 2013</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770F1A54" w14:textId="77777777" w:rsidR="001762EE" w:rsidRPr="005A497D" w:rsidRDefault="001762EE" w:rsidP="008F153D">
            <w:pPr>
              <w:pStyle w:val="FreeFormAAAAA"/>
              <w:jc w:val="center"/>
              <w:rPr>
                <w:lang w:val="en-US"/>
              </w:rPr>
            </w:pPr>
            <w:r w:rsidRPr="005A497D">
              <w:rPr>
                <w:lang w:val="en-US"/>
              </w:rPr>
              <w:t>Oct. 22, 2013</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197211A3" w14:textId="77777777" w:rsidR="001762EE" w:rsidRPr="005A497D" w:rsidRDefault="001762EE" w:rsidP="008F153D">
            <w:pPr>
              <w:pStyle w:val="FreeFormAAAAA"/>
              <w:jc w:val="center"/>
              <w:rPr>
                <w:lang w:val="en-US"/>
              </w:rPr>
            </w:pPr>
            <w:r w:rsidRPr="005A497D">
              <w:rPr>
                <w:lang w:val="en-US"/>
              </w:rPr>
              <w:t>Nov. 26, 2013</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5D7CE4B3" w14:textId="77777777" w:rsidR="001762EE" w:rsidRDefault="001762EE" w:rsidP="008F153D">
            <w:pPr>
              <w:pStyle w:val="FreeFormAAAAA"/>
              <w:jc w:val="center"/>
              <w:rPr>
                <w:lang w:val="en-US"/>
              </w:rPr>
            </w:pPr>
            <w:r w:rsidRPr="005A497D">
              <w:rPr>
                <w:lang w:val="en-US"/>
              </w:rPr>
              <w:t xml:space="preserve">Senate: </w:t>
            </w:r>
          </w:p>
          <w:p w14:paraId="481B5D47" w14:textId="1B5E9DDE" w:rsidR="001762EE" w:rsidRPr="005A497D" w:rsidRDefault="001762EE" w:rsidP="008F153D">
            <w:pPr>
              <w:pStyle w:val="FreeFormAAAAA"/>
              <w:jc w:val="center"/>
              <w:rPr>
                <w:lang w:val="en-US"/>
              </w:rPr>
            </w:pPr>
            <w:r w:rsidRPr="005A497D">
              <w:rPr>
                <w:lang w:val="en-US"/>
              </w:rPr>
              <w:t>Dec. 11, 2013</w:t>
            </w:r>
          </w:p>
          <w:p w14:paraId="17DB0446" w14:textId="470FD439" w:rsidR="001762EE" w:rsidRDefault="001762EE" w:rsidP="00D46430">
            <w:pPr>
              <w:pStyle w:val="FreeFormAAAAA"/>
              <w:jc w:val="center"/>
              <w:rPr>
                <w:lang w:val="en-US"/>
              </w:rPr>
            </w:pPr>
            <w:r>
              <w:rPr>
                <w:lang w:val="en-US"/>
              </w:rPr>
              <w:t>House</w:t>
            </w:r>
            <w:r w:rsidRPr="005A497D">
              <w:rPr>
                <w:lang w:val="en-US"/>
              </w:rPr>
              <w:t>:</w:t>
            </w:r>
          </w:p>
          <w:p w14:paraId="5CD63612" w14:textId="483FB4DD" w:rsidR="001762EE" w:rsidRPr="005A497D" w:rsidRDefault="001762EE" w:rsidP="009A0E96">
            <w:pPr>
              <w:pStyle w:val="FreeFormAAAAA"/>
              <w:rPr>
                <w:b/>
                <w:bCs/>
                <w:sz w:val="24"/>
                <w:szCs w:val="22"/>
                <w:lang w:val="en-US"/>
              </w:rPr>
            </w:pPr>
            <w:r w:rsidRPr="005A497D">
              <w:rPr>
                <w:lang w:val="en-US"/>
              </w:rPr>
              <w:t>Dec. 16, 2013</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20E5431B" w14:textId="77777777" w:rsidR="001762EE" w:rsidRPr="005A497D" w:rsidRDefault="001762EE" w:rsidP="008F153D">
            <w:pPr>
              <w:pStyle w:val="FreeFormAAAAA"/>
              <w:jc w:val="center"/>
              <w:rPr>
                <w:lang w:val="en-US"/>
              </w:rPr>
            </w:pPr>
            <w:r w:rsidRPr="005A497D">
              <w:rPr>
                <w:lang w:val="en-US"/>
              </w:rPr>
              <w:t>Dec. 20, 2013</w:t>
            </w:r>
          </w:p>
        </w:tc>
        <w:tc>
          <w:tcPr>
            <w:tcW w:w="1449" w:type="dxa"/>
            <w:tcBorders>
              <w:top w:val="single" w:sz="2" w:space="0" w:color="000000"/>
              <w:left w:val="single" w:sz="2" w:space="0" w:color="000000"/>
              <w:bottom w:val="single" w:sz="2" w:space="0" w:color="000000"/>
              <w:right w:val="double" w:sz="4" w:space="0" w:color="auto"/>
            </w:tcBorders>
            <w:shd w:val="clear" w:color="auto" w:fill="FFFFFF"/>
          </w:tcPr>
          <w:p w14:paraId="164C323C" w14:textId="3D934D3D" w:rsidR="001762EE" w:rsidRPr="005A497D" w:rsidRDefault="001762EE" w:rsidP="008F153D">
            <w:pPr>
              <w:pStyle w:val="FreeFormAAAAA"/>
              <w:jc w:val="center"/>
              <w:rPr>
                <w:lang w:val="en-US"/>
              </w:rPr>
            </w:pPr>
            <w:r w:rsidRPr="005A497D">
              <w:rPr>
                <w:lang w:val="en-US"/>
              </w:rPr>
              <w:t>RA</w:t>
            </w:r>
            <w:r>
              <w:rPr>
                <w:lang w:val="en-US"/>
              </w:rPr>
              <w:t xml:space="preserve"> </w:t>
            </w:r>
            <w:r w:rsidRPr="005A497D">
              <w:rPr>
                <w:lang w:val="en-US"/>
              </w:rPr>
              <w:t>10633</w:t>
            </w:r>
          </w:p>
        </w:tc>
      </w:tr>
      <w:tr w:rsidR="001762EE" w:rsidRPr="005A497D" w14:paraId="43286912" w14:textId="77777777" w:rsidTr="00F476BA">
        <w:trPr>
          <w:cantSplit/>
          <w:trHeight w:val="526"/>
        </w:trPr>
        <w:tc>
          <w:tcPr>
            <w:tcW w:w="851" w:type="dxa"/>
            <w:tcBorders>
              <w:top w:val="single" w:sz="2" w:space="0" w:color="000000"/>
              <w:left w:val="double" w:sz="4" w:space="0" w:color="auto"/>
              <w:bottom w:val="single" w:sz="2" w:space="0" w:color="000000"/>
              <w:right w:val="single" w:sz="2" w:space="0" w:color="000000"/>
            </w:tcBorders>
            <w:shd w:val="clear" w:color="auto" w:fill="FFFFFF"/>
          </w:tcPr>
          <w:p w14:paraId="3E153A68" w14:textId="77777777" w:rsidR="001762EE" w:rsidRPr="005A497D" w:rsidRDefault="001762EE" w:rsidP="008F153D">
            <w:pPr>
              <w:pStyle w:val="FreeFormAAAAA"/>
              <w:jc w:val="center"/>
              <w:rPr>
                <w:lang w:val="en-US"/>
              </w:rPr>
            </w:pPr>
            <w:r w:rsidRPr="005A497D">
              <w:rPr>
                <w:lang w:val="en-US"/>
              </w:rPr>
              <w:t>2015</w:t>
            </w:r>
          </w:p>
        </w:tc>
        <w:tc>
          <w:tcPr>
            <w:tcW w:w="1448" w:type="dxa"/>
            <w:tcBorders>
              <w:top w:val="single" w:sz="2" w:space="0" w:color="000000"/>
              <w:left w:val="single" w:sz="2" w:space="0" w:color="000000"/>
              <w:bottom w:val="single" w:sz="2" w:space="0" w:color="000000"/>
              <w:right w:val="single" w:sz="2" w:space="0" w:color="000000"/>
            </w:tcBorders>
            <w:shd w:val="clear" w:color="auto" w:fill="FFFFFF"/>
          </w:tcPr>
          <w:p w14:paraId="4F6E8EA8" w14:textId="77777777" w:rsidR="001762EE" w:rsidRPr="005A497D" w:rsidRDefault="001762EE" w:rsidP="008F153D">
            <w:pPr>
              <w:pStyle w:val="FreeFormAAAAA"/>
              <w:jc w:val="center"/>
              <w:rPr>
                <w:lang w:val="en-US"/>
              </w:rPr>
            </w:pPr>
            <w:r w:rsidRPr="005A497D">
              <w:rPr>
                <w:lang w:val="en-US"/>
              </w:rPr>
              <w:t>July 30, 2014</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5F63ABEE" w14:textId="77777777" w:rsidR="001762EE" w:rsidRPr="005A497D" w:rsidRDefault="001762EE" w:rsidP="008F153D">
            <w:pPr>
              <w:pStyle w:val="FreeFormAAAAA"/>
              <w:jc w:val="center"/>
              <w:rPr>
                <w:lang w:val="en-US"/>
              </w:rPr>
            </w:pPr>
            <w:r w:rsidRPr="005A497D">
              <w:rPr>
                <w:lang w:val="en-US"/>
              </w:rPr>
              <w:t>Oct. 29, 2014</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0DC7AEB1" w14:textId="77777777" w:rsidR="001762EE" w:rsidRPr="005A497D" w:rsidRDefault="001762EE" w:rsidP="008F153D">
            <w:pPr>
              <w:pStyle w:val="FreeFormAAAAA"/>
              <w:jc w:val="center"/>
              <w:rPr>
                <w:lang w:val="en-US"/>
              </w:rPr>
            </w:pPr>
            <w:r w:rsidRPr="005A497D">
              <w:rPr>
                <w:lang w:val="en-US"/>
              </w:rPr>
              <w:t>Nov. 26, 2014</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5E3A69BD" w14:textId="77777777" w:rsidR="001762EE" w:rsidRDefault="001762EE" w:rsidP="008F153D">
            <w:pPr>
              <w:pStyle w:val="FreeFormAAAAA"/>
              <w:jc w:val="center"/>
              <w:rPr>
                <w:lang w:val="en-US"/>
              </w:rPr>
            </w:pPr>
            <w:r w:rsidRPr="005A497D">
              <w:rPr>
                <w:lang w:val="en-US"/>
              </w:rPr>
              <w:t xml:space="preserve">Senate: </w:t>
            </w:r>
          </w:p>
          <w:p w14:paraId="40857EFD" w14:textId="01F76F53" w:rsidR="001762EE" w:rsidRPr="005A497D" w:rsidRDefault="001762EE" w:rsidP="008F153D">
            <w:pPr>
              <w:pStyle w:val="FreeFormAAAAA"/>
              <w:jc w:val="center"/>
              <w:rPr>
                <w:lang w:val="en-US"/>
              </w:rPr>
            </w:pPr>
            <w:r w:rsidRPr="005A497D">
              <w:rPr>
                <w:lang w:val="en-US"/>
              </w:rPr>
              <w:t>Dec. 11, 2014</w:t>
            </w:r>
          </w:p>
          <w:p w14:paraId="0C7679B4" w14:textId="454D5B82" w:rsidR="001762EE" w:rsidRDefault="001762EE" w:rsidP="008F153D">
            <w:pPr>
              <w:pStyle w:val="FreeFormAAAAA"/>
              <w:jc w:val="center"/>
              <w:rPr>
                <w:lang w:val="en-US"/>
              </w:rPr>
            </w:pPr>
            <w:r>
              <w:rPr>
                <w:lang w:val="en-US"/>
              </w:rPr>
              <w:t>House</w:t>
            </w:r>
            <w:r w:rsidRPr="005A497D">
              <w:rPr>
                <w:lang w:val="en-US"/>
              </w:rPr>
              <w:t xml:space="preserve">: </w:t>
            </w:r>
          </w:p>
          <w:p w14:paraId="5C657CB6" w14:textId="3827AADC" w:rsidR="001762EE" w:rsidRPr="005A497D" w:rsidRDefault="001762EE" w:rsidP="008F153D">
            <w:pPr>
              <w:pStyle w:val="FreeFormAAAAA"/>
              <w:jc w:val="center"/>
              <w:rPr>
                <w:lang w:val="en-US"/>
              </w:rPr>
            </w:pPr>
            <w:r w:rsidRPr="005A497D">
              <w:rPr>
                <w:lang w:val="en-US"/>
              </w:rPr>
              <w:t>Dec. 15, 2014</w:t>
            </w:r>
          </w:p>
        </w:tc>
        <w:tc>
          <w:tcPr>
            <w:tcW w:w="1449" w:type="dxa"/>
            <w:tcBorders>
              <w:top w:val="single" w:sz="2" w:space="0" w:color="000000"/>
              <w:left w:val="single" w:sz="2" w:space="0" w:color="000000"/>
              <w:bottom w:val="single" w:sz="2" w:space="0" w:color="000000"/>
              <w:right w:val="single" w:sz="2" w:space="0" w:color="000000"/>
            </w:tcBorders>
            <w:shd w:val="clear" w:color="auto" w:fill="FFFFFF"/>
          </w:tcPr>
          <w:p w14:paraId="3C6E32ED" w14:textId="77777777" w:rsidR="001762EE" w:rsidRPr="005A497D" w:rsidRDefault="001762EE" w:rsidP="008F153D">
            <w:pPr>
              <w:pStyle w:val="FreeFormAAAAA"/>
              <w:jc w:val="center"/>
              <w:rPr>
                <w:lang w:val="en-US"/>
              </w:rPr>
            </w:pPr>
            <w:r w:rsidRPr="005A497D">
              <w:rPr>
                <w:lang w:val="en-US"/>
              </w:rPr>
              <w:t>Dec. 23, 2014</w:t>
            </w:r>
          </w:p>
        </w:tc>
        <w:tc>
          <w:tcPr>
            <w:tcW w:w="1449" w:type="dxa"/>
            <w:tcBorders>
              <w:top w:val="single" w:sz="2" w:space="0" w:color="000000"/>
              <w:left w:val="single" w:sz="2" w:space="0" w:color="000000"/>
              <w:bottom w:val="single" w:sz="2" w:space="0" w:color="000000"/>
              <w:right w:val="double" w:sz="4" w:space="0" w:color="auto"/>
            </w:tcBorders>
            <w:shd w:val="clear" w:color="auto" w:fill="FFFFFF"/>
          </w:tcPr>
          <w:p w14:paraId="6AA47BA5" w14:textId="5706E2B1" w:rsidR="001762EE" w:rsidRPr="005A497D" w:rsidRDefault="001762EE" w:rsidP="008F153D">
            <w:pPr>
              <w:pStyle w:val="FreeFormAAAAA"/>
              <w:jc w:val="center"/>
              <w:rPr>
                <w:lang w:val="en-US"/>
              </w:rPr>
            </w:pPr>
            <w:r w:rsidRPr="005A497D">
              <w:rPr>
                <w:lang w:val="en-US"/>
              </w:rPr>
              <w:t>RA</w:t>
            </w:r>
            <w:r>
              <w:rPr>
                <w:lang w:val="en-US"/>
              </w:rPr>
              <w:t xml:space="preserve"> </w:t>
            </w:r>
            <w:r w:rsidRPr="005A497D">
              <w:rPr>
                <w:lang w:val="en-US"/>
              </w:rPr>
              <w:t>10651</w:t>
            </w:r>
          </w:p>
        </w:tc>
      </w:tr>
      <w:tr w:rsidR="001762EE" w:rsidRPr="005A497D" w14:paraId="66C79C1B" w14:textId="77777777" w:rsidTr="00312F6E">
        <w:trPr>
          <w:cantSplit/>
          <w:trHeight w:val="526"/>
        </w:trPr>
        <w:tc>
          <w:tcPr>
            <w:tcW w:w="851" w:type="dxa"/>
            <w:tcBorders>
              <w:top w:val="single" w:sz="2" w:space="0" w:color="000000"/>
              <w:left w:val="double" w:sz="4" w:space="0" w:color="auto"/>
              <w:bottom w:val="double" w:sz="4" w:space="0" w:color="auto"/>
              <w:right w:val="single" w:sz="2" w:space="0" w:color="000000"/>
            </w:tcBorders>
            <w:shd w:val="clear" w:color="auto" w:fill="FFFFFF"/>
          </w:tcPr>
          <w:p w14:paraId="69CDE668" w14:textId="728F2F43" w:rsidR="001762EE" w:rsidRPr="005A497D" w:rsidRDefault="001762EE" w:rsidP="00F476BA">
            <w:pPr>
              <w:pStyle w:val="FreeFormAAAAA"/>
              <w:jc w:val="center"/>
              <w:rPr>
                <w:lang w:val="en-US"/>
              </w:rPr>
            </w:pPr>
            <w:r>
              <w:rPr>
                <w:lang w:val="en-US"/>
              </w:rPr>
              <w:t>2016</w:t>
            </w:r>
          </w:p>
        </w:tc>
        <w:tc>
          <w:tcPr>
            <w:tcW w:w="1448" w:type="dxa"/>
            <w:tcBorders>
              <w:top w:val="single" w:sz="2" w:space="0" w:color="000000"/>
              <w:left w:val="single" w:sz="2" w:space="0" w:color="000000"/>
              <w:bottom w:val="double" w:sz="4" w:space="0" w:color="auto"/>
              <w:right w:val="single" w:sz="2" w:space="0" w:color="000000"/>
            </w:tcBorders>
            <w:shd w:val="clear" w:color="auto" w:fill="FFFFFF"/>
          </w:tcPr>
          <w:p w14:paraId="1B0D264F" w14:textId="7A150E7A" w:rsidR="001762EE" w:rsidRPr="005A497D" w:rsidRDefault="001762EE" w:rsidP="00F476BA">
            <w:pPr>
              <w:pStyle w:val="FreeFormAAAAA"/>
              <w:jc w:val="center"/>
              <w:rPr>
                <w:lang w:val="en-US"/>
              </w:rPr>
            </w:pPr>
            <w:r>
              <w:rPr>
                <w:lang w:val="en-US"/>
              </w:rPr>
              <w:t>July 28, 2015</w:t>
            </w:r>
          </w:p>
        </w:tc>
        <w:tc>
          <w:tcPr>
            <w:tcW w:w="1449" w:type="dxa"/>
            <w:tcBorders>
              <w:top w:val="single" w:sz="2" w:space="0" w:color="000000"/>
              <w:left w:val="single" w:sz="2" w:space="0" w:color="000000"/>
              <w:bottom w:val="double" w:sz="4" w:space="0" w:color="auto"/>
              <w:right w:val="single" w:sz="2" w:space="0" w:color="000000"/>
            </w:tcBorders>
            <w:shd w:val="clear" w:color="auto" w:fill="FFFFFF"/>
          </w:tcPr>
          <w:p w14:paraId="62836835" w14:textId="14D96951" w:rsidR="001762EE" w:rsidRPr="005A497D" w:rsidRDefault="001762EE" w:rsidP="00F476BA">
            <w:pPr>
              <w:pStyle w:val="FreeFormAAAAA"/>
              <w:jc w:val="center"/>
              <w:rPr>
                <w:lang w:val="en-US"/>
              </w:rPr>
            </w:pPr>
            <w:r>
              <w:rPr>
                <w:lang w:val="en-US"/>
              </w:rPr>
              <w:t>Oct. 09, 2015</w:t>
            </w:r>
          </w:p>
        </w:tc>
        <w:tc>
          <w:tcPr>
            <w:tcW w:w="1449" w:type="dxa"/>
            <w:tcBorders>
              <w:top w:val="single" w:sz="2" w:space="0" w:color="000000"/>
              <w:left w:val="single" w:sz="2" w:space="0" w:color="000000"/>
              <w:bottom w:val="double" w:sz="4" w:space="0" w:color="auto"/>
              <w:right w:val="single" w:sz="2" w:space="0" w:color="000000"/>
            </w:tcBorders>
            <w:shd w:val="clear" w:color="auto" w:fill="FFFFFF"/>
          </w:tcPr>
          <w:p w14:paraId="6641AC57" w14:textId="73A9F9CD" w:rsidR="001762EE" w:rsidRPr="005A497D" w:rsidRDefault="001762EE" w:rsidP="00F476BA">
            <w:pPr>
              <w:pStyle w:val="FreeFormAAAAA"/>
              <w:jc w:val="center"/>
              <w:rPr>
                <w:lang w:val="en-US"/>
              </w:rPr>
            </w:pPr>
            <w:r>
              <w:rPr>
                <w:lang w:val="en-US"/>
              </w:rPr>
              <w:t>Nov. 26, 2015</w:t>
            </w:r>
          </w:p>
        </w:tc>
        <w:tc>
          <w:tcPr>
            <w:tcW w:w="1449" w:type="dxa"/>
            <w:tcBorders>
              <w:top w:val="single" w:sz="2" w:space="0" w:color="000000"/>
              <w:left w:val="single" w:sz="2" w:space="0" w:color="000000"/>
              <w:bottom w:val="double" w:sz="4" w:space="0" w:color="auto"/>
              <w:right w:val="single" w:sz="2" w:space="0" w:color="000000"/>
            </w:tcBorders>
            <w:shd w:val="clear" w:color="auto" w:fill="FFFFFF"/>
          </w:tcPr>
          <w:p w14:paraId="60368576" w14:textId="77777777" w:rsidR="001762EE" w:rsidRDefault="001762EE" w:rsidP="00F476BA">
            <w:pPr>
              <w:pStyle w:val="FreeFormAAAAA"/>
              <w:jc w:val="center"/>
              <w:rPr>
                <w:lang w:val="en-US"/>
              </w:rPr>
            </w:pPr>
            <w:r>
              <w:rPr>
                <w:lang w:val="en-US"/>
              </w:rPr>
              <w:t xml:space="preserve">Senate: </w:t>
            </w:r>
          </w:p>
          <w:p w14:paraId="5AE12236" w14:textId="26AAF415" w:rsidR="001762EE" w:rsidRPr="005A497D" w:rsidRDefault="001762EE" w:rsidP="00F476BA">
            <w:pPr>
              <w:pStyle w:val="FreeFormAAAAA"/>
              <w:jc w:val="center"/>
              <w:rPr>
                <w:lang w:val="en-US"/>
              </w:rPr>
            </w:pPr>
            <w:r>
              <w:rPr>
                <w:lang w:val="en-US"/>
              </w:rPr>
              <w:t>Dec. 14, 2015</w:t>
            </w:r>
          </w:p>
          <w:p w14:paraId="5FDDF00F" w14:textId="77777777" w:rsidR="001762EE" w:rsidRDefault="001762EE" w:rsidP="00F476BA">
            <w:pPr>
              <w:pStyle w:val="FreeFormAAAAA"/>
              <w:jc w:val="center"/>
              <w:rPr>
                <w:lang w:val="en-US"/>
              </w:rPr>
            </w:pPr>
            <w:r>
              <w:rPr>
                <w:lang w:val="en-US"/>
              </w:rPr>
              <w:t>House</w:t>
            </w:r>
            <w:r w:rsidRPr="005A497D">
              <w:rPr>
                <w:lang w:val="en-US"/>
              </w:rPr>
              <w:t xml:space="preserve">: </w:t>
            </w:r>
          </w:p>
          <w:p w14:paraId="007D85D0" w14:textId="604F6084" w:rsidR="001762EE" w:rsidRPr="005A497D" w:rsidRDefault="001762EE" w:rsidP="00F476BA">
            <w:pPr>
              <w:pStyle w:val="FreeFormAAAAA"/>
              <w:jc w:val="center"/>
              <w:rPr>
                <w:lang w:val="en-US"/>
              </w:rPr>
            </w:pPr>
            <w:r w:rsidRPr="005A497D">
              <w:rPr>
                <w:lang w:val="en-US"/>
              </w:rPr>
              <w:t>Dec. 1</w:t>
            </w:r>
            <w:r>
              <w:rPr>
                <w:lang w:val="en-US"/>
              </w:rPr>
              <w:t>6</w:t>
            </w:r>
            <w:r w:rsidRPr="005A497D">
              <w:rPr>
                <w:lang w:val="en-US"/>
              </w:rPr>
              <w:t>, 201</w:t>
            </w:r>
            <w:r>
              <w:rPr>
                <w:lang w:val="en-US"/>
              </w:rPr>
              <w:t>5</w:t>
            </w:r>
          </w:p>
        </w:tc>
        <w:tc>
          <w:tcPr>
            <w:tcW w:w="1449" w:type="dxa"/>
            <w:tcBorders>
              <w:top w:val="single" w:sz="2" w:space="0" w:color="000000"/>
              <w:left w:val="single" w:sz="2" w:space="0" w:color="000000"/>
              <w:bottom w:val="double" w:sz="4" w:space="0" w:color="auto"/>
              <w:right w:val="single" w:sz="2" w:space="0" w:color="000000"/>
            </w:tcBorders>
            <w:shd w:val="clear" w:color="auto" w:fill="FFFFFF"/>
          </w:tcPr>
          <w:p w14:paraId="6A8327DE" w14:textId="7C5D992C" w:rsidR="001762EE" w:rsidRPr="005A497D" w:rsidRDefault="001762EE" w:rsidP="00F476BA">
            <w:pPr>
              <w:pStyle w:val="FreeFormAAAAA"/>
              <w:jc w:val="center"/>
              <w:rPr>
                <w:lang w:val="en-US"/>
              </w:rPr>
            </w:pPr>
            <w:r>
              <w:rPr>
                <w:lang w:val="en-US"/>
              </w:rPr>
              <w:t>Dec. 22, 2015</w:t>
            </w:r>
          </w:p>
        </w:tc>
        <w:tc>
          <w:tcPr>
            <w:tcW w:w="1449" w:type="dxa"/>
            <w:tcBorders>
              <w:top w:val="single" w:sz="2" w:space="0" w:color="000000"/>
              <w:left w:val="single" w:sz="2" w:space="0" w:color="000000"/>
              <w:bottom w:val="double" w:sz="4" w:space="0" w:color="auto"/>
              <w:right w:val="double" w:sz="4" w:space="0" w:color="auto"/>
            </w:tcBorders>
            <w:shd w:val="clear" w:color="auto" w:fill="FFFFFF"/>
          </w:tcPr>
          <w:p w14:paraId="449D6F67" w14:textId="2DCA2CBD" w:rsidR="001762EE" w:rsidRPr="005A497D" w:rsidRDefault="001762EE" w:rsidP="00F476BA">
            <w:pPr>
              <w:pStyle w:val="FreeFormAAAAA"/>
              <w:jc w:val="center"/>
              <w:rPr>
                <w:lang w:val="en-US"/>
              </w:rPr>
            </w:pPr>
            <w:r>
              <w:rPr>
                <w:lang w:val="en-US"/>
              </w:rPr>
              <w:t>RA 10717</w:t>
            </w:r>
          </w:p>
        </w:tc>
      </w:tr>
    </w:tbl>
    <w:p w14:paraId="0053A23F" w14:textId="77777777" w:rsidR="001762EE" w:rsidRPr="005A497D" w:rsidRDefault="001762EE" w:rsidP="00A0046D">
      <w:pPr>
        <w:pStyle w:val="BodyB"/>
        <w:tabs>
          <w:tab w:val="left" w:pos="407"/>
        </w:tabs>
        <w:spacing w:before="40"/>
        <w:jc w:val="both"/>
        <w:rPr>
          <w:rFonts w:ascii="Times New Roman" w:hAnsi="Times New Roman"/>
          <w:sz w:val="20"/>
        </w:rPr>
      </w:pPr>
      <w:r w:rsidRPr="009A0E96">
        <w:rPr>
          <w:rFonts w:ascii="Times New Roman" w:hAnsi="Times New Roman"/>
          <w:i/>
          <w:sz w:val="20"/>
        </w:rPr>
        <w:t>Source</w:t>
      </w:r>
      <w:r w:rsidRPr="005A497D">
        <w:rPr>
          <w:rFonts w:ascii="Times New Roman" w:hAnsi="Times New Roman"/>
          <w:sz w:val="20"/>
        </w:rPr>
        <w:t xml:space="preserve">: House Committee on Appropriations and </w:t>
      </w:r>
      <w:hyperlink r:id="rId28" w:history="1">
        <w:r w:rsidRPr="005A497D">
          <w:rPr>
            <w:rStyle w:val="Hyperlink1"/>
            <w:rFonts w:ascii="Times New Roman" w:hAnsi="Times New Roman"/>
          </w:rPr>
          <w:t>www.senate.gov.ph</w:t>
        </w:r>
      </w:hyperlink>
      <w:r w:rsidRPr="005A497D">
        <w:rPr>
          <w:rFonts w:ascii="Times New Roman" w:hAnsi="Times New Roman"/>
          <w:sz w:val="20"/>
        </w:rPr>
        <w:t>.</w:t>
      </w:r>
    </w:p>
    <w:p w14:paraId="23840209" w14:textId="77777777" w:rsidR="001762EE" w:rsidRDefault="001762EE" w:rsidP="00F27188">
      <w:pPr>
        <w:pStyle w:val="NormalWeb"/>
        <w:autoSpaceDE w:val="0"/>
        <w:autoSpaceDN w:val="0"/>
        <w:adjustRightInd w:val="0"/>
        <w:spacing w:before="0" w:beforeAutospacing="0" w:after="0" w:afterAutospacing="0"/>
        <w:contextualSpacing/>
        <w:jc w:val="both"/>
      </w:pPr>
    </w:p>
    <w:p w14:paraId="5913ABC6" w14:textId="4ADB91B4"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At the time of the 2010 PEFA assessment, there was a trend for budgets not to be passed by Congress prior to the start of the fiscal year. This however has not been a feature in recent years with the budget passing on time in each of the last three years. This partly reflects efforts of the </w:t>
      </w:r>
      <w:r>
        <w:t>Government of the Philippines</w:t>
      </w:r>
      <w:r w:rsidRPr="005A497D">
        <w:t xml:space="preserve"> to bring forward the budget preparation timetable to ensure that </w:t>
      </w:r>
      <w:r>
        <w:t xml:space="preserve">both houses of </w:t>
      </w:r>
      <w:r w:rsidRPr="005A497D">
        <w:t>Congress have adequate time for full consideration of their proposal</w:t>
      </w:r>
      <w:r w:rsidR="009E55FB">
        <w:t>.</w:t>
      </w:r>
    </w:p>
    <w:p w14:paraId="582F9B84" w14:textId="77777777" w:rsidR="001762EE" w:rsidRPr="005A497D" w:rsidRDefault="001762EE" w:rsidP="00F27188">
      <w:pPr>
        <w:pStyle w:val="NormalWeb"/>
        <w:autoSpaceDE w:val="0"/>
        <w:autoSpaceDN w:val="0"/>
        <w:adjustRightInd w:val="0"/>
        <w:spacing w:before="0" w:beforeAutospacing="0" w:after="0" w:afterAutospacing="0"/>
        <w:contextualSpacing/>
        <w:jc w:val="both"/>
      </w:pPr>
    </w:p>
    <w:p w14:paraId="5D374286" w14:textId="221BD00E" w:rsidR="001762EE" w:rsidRPr="009A0E96" w:rsidRDefault="001762EE" w:rsidP="00F27188">
      <w:pPr>
        <w:pStyle w:val="BodyB"/>
        <w:tabs>
          <w:tab w:val="left" w:pos="407"/>
        </w:tabs>
        <w:jc w:val="both"/>
        <w:rPr>
          <w:rFonts w:ascii="Times New Roman" w:hAnsi="Times New Roman"/>
          <w:b/>
          <w:i/>
          <w:szCs w:val="24"/>
        </w:rPr>
      </w:pPr>
      <w:r w:rsidRPr="009A0E96">
        <w:rPr>
          <w:rFonts w:ascii="Times New Roman" w:hAnsi="Times New Roman"/>
          <w:b/>
          <w:i/>
          <w:szCs w:val="24"/>
        </w:rPr>
        <w:t>Dimension 18.4 Rules for budget adjustments by the executive</w:t>
      </w:r>
    </w:p>
    <w:p w14:paraId="1A4EE120" w14:textId="2BFFE838" w:rsidR="001762EE" w:rsidRPr="005A497D" w:rsidRDefault="001762EE" w:rsidP="00F27188">
      <w:pPr>
        <w:pStyle w:val="BodyB"/>
        <w:tabs>
          <w:tab w:val="left" w:pos="407"/>
        </w:tabs>
        <w:jc w:val="both"/>
        <w:rPr>
          <w:rFonts w:ascii="Times New Roman" w:hAnsi="Times New Roman"/>
          <w:szCs w:val="24"/>
          <w:u w:val="single"/>
        </w:rPr>
      </w:pPr>
      <w:r>
        <w:rPr>
          <w:rFonts w:ascii="Times New Roman" w:hAnsi="Times New Roman"/>
          <w:szCs w:val="24"/>
          <w:u w:val="single"/>
        </w:rPr>
        <w:t xml:space="preserve"> </w:t>
      </w:r>
    </w:p>
    <w:p w14:paraId="5F1F3FEC" w14:textId="71A4805B"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w:t>
      </w:r>
      <w:r w:rsidRPr="005A497D">
        <w:t xml:space="preserve"> Administrative Code</w:t>
      </w:r>
      <w:r>
        <w:t xml:space="preserve"> [Section 1 </w:t>
      </w:r>
      <w:r w:rsidRPr="005A497D">
        <w:t>(6) of Book VI</w:t>
      </w:r>
      <w:r>
        <w:t>]</w:t>
      </w:r>
      <w:r w:rsidRPr="005A497D">
        <w:t xml:space="preserve"> authorizes the President to augment any item in the </w:t>
      </w:r>
      <w:r>
        <w:t>General Appropriations Act</w:t>
      </w:r>
      <w:r w:rsidRPr="005A497D">
        <w:t xml:space="preserve"> from savings in other items. This is further supported by Section 39, which states that any savings in the regular appropriations authorized in the </w:t>
      </w:r>
      <w:r>
        <w:t>General Appropriations Act</w:t>
      </w:r>
      <w:r w:rsidRPr="005A497D">
        <w:t xml:space="preserve"> for programs and projects of any department, office</w:t>
      </w:r>
      <w:r>
        <w:t>,</w:t>
      </w:r>
      <w:r w:rsidRPr="005A497D">
        <w:t xml:space="preserve"> or agency may, with the approval of the President, be used to cover a deficit in any other item of the regular appropriations. These provisions give the President the flexibility to reallocate budgets within the Executive as long as total appropriations do not exceed the levels prescribed in the </w:t>
      </w:r>
      <w:r>
        <w:t>General Appropriations Act</w:t>
      </w:r>
      <w:r w:rsidRPr="005A497D">
        <w:t xml:space="preserve">. In addition, the </w:t>
      </w:r>
      <w:r>
        <w:t xml:space="preserve">Executive determines the </w:t>
      </w:r>
      <w:r w:rsidRPr="005A497D">
        <w:t xml:space="preserve">final utilization of any lump sum appropriations as </w:t>
      </w:r>
      <w:r>
        <w:t>allocation</w:t>
      </w:r>
      <w:r w:rsidRPr="005A497D">
        <w:t xml:space="preserve"> to various line departments. The Executive is required to seek approval of the Congress for </w:t>
      </w:r>
      <w:r>
        <w:t xml:space="preserve">increase in the total </w:t>
      </w:r>
      <w:r w:rsidRPr="005A497D">
        <w:t>appropriation</w:t>
      </w:r>
      <w:r w:rsidR="009E55FB">
        <w:t>s</w:t>
      </w:r>
      <w:r>
        <w:t xml:space="preserve"> (i.e., supplemental appropriation</w:t>
      </w:r>
      <w:r w:rsidR="009E55FB">
        <w:t>s</w:t>
      </w:r>
      <w:r>
        <w:t>)</w:t>
      </w:r>
      <w:r w:rsidRPr="005A497D">
        <w:t xml:space="preserve">. Score </w:t>
      </w:r>
      <w:r>
        <w:t xml:space="preserve">for Dimension 18.4 </w:t>
      </w:r>
      <w:r w:rsidRPr="005A497D">
        <w:t>is assessed at “B”.</w:t>
      </w:r>
    </w:p>
    <w:p w14:paraId="1E3C717A" w14:textId="77777777" w:rsidR="001762EE" w:rsidRDefault="001762EE" w:rsidP="009A0E96">
      <w:pPr>
        <w:pStyle w:val="NormalWeb"/>
        <w:autoSpaceDE w:val="0"/>
        <w:autoSpaceDN w:val="0"/>
        <w:adjustRightInd w:val="0"/>
        <w:spacing w:before="0" w:beforeAutospacing="0" w:after="0" w:afterAutospacing="0"/>
        <w:contextualSpacing/>
        <w:jc w:val="both"/>
      </w:pPr>
    </w:p>
    <w:p w14:paraId="4CE41C85" w14:textId="4EDD2283" w:rsidR="001762EE" w:rsidRPr="006C6558" w:rsidRDefault="001762EE" w:rsidP="0073584C">
      <w:pPr>
        <w:pStyle w:val="NormalWeb"/>
        <w:numPr>
          <w:ilvl w:val="0"/>
          <w:numId w:val="6"/>
        </w:numPr>
        <w:autoSpaceDE w:val="0"/>
        <w:autoSpaceDN w:val="0"/>
        <w:adjustRightInd w:val="0"/>
        <w:spacing w:after="0"/>
        <w:ind w:left="0" w:firstLine="0"/>
        <w:contextualSpacing/>
        <w:jc w:val="both"/>
        <w:rPr>
          <w:bCs/>
        </w:rPr>
      </w:pPr>
      <w:r>
        <w:t>The flexibility allowed to the Executive has been used extensively in previous administrations often for political purposes, which combined with the prevalence of lump-sum appropriations and the lack of monitoring through timely in-year reports led to absence of transparency in the budget adjustments. In 2011 the Department of Budget and Management introduced the Disbursement Acceleration Program</w:t>
      </w:r>
      <w:r>
        <w:rPr>
          <w:rStyle w:val="EndnoteReference"/>
        </w:rPr>
        <w:endnoteReference w:id="80"/>
      </w:r>
      <w:r>
        <w:t xml:space="preserve"> </w:t>
      </w:r>
      <w:r w:rsidRPr="00CB177D">
        <w:t xml:space="preserve">as a reform intervention to </w:t>
      </w:r>
      <w:r w:rsidR="0045514E">
        <w:t>accelerate</w:t>
      </w:r>
      <w:r w:rsidRPr="00CB177D">
        <w:t xml:space="preserve"> public spending and to boost economic growth.</w:t>
      </w:r>
      <w:r>
        <w:t xml:space="preserve"> </w:t>
      </w:r>
      <w:r w:rsidRPr="00853D76">
        <w:t>It</w:t>
      </w:r>
      <w:r>
        <w:t xml:space="preserve"> wa</w:t>
      </w:r>
      <w:r w:rsidRPr="00853D76">
        <w:t xml:space="preserve">s not a fund but a mechanism to support </w:t>
      </w:r>
      <w:r>
        <w:t xml:space="preserve">high-impact priority programs </w:t>
      </w:r>
      <w:r w:rsidRPr="00853D76">
        <w:t>and projects using savings and un-programmed funds</w:t>
      </w:r>
      <w:r>
        <w:t xml:space="preserve">. In July 2014 the Supreme Court declared the program unconstitutional </w:t>
      </w:r>
      <w:r w:rsidRPr="00853D76">
        <w:t xml:space="preserve">for being in violation of Section 25(5), Article VI of the 1987 Constitution and the doctrine of separation of powers, namely (a) the withdrawal of </w:t>
      </w:r>
      <w:r w:rsidRPr="00853D76">
        <w:rPr>
          <w:color w:val="222222"/>
          <w:shd w:val="clear" w:color="auto" w:fill="FFFFFF"/>
        </w:rPr>
        <w:t xml:space="preserve">unobligated allotments from the implementing agencies, and the declaration of the withdrawn unobligated allotments and unreleased appropriations as savings prior to the end of the fiscal year without complying with the statutory definition of savings contained in the General Appropriations Acts; and (b) the cross-border transfers of the savings of the Executive to augment the appropriations of other offices outside the Executive. The </w:t>
      </w:r>
      <w:r>
        <w:rPr>
          <w:color w:val="222222"/>
          <w:shd w:val="clear" w:color="auto" w:fill="FFFFFF"/>
        </w:rPr>
        <w:t>Court further declared</w:t>
      </w:r>
      <w:r w:rsidRPr="00853D76">
        <w:rPr>
          <w:color w:val="222222"/>
          <w:shd w:val="clear" w:color="auto" w:fill="FFFFFF"/>
        </w:rPr>
        <w:t xml:space="preserve"> </w:t>
      </w:r>
      <w:r>
        <w:rPr>
          <w:color w:val="222222"/>
          <w:shd w:val="clear" w:color="auto" w:fill="FFFFFF"/>
        </w:rPr>
        <w:t xml:space="preserve">as </w:t>
      </w:r>
      <w:r w:rsidRPr="00853D76">
        <w:rPr>
          <w:color w:val="222222"/>
          <w:shd w:val="clear" w:color="auto" w:fill="FFFFFF"/>
        </w:rPr>
        <w:t xml:space="preserve">void the use of unprogrammed funds </w:t>
      </w:r>
      <w:r>
        <w:rPr>
          <w:color w:val="222222"/>
          <w:shd w:val="clear" w:color="auto" w:fill="FFFFFF"/>
        </w:rPr>
        <w:t xml:space="preserve">in </w:t>
      </w:r>
      <w:r w:rsidRPr="00853D76">
        <w:rPr>
          <w:color w:val="222222"/>
          <w:shd w:val="clear" w:color="auto" w:fill="FFFFFF"/>
        </w:rPr>
        <w:t>the absence of a certification by the National Treasurer that the revenue collections exceeded the revenue targets</w:t>
      </w:r>
      <w:r>
        <w:rPr>
          <w:color w:val="222222"/>
          <w:shd w:val="clear" w:color="auto" w:fill="FFFFFF"/>
        </w:rPr>
        <w:t>,</w:t>
      </w:r>
      <w:r w:rsidRPr="00853D76">
        <w:rPr>
          <w:color w:val="222222"/>
          <w:shd w:val="clear" w:color="auto" w:fill="FFFFFF"/>
        </w:rPr>
        <w:t xml:space="preserve"> </w:t>
      </w:r>
      <w:r>
        <w:rPr>
          <w:color w:val="222222"/>
          <w:shd w:val="clear" w:color="auto" w:fill="FFFFFF"/>
        </w:rPr>
        <w:t>which was in</w:t>
      </w:r>
      <w:r w:rsidRPr="00853D76">
        <w:rPr>
          <w:color w:val="222222"/>
          <w:shd w:val="clear" w:color="auto" w:fill="FFFFFF"/>
        </w:rPr>
        <w:t xml:space="preserve"> non-compliance with the conditions provided in the relevant General Appropriations </w:t>
      </w:r>
      <w:r w:rsidR="0045514E">
        <w:rPr>
          <w:color w:val="222222"/>
          <w:shd w:val="clear" w:color="auto" w:fill="FFFFFF"/>
        </w:rPr>
        <w:t>Act.</w:t>
      </w:r>
    </w:p>
    <w:p w14:paraId="662707B6" w14:textId="0115C496" w:rsidR="001762EE" w:rsidRPr="009A0E96" w:rsidRDefault="001762EE" w:rsidP="00B81677">
      <w:pPr>
        <w:pStyle w:val="Heading2"/>
        <w:jc w:val="both"/>
        <w:rPr>
          <w:rFonts w:ascii="Times New Roman" w:hAnsi="Times New Roman"/>
          <w:sz w:val="28"/>
          <w:szCs w:val="28"/>
        </w:rPr>
      </w:pPr>
      <w:bookmarkStart w:id="219" w:name="_Toc454811706"/>
      <w:bookmarkStart w:id="220" w:name="_Toc454888850"/>
      <w:r w:rsidRPr="009A0E96">
        <w:rPr>
          <w:rFonts w:ascii="Times New Roman" w:hAnsi="Times New Roman"/>
          <w:sz w:val="28"/>
          <w:szCs w:val="28"/>
        </w:rPr>
        <w:t>Pillar V. Predictability and Control in Budget Execution</w:t>
      </w:r>
      <w:bookmarkEnd w:id="219"/>
      <w:bookmarkEnd w:id="220"/>
    </w:p>
    <w:p w14:paraId="025FB274" w14:textId="77777777" w:rsidR="001762EE" w:rsidRPr="005A497D" w:rsidRDefault="001762EE" w:rsidP="001F539B">
      <w:pPr>
        <w:pStyle w:val="NormalWeb"/>
        <w:autoSpaceDE w:val="0"/>
        <w:autoSpaceDN w:val="0"/>
        <w:adjustRightInd w:val="0"/>
        <w:spacing w:before="0" w:beforeAutospacing="0" w:after="0" w:afterAutospacing="0"/>
        <w:contextualSpacing/>
        <w:jc w:val="both"/>
      </w:pPr>
      <w:bookmarkStart w:id="221" w:name="_Toc142146109"/>
      <w:bookmarkStart w:id="222" w:name="_Toc142561159"/>
      <w:bookmarkStart w:id="223" w:name="_Toc317192223"/>
      <w:bookmarkStart w:id="224" w:name="_Toc317506457"/>
    </w:p>
    <w:p w14:paraId="2C4DBDBF" w14:textId="2DDA7D56" w:rsidR="001762EE" w:rsidRDefault="001762EE" w:rsidP="00411651">
      <w:pPr>
        <w:pStyle w:val="Heading3"/>
      </w:pPr>
      <w:bookmarkStart w:id="225" w:name="_Toc454811707"/>
      <w:bookmarkStart w:id="226" w:name="_Toc454888851"/>
      <w:r w:rsidRPr="005A497D">
        <w:t>PI-19 Revenue administratio</w:t>
      </w:r>
      <w:r>
        <w:t>n</w:t>
      </w:r>
      <w:bookmarkEnd w:id="225"/>
      <w:bookmarkEnd w:id="226"/>
    </w:p>
    <w:p w14:paraId="2F0D574A" w14:textId="77777777" w:rsidR="001762EE" w:rsidRPr="00FF7846" w:rsidRDefault="001762EE" w:rsidP="00FF7846"/>
    <w:p w14:paraId="3D75054E" w14:textId="44034F4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A government’s ability to collect revenues</w:t>
      </w:r>
      <w:r>
        <w:t xml:space="preserve"> when due</w:t>
      </w:r>
      <w:r w:rsidRPr="005A497D">
        <w:t xml:space="preserve"> is an essential component of any PFM system. It is also an area where there is direct interaction between individuals and enterprises on the one hand and the state on the other.</w:t>
      </w:r>
      <w:r>
        <w:t xml:space="preserve"> </w:t>
      </w:r>
      <w:r w:rsidRPr="00EC5DCE">
        <w:rPr>
          <w:rFonts w:cstheme="minorBidi"/>
        </w:rPr>
        <w:t>This indicator relates to the entities that administer central government revenues</w:t>
      </w:r>
      <w:r>
        <w:rPr>
          <w:rFonts w:cstheme="minorBidi"/>
        </w:rPr>
        <w:t xml:space="preserve"> (Table 3.23)</w:t>
      </w:r>
      <w:r w:rsidRPr="00EC5DCE">
        <w:rPr>
          <w:rFonts w:cstheme="minorBidi"/>
        </w:rPr>
        <w:t xml:space="preserve">. It also covers agencies administering revenues from other significant sources such as natural resources extraction. </w:t>
      </w:r>
    </w:p>
    <w:p w14:paraId="4D5965AA"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0E0F80F8" w14:textId="77777777" w:rsidTr="000D2D7D">
        <w:trPr>
          <w:trHeight w:val="397"/>
          <w:tblHeader/>
        </w:trPr>
        <w:tc>
          <w:tcPr>
            <w:tcW w:w="3600" w:type="dxa"/>
            <w:tcBorders>
              <w:top w:val="double" w:sz="4" w:space="0" w:color="auto"/>
            </w:tcBorders>
            <w:shd w:val="clear" w:color="auto" w:fill="D9D9D9"/>
            <w:vAlign w:val="center"/>
          </w:tcPr>
          <w:p w14:paraId="799E0CE9" w14:textId="77777777" w:rsidR="001762EE" w:rsidRPr="00D53B92" w:rsidRDefault="001762EE" w:rsidP="00474D54">
            <w:pPr>
              <w:spacing w:before="40" w:after="40"/>
              <w:jc w:val="center"/>
              <w:rPr>
                <w:b/>
                <w:i/>
              </w:rPr>
            </w:pPr>
            <w:r w:rsidRPr="00D53B92">
              <w:rPr>
                <w:b/>
                <w:i/>
                <w:sz w:val="22"/>
                <w:szCs w:val="22"/>
              </w:rPr>
              <w:t>Indicator / Dimension</w:t>
            </w:r>
          </w:p>
        </w:tc>
        <w:tc>
          <w:tcPr>
            <w:tcW w:w="1843" w:type="dxa"/>
            <w:tcBorders>
              <w:top w:val="double" w:sz="4" w:space="0" w:color="auto"/>
            </w:tcBorders>
            <w:shd w:val="clear" w:color="auto" w:fill="D9D9D9"/>
            <w:vAlign w:val="center"/>
          </w:tcPr>
          <w:p w14:paraId="3F6244E6" w14:textId="77777777" w:rsidR="001762EE" w:rsidRPr="00D53B92" w:rsidRDefault="001762EE" w:rsidP="00474D54">
            <w:pPr>
              <w:spacing w:before="40" w:after="40"/>
              <w:jc w:val="center"/>
              <w:rPr>
                <w:b/>
                <w:i/>
              </w:rPr>
            </w:pPr>
            <w:r w:rsidRPr="00D53B92">
              <w:rPr>
                <w:b/>
                <w:i/>
                <w:sz w:val="22"/>
                <w:szCs w:val="22"/>
              </w:rPr>
              <w:t>Score</w:t>
            </w:r>
          </w:p>
        </w:tc>
        <w:tc>
          <w:tcPr>
            <w:tcW w:w="3913" w:type="dxa"/>
            <w:tcBorders>
              <w:top w:val="double" w:sz="4" w:space="0" w:color="auto"/>
            </w:tcBorders>
            <w:shd w:val="clear" w:color="auto" w:fill="D9D9D9"/>
            <w:vAlign w:val="center"/>
          </w:tcPr>
          <w:p w14:paraId="37FA07F1" w14:textId="77777777" w:rsidR="001762EE" w:rsidRPr="00D53B92" w:rsidRDefault="001762EE" w:rsidP="00474D54">
            <w:pPr>
              <w:spacing w:before="40" w:after="40"/>
              <w:jc w:val="center"/>
              <w:rPr>
                <w:b/>
                <w:i/>
              </w:rPr>
            </w:pPr>
            <w:r w:rsidRPr="00D53B92">
              <w:rPr>
                <w:b/>
                <w:i/>
                <w:sz w:val="22"/>
                <w:szCs w:val="22"/>
              </w:rPr>
              <w:t>Brief Explanation</w:t>
            </w:r>
          </w:p>
        </w:tc>
      </w:tr>
      <w:tr w:rsidR="001762EE" w:rsidRPr="005A497D" w14:paraId="39040254" w14:textId="77777777" w:rsidTr="00474D54">
        <w:tc>
          <w:tcPr>
            <w:tcW w:w="3600" w:type="dxa"/>
            <w:tcBorders>
              <w:top w:val="double" w:sz="4" w:space="0" w:color="auto"/>
              <w:bottom w:val="single" w:sz="4" w:space="0" w:color="auto"/>
            </w:tcBorders>
          </w:tcPr>
          <w:p w14:paraId="03D36A76" w14:textId="0AF57DC2" w:rsidR="001762EE" w:rsidRPr="005A497D" w:rsidRDefault="001762EE" w:rsidP="00474D54">
            <w:pPr>
              <w:spacing w:before="40" w:after="40"/>
            </w:pPr>
            <w:r w:rsidRPr="005A497D">
              <w:rPr>
                <w:b/>
                <w:bCs/>
                <w:sz w:val="22"/>
                <w:szCs w:val="22"/>
              </w:rPr>
              <w:t>PI-19 R</w:t>
            </w:r>
            <w:r>
              <w:rPr>
                <w:b/>
                <w:bCs/>
                <w:sz w:val="22"/>
                <w:szCs w:val="22"/>
              </w:rPr>
              <w:t>evenue administration</w:t>
            </w:r>
          </w:p>
        </w:tc>
        <w:tc>
          <w:tcPr>
            <w:tcW w:w="1843" w:type="dxa"/>
            <w:tcBorders>
              <w:top w:val="double" w:sz="4" w:space="0" w:color="auto"/>
              <w:bottom w:val="single" w:sz="4" w:space="0" w:color="auto"/>
            </w:tcBorders>
          </w:tcPr>
          <w:p w14:paraId="60A7E577" w14:textId="7B72B693" w:rsidR="001762EE" w:rsidRPr="005A497D" w:rsidRDefault="001762EE" w:rsidP="00474D54">
            <w:pPr>
              <w:spacing w:before="40" w:after="40"/>
              <w:jc w:val="center"/>
              <w:rPr>
                <w:b/>
              </w:rPr>
            </w:pPr>
            <w:r>
              <w:rPr>
                <w:b/>
                <w:sz w:val="22"/>
                <w:szCs w:val="22"/>
              </w:rPr>
              <w:t>B</w:t>
            </w:r>
          </w:p>
        </w:tc>
        <w:tc>
          <w:tcPr>
            <w:tcW w:w="3913" w:type="dxa"/>
            <w:tcBorders>
              <w:top w:val="double" w:sz="4" w:space="0" w:color="auto"/>
              <w:bottom w:val="single" w:sz="4" w:space="0" w:color="auto"/>
            </w:tcBorders>
          </w:tcPr>
          <w:p w14:paraId="241AF3B4" w14:textId="77777777" w:rsidR="001762EE" w:rsidRPr="005A497D" w:rsidRDefault="001762EE" w:rsidP="00474D54">
            <w:pPr>
              <w:spacing w:before="40" w:after="40"/>
            </w:pPr>
            <w:r w:rsidRPr="005A497D">
              <w:rPr>
                <w:sz w:val="22"/>
                <w:szCs w:val="22"/>
              </w:rPr>
              <w:t>Overall rating based on M2 methodology.</w:t>
            </w:r>
          </w:p>
        </w:tc>
      </w:tr>
      <w:tr w:rsidR="001762EE" w:rsidRPr="005A497D" w14:paraId="7DAF173A" w14:textId="77777777" w:rsidTr="00EC5DCE">
        <w:trPr>
          <w:trHeight w:val="1997"/>
        </w:trPr>
        <w:tc>
          <w:tcPr>
            <w:tcW w:w="3600" w:type="dxa"/>
            <w:tcBorders>
              <w:top w:val="single" w:sz="4" w:space="0" w:color="auto"/>
              <w:bottom w:val="single" w:sz="4" w:space="0" w:color="auto"/>
            </w:tcBorders>
          </w:tcPr>
          <w:p w14:paraId="69DA245C" w14:textId="2275CEE2" w:rsidR="001762EE" w:rsidRPr="005A497D" w:rsidRDefault="001762EE" w:rsidP="00EC5DCE">
            <w:pPr>
              <w:pStyle w:val="Default"/>
              <w:rPr>
                <w:color w:val="auto"/>
                <w:sz w:val="22"/>
                <w:szCs w:val="22"/>
              </w:rPr>
            </w:pPr>
            <w:r>
              <w:rPr>
                <w:color w:val="auto"/>
                <w:sz w:val="22"/>
                <w:szCs w:val="22"/>
              </w:rPr>
              <w:t>19.1</w:t>
            </w:r>
            <w:r w:rsidRPr="005A497D">
              <w:rPr>
                <w:color w:val="auto"/>
                <w:sz w:val="22"/>
                <w:szCs w:val="22"/>
              </w:rPr>
              <w:t xml:space="preserve"> </w:t>
            </w:r>
            <w:r>
              <w:rPr>
                <w:color w:val="auto"/>
                <w:sz w:val="22"/>
                <w:szCs w:val="22"/>
              </w:rPr>
              <w:t>Rights and obligations for revenue measures</w:t>
            </w:r>
          </w:p>
        </w:tc>
        <w:tc>
          <w:tcPr>
            <w:tcW w:w="1843" w:type="dxa"/>
            <w:tcBorders>
              <w:top w:val="single" w:sz="4" w:space="0" w:color="auto"/>
              <w:bottom w:val="single" w:sz="4" w:space="0" w:color="auto"/>
            </w:tcBorders>
          </w:tcPr>
          <w:p w14:paraId="70B1C113" w14:textId="77777777" w:rsidR="001762EE" w:rsidRPr="005A497D" w:rsidRDefault="001762EE" w:rsidP="00474D54">
            <w:pPr>
              <w:spacing w:before="40" w:after="40"/>
              <w:jc w:val="center"/>
            </w:pPr>
            <w:r w:rsidRPr="005A497D">
              <w:rPr>
                <w:sz w:val="22"/>
                <w:szCs w:val="22"/>
              </w:rPr>
              <w:t>B</w:t>
            </w:r>
          </w:p>
        </w:tc>
        <w:tc>
          <w:tcPr>
            <w:tcW w:w="3913" w:type="dxa"/>
            <w:tcBorders>
              <w:top w:val="single" w:sz="4" w:space="0" w:color="auto"/>
              <w:bottom w:val="single" w:sz="4" w:space="0" w:color="auto"/>
            </w:tcBorders>
          </w:tcPr>
          <w:p w14:paraId="6E48E611" w14:textId="06491693" w:rsidR="001762EE" w:rsidRPr="005A497D" w:rsidRDefault="001762EE" w:rsidP="00EC5DCE">
            <w:pPr>
              <w:spacing w:before="40" w:after="40"/>
            </w:pPr>
            <w:r w:rsidRPr="005A497D">
              <w:rPr>
                <w:sz w:val="22"/>
                <w:szCs w:val="22"/>
              </w:rPr>
              <w:t>BIR provides easy access to comprehensive and up-to-date information about taxpayers</w:t>
            </w:r>
            <w:r>
              <w:rPr>
                <w:sz w:val="22"/>
                <w:szCs w:val="22"/>
              </w:rPr>
              <w:t>’</w:t>
            </w:r>
            <w:r w:rsidRPr="005A497D">
              <w:rPr>
                <w:sz w:val="22"/>
                <w:szCs w:val="22"/>
              </w:rPr>
              <w:t xml:space="preserve"> rights, obligations</w:t>
            </w:r>
            <w:r>
              <w:rPr>
                <w:sz w:val="22"/>
                <w:szCs w:val="22"/>
              </w:rPr>
              <w:t>,</w:t>
            </w:r>
            <w:r w:rsidRPr="005A497D">
              <w:rPr>
                <w:sz w:val="22"/>
                <w:szCs w:val="22"/>
              </w:rPr>
              <w:t xml:space="preserve"> and procedures including right to redress. For BoC, information is also available</w:t>
            </w:r>
            <w:r>
              <w:rPr>
                <w:sz w:val="22"/>
                <w:szCs w:val="22"/>
              </w:rPr>
              <w:t xml:space="preserve"> in their website and new registrants can seek assistance.</w:t>
            </w:r>
          </w:p>
        </w:tc>
      </w:tr>
      <w:tr w:rsidR="001762EE" w:rsidRPr="005A497D" w14:paraId="1FB5437D" w14:textId="77777777" w:rsidTr="00EC5DCE">
        <w:trPr>
          <w:trHeight w:val="1790"/>
        </w:trPr>
        <w:tc>
          <w:tcPr>
            <w:tcW w:w="3600" w:type="dxa"/>
            <w:tcBorders>
              <w:top w:val="single" w:sz="4" w:space="0" w:color="auto"/>
              <w:bottom w:val="single" w:sz="4" w:space="0" w:color="auto"/>
            </w:tcBorders>
          </w:tcPr>
          <w:p w14:paraId="411B126B" w14:textId="20840F48" w:rsidR="001762EE" w:rsidRPr="005A497D" w:rsidRDefault="001762EE" w:rsidP="00EC5DCE">
            <w:pPr>
              <w:pStyle w:val="Default"/>
              <w:rPr>
                <w:color w:val="auto"/>
                <w:sz w:val="22"/>
                <w:szCs w:val="22"/>
              </w:rPr>
            </w:pPr>
            <w:r>
              <w:rPr>
                <w:color w:val="auto"/>
                <w:sz w:val="22"/>
                <w:szCs w:val="22"/>
              </w:rPr>
              <w:t>19.2</w:t>
            </w:r>
            <w:r w:rsidRPr="005A497D">
              <w:rPr>
                <w:color w:val="auto"/>
                <w:sz w:val="22"/>
                <w:szCs w:val="22"/>
              </w:rPr>
              <w:t xml:space="preserve"> </w:t>
            </w:r>
            <w:r>
              <w:rPr>
                <w:color w:val="auto"/>
                <w:sz w:val="22"/>
                <w:szCs w:val="22"/>
              </w:rPr>
              <w:t>Revenue risk management</w:t>
            </w:r>
          </w:p>
        </w:tc>
        <w:tc>
          <w:tcPr>
            <w:tcW w:w="1843" w:type="dxa"/>
            <w:tcBorders>
              <w:top w:val="single" w:sz="4" w:space="0" w:color="auto"/>
              <w:bottom w:val="single" w:sz="4" w:space="0" w:color="auto"/>
            </w:tcBorders>
          </w:tcPr>
          <w:p w14:paraId="469E6092" w14:textId="79A98CCA" w:rsidR="001762EE" w:rsidRPr="005A497D" w:rsidRDefault="001762EE" w:rsidP="00474D54">
            <w:pPr>
              <w:spacing w:before="40" w:after="40"/>
              <w:jc w:val="center"/>
            </w:pPr>
            <w:r>
              <w:rPr>
                <w:sz w:val="22"/>
                <w:szCs w:val="22"/>
              </w:rPr>
              <w:t>B</w:t>
            </w:r>
          </w:p>
        </w:tc>
        <w:tc>
          <w:tcPr>
            <w:tcW w:w="3913" w:type="dxa"/>
            <w:tcBorders>
              <w:top w:val="single" w:sz="4" w:space="0" w:color="auto"/>
              <w:bottom w:val="single" w:sz="4" w:space="0" w:color="auto"/>
            </w:tcBorders>
          </w:tcPr>
          <w:p w14:paraId="44EBA8BD" w14:textId="7C717663" w:rsidR="001762EE" w:rsidRPr="005A497D" w:rsidRDefault="001762EE" w:rsidP="00D46430">
            <w:pPr>
              <w:spacing w:before="40" w:after="40"/>
            </w:pPr>
            <w:r w:rsidRPr="005A497D">
              <w:rPr>
                <w:sz w:val="22"/>
                <w:szCs w:val="22"/>
              </w:rPr>
              <w:t xml:space="preserve">BIR has created a comprehensive end-to-end compliance improvement strategy for its risk management. </w:t>
            </w:r>
            <w:r>
              <w:rPr>
                <w:sz w:val="22"/>
                <w:szCs w:val="22"/>
              </w:rPr>
              <w:t xml:space="preserve">The </w:t>
            </w:r>
            <w:r w:rsidRPr="005A497D">
              <w:rPr>
                <w:sz w:val="22"/>
                <w:szCs w:val="22"/>
              </w:rPr>
              <w:t xml:space="preserve">DoF Fiscal Intelligence Unit has expanded the previous post-entry audit scope of </w:t>
            </w:r>
            <w:r>
              <w:rPr>
                <w:sz w:val="22"/>
                <w:szCs w:val="22"/>
              </w:rPr>
              <w:t xml:space="preserve">the </w:t>
            </w:r>
            <w:r w:rsidRPr="005A497D">
              <w:rPr>
                <w:sz w:val="22"/>
                <w:szCs w:val="22"/>
              </w:rPr>
              <w:t xml:space="preserve">BoC </w:t>
            </w:r>
            <w:r>
              <w:rPr>
                <w:sz w:val="22"/>
                <w:szCs w:val="22"/>
              </w:rPr>
              <w:t>Post-Entry</w:t>
            </w:r>
            <w:r w:rsidRPr="005A497D">
              <w:rPr>
                <w:sz w:val="22"/>
                <w:szCs w:val="22"/>
              </w:rPr>
              <w:t xml:space="preserve"> Audit Group.</w:t>
            </w:r>
          </w:p>
        </w:tc>
      </w:tr>
      <w:tr w:rsidR="001762EE" w:rsidRPr="005A497D" w14:paraId="690BECFF" w14:textId="77777777" w:rsidTr="00EC5DCE">
        <w:trPr>
          <w:trHeight w:val="1970"/>
        </w:trPr>
        <w:tc>
          <w:tcPr>
            <w:tcW w:w="3600" w:type="dxa"/>
            <w:tcBorders>
              <w:top w:val="single" w:sz="4" w:space="0" w:color="auto"/>
              <w:bottom w:val="single" w:sz="4" w:space="0" w:color="auto"/>
            </w:tcBorders>
          </w:tcPr>
          <w:p w14:paraId="07EACA4F" w14:textId="2976AC13" w:rsidR="001762EE" w:rsidRPr="005A497D" w:rsidRDefault="001762EE" w:rsidP="00EC5DCE">
            <w:pPr>
              <w:pStyle w:val="Default"/>
              <w:rPr>
                <w:color w:val="auto"/>
                <w:sz w:val="22"/>
                <w:szCs w:val="22"/>
              </w:rPr>
            </w:pPr>
            <w:r>
              <w:rPr>
                <w:color w:val="auto"/>
                <w:sz w:val="22"/>
                <w:szCs w:val="22"/>
              </w:rPr>
              <w:t>19.3</w:t>
            </w:r>
            <w:r w:rsidRPr="005A497D">
              <w:rPr>
                <w:color w:val="auto"/>
                <w:sz w:val="22"/>
                <w:szCs w:val="22"/>
              </w:rPr>
              <w:t xml:space="preserve"> </w:t>
            </w:r>
            <w:r>
              <w:rPr>
                <w:color w:val="auto"/>
                <w:sz w:val="22"/>
                <w:szCs w:val="22"/>
              </w:rPr>
              <w:t>Revenue a</w:t>
            </w:r>
            <w:r w:rsidRPr="005A497D">
              <w:rPr>
                <w:color w:val="auto"/>
                <w:sz w:val="22"/>
                <w:szCs w:val="22"/>
              </w:rPr>
              <w:t xml:space="preserve">udit and </w:t>
            </w:r>
            <w:r>
              <w:rPr>
                <w:color w:val="auto"/>
                <w:sz w:val="22"/>
                <w:szCs w:val="22"/>
              </w:rPr>
              <w:t xml:space="preserve">investigation </w:t>
            </w:r>
          </w:p>
        </w:tc>
        <w:tc>
          <w:tcPr>
            <w:tcW w:w="1843" w:type="dxa"/>
            <w:tcBorders>
              <w:top w:val="single" w:sz="4" w:space="0" w:color="auto"/>
              <w:bottom w:val="single" w:sz="4" w:space="0" w:color="auto"/>
            </w:tcBorders>
          </w:tcPr>
          <w:p w14:paraId="555FFF81" w14:textId="335C08F3" w:rsidR="001762EE" w:rsidRPr="005A497D" w:rsidRDefault="001762EE" w:rsidP="00474D54">
            <w:pPr>
              <w:spacing w:before="40" w:after="40"/>
              <w:jc w:val="center"/>
            </w:pPr>
            <w:r>
              <w:rPr>
                <w:sz w:val="22"/>
                <w:szCs w:val="22"/>
              </w:rPr>
              <w:t>A</w:t>
            </w:r>
          </w:p>
        </w:tc>
        <w:tc>
          <w:tcPr>
            <w:tcW w:w="3913" w:type="dxa"/>
            <w:tcBorders>
              <w:top w:val="single" w:sz="4" w:space="0" w:color="auto"/>
              <w:bottom w:val="single" w:sz="4" w:space="0" w:color="auto"/>
            </w:tcBorders>
          </w:tcPr>
          <w:p w14:paraId="5ED9EAA7" w14:textId="35A55278" w:rsidR="001762EE" w:rsidRPr="005A497D" w:rsidRDefault="001762EE" w:rsidP="009D390F">
            <w:pPr>
              <w:spacing w:before="40" w:after="40"/>
            </w:pPr>
            <w:r w:rsidRPr="005A497D">
              <w:rPr>
                <w:sz w:val="22"/>
                <w:szCs w:val="22"/>
              </w:rPr>
              <w:t>BIR sets its policies and guidelines for its annual audit and the investigation and prosecution of cases under the Run</w:t>
            </w:r>
            <w:r>
              <w:rPr>
                <w:sz w:val="22"/>
                <w:szCs w:val="22"/>
              </w:rPr>
              <w:t>-</w:t>
            </w:r>
            <w:r w:rsidRPr="005A497D">
              <w:rPr>
                <w:sz w:val="22"/>
                <w:szCs w:val="22"/>
              </w:rPr>
              <w:t>After</w:t>
            </w:r>
            <w:r>
              <w:rPr>
                <w:sz w:val="22"/>
                <w:szCs w:val="22"/>
              </w:rPr>
              <w:t>-</w:t>
            </w:r>
            <w:r w:rsidRPr="005A497D">
              <w:rPr>
                <w:sz w:val="22"/>
                <w:szCs w:val="22"/>
              </w:rPr>
              <w:t>Tax</w:t>
            </w:r>
            <w:r>
              <w:rPr>
                <w:sz w:val="22"/>
                <w:szCs w:val="22"/>
              </w:rPr>
              <w:t>-</w:t>
            </w:r>
            <w:r w:rsidRPr="005A497D">
              <w:rPr>
                <w:sz w:val="22"/>
                <w:szCs w:val="22"/>
              </w:rPr>
              <w:t>Evaders (RATE) program. For BoC, it is Run-After-The-Smugglers (RATS) and creation of</w:t>
            </w:r>
            <w:r w:rsidRPr="005A497D">
              <w:t xml:space="preserve"> </w:t>
            </w:r>
            <w:r w:rsidRPr="005A497D">
              <w:rPr>
                <w:sz w:val="22"/>
                <w:szCs w:val="22"/>
              </w:rPr>
              <w:t xml:space="preserve">DoF </w:t>
            </w:r>
            <w:r>
              <w:rPr>
                <w:sz w:val="22"/>
                <w:szCs w:val="22"/>
              </w:rPr>
              <w:t>Fiscal Intelligence Unit</w:t>
            </w:r>
            <w:r w:rsidRPr="005A497D">
              <w:rPr>
                <w:sz w:val="22"/>
                <w:szCs w:val="22"/>
              </w:rPr>
              <w:t xml:space="preserve"> to eliminate smuggling. Target outputs are exceeded.</w:t>
            </w:r>
          </w:p>
        </w:tc>
      </w:tr>
      <w:tr w:rsidR="001762EE" w:rsidRPr="005A497D" w14:paraId="0C60507E" w14:textId="77777777" w:rsidTr="00EC5DCE">
        <w:trPr>
          <w:trHeight w:val="1160"/>
        </w:trPr>
        <w:tc>
          <w:tcPr>
            <w:tcW w:w="3600" w:type="dxa"/>
            <w:tcBorders>
              <w:top w:val="single" w:sz="4" w:space="0" w:color="auto"/>
              <w:bottom w:val="double" w:sz="4" w:space="0" w:color="auto"/>
            </w:tcBorders>
          </w:tcPr>
          <w:p w14:paraId="098FD4CC" w14:textId="3FBD6B60" w:rsidR="001762EE" w:rsidRPr="005A497D" w:rsidRDefault="001762EE" w:rsidP="00EC5DCE">
            <w:pPr>
              <w:pStyle w:val="Default"/>
              <w:rPr>
                <w:color w:val="auto"/>
                <w:sz w:val="22"/>
                <w:szCs w:val="22"/>
              </w:rPr>
            </w:pPr>
            <w:r>
              <w:rPr>
                <w:color w:val="auto"/>
                <w:sz w:val="22"/>
                <w:szCs w:val="22"/>
              </w:rPr>
              <w:t>19.4</w:t>
            </w:r>
            <w:r w:rsidRPr="005A497D">
              <w:rPr>
                <w:color w:val="auto"/>
                <w:sz w:val="22"/>
                <w:szCs w:val="22"/>
              </w:rPr>
              <w:t xml:space="preserve"> </w:t>
            </w:r>
            <w:r>
              <w:rPr>
                <w:color w:val="auto"/>
                <w:sz w:val="22"/>
                <w:szCs w:val="22"/>
              </w:rPr>
              <w:t>Revenue arrears monitoring</w:t>
            </w:r>
            <w:r w:rsidRPr="005A497D">
              <w:rPr>
                <w:color w:val="auto"/>
                <w:sz w:val="22"/>
                <w:szCs w:val="22"/>
              </w:rPr>
              <w:t xml:space="preserve"> </w:t>
            </w:r>
          </w:p>
        </w:tc>
        <w:tc>
          <w:tcPr>
            <w:tcW w:w="1843" w:type="dxa"/>
            <w:tcBorders>
              <w:top w:val="single" w:sz="4" w:space="0" w:color="auto"/>
              <w:bottom w:val="double" w:sz="4" w:space="0" w:color="auto"/>
            </w:tcBorders>
          </w:tcPr>
          <w:p w14:paraId="6DE347A2" w14:textId="6CD02E36" w:rsidR="001762EE" w:rsidRPr="005A497D" w:rsidRDefault="001762EE" w:rsidP="00474D54">
            <w:pPr>
              <w:spacing w:before="40" w:after="40"/>
              <w:jc w:val="center"/>
              <w:rPr>
                <w:b/>
              </w:rPr>
            </w:pPr>
            <w:r>
              <w:rPr>
                <w:sz w:val="22"/>
                <w:szCs w:val="22"/>
              </w:rPr>
              <w:t>D</w:t>
            </w:r>
          </w:p>
        </w:tc>
        <w:tc>
          <w:tcPr>
            <w:tcW w:w="3913" w:type="dxa"/>
            <w:tcBorders>
              <w:top w:val="single" w:sz="4" w:space="0" w:color="auto"/>
              <w:bottom w:val="double" w:sz="4" w:space="0" w:color="auto"/>
            </w:tcBorders>
          </w:tcPr>
          <w:p w14:paraId="43401487" w14:textId="0989C8F4" w:rsidR="001762EE" w:rsidRPr="005A497D" w:rsidRDefault="001762EE" w:rsidP="00C42459">
            <w:pPr>
              <w:spacing w:before="40" w:after="40"/>
            </w:pPr>
            <w:r w:rsidRPr="005A497D">
              <w:rPr>
                <w:sz w:val="22"/>
                <w:szCs w:val="22"/>
              </w:rPr>
              <w:t xml:space="preserve">In 2014, the stock of revenue arrears is </w:t>
            </w:r>
            <w:r>
              <w:rPr>
                <w:sz w:val="22"/>
                <w:szCs w:val="22"/>
              </w:rPr>
              <w:t xml:space="preserve">less than 10% </w:t>
            </w:r>
            <w:r w:rsidRPr="005A497D">
              <w:rPr>
                <w:sz w:val="22"/>
                <w:szCs w:val="22"/>
              </w:rPr>
              <w:t xml:space="preserve">of the total revenue collection and those arrears older than 12 months </w:t>
            </w:r>
            <w:r>
              <w:rPr>
                <w:sz w:val="22"/>
                <w:szCs w:val="22"/>
              </w:rPr>
              <w:t>are more than 75% of the total revenue arrears</w:t>
            </w:r>
            <w:r w:rsidRPr="005A497D">
              <w:rPr>
                <w:sz w:val="22"/>
                <w:szCs w:val="22"/>
              </w:rPr>
              <w:t>.</w:t>
            </w:r>
          </w:p>
        </w:tc>
      </w:tr>
    </w:tbl>
    <w:p w14:paraId="65FCB642" w14:textId="77777777" w:rsidR="001762EE" w:rsidRPr="005A497D" w:rsidRDefault="001762EE" w:rsidP="00E32DD7">
      <w:pPr>
        <w:autoSpaceDE w:val="0"/>
        <w:autoSpaceDN w:val="0"/>
        <w:adjustRightInd w:val="0"/>
        <w:jc w:val="both"/>
      </w:pPr>
    </w:p>
    <w:p w14:paraId="2AE8DC91" w14:textId="1481D462" w:rsidR="001762EE" w:rsidRPr="005A497D" w:rsidRDefault="001762EE" w:rsidP="001112A1">
      <w:pPr>
        <w:pStyle w:val="PEFATable"/>
        <w:spacing w:after="40"/>
        <w:jc w:val="both"/>
        <w:rPr>
          <w:sz w:val="24"/>
          <w:szCs w:val="24"/>
        </w:rPr>
      </w:pPr>
      <w:bookmarkStart w:id="227" w:name="_Toc454889259"/>
      <w:r w:rsidRPr="005A497D">
        <w:rPr>
          <w:sz w:val="24"/>
          <w:szCs w:val="24"/>
        </w:rPr>
        <w:t>Table 3.</w:t>
      </w:r>
      <w:r w:rsidR="00A85C58">
        <w:rPr>
          <w:sz w:val="24"/>
          <w:szCs w:val="24"/>
        </w:rPr>
        <w:t>17</w:t>
      </w:r>
      <w:r w:rsidRPr="005A497D">
        <w:rPr>
          <w:sz w:val="24"/>
          <w:szCs w:val="24"/>
        </w:rPr>
        <w:t>: National Government Revenues</w:t>
      </w:r>
      <w:bookmarkEnd w:id="227"/>
    </w:p>
    <w:tbl>
      <w:tblPr>
        <w:tblStyle w:val="TableGrid"/>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1762EE" w:rsidRPr="005A497D" w14:paraId="65698E8E" w14:textId="77777777" w:rsidTr="00474D54">
        <w:trPr>
          <w:tblHeader/>
        </w:trPr>
        <w:tc>
          <w:tcPr>
            <w:tcW w:w="1985" w:type="dxa"/>
            <w:vMerge w:val="restart"/>
            <w:shd w:val="clear" w:color="auto" w:fill="D9D9D9" w:themeFill="background1" w:themeFillShade="D9"/>
            <w:vAlign w:val="center"/>
          </w:tcPr>
          <w:p w14:paraId="4262714E" w14:textId="77777777" w:rsidR="001762EE" w:rsidRPr="005A497D" w:rsidRDefault="001762EE" w:rsidP="00474D54">
            <w:pPr>
              <w:autoSpaceDE w:val="0"/>
              <w:autoSpaceDN w:val="0"/>
              <w:adjustRightInd w:val="0"/>
              <w:spacing w:before="20" w:after="20"/>
              <w:jc w:val="center"/>
              <w:rPr>
                <w:b/>
                <w:sz w:val="22"/>
                <w:szCs w:val="22"/>
              </w:rPr>
            </w:pPr>
          </w:p>
        </w:tc>
        <w:tc>
          <w:tcPr>
            <w:tcW w:w="2457" w:type="dxa"/>
            <w:gridSpan w:val="2"/>
            <w:shd w:val="clear" w:color="auto" w:fill="D9D9D9" w:themeFill="background1" w:themeFillShade="D9"/>
            <w:vAlign w:val="center"/>
          </w:tcPr>
          <w:p w14:paraId="55A193E1" w14:textId="7777777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2012</w:t>
            </w:r>
          </w:p>
        </w:tc>
        <w:tc>
          <w:tcPr>
            <w:tcW w:w="2457" w:type="dxa"/>
            <w:gridSpan w:val="2"/>
            <w:shd w:val="clear" w:color="auto" w:fill="D9D9D9" w:themeFill="background1" w:themeFillShade="D9"/>
            <w:vAlign w:val="center"/>
          </w:tcPr>
          <w:p w14:paraId="32B2F0B6" w14:textId="7777777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2013</w:t>
            </w:r>
          </w:p>
        </w:tc>
        <w:tc>
          <w:tcPr>
            <w:tcW w:w="2457" w:type="dxa"/>
            <w:gridSpan w:val="2"/>
            <w:shd w:val="clear" w:color="auto" w:fill="D9D9D9" w:themeFill="background1" w:themeFillShade="D9"/>
            <w:vAlign w:val="center"/>
          </w:tcPr>
          <w:p w14:paraId="15C94505" w14:textId="7777777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2014</w:t>
            </w:r>
          </w:p>
        </w:tc>
      </w:tr>
      <w:tr w:rsidR="001762EE" w:rsidRPr="005A497D" w14:paraId="59D5F9A3" w14:textId="77777777" w:rsidTr="00474D54">
        <w:trPr>
          <w:tblHeader/>
        </w:trPr>
        <w:tc>
          <w:tcPr>
            <w:tcW w:w="1985" w:type="dxa"/>
            <w:vMerge/>
            <w:tcBorders>
              <w:bottom w:val="double" w:sz="4" w:space="0" w:color="auto"/>
            </w:tcBorders>
            <w:shd w:val="clear" w:color="auto" w:fill="D9D9D9" w:themeFill="background1" w:themeFillShade="D9"/>
            <w:vAlign w:val="center"/>
          </w:tcPr>
          <w:p w14:paraId="1D8ED134" w14:textId="77777777" w:rsidR="001762EE" w:rsidRPr="005A497D" w:rsidRDefault="001762EE" w:rsidP="00474D54">
            <w:pPr>
              <w:autoSpaceDE w:val="0"/>
              <w:autoSpaceDN w:val="0"/>
              <w:adjustRightInd w:val="0"/>
              <w:spacing w:before="20" w:after="20"/>
              <w:jc w:val="center"/>
              <w:rPr>
                <w:b/>
                <w:sz w:val="22"/>
                <w:szCs w:val="22"/>
              </w:rPr>
            </w:pPr>
          </w:p>
        </w:tc>
        <w:tc>
          <w:tcPr>
            <w:tcW w:w="1228" w:type="dxa"/>
            <w:tcBorders>
              <w:bottom w:val="double" w:sz="4" w:space="0" w:color="auto"/>
            </w:tcBorders>
            <w:shd w:val="clear" w:color="auto" w:fill="D9D9D9" w:themeFill="background1" w:themeFillShade="D9"/>
            <w:vAlign w:val="center"/>
          </w:tcPr>
          <w:p w14:paraId="0AFC75C9" w14:textId="00B911D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w:t>
            </w:r>
            <w:r w:rsidR="000D2D7D">
              <w:rPr>
                <w:b/>
                <w:i/>
                <w:sz w:val="20"/>
                <w:szCs w:val="20"/>
              </w:rPr>
              <w:t>PhP</w:t>
            </w:r>
            <w:r w:rsidRPr="009A0E96">
              <w:rPr>
                <w:b/>
                <w:i/>
                <w:sz w:val="20"/>
                <w:szCs w:val="20"/>
              </w:rPr>
              <w:t xml:space="preserve"> millions)</w:t>
            </w:r>
          </w:p>
        </w:tc>
        <w:tc>
          <w:tcPr>
            <w:tcW w:w="1229" w:type="dxa"/>
            <w:tcBorders>
              <w:bottom w:val="double" w:sz="4" w:space="0" w:color="auto"/>
            </w:tcBorders>
            <w:shd w:val="clear" w:color="auto" w:fill="D9D9D9" w:themeFill="background1" w:themeFillShade="D9"/>
            <w:vAlign w:val="center"/>
          </w:tcPr>
          <w:p w14:paraId="123F54D9" w14:textId="7777777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w:t>
            </w:r>
          </w:p>
        </w:tc>
        <w:tc>
          <w:tcPr>
            <w:tcW w:w="1228" w:type="dxa"/>
            <w:tcBorders>
              <w:bottom w:val="double" w:sz="4" w:space="0" w:color="auto"/>
            </w:tcBorders>
            <w:shd w:val="clear" w:color="auto" w:fill="D9D9D9" w:themeFill="background1" w:themeFillShade="D9"/>
            <w:vAlign w:val="center"/>
          </w:tcPr>
          <w:p w14:paraId="22A6BE7C" w14:textId="56EE12D0" w:rsidR="001762EE" w:rsidRPr="009A0E96" w:rsidRDefault="001762EE" w:rsidP="000D2D7D">
            <w:pPr>
              <w:autoSpaceDE w:val="0"/>
              <w:autoSpaceDN w:val="0"/>
              <w:adjustRightInd w:val="0"/>
              <w:spacing w:before="20" w:after="20"/>
              <w:jc w:val="center"/>
              <w:rPr>
                <w:b/>
                <w:i/>
                <w:sz w:val="20"/>
                <w:szCs w:val="20"/>
              </w:rPr>
            </w:pPr>
            <w:r w:rsidRPr="009A0E96">
              <w:rPr>
                <w:b/>
                <w:i/>
                <w:sz w:val="20"/>
                <w:szCs w:val="20"/>
              </w:rPr>
              <w:t>(</w:t>
            </w:r>
            <w:r w:rsidR="000D2D7D">
              <w:rPr>
                <w:b/>
                <w:i/>
                <w:sz w:val="20"/>
                <w:szCs w:val="20"/>
              </w:rPr>
              <w:t>PhP</w:t>
            </w:r>
            <w:r w:rsidR="000D2D7D" w:rsidRPr="009A0E96">
              <w:rPr>
                <w:b/>
                <w:i/>
                <w:sz w:val="20"/>
                <w:szCs w:val="20"/>
              </w:rPr>
              <w:t xml:space="preserve"> </w:t>
            </w:r>
            <w:r w:rsidRPr="009A0E96">
              <w:rPr>
                <w:b/>
                <w:i/>
                <w:sz w:val="20"/>
                <w:szCs w:val="20"/>
              </w:rPr>
              <w:t>millions)</w:t>
            </w:r>
          </w:p>
        </w:tc>
        <w:tc>
          <w:tcPr>
            <w:tcW w:w="1229" w:type="dxa"/>
            <w:tcBorders>
              <w:bottom w:val="double" w:sz="4" w:space="0" w:color="auto"/>
            </w:tcBorders>
            <w:shd w:val="clear" w:color="auto" w:fill="D9D9D9" w:themeFill="background1" w:themeFillShade="D9"/>
            <w:vAlign w:val="center"/>
          </w:tcPr>
          <w:p w14:paraId="71E6509E" w14:textId="7777777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w:t>
            </w:r>
          </w:p>
        </w:tc>
        <w:tc>
          <w:tcPr>
            <w:tcW w:w="1228" w:type="dxa"/>
            <w:tcBorders>
              <w:bottom w:val="double" w:sz="4" w:space="0" w:color="auto"/>
            </w:tcBorders>
            <w:shd w:val="clear" w:color="auto" w:fill="D9D9D9" w:themeFill="background1" w:themeFillShade="D9"/>
            <w:vAlign w:val="center"/>
          </w:tcPr>
          <w:p w14:paraId="2BAFB8BB" w14:textId="065487C4" w:rsidR="001762EE" w:rsidRPr="009A0E96" w:rsidRDefault="001762EE" w:rsidP="000D2D7D">
            <w:pPr>
              <w:autoSpaceDE w:val="0"/>
              <w:autoSpaceDN w:val="0"/>
              <w:adjustRightInd w:val="0"/>
              <w:spacing w:before="20" w:after="20"/>
              <w:jc w:val="center"/>
              <w:rPr>
                <w:b/>
                <w:i/>
                <w:sz w:val="20"/>
                <w:szCs w:val="20"/>
              </w:rPr>
            </w:pPr>
            <w:r w:rsidRPr="009A0E96">
              <w:rPr>
                <w:b/>
                <w:i/>
                <w:sz w:val="20"/>
                <w:szCs w:val="20"/>
              </w:rPr>
              <w:t>(</w:t>
            </w:r>
            <w:r w:rsidR="000D2D7D">
              <w:rPr>
                <w:b/>
                <w:i/>
                <w:sz w:val="20"/>
                <w:szCs w:val="20"/>
              </w:rPr>
              <w:t>PhP</w:t>
            </w:r>
            <w:r w:rsidR="000D2D7D" w:rsidRPr="009A0E96">
              <w:rPr>
                <w:b/>
                <w:i/>
                <w:sz w:val="20"/>
                <w:szCs w:val="20"/>
              </w:rPr>
              <w:t xml:space="preserve"> </w:t>
            </w:r>
            <w:r w:rsidRPr="009A0E96">
              <w:rPr>
                <w:b/>
                <w:i/>
                <w:sz w:val="20"/>
                <w:szCs w:val="20"/>
              </w:rPr>
              <w:t>millions)</w:t>
            </w:r>
          </w:p>
        </w:tc>
        <w:tc>
          <w:tcPr>
            <w:tcW w:w="1229" w:type="dxa"/>
            <w:tcBorders>
              <w:bottom w:val="double" w:sz="4" w:space="0" w:color="auto"/>
            </w:tcBorders>
            <w:shd w:val="clear" w:color="auto" w:fill="D9D9D9" w:themeFill="background1" w:themeFillShade="D9"/>
            <w:vAlign w:val="center"/>
          </w:tcPr>
          <w:p w14:paraId="0F4EB72D" w14:textId="77777777" w:rsidR="001762EE" w:rsidRPr="009A0E96" w:rsidRDefault="001762EE" w:rsidP="00474D54">
            <w:pPr>
              <w:autoSpaceDE w:val="0"/>
              <w:autoSpaceDN w:val="0"/>
              <w:adjustRightInd w:val="0"/>
              <w:spacing w:before="20" w:after="20"/>
              <w:jc w:val="center"/>
              <w:rPr>
                <w:b/>
                <w:i/>
                <w:sz w:val="20"/>
                <w:szCs w:val="20"/>
              </w:rPr>
            </w:pPr>
            <w:r w:rsidRPr="009A0E96">
              <w:rPr>
                <w:b/>
                <w:i/>
                <w:sz w:val="20"/>
                <w:szCs w:val="20"/>
              </w:rPr>
              <w:t>%</w:t>
            </w:r>
          </w:p>
        </w:tc>
      </w:tr>
      <w:tr w:rsidR="001762EE" w:rsidRPr="005A497D" w14:paraId="4A60F071" w14:textId="77777777" w:rsidTr="00474D54">
        <w:trPr>
          <w:trHeight w:val="340"/>
        </w:trPr>
        <w:tc>
          <w:tcPr>
            <w:tcW w:w="1985" w:type="dxa"/>
            <w:tcBorders>
              <w:top w:val="double" w:sz="4" w:space="0" w:color="auto"/>
              <w:bottom w:val="single" w:sz="4" w:space="0" w:color="auto"/>
            </w:tcBorders>
            <w:vAlign w:val="center"/>
          </w:tcPr>
          <w:p w14:paraId="00D6B637" w14:textId="77777777" w:rsidR="001762EE" w:rsidRPr="00704705" w:rsidRDefault="001762EE" w:rsidP="00474D54">
            <w:pPr>
              <w:autoSpaceDE w:val="0"/>
              <w:autoSpaceDN w:val="0"/>
              <w:adjustRightInd w:val="0"/>
              <w:spacing w:before="20" w:after="20"/>
              <w:rPr>
                <w:sz w:val="20"/>
                <w:szCs w:val="20"/>
              </w:rPr>
            </w:pPr>
            <w:r w:rsidRPr="00704705">
              <w:rPr>
                <w:sz w:val="20"/>
                <w:szCs w:val="20"/>
              </w:rPr>
              <w:t>BIR</w:t>
            </w:r>
          </w:p>
        </w:tc>
        <w:tc>
          <w:tcPr>
            <w:tcW w:w="1228" w:type="dxa"/>
            <w:tcBorders>
              <w:top w:val="double" w:sz="4" w:space="0" w:color="auto"/>
              <w:bottom w:val="single" w:sz="4" w:space="0" w:color="auto"/>
            </w:tcBorders>
            <w:vAlign w:val="center"/>
          </w:tcPr>
          <w:p w14:paraId="481900D8"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1,057,916</w:t>
            </w:r>
          </w:p>
        </w:tc>
        <w:tc>
          <w:tcPr>
            <w:tcW w:w="1229" w:type="dxa"/>
            <w:tcBorders>
              <w:top w:val="double" w:sz="4" w:space="0" w:color="auto"/>
              <w:bottom w:val="single" w:sz="4" w:space="0" w:color="auto"/>
            </w:tcBorders>
            <w:vAlign w:val="center"/>
          </w:tcPr>
          <w:p w14:paraId="02424666" w14:textId="0566C65F" w:rsidR="001762EE" w:rsidRPr="009A0E96" w:rsidRDefault="00FA7D33" w:rsidP="00474D54">
            <w:pPr>
              <w:autoSpaceDE w:val="0"/>
              <w:autoSpaceDN w:val="0"/>
              <w:adjustRightInd w:val="0"/>
              <w:spacing w:before="20" w:after="20"/>
              <w:jc w:val="center"/>
              <w:rPr>
                <w:sz w:val="20"/>
                <w:szCs w:val="20"/>
              </w:rPr>
            </w:pPr>
            <w:r>
              <w:rPr>
                <w:sz w:val="20"/>
                <w:szCs w:val="20"/>
              </w:rPr>
              <w:t>68.92</w:t>
            </w:r>
          </w:p>
        </w:tc>
        <w:tc>
          <w:tcPr>
            <w:tcW w:w="1228" w:type="dxa"/>
            <w:tcBorders>
              <w:top w:val="double" w:sz="4" w:space="0" w:color="auto"/>
              <w:bottom w:val="single" w:sz="4" w:space="0" w:color="auto"/>
            </w:tcBorders>
            <w:vAlign w:val="center"/>
          </w:tcPr>
          <w:p w14:paraId="43937386"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1,216,661</w:t>
            </w:r>
          </w:p>
        </w:tc>
        <w:tc>
          <w:tcPr>
            <w:tcW w:w="1229" w:type="dxa"/>
            <w:tcBorders>
              <w:top w:val="double" w:sz="4" w:space="0" w:color="auto"/>
              <w:bottom w:val="single" w:sz="4" w:space="0" w:color="auto"/>
            </w:tcBorders>
            <w:vAlign w:val="center"/>
          </w:tcPr>
          <w:p w14:paraId="0AC3A591" w14:textId="1386FF98" w:rsidR="001762EE" w:rsidRPr="009A0E96" w:rsidRDefault="007C4B82" w:rsidP="00474D54">
            <w:pPr>
              <w:autoSpaceDE w:val="0"/>
              <w:autoSpaceDN w:val="0"/>
              <w:adjustRightInd w:val="0"/>
              <w:spacing w:before="20" w:after="20"/>
              <w:jc w:val="center"/>
              <w:rPr>
                <w:sz w:val="20"/>
                <w:szCs w:val="20"/>
              </w:rPr>
            </w:pPr>
            <w:r>
              <w:rPr>
                <w:sz w:val="20"/>
                <w:szCs w:val="20"/>
              </w:rPr>
              <w:t>70.90</w:t>
            </w:r>
          </w:p>
        </w:tc>
        <w:tc>
          <w:tcPr>
            <w:tcW w:w="1228" w:type="dxa"/>
            <w:tcBorders>
              <w:top w:val="double" w:sz="4" w:space="0" w:color="auto"/>
              <w:bottom w:val="single" w:sz="4" w:space="0" w:color="auto"/>
            </w:tcBorders>
            <w:vAlign w:val="center"/>
          </w:tcPr>
          <w:p w14:paraId="0EB3538A"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1,334,762</w:t>
            </w:r>
          </w:p>
        </w:tc>
        <w:tc>
          <w:tcPr>
            <w:tcW w:w="1229" w:type="dxa"/>
            <w:tcBorders>
              <w:top w:val="double" w:sz="4" w:space="0" w:color="auto"/>
              <w:bottom w:val="single" w:sz="4" w:space="0" w:color="auto"/>
            </w:tcBorders>
            <w:vAlign w:val="center"/>
          </w:tcPr>
          <w:p w14:paraId="1098A0E3" w14:textId="1ABC24CD" w:rsidR="001762EE" w:rsidRPr="009A0E96" w:rsidRDefault="007C4B82" w:rsidP="00474D54">
            <w:pPr>
              <w:autoSpaceDE w:val="0"/>
              <w:autoSpaceDN w:val="0"/>
              <w:adjustRightInd w:val="0"/>
              <w:spacing w:before="20" w:after="20"/>
              <w:jc w:val="center"/>
              <w:rPr>
                <w:sz w:val="20"/>
                <w:szCs w:val="20"/>
              </w:rPr>
            </w:pPr>
            <w:r>
              <w:rPr>
                <w:sz w:val="20"/>
                <w:szCs w:val="20"/>
              </w:rPr>
              <w:t>69.94</w:t>
            </w:r>
          </w:p>
        </w:tc>
      </w:tr>
      <w:tr w:rsidR="001762EE" w:rsidRPr="005A497D" w14:paraId="52311349" w14:textId="77777777" w:rsidTr="00474D54">
        <w:trPr>
          <w:trHeight w:val="340"/>
        </w:trPr>
        <w:tc>
          <w:tcPr>
            <w:tcW w:w="1985" w:type="dxa"/>
            <w:tcBorders>
              <w:top w:val="single" w:sz="4" w:space="0" w:color="auto"/>
              <w:bottom w:val="single" w:sz="4" w:space="0" w:color="auto"/>
            </w:tcBorders>
            <w:vAlign w:val="center"/>
          </w:tcPr>
          <w:p w14:paraId="03F4FFF0" w14:textId="77777777" w:rsidR="001762EE" w:rsidRPr="00704705" w:rsidRDefault="001762EE" w:rsidP="00474D54">
            <w:pPr>
              <w:autoSpaceDE w:val="0"/>
              <w:autoSpaceDN w:val="0"/>
              <w:adjustRightInd w:val="0"/>
              <w:spacing w:before="20" w:after="20"/>
              <w:rPr>
                <w:sz w:val="20"/>
                <w:szCs w:val="20"/>
              </w:rPr>
            </w:pPr>
            <w:r w:rsidRPr="00704705">
              <w:rPr>
                <w:sz w:val="20"/>
                <w:szCs w:val="20"/>
              </w:rPr>
              <w:t>BoC</w:t>
            </w:r>
          </w:p>
        </w:tc>
        <w:tc>
          <w:tcPr>
            <w:tcW w:w="1228" w:type="dxa"/>
            <w:tcBorders>
              <w:top w:val="single" w:sz="4" w:space="0" w:color="auto"/>
              <w:bottom w:val="single" w:sz="4" w:space="0" w:color="auto"/>
            </w:tcBorders>
            <w:vAlign w:val="center"/>
          </w:tcPr>
          <w:p w14:paraId="690B4857"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289,866</w:t>
            </w:r>
          </w:p>
        </w:tc>
        <w:tc>
          <w:tcPr>
            <w:tcW w:w="1229" w:type="dxa"/>
            <w:tcBorders>
              <w:top w:val="single" w:sz="4" w:space="0" w:color="auto"/>
              <w:bottom w:val="single" w:sz="4" w:space="0" w:color="auto"/>
            </w:tcBorders>
            <w:vAlign w:val="center"/>
          </w:tcPr>
          <w:p w14:paraId="70E32D9C" w14:textId="4B1007AF" w:rsidR="001762EE" w:rsidRPr="009A0E96" w:rsidRDefault="00FA7D33" w:rsidP="00474D54">
            <w:pPr>
              <w:autoSpaceDE w:val="0"/>
              <w:autoSpaceDN w:val="0"/>
              <w:adjustRightInd w:val="0"/>
              <w:spacing w:before="20" w:after="20"/>
              <w:jc w:val="center"/>
              <w:rPr>
                <w:sz w:val="20"/>
                <w:szCs w:val="20"/>
              </w:rPr>
            </w:pPr>
            <w:r>
              <w:rPr>
                <w:sz w:val="20"/>
                <w:szCs w:val="20"/>
              </w:rPr>
              <w:t>18.88</w:t>
            </w:r>
          </w:p>
        </w:tc>
        <w:tc>
          <w:tcPr>
            <w:tcW w:w="1228" w:type="dxa"/>
            <w:tcBorders>
              <w:top w:val="single" w:sz="4" w:space="0" w:color="auto"/>
              <w:bottom w:val="single" w:sz="4" w:space="0" w:color="auto"/>
            </w:tcBorders>
            <w:vAlign w:val="center"/>
          </w:tcPr>
          <w:p w14:paraId="5659AB1D"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304,925</w:t>
            </w:r>
          </w:p>
        </w:tc>
        <w:tc>
          <w:tcPr>
            <w:tcW w:w="1229" w:type="dxa"/>
            <w:tcBorders>
              <w:top w:val="single" w:sz="4" w:space="0" w:color="auto"/>
              <w:bottom w:val="single" w:sz="4" w:space="0" w:color="auto"/>
            </w:tcBorders>
            <w:vAlign w:val="center"/>
          </w:tcPr>
          <w:p w14:paraId="490651AC" w14:textId="7C763B2D" w:rsidR="001762EE" w:rsidRPr="009A0E96" w:rsidRDefault="007C4B82" w:rsidP="00474D54">
            <w:pPr>
              <w:autoSpaceDE w:val="0"/>
              <w:autoSpaceDN w:val="0"/>
              <w:adjustRightInd w:val="0"/>
              <w:spacing w:before="20" w:after="20"/>
              <w:jc w:val="center"/>
              <w:rPr>
                <w:sz w:val="20"/>
                <w:szCs w:val="20"/>
              </w:rPr>
            </w:pPr>
            <w:r>
              <w:rPr>
                <w:sz w:val="20"/>
                <w:szCs w:val="20"/>
              </w:rPr>
              <w:t>17.77</w:t>
            </w:r>
          </w:p>
        </w:tc>
        <w:tc>
          <w:tcPr>
            <w:tcW w:w="1228" w:type="dxa"/>
            <w:tcBorders>
              <w:top w:val="single" w:sz="4" w:space="0" w:color="auto"/>
              <w:bottom w:val="single" w:sz="4" w:space="0" w:color="auto"/>
            </w:tcBorders>
            <w:vAlign w:val="center"/>
          </w:tcPr>
          <w:p w14:paraId="12782108"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369,277</w:t>
            </w:r>
          </w:p>
        </w:tc>
        <w:tc>
          <w:tcPr>
            <w:tcW w:w="1229" w:type="dxa"/>
            <w:tcBorders>
              <w:top w:val="single" w:sz="4" w:space="0" w:color="auto"/>
              <w:bottom w:val="single" w:sz="4" w:space="0" w:color="auto"/>
            </w:tcBorders>
            <w:vAlign w:val="center"/>
          </w:tcPr>
          <w:p w14:paraId="2597F8D0" w14:textId="3EDC9EF8" w:rsidR="001762EE" w:rsidRPr="009A0E96" w:rsidRDefault="001762EE" w:rsidP="00474D54">
            <w:pPr>
              <w:autoSpaceDE w:val="0"/>
              <w:autoSpaceDN w:val="0"/>
              <w:adjustRightInd w:val="0"/>
              <w:spacing w:before="20" w:after="20"/>
              <w:jc w:val="center"/>
              <w:rPr>
                <w:sz w:val="20"/>
                <w:szCs w:val="20"/>
              </w:rPr>
            </w:pPr>
            <w:r w:rsidRPr="009A0E96">
              <w:rPr>
                <w:sz w:val="20"/>
                <w:szCs w:val="20"/>
              </w:rPr>
              <w:t>19</w:t>
            </w:r>
            <w:r w:rsidR="007C4B82">
              <w:rPr>
                <w:sz w:val="20"/>
                <w:szCs w:val="20"/>
              </w:rPr>
              <w:t>.35</w:t>
            </w:r>
          </w:p>
        </w:tc>
      </w:tr>
      <w:tr w:rsidR="001762EE" w:rsidRPr="005A497D" w14:paraId="6F32B2CF" w14:textId="77777777" w:rsidTr="00474D54">
        <w:trPr>
          <w:trHeight w:val="340"/>
        </w:trPr>
        <w:tc>
          <w:tcPr>
            <w:tcW w:w="1985" w:type="dxa"/>
            <w:tcBorders>
              <w:top w:val="single" w:sz="4" w:space="0" w:color="auto"/>
              <w:bottom w:val="single" w:sz="4" w:space="0" w:color="auto"/>
            </w:tcBorders>
            <w:vAlign w:val="center"/>
          </w:tcPr>
          <w:p w14:paraId="3FBDBB8D" w14:textId="77777777" w:rsidR="001762EE" w:rsidRPr="00704705" w:rsidRDefault="001762EE" w:rsidP="00474D54">
            <w:pPr>
              <w:autoSpaceDE w:val="0"/>
              <w:autoSpaceDN w:val="0"/>
              <w:adjustRightInd w:val="0"/>
              <w:spacing w:before="20" w:after="20"/>
              <w:rPr>
                <w:sz w:val="20"/>
                <w:szCs w:val="20"/>
              </w:rPr>
            </w:pPr>
            <w:r w:rsidRPr="00704705">
              <w:rPr>
                <w:sz w:val="20"/>
                <w:szCs w:val="20"/>
              </w:rPr>
              <w:t>Other offices</w:t>
            </w:r>
          </w:p>
        </w:tc>
        <w:tc>
          <w:tcPr>
            <w:tcW w:w="1228" w:type="dxa"/>
            <w:tcBorders>
              <w:top w:val="single" w:sz="4" w:space="0" w:color="auto"/>
              <w:bottom w:val="single" w:sz="4" w:space="0" w:color="auto"/>
            </w:tcBorders>
            <w:vAlign w:val="center"/>
          </w:tcPr>
          <w:p w14:paraId="6CD0D681" w14:textId="0BE4C90B" w:rsidR="001762EE" w:rsidRPr="009A0E96" w:rsidRDefault="001762EE" w:rsidP="00C42459">
            <w:pPr>
              <w:autoSpaceDE w:val="0"/>
              <w:autoSpaceDN w:val="0"/>
              <w:adjustRightInd w:val="0"/>
              <w:spacing w:before="20" w:after="20"/>
              <w:jc w:val="right"/>
              <w:rPr>
                <w:sz w:val="20"/>
                <w:szCs w:val="20"/>
              </w:rPr>
            </w:pPr>
            <w:r w:rsidRPr="009A0E96">
              <w:rPr>
                <w:sz w:val="20"/>
                <w:szCs w:val="20"/>
              </w:rPr>
              <w:t>13,29</w:t>
            </w:r>
            <w:r>
              <w:rPr>
                <w:sz w:val="20"/>
                <w:szCs w:val="20"/>
              </w:rPr>
              <w:t>1</w:t>
            </w:r>
          </w:p>
        </w:tc>
        <w:tc>
          <w:tcPr>
            <w:tcW w:w="1229" w:type="dxa"/>
            <w:tcBorders>
              <w:top w:val="single" w:sz="4" w:space="0" w:color="auto"/>
              <w:bottom w:val="single" w:sz="4" w:space="0" w:color="auto"/>
            </w:tcBorders>
            <w:vAlign w:val="center"/>
          </w:tcPr>
          <w:p w14:paraId="22C1FB3E" w14:textId="4622B4AD" w:rsidR="001762EE" w:rsidRPr="009A0E96" w:rsidRDefault="00FA7D33" w:rsidP="00474D54">
            <w:pPr>
              <w:autoSpaceDE w:val="0"/>
              <w:autoSpaceDN w:val="0"/>
              <w:adjustRightInd w:val="0"/>
              <w:spacing w:before="20" w:after="20"/>
              <w:jc w:val="center"/>
              <w:rPr>
                <w:sz w:val="20"/>
                <w:szCs w:val="20"/>
              </w:rPr>
            </w:pPr>
            <w:r>
              <w:rPr>
                <w:sz w:val="20"/>
                <w:szCs w:val="20"/>
              </w:rPr>
              <w:t>0.87</w:t>
            </w:r>
          </w:p>
        </w:tc>
        <w:tc>
          <w:tcPr>
            <w:tcW w:w="1228" w:type="dxa"/>
            <w:tcBorders>
              <w:top w:val="single" w:sz="4" w:space="0" w:color="auto"/>
              <w:bottom w:val="single" w:sz="4" w:space="0" w:color="auto"/>
            </w:tcBorders>
            <w:vAlign w:val="center"/>
          </w:tcPr>
          <w:p w14:paraId="06D02E0D"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14,112</w:t>
            </w:r>
          </w:p>
        </w:tc>
        <w:tc>
          <w:tcPr>
            <w:tcW w:w="1229" w:type="dxa"/>
            <w:tcBorders>
              <w:top w:val="single" w:sz="4" w:space="0" w:color="auto"/>
              <w:bottom w:val="single" w:sz="4" w:space="0" w:color="auto"/>
            </w:tcBorders>
            <w:vAlign w:val="center"/>
          </w:tcPr>
          <w:p w14:paraId="7B8368DC" w14:textId="66445336" w:rsidR="001762EE" w:rsidRPr="009A0E96" w:rsidRDefault="007C4B82" w:rsidP="00474D54">
            <w:pPr>
              <w:autoSpaceDE w:val="0"/>
              <w:autoSpaceDN w:val="0"/>
              <w:adjustRightInd w:val="0"/>
              <w:spacing w:before="20" w:after="20"/>
              <w:jc w:val="center"/>
              <w:rPr>
                <w:sz w:val="20"/>
                <w:szCs w:val="20"/>
              </w:rPr>
            </w:pPr>
            <w:r>
              <w:rPr>
                <w:sz w:val="20"/>
                <w:szCs w:val="20"/>
              </w:rPr>
              <w:t>0.82</w:t>
            </w:r>
          </w:p>
        </w:tc>
        <w:tc>
          <w:tcPr>
            <w:tcW w:w="1228" w:type="dxa"/>
            <w:tcBorders>
              <w:top w:val="single" w:sz="4" w:space="0" w:color="auto"/>
              <w:bottom w:val="single" w:sz="4" w:space="0" w:color="auto"/>
            </w:tcBorders>
            <w:vAlign w:val="center"/>
          </w:tcPr>
          <w:p w14:paraId="7B5AAC57"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14,947</w:t>
            </w:r>
          </w:p>
        </w:tc>
        <w:tc>
          <w:tcPr>
            <w:tcW w:w="1229" w:type="dxa"/>
            <w:tcBorders>
              <w:top w:val="single" w:sz="4" w:space="0" w:color="auto"/>
              <w:bottom w:val="single" w:sz="4" w:space="0" w:color="auto"/>
            </w:tcBorders>
            <w:vAlign w:val="center"/>
          </w:tcPr>
          <w:p w14:paraId="60927F83" w14:textId="0697A868" w:rsidR="001762EE" w:rsidRPr="009A0E96" w:rsidRDefault="007C4B82" w:rsidP="00474D54">
            <w:pPr>
              <w:autoSpaceDE w:val="0"/>
              <w:autoSpaceDN w:val="0"/>
              <w:adjustRightInd w:val="0"/>
              <w:spacing w:before="20" w:after="20"/>
              <w:jc w:val="center"/>
              <w:rPr>
                <w:sz w:val="20"/>
                <w:szCs w:val="20"/>
              </w:rPr>
            </w:pPr>
            <w:r>
              <w:rPr>
                <w:sz w:val="20"/>
                <w:szCs w:val="20"/>
              </w:rPr>
              <w:t>0.78</w:t>
            </w:r>
          </w:p>
        </w:tc>
      </w:tr>
      <w:tr w:rsidR="001762EE" w:rsidRPr="005A497D" w14:paraId="551AFD48" w14:textId="77777777" w:rsidTr="00474D54">
        <w:trPr>
          <w:trHeight w:val="340"/>
        </w:trPr>
        <w:tc>
          <w:tcPr>
            <w:tcW w:w="1985" w:type="dxa"/>
            <w:tcBorders>
              <w:top w:val="single" w:sz="4" w:space="0" w:color="auto"/>
              <w:bottom w:val="single" w:sz="4" w:space="0" w:color="auto"/>
            </w:tcBorders>
            <w:vAlign w:val="center"/>
          </w:tcPr>
          <w:p w14:paraId="07029076" w14:textId="22599E3C" w:rsidR="001762EE" w:rsidRPr="007812DF" w:rsidRDefault="001762EE" w:rsidP="00D46430">
            <w:pPr>
              <w:autoSpaceDE w:val="0"/>
              <w:autoSpaceDN w:val="0"/>
              <w:adjustRightInd w:val="0"/>
              <w:spacing w:before="20" w:after="20"/>
              <w:rPr>
                <w:b/>
                <w:sz w:val="20"/>
                <w:szCs w:val="20"/>
              </w:rPr>
            </w:pPr>
            <w:r w:rsidRPr="007812DF">
              <w:rPr>
                <w:b/>
                <w:sz w:val="20"/>
                <w:szCs w:val="20"/>
              </w:rPr>
              <w:t>Total tax revenue</w:t>
            </w:r>
          </w:p>
        </w:tc>
        <w:tc>
          <w:tcPr>
            <w:tcW w:w="1228" w:type="dxa"/>
            <w:tcBorders>
              <w:top w:val="single" w:sz="4" w:space="0" w:color="auto"/>
              <w:bottom w:val="single" w:sz="4" w:space="0" w:color="auto"/>
            </w:tcBorders>
            <w:vAlign w:val="center"/>
          </w:tcPr>
          <w:p w14:paraId="086CA9A8" w14:textId="63016690" w:rsidR="001762EE" w:rsidRPr="009A0E96" w:rsidRDefault="001762EE" w:rsidP="00C42459">
            <w:pPr>
              <w:autoSpaceDE w:val="0"/>
              <w:autoSpaceDN w:val="0"/>
              <w:adjustRightInd w:val="0"/>
              <w:spacing w:before="20" w:after="20"/>
              <w:jc w:val="right"/>
              <w:rPr>
                <w:b/>
                <w:sz w:val="20"/>
                <w:szCs w:val="20"/>
              </w:rPr>
            </w:pPr>
            <w:r w:rsidRPr="009A0E96">
              <w:rPr>
                <w:b/>
                <w:sz w:val="20"/>
                <w:szCs w:val="20"/>
              </w:rPr>
              <w:t>1,361,0</w:t>
            </w:r>
            <w:r>
              <w:rPr>
                <w:b/>
                <w:sz w:val="20"/>
                <w:szCs w:val="20"/>
              </w:rPr>
              <w:t>73</w:t>
            </w:r>
          </w:p>
        </w:tc>
        <w:tc>
          <w:tcPr>
            <w:tcW w:w="1229" w:type="dxa"/>
            <w:tcBorders>
              <w:top w:val="single" w:sz="4" w:space="0" w:color="auto"/>
              <w:bottom w:val="single" w:sz="4" w:space="0" w:color="auto"/>
            </w:tcBorders>
            <w:vAlign w:val="center"/>
          </w:tcPr>
          <w:p w14:paraId="4BB53AA4" w14:textId="34D2FE79" w:rsidR="001762EE" w:rsidRPr="009A0E96" w:rsidRDefault="00FA7D33" w:rsidP="00474D54">
            <w:pPr>
              <w:autoSpaceDE w:val="0"/>
              <w:autoSpaceDN w:val="0"/>
              <w:adjustRightInd w:val="0"/>
              <w:spacing w:before="20" w:after="20"/>
              <w:jc w:val="center"/>
              <w:rPr>
                <w:b/>
                <w:sz w:val="20"/>
                <w:szCs w:val="20"/>
              </w:rPr>
            </w:pPr>
            <w:r>
              <w:rPr>
                <w:b/>
                <w:sz w:val="20"/>
                <w:szCs w:val="20"/>
              </w:rPr>
              <w:t>88.67</w:t>
            </w:r>
          </w:p>
        </w:tc>
        <w:tc>
          <w:tcPr>
            <w:tcW w:w="1228" w:type="dxa"/>
            <w:tcBorders>
              <w:top w:val="single" w:sz="4" w:space="0" w:color="auto"/>
              <w:bottom w:val="single" w:sz="4" w:space="0" w:color="auto"/>
            </w:tcBorders>
            <w:vAlign w:val="center"/>
          </w:tcPr>
          <w:p w14:paraId="029790A8" w14:textId="77777777" w:rsidR="001762EE" w:rsidRPr="009A0E96" w:rsidRDefault="001762EE" w:rsidP="00474D54">
            <w:pPr>
              <w:autoSpaceDE w:val="0"/>
              <w:autoSpaceDN w:val="0"/>
              <w:adjustRightInd w:val="0"/>
              <w:spacing w:before="20" w:after="20"/>
              <w:jc w:val="right"/>
              <w:rPr>
                <w:b/>
                <w:sz w:val="20"/>
                <w:szCs w:val="20"/>
              </w:rPr>
            </w:pPr>
            <w:r w:rsidRPr="009A0E96">
              <w:rPr>
                <w:b/>
                <w:sz w:val="20"/>
                <w:szCs w:val="20"/>
              </w:rPr>
              <w:t>1,535,698</w:t>
            </w:r>
          </w:p>
        </w:tc>
        <w:tc>
          <w:tcPr>
            <w:tcW w:w="1229" w:type="dxa"/>
            <w:tcBorders>
              <w:top w:val="single" w:sz="4" w:space="0" w:color="auto"/>
              <w:bottom w:val="single" w:sz="4" w:space="0" w:color="auto"/>
            </w:tcBorders>
            <w:vAlign w:val="center"/>
          </w:tcPr>
          <w:p w14:paraId="0B951FCD" w14:textId="34236D5A" w:rsidR="001762EE" w:rsidRPr="009A0E96" w:rsidRDefault="007C4B82" w:rsidP="00474D54">
            <w:pPr>
              <w:autoSpaceDE w:val="0"/>
              <w:autoSpaceDN w:val="0"/>
              <w:adjustRightInd w:val="0"/>
              <w:spacing w:before="20" w:after="20"/>
              <w:jc w:val="center"/>
              <w:rPr>
                <w:b/>
                <w:sz w:val="20"/>
                <w:szCs w:val="20"/>
              </w:rPr>
            </w:pPr>
            <w:r>
              <w:rPr>
                <w:b/>
                <w:sz w:val="20"/>
                <w:szCs w:val="20"/>
              </w:rPr>
              <w:t>89.49</w:t>
            </w:r>
          </w:p>
        </w:tc>
        <w:tc>
          <w:tcPr>
            <w:tcW w:w="1228" w:type="dxa"/>
            <w:tcBorders>
              <w:top w:val="single" w:sz="4" w:space="0" w:color="auto"/>
              <w:bottom w:val="single" w:sz="4" w:space="0" w:color="auto"/>
            </w:tcBorders>
            <w:vAlign w:val="center"/>
          </w:tcPr>
          <w:p w14:paraId="72F1B9BD" w14:textId="77777777" w:rsidR="001762EE" w:rsidRPr="009A0E96" w:rsidRDefault="001762EE" w:rsidP="00474D54">
            <w:pPr>
              <w:autoSpaceDE w:val="0"/>
              <w:autoSpaceDN w:val="0"/>
              <w:adjustRightInd w:val="0"/>
              <w:spacing w:before="20" w:after="20"/>
              <w:jc w:val="right"/>
              <w:rPr>
                <w:b/>
                <w:sz w:val="20"/>
                <w:szCs w:val="20"/>
              </w:rPr>
            </w:pPr>
            <w:r w:rsidRPr="009A0E96">
              <w:rPr>
                <w:b/>
                <w:sz w:val="20"/>
                <w:szCs w:val="20"/>
              </w:rPr>
              <w:t>1,718,986</w:t>
            </w:r>
          </w:p>
        </w:tc>
        <w:tc>
          <w:tcPr>
            <w:tcW w:w="1229" w:type="dxa"/>
            <w:tcBorders>
              <w:top w:val="single" w:sz="4" w:space="0" w:color="auto"/>
              <w:bottom w:val="single" w:sz="4" w:space="0" w:color="auto"/>
            </w:tcBorders>
            <w:vAlign w:val="center"/>
          </w:tcPr>
          <w:p w14:paraId="3E6F7652" w14:textId="2560E731" w:rsidR="001762EE" w:rsidRPr="009A0E96" w:rsidRDefault="001762EE" w:rsidP="00474D54">
            <w:pPr>
              <w:autoSpaceDE w:val="0"/>
              <w:autoSpaceDN w:val="0"/>
              <w:adjustRightInd w:val="0"/>
              <w:spacing w:before="20" w:after="20"/>
              <w:jc w:val="center"/>
              <w:rPr>
                <w:b/>
                <w:sz w:val="20"/>
                <w:szCs w:val="20"/>
              </w:rPr>
            </w:pPr>
            <w:r w:rsidRPr="009A0E96">
              <w:rPr>
                <w:b/>
                <w:sz w:val="20"/>
                <w:szCs w:val="20"/>
              </w:rPr>
              <w:t>90</w:t>
            </w:r>
            <w:r w:rsidR="00E17DF6">
              <w:rPr>
                <w:b/>
                <w:sz w:val="20"/>
                <w:szCs w:val="20"/>
              </w:rPr>
              <w:t>.07</w:t>
            </w:r>
          </w:p>
        </w:tc>
      </w:tr>
      <w:tr w:rsidR="001762EE" w:rsidRPr="005A497D" w14:paraId="55954124" w14:textId="77777777" w:rsidTr="00474D54">
        <w:trPr>
          <w:trHeight w:val="340"/>
        </w:trPr>
        <w:tc>
          <w:tcPr>
            <w:tcW w:w="1985" w:type="dxa"/>
            <w:tcBorders>
              <w:top w:val="single" w:sz="4" w:space="0" w:color="auto"/>
              <w:bottom w:val="single" w:sz="4" w:space="0" w:color="auto"/>
            </w:tcBorders>
            <w:vAlign w:val="center"/>
          </w:tcPr>
          <w:p w14:paraId="077396AA" w14:textId="63183910" w:rsidR="001762EE" w:rsidRPr="00704705" w:rsidRDefault="001762EE" w:rsidP="00D46430">
            <w:pPr>
              <w:keepNext/>
              <w:autoSpaceDE w:val="0"/>
              <w:autoSpaceDN w:val="0"/>
              <w:adjustRightInd w:val="0"/>
              <w:spacing w:before="20" w:after="20"/>
              <w:jc w:val="both"/>
              <w:outlineLvl w:val="2"/>
              <w:rPr>
                <w:sz w:val="20"/>
                <w:szCs w:val="20"/>
              </w:rPr>
            </w:pPr>
            <w:bookmarkStart w:id="228" w:name="_Toc454811708"/>
            <w:bookmarkStart w:id="229" w:name="_Toc454888852"/>
            <w:r w:rsidRPr="00704705">
              <w:rPr>
                <w:sz w:val="20"/>
                <w:szCs w:val="20"/>
              </w:rPr>
              <w:t>Non-tax revenue</w:t>
            </w:r>
            <w:bookmarkEnd w:id="228"/>
            <w:bookmarkEnd w:id="229"/>
          </w:p>
        </w:tc>
        <w:tc>
          <w:tcPr>
            <w:tcW w:w="1228" w:type="dxa"/>
            <w:tcBorders>
              <w:top w:val="single" w:sz="4" w:space="0" w:color="auto"/>
              <w:bottom w:val="single" w:sz="4" w:space="0" w:color="auto"/>
            </w:tcBorders>
            <w:vAlign w:val="center"/>
          </w:tcPr>
          <w:p w14:paraId="7867B39F" w14:textId="47C88BA9" w:rsidR="001762EE" w:rsidRPr="009A0E96" w:rsidRDefault="001762EE" w:rsidP="00C42459">
            <w:pPr>
              <w:autoSpaceDE w:val="0"/>
              <w:autoSpaceDN w:val="0"/>
              <w:adjustRightInd w:val="0"/>
              <w:spacing w:before="20" w:after="20"/>
              <w:jc w:val="right"/>
              <w:rPr>
                <w:sz w:val="20"/>
                <w:szCs w:val="20"/>
              </w:rPr>
            </w:pPr>
            <w:r w:rsidRPr="009A0E96">
              <w:rPr>
                <w:sz w:val="20"/>
                <w:szCs w:val="20"/>
              </w:rPr>
              <w:t>173,7</w:t>
            </w:r>
            <w:r>
              <w:rPr>
                <w:sz w:val="20"/>
                <w:szCs w:val="20"/>
              </w:rPr>
              <w:t>60</w:t>
            </w:r>
          </w:p>
        </w:tc>
        <w:tc>
          <w:tcPr>
            <w:tcW w:w="1229" w:type="dxa"/>
            <w:tcBorders>
              <w:top w:val="single" w:sz="4" w:space="0" w:color="auto"/>
              <w:bottom w:val="single" w:sz="4" w:space="0" w:color="auto"/>
            </w:tcBorders>
            <w:vAlign w:val="center"/>
          </w:tcPr>
          <w:p w14:paraId="3D62DFFC" w14:textId="1D794240" w:rsidR="001762EE" w:rsidRPr="009A0E96" w:rsidRDefault="001762EE" w:rsidP="00474D54">
            <w:pPr>
              <w:autoSpaceDE w:val="0"/>
              <w:autoSpaceDN w:val="0"/>
              <w:adjustRightInd w:val="0"/>
              <w:spacing w:before="20" w:after="20"/>
              <w:jc w:val="center"/>
              <w:rPr>
                <w:sz w:val="20"/>
                <w:szCs w:val="20"/>
              </w:rPr>
            </w:pPr>
            <w:r w:rsidRPr="009A0E96">
              <w:rPr>
                <w:sz w:val="20"/>
                <w:szCs w:val="20"/>
              </w:rPr>
              <w:t>11</w:t>
            </w:r>
            <w:r w:rsidR="00FA7D33">
              <w:rPr>
                <w:sz w:val="20"/>
                <w:szCs w:val="20"/>
              </w:rPr>
              <w:t>.32</w:t>
            </w:r>
          </w:p>
        </w:tc>
        <w:tc>
          <w:tcPr>
            <w:tcW w:w="1228" w:type="dxa"/>
            <w:tcBorders>
              <w:top w:val="single" w:sz="4" w:space="0" w:color="auto"/>
              <w:bottom w:val="single" w:sz="4" w:space="0" w:color="auto"/>
            </w:tcBorders>
            <w:vAlign w:val="center"/>
          </w:tcPr>
          <w:p w14:paraId="15379EE4"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180,074</w:t>
            </w:r>
          </w:p>
        </w:tc>
        <w:tc>
          <w:tcPr>
            <w:tcW w:w="1229" w:type="dxa"/>
            <w:tcBorders>
              <w:top w:val="single" w:sz="4" w:space="0" w:color="auto"/>
              <w:bottom w:val="single" w:sz="4" w:space="0" w:color="auto"/>
            </w:tcBorders>
            <w:vAlign w:val="center"/>
          </w:tcPr>
          <w:p w14:paraId="11D74A3A" w14:textId="4E26E126" w:rsidR="001762EE" w:rsidRPr="009A0E96" w:rsidRDefault="001762EE" w:rsidP="00474D54">
            <w:pPr>
              <w:autoSpaceDE w:val="0"/>
              <w:autoSpaceDN w:val="0"/>
              <w:adjustRightInd w:val="0"/>
              <w:spacing w:before="20" w:after="20"/>
              <w:jc w:val="center"/>
              <w:rPr>
                <w:sz w:val="20"/>
                <w:szCs w:val="20"/>
              </w:rPr>
            </w:pPr>
            <w:r w:rsidRPr="009A0E96">
              <w:rPr>
                <w:sz w:val="20"/>
                <w:szCs w:val="20"/>
              </w:rPr>
              <w:t>10</w:t>
            </w:r>
            <w:r w:rsidR="007C4B82">
              <w:rPr>
                <w:sz w:val="20"/>
                <w:szCs w:val="20"/>
              </w:rPr>
              <w:t>.49</w:t>
            </w:r>
          </w:p>
        </w:tc>
        <w:tc>
          <w:tcPr>
            <w:tcW w:w="1228" w:type="dxa"/>
            <w:tcBorders>
              <w:top w:val="single" w:sz="4" w:space="0" w:color="auto"/>
              <w:bottom w:val="single" w:sz="4" w:space="0" w:color="auto"/>
            </w:tcBorders>
            <w:vAlign w:val="center"/>
          </w:tcPr>
          <w:p w14:paraId="0B474BCB"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189,308</w:t>
            </w:r>
          </w:p>
        </w:tc>
        <w:tc>
          <w:tcPr>
            <w:tcW w:w="1229" w:type="dxa"/>
            <w:tcBorders>
              <w:top w:val="single" w:sz="4" w:space="0" w:color="auto"/>
              <w:bottom w:val="single" w:sz="4" w:space="0" w:color="auto"/>
            </w:tcBorders>
            <w:vAlign w:val="center"/>
          </w:tcPr>
          <w:p w14:paraId="4933717A" w14:textId="2A98B153" w:rsidR="001762EE" w:rsidRPr="009A0E96" w:rsidRDefault="00E17DF6" w:rsidP="00474D54">
            <w:pPr>
              <w:autoSpaceDE w:val="0"/>
              <w:autoSpaceDN w:val="0"/>
              <w:adjustRightInd w:val="0"/>
              <w:spacing w:before="20" w:after="20"/>
              <w:jc w:val="center"/>
              <w:rPr>
                <w:sz w:val="20"/>
                <w:szCs w:val="20"/>
              </w:rPr>
            </w:pPr>
            <w:r>
              <w:rPr>
                <w:sz w:val="20"/>
                <w:szCs w:val="20"/>
              </w:rPr>
              <w:t>9.92</w:t>
            </w:r>
          </w:p>
        </w:tc>
      </w:tr>
      <w:tr w:rsidR="001762EE" w:rsidRPr="005A497D" w14:paraId="575284A2" w14:textId="77777777" w:rsidTr="00474D54">
        <w:trPr>
          <w:trHeight w:val="340"/>
        </w:trPr>
        <w:tc>
          <w:tcPr>
            <w:tcW w:w="1985" w:type="dxa"/>
            <w:tcBorders>
              <w:top w:val="single" w:sz="4" w:space="0" w:color="auto"/>
              <w:bottom w:val="single" w:sz="4" w:space="0" w:color="auto"/>
            </w:tcBorders>
            <w:vAlign w:val="center"/>
          </w:tcPr>
          <w:p w14:paraId="59F0EA87" w14:textId="77777777" w:rsidR="001762EE" w:rsidRPr="00704705" w:rsidRDefault="001762EE" w:rsidP="00474D54">
            <w:pPr>
              <w:autoSpaceDE w:val="0"/>
              <w:autoSpaceDN w:val="0"/>
              <w:adjustRightInd w:val="0"/>
              <w:spacing w:before="20" w:after="20"/>
              <w:rPr>
                <w:sz w:val="20"/>
                <w:szCs w:val="20"/>
              </w:rPr>
            </w:pPr>
            <w:r w:rsidRPr="00704705">
              <w:rPr>
                <w:sz w:val="20"/>
                <w:szCs w:val="20"/>
              </w:rPr>
              <w:t>Grants</w:t>
            </w:r>
          </w:p>
        </w:tc>
        <w:tc>
          <w:tcPr>
            <w:tcW w:w="1228" w:type="dxa"/>
            <w:tcBorders>
              <w:top w:val="single" w:sz="4" w:space="0" w:color="auto"/>
              <w:bottom w:val="single" w:sz="4" w:space="0" w:color="auto"/>
            </w:tcBorders>
            <w:vAlign w:val="center"/>
          </w:tcPr>
          <w:p w14:paraId="0A621ED4"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99</w:t>
            </w:r>
          </w:p>
        </w:tc>
        <w:tc>
          <w:tcPr>
            <w:tcW w:w="1229" w:type="dxa"/>
            <w:tcBorders>
              <w:top w:val="single" w:sz="4" w:space="0" w:color="auto"/>
              <w:bottom w:val="single" w:sz="4" w:space="0" w:color="auto"/>
            </w:tcBorders>
            <w:vAlign w:val="center"/>
          </w:tcPr>
          <w:p w14:paraId="71456010" w14:textId="44984546" w:rsidR="001762EE" w:rsidRPr="009A0E96" w:rsidRDefault="007C4B82" w:rsidP="00474D54">
            <w:pPr>
              <w:autoSpaceDE w:val="0"/>
              <w:autoSpaceDN w:val="0"/>
              <w:adjustRightInd w:val="0"/>
              <w:spacing w:before="20" w:after="20"/>
              <w:jc w:val="center"/>
              <w:rPr>
                <w:sz w:val="20"/>
                <w:szCs w:val="20"/>
              </w:rPr>
            </w:pPr>
            <w:r>
              <w:rPr>
                <w:sz w:val="20"/>
                <w:szCs w:val="20"/>
              </w:rPr>
              <w:t>0</w:t>
            </w:r>
            <w:r w:rsidR="001762EE" w:rsidRPr="009A0E96">
              <w:rPr>
                <w:sz w:val="20"/>
                <w:szCs w:val="20"/>
              </w:rPr>
              <w:t>.01</w:t>
            </w:r>
          </w:p>
        </w:tc>
        <w:tc>
          <w:tcPr>
            <w:tcW w:w="1228" w:type="dxa"/>
            <w:tcBorders>
              <w:top w:val="single" w:sz="4" w:space="0" w:color="auto"/>
              <w:bottom w:val="single" w:sz="4" w:space="0" w:color="auto"/>
            </w:tcBorders>
            <w:vAlign w:val="center"/>
          </w:tcPr>
          <w:p w14:paraId="0D8336BC"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321</w:t>
            </w:r>
          </w:p>
        </w:tc>
        <w:tc>
          <w:tcPr>
            <w:tcW w:w="1229" w:type="dxa"/>
            <w:tcBorders>
              <w:top w:val="single" w:sz="4" w:space="0" w:color="auto"/>
              <w:bottom w:val="single" w:sz="4" w:space="0" w:color="auto"/>
            </w:tcBorders>
            <w:vAlign w:val="center"/>
          </w:tcPr>
          <w:p w14:paraId="7DD77394" w14:textId="20A6596F" w:rsidR="001762EE" w:rsidRPr="009A0E96" w:rsidRDefault="007C4B82" w:rsidP="00474D54">
            <w:pPr>
              <w:autoSpaceDE w:val="0"/>
              <w:autoSpaceDN w:val="0"/>
              <w:adjustRightInd w:val="0"/>
              <w:spacing w:before="20" w:after="20"/>
              <w:jc w:val="center"/>
              <w:rPr>
                <w:sz w:val="20"/>
                <w:szCs w:val="20"/>
              </w:rPr>
            </w:pPr>
            <w:r>
              <w:rPr>
                <w:sz w:val="20"/>
                <w:szCs w:val="20"/>
              </w:rPr>
              <w:t>0</w:t>
            </w:r>
            <w:r w:rsidR="001762EE" w:rsidRPr="009A0E96">
              <w:rPr>
                <w:sz w:val="20"/>
                <w:szCs w:val="20"/>
              </w:rPr>
              <w:t>.02</w:t>
            </w:r>
          </w:p>
        </w:tc>
        <w:tc>
          <w:tcPr>
            <w:tcW w:w="1228" w:type="dxa"/>
            <w:tcBorders>
              <w:top w:val="single" w:sz="4" w:space="0" w:color="auto"/>
              <w:bottom w:val="single" w:sz="4" w:space="0" w:color="auto"/>
            </w:tcBorders>
            <w:vAlign w:val="center"/>
          </w:tcPr>
          <w:p w14:paraId="4D79F830" w14:textId="77777777" w:rsidR="001762EE" w:rsidRPr="009A0E96" w:rsidRDefault="001762EE" w:rsidP="00474D54">
            <w:pPr>
              <w:autoSpaceDE w:val="0"/>
              <w:autoSpaceDN w:val="0"/>
              <w:adjustRightInd w:val="0"/>
              <w:spacing w:before="20" w:after="20"/>
              <w:jc w:val="right"/>
              <w:rPr>
                <w:sz w:val="20"/>
                <w:szCs w:val="20"/>
              </w:rPr>
            </w:pPr>
            <w:r w:rsidRPr="009A0E96">
              <w:rPr>
                <w:sz w:val="20"/>
                <w:szCs w:val="20"/>
              </w:rPr>
              <w:t>233</w:t>
            </w:r>
          </w:p>
        </w:tc>
        <w:tc>
          <w:tcPr>
            <w:tcW w:w="1229" w:type="dxa"/>
            <w:tcBorders>
              <w:top w:val="single" w:sz="4" w:space="0" w:color="auto"/>
              <w:bottom w:val="single" w:sz="4" w:space="0" w:color="auto"/>
            </w:tcBorders>
            <w:vAlign w:val="center"/>
          </w:tcPr>
          <w:p w14:paraId="5B333A5A" w14:textId="3ED788C1" w:rsidR="001762EE" w:rsidRPr="009A0E96" w:rsidRDefault="00E17DF6" w:rsidP="00474D54">
            <w:pPr>
              <w:autoSpaceDE w:val="0"/>
              <w:autoSpaceDN w:val="0"/>
              <w:adjustRightInd w:val="0"/>
              <w:spacing w:before="20" w:after="20"/>
              <w:jc w:val="center"/>
              <w:rPr>
                <w:sz w:val="20"/>
                <w:szCs w:val="20"/>
              </w:rPr>
            </w:pPr>
            <w:r>
              <w:rPr>
                <w:sz w:val="20"/>
                <w:szCs w:val="20"/>
              </w:rPr>
              <w:t>0</w:t>
            </w:r>
            <w:r w:rsidR="001762EE" w:rsidRPr="009A0E96">
              <w:rPr>
                <w:sz w:val="20"/>
                <w:szCs w:val="20"/>
              </w:rPr>
              <w:t>.01</w:t>
            </w:r>
          </w:p>
        </w:tc>
      </w:tr>
      <w:tr w:rsidR="001762EE" w:rsidRPr="005A497D" w14:paraId="62F563EB" w14:textId="77777777" w:rsidTr="00474D54">
        <w:trPr>
          <w:trHeight w:val="340"/>
        </w:trPr>
        <w:tc>
          <w:tcPr>
            <w:tcW w:w="1985" w:type="dxa"/>
            <w:tcBorders>
              <w:top w:val="single" w:sz="4" w:space="0" w:color="auto"/>
              <w:bottom w:val="double" w:sz="4" w:space="0" w:color="auto"/>
            </w:tcBorders>
            <w:vAlign w:val="center"/>
          </w:tcPr>
          <w:p w14:paraId="13B710F2" w14:textId="77777777" w:rsidR="001762EE" w:rsidRPr="007812DF" w:rsidRDefault="001762EE" w:rsidP="00474D54">
            <w:pPr>
              <w:autoSpaceDE w:val="0"/>
              <w:autoSpaceDN w:val="0"/>
              <w:adjustRightInd w:val="0"/>
              <w:spacing w:before="20" w:after="20"/>
              <w:rPr>
                <w:b/>
                <w:sz w:val="20"/>
                <w:szCs w:val="20"/>
              </w:rPr>
            </w:pPr>
            <w:r w:rsidRPr="007812DF">
              <w:rPr>
                <w:b/>
                <w:sz w:val="20"/>
                <w:szCs w:val="20"/>
              </w:rPr>
              <w:t>Total revenue</w:t>
            </w:r>
          </w:p>
        </w:tc>
        <w:tc>
          <w:tcPr>
            <w:tcW w:w="1228" w:type="dxa"/>
            <w:tcBorders>
              <w:top w:val="single" w:sz="4" w:space="0" w:color="auto"/>
              <w:bottom w:val="double" w:sz="4" w:space="0" w:color="auto"/>
            </w:tcBorders>
            <w:vAlign w:val="center"/>
          </w:tcPr>
          <w:p w14:paraId="7111E270" w14:textId="77777777" w:rsidR="001762EE" w:rsidRPr="009A0E96" w:rsidRDefault="001762EE" w:rsidP="00474D54">
            <w:pPr>
              <w:autoSpaceDE w:val="0"/>
              <w:autoSpaceDN w:val="0"/>
              <w:adjustRightInd w:val="0"/>
              <w:spacing w:before="20" w:after="20"/>
              <w:jc w:val="right"/>
              <w:rPr>
                <w:b/>
                <w:sz w:val="20"/>
                <w:szCs w:val="20"/>
              </w:rPr>
            </w:pPr>
            <w:r w:rsidRPr="009A0E96">
              <w:rPr>
                <w:b/>
                <w:sz w:val="20"/>
                <w:szCs w:val="20"/>
              </w:rPr>
              <w:t>1,534,932</w:t>
            </w:r>
          </w:p>
        </w:tc>
        <w:tc>
          <w:tcPr>
            <w:tcW w:w="1229" w:type="dxa"/>
            <w:tcBorders>
              <w:top w:val="single" w:sz="4" w:space="0" w:color="auto"/>
              <w:bottom w:val="double" w:sz="4" w:space="0" w:color="auto"/>
            </w:tcBorders>
            <w:vAlign w:val="center"/>
          </w:tcPr>
          <w:p w14:paraId="5628CA50" w14:textId="4FEF4001" w:rsidR="001762EE" w:rsidRPr="009A0E96" w:rsidRDefault="001762EE" w:rsidP="00474D54">
            <w:pPr>
              <w:autoSpaceDE w:val="0"/>
              <w:autoSpaceDN w:val="0"/>
              <w:adjustRightInd w:val="0"/>
              <w:spacing w:before="20" w:after="20"/>
              <w:jc w:val="center"/>
              <w:rPr>
                <w:b/>
                <w:sz w:val="20"/>
                <w:szCs w:val="20"/>
              </w:rPr>
            </w:pPr>
            <w:r w:rsidRPr="009A0E96">
              <w:rPr>
                <w:b/>
                <w:sz w:val="20"/>
                <w:szCs w:val="20"/>
              </w:rPr>
              <w:t>100</w:t>
            </w:r>
            <w:r w:rsidR="00FA7D33">
              <w:rPr>
                <w:b/>
                <w:sz w:val="20"/>
                <w:szCs w:val="20"/>
              </w:rPr>
              <w:t>.00</w:t>
            </w:r>
          </w:p>
        </w:tc>
        <w:tc>
          <w:tcPr>
            <w:tcW w:w="1228" w:type="dxa"/>
            <w:tcBorders>
              <w:top w:val="single" w:sz="4" w:space="0" w:color="auto"/>
              <w:bottom w:val="double" w:sz="4" w:space="0" w:color="auto"/>
            </w:tcBorders>
            <w:vAlign w:val="center"/>
          </w:tcPr>
          <w:p w14:paraId="75E640FE" w14:textId="77777777" w:rsidR="001762EE" w:rsidRPr="009A0E96" w:rsidRDefault="001762EE" w:rsidP="00474D54">
            <w:pPr>
              <w:autoSpaceDE w:val="0"/>
              <w:autoSpaceDN w:val="0"/>
              <w:adjustRightInd w:val="0"/>
              <w:spacing w:before="20" w:after="20"/>
              <w:jc w:val="right"/>
              <w:rPr>
                <w:b/>
                <w:sz w:val="20"/>
                <w:szCs w:val="20"/>
              </w:rPr>
            </w:pPr>
            <w:r w:rsidRPr="009A0E96">
              <w:rPr>
                <w:b/>
                <w:sz w:val="20"/>
                <w:szCs w:val="20"/>
              </w:rPr>
              <w:t>1,716,093</w:t>
            </w:r>
          </w:p>
        </w:tc>
        <w:tc>
          <w:tcPr>
            <w:tcW w:w="1229" w:type="dxa"/>
            <w:tcBorders>
              <w:top w:val="single" w:sz="4" w:space="0" w:color="auto"/>
              <w:bottom w:val="double" w:sz="4" w:space="0" w:color="auto"/>
            </w:tcBorders>
            <w:vAlign w:val="center"/>
          </w:tcPr>
          <w:p w14:paraId="1D5839A0" w14:textId="28C1CA59" w:rsidR="001762EE" w:rsidRPr="009A0E96" w:rsidRDefault="001762EE" w:rsidP="00474D54">
            <w:pPr>
              <w:autoSpaceDE w:val="0"/>
              <w:autoSpaceDN w:val="0"/>
              <w:adjustRightInd w:val="0"/>
              <w:spacing w:before="20" w:after="20"/>
              <w:jc w:val="center"/>
              <w:rPr>
                <w:b/>
                <w:sz w:val="20"/>
                <w:szCs w:val="20"/>
              </w:rPr>
            </w:pPr>
            <w:r w:rsidRPr="009A0E96">
              <w:rPr>
                <w:b/>
                <w:sz w:val="20"/>
                <w:szCs w:val="20"/>
              </w:rPr>
              <w:t>100</w:t>
            </w:r>
            <w:r w:rsidR="007C4B82">
              <w:rPr>
                <w:b/>
                <w:sz w:val="20"/>
                <w:szCs w:val="20"/>
              </w:rPr>
              <w:t>.00</w:t>
            </w:r>
          </w:p>
        </w:tc>
        <w:tc>
          <w:tcPr>
            <w:tcW w:w="1228" w:type="dxa"/>
            <w:tcBorders>
              <w:top w:val="single" w:sz="4" w:space="0" w:color="auto"/>
              <w:bottom w:val="double" w:sz="4" w:space="0" w:color="auto"/>
            </w:tcBorders>
            <w:vAlign w:val="center"/>
          </w:tcPr>
          <w:p w14:paraId="5CA77196" w14:textId="77777777" w:rsidR="001762EE" w:rsidRPr="009A0E96" w:rsidRDefault="001762EE" w:rsidP="00474D54">
            <w:pPr>
              <w:autoSpaceDE w:val="0"/>
              <w:autoSpaceDN w:val="0"/>
              <w:adjustRightInd w:val="0"/>
              <w:spacing w:before="20" w:after="20"/>
              <w:jc w:val="right"/>
              <w:rPr>
                <w:b/>
                <w:sz w:val="20"/>
                <w:szCs w:val="20"/>
              </w:rPr>
            </w:pPr>
            <w:r w:rsidRPr="009A0E96">
              <w:rPr>
                <w:b/>
                <w:sz w:val="20"/>
                <w:szCs w:val="20"/>
              </w:rPr>
              <w:t>1,908,527</w:t>
            </w:r>
          </w:p>
        </w:tc>
        <w:tc>
          <w:tcPr>
            <w:tcW w:w="1229" w:type="dxa"/>
            <w:tcBorders>
              <w:top w:val="single" w:sz="4" w:space="0" w:color="auto"/>
              <w:bottom w:val="double" w:sz="4" w:space="0" w:color="auto"/>
            </w:tcBorders>
            <w:vAlign w:val="center"/>
          </w:tcPr>
          <w:p w14:paraId="1EBD65C1" w14:textId="6DA63884" w:rsidR="001762EE" w:rsidRPr="009A0E96" w:rsidRDefault="001762EE" w:rsidP="00474D54">
            <w:pPr>
              <w:autoSpaceDE w:val="0"/>
              <w:autoSpaceDN w:val="0"/>
              <w:adjustRightInd w:val="0"/>
              <w:spacing w:before="20" w:after="20"/>
              <w:jc w:val="center"/>
              <w:rPr>
                <w:b/>
                <w:sz w:val="20"/>
                <w:szCs w:val="20"/>
              </w:rPr>
            </w:pPr>
            <w:r w:rsidRPr="009A0E96">
              <w:rPr>
                <w:b/>
                <w:sz w:val="20"/>
                <w:szCs w:val="20"/>
              </w:rPr>
              <w:t>100</w:t>
            </w:r>
            <w:r w:rsidR="00E17DF6">
              <w:rPr>
                <w:b/>
                <w:sz w:val="20"/>
                <w:szCs w:val="20"/>
              </w:rPr>
              <w:t>.00</w:t>
            </w:r>
          </w:p>
        </w:tc>
      </w:tr>
    </w:tbl>
    <w:p w14:paraId="7B072128" w14:textId="77777777" w:rsidR="001762EE" w:rsidRPr="005A497D" w:rsidRDefault="001762EE" w:rsidP="00E32DD7">
      <w:pPr>
        <w:autoSpaceDE w:val="0"/>
        <w:autoSpaceDN w:val="0"/>
        <w:adjustRightInd w:val="0"/>
        <w:spacing w:before="40"/>
        <w:jc w:val="both"/>
      </w:pPr>
      <w:r w:rsidRPr="009A0E96">
        <w:rPr>
          <w:i/>
          <w:sz w:val="20"/>
          <w:szCs w:val="20"/>
        </w:rPr>
        <w:t>Source</w:t>
      </w:r>
      <w:r w:rsidRPr="005A497D">
        <w:rPr>
          <w:sz w:val="20"/>
          <w:szCs w:val="20"/>
        </w:rPr>
        <w:t>: BTr.</w:t>
      </w:r>
      <w:r w:rsidRPr="005A497D">
        <w:rPr>
          <w:vanish/>
          <w:sz w:val="20"/>
          <w:szCs w:val="20"/>
        </w:rPr>
        <w:cr/>
      </w:r>
    </w:p>
    <w:p w14:paraId="4C4018B0" w14:textId="77777777" w:rsidR="001762EE" w:rsidRDefault="001762EE" w:rsidP="00E32DD7">
      <w:pPr>
        <w:pStyle w:val="NormalWeb"/>
        <w:autoSpaceDE w:val="0"/>
        <w:autoSpaceDN w:val="0"/>
        <w:adjustRightInd w:val="0"/>
        <w:spacing w:before="0" w:beforeAutospacing="0" w:after="0" w:afterAutospacing="0"/>
        <w:contextualSpacing/>
        <w:jc w:val="both"/>
        <w:rPr>
          <w:i/>
        </w:rPr>
      </w:pPr>
    </w:p>
    <w:p w14:paraId="5B900639" w14:textId="34713266" w:rsidR="001762EE" w:rsidRPr="009A0E96" w:rsidRDefault="001762EE" w:rsidP="00E32DD7">
      <w:pPr>
        <w:pStyle w:val="NormalWeb"/>
        <w:autoSpaceDE w:val="0"/>
        <w:autoSpaceDN w:val="0"/>
        <w:adjustRightInd w:val="0"/>
        <w:spacing w:before="0" w:beforeAutospacing="0" w:after="0" w:afterAutospacing="0"/>
        <w:contextualSpacing/>
        <w:jc w:val="both"/>
        <w:rPr>
          <w:b/>
          <w:i/>
        </w:rPr>
      </w:pPr>
      <w:r w:rsidRPr="009A0E96">
        <w:rPr>
          <w:b/>
          <w:i/>
        </w:rPr>
        <w:t>Dimension 19.1 Rights and obligations for revenue measures</w:t>
      </w:r>
    </w:p>
    <w:p w14:paraId="519E9828" w14:textId="77777777" w:rsidR="001762EE" w:rsidRPr="00434B48" w:rsidRDefault="001762EE" w:rsidP="00E32DD7">
      <w:pPr>
        <w:pStyle w:val="NormalWeb"/>
        <w:autoSpaceDE w:val="0"/>
        <w:autoSpaceDN w:val="0"/>
        <w:adjustRightInd w:val="0"/>
        <w:spacing w:before="0" w:beforeAutospacing="0" w:after="0" w:afterAutospacing="0"/>
        <w:contextualSpacing/>
        <w:jc w:val="both"/>
        <w:rPr>
          <w:i/>
        </w:rPr>
      </w:pPr>
    </w:p>
    <w:p w14:paraId="3F4B9AF0" w14:textId="0582ED2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Transparency of taxpayer obligations and liabilities aids not only the tax administrators who collect taxes but also taxpayers willing to comply with their tax obligations. Actual and potential taxpayers can easily access </w:t>
      </w:r>
      <w:r>
        <w:t xml:space="preserve">Internet-based </w:t>
      </w:r>
      <w:r w:rsidRPr="005A497D">
        <w:t>information on taxation laws, regulations</w:t>
      </w:r>
      <w:r>
        <w:t>,</w:t>
      </w:r>
      <w:r w:rsidRPr="005A497D">
        <w:t xml:space="preserve"> and procedures, including the taxpayers’ right to redress.</w:t>
      </w:r>
      <w:r w:rsidRPr="005A497D">
        <w:rPr>
          <w:rStyle w:val="EndnoteReference"/>
        </w:rPr>
        <w:endnoteReference w:id="81"/>
      </w:r>
      <w:r w:rsidRPr="005A497D">
        <w:t xml:space="preserve"> The information is updated and amended through revenue issuances of regulations, memorandum circulars</w:t>
      </w:r>
      <w:r>
        <w:t>,</w:t>
      </w:r>
      <w:r w:rsidRPr="005A497D">
        <w:t xml:space="preserve"> and memorandum orders. The BIR website also provides a basic eight-page guide on business taxpayer obligations and liabilities for professionals. The </w:t>
      </w:r>
      <w:r>
        <w:t>Bureau of Internal Revenue</w:t>
      </w:r>
      <w:r w:rsidRPr="005A497D">
        <w:t xml:space="preserve"> also created the Register, File and Pay website to disseminate information to the taxpayer to comply with his obligation of </w:t>
      </w:r>
      <w:r>
        <w:t>“</w:t>
      </w:r>
      <w:r w:rsidRPr="005A497D">
        <w:t>paying right taxes</w:t>
      </w:r>
      <w:r>
        <w:t>”</w:t>
      </w:r>
      <w:r w:rsidRPr="005A497D">
        <w:t>.</w:t>
      </w:r>
      <w:r w:rsidRPr="005A497D">
        <w:rPr>
          <w:rStyle w:val="EndnoteReference"/>
        </w:rPr>
        <w:endnoteReference w:id="82"/>
      </w:r>
      <w:r w:rsidRPr="005A497D">
        <w:t xml:space="preserve"> In addition, the </w:t>
      </w:r>
      <w:r>
        <w:t>Bureau of Internal Revenue</w:t>
      </w:r>
      <w:r w:rsidRPr="005A497D">
        <w:t xml:space="preserve"> has recently launched the Electronic Filing and Payment System (eFPS) to facilitate online filing and payment.</w:t>
      </w:r>
    </w:p>
    <w:p w14:paraId="5283C80C"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249E4C8D" w14:textId="20F8015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Customs information is available on the </w:t>
      </w:r>
      <w:r>
        <w:t>I</w:t>
      </w:r>
      <w:r w:rsidRPr="005A497D">
        <w:t>nternet though these documentation requirements are not user-friendly to new registrants. According to interviews, a new registrant may seek advice from the importation business community group about all documentary requirements.</w:t>
      </w:r>
      <w:r>
        <w:t xml:space="preserve"> Since BIR, as the major revenue collector, provides easy access to updated and comprehensive information, the score for Dimension 19.1 is assessed at “B”.</w:t>
      </w:r>
    </w:p>
    <w:p w14:paraId="67EB8F0B"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52DB8052" w14:textId="2DD083C7" w:rsidR="001762EE" w:rsidRPr="009A0E96" w:rsidRDefault="001762EE" w:rsidP="00E32DD7">
      <w:pPr>
        <w:autoSpaceDE w:val="0"/>
        <w:autoSpaceDN w:val="0"/>
        <w:adjustRightInd w:val="0"/>
        <w:jc w:val="both"/>
        <w:rPr>
          <w:b/>
          <w:i/>
        </w:rPr>
      </w:pPr>
      <w:r w:rsidRPr="009A0E96">
        <w:rPr>
          <w:b/>
          <w:i/>
          <w:iCs/>
        </w:rPr>
        <w:t>Dimension 19.2 Revenue risk m</w:t>
      </w:r>
      <w:r w:rsidRPr="009A0E96">
        <w:rPr>
          <w:b/>
          <w:i/>
        </w:rPr>
        <w:t>anagement</w:t>
      </w:r>
    </w:p>
    <w:p w14:paraId="0A51BB5A" w14:textId="77777777" w:rsidR="001762EE" w:rsidRPr="0041744B" w:rsidRDefault="001762EE" w:rsidP="00E32DD7">
      <w:pPr>
        <w:autoSpaceDE w:val="0"/>
        <w:autoSpaceDN w:val="0"/>
        <w:adjustRightInd w:val="0"/>
        <w:jc w:val="both"/>
        <w:rPr>
          <w:i/>
          <w:iCs/>
        </w:rPr>
      </w:pPr>
    </w:p>
    <w:p w14:paraId="49D6B623" w14:textId="3039655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Bureau of Internal Revenue</w:t>
      </w:r>
      <w:r w:rsidRPr="005A497D">
        <w:t xml:space="preserve"> created </w:t>
      </w:r>
      <w:r>
        <w:t>the</w:t>
      </w:r>
      <w:r w:rsidRPr="005A497D">
        <w:t xml:space="preserve"> Compliance Improvement Strategy Council with </w:t>
      </w:r>
      <w:r>
        <w:t>a</w:t>
      </w:r>
      <w:r w:rsidRPr="005A497D">
        <w:t xml:space="preserve"> mandate for principal </w:t>
      </w:r>
      <w:r>
        <w:t>decision-making</w:t>
      </w:r>
      <w:r w:rsidRPr="005A497D">
        <w:t xml:space="preserve"> in risk management. Its main role is to identify compliance risks </w:t>
      </w:r>
      <w:r>
        <w:t>(</w:t>
      </w:r>
      <w:r w:rsidRPr="005A497D">
        <w:t>e.g., registration, filing and reporting, underreporting and payment</w:t>
      </w:r>
      <w:r>
        <w:t>),</w:t>
      </w:r>
      <w:r w:rsidRPr="005A497D">
        <w:t xml:space="preserve"> including new and emerging risks; to prioritize significant risks for ensuring effective mitigation of significant risks; and escalate any significant unmitigated risk to the appropriate forum/business owner in case there is a broader impact to the </w:t>
      </w:r>
      <w:r>
        <w:t>B</w:t>
      </w:r>
      <w:r w:rsidRPr="005A497D">
        <w:t xml:space="preserve">ureau. The creation of </w:t>
      </w:r>
      <w:r>
        <w:t xml:space="preserve">the </w:t>
      </w:r>
      <w:r w:rsidRPr="005A497D">
        <w:t>Compliance Improvement Strategy Council is to provide a comprehensive end</w:t>
      </w:r>
      <w:r>
        <w:t>-</w:t>
      </w:r>
      <w:r w:rsidRPr="005A497D">
        <w:t>to</w:t>
      </w:r>
      <w:r>
        <w:t>-</w:t>
      </w:r>
      <w:r w:rsidRPr="005A497D">
        <w:t>end compliance improvement strategy for taxpayers to effectively manage the risks.</w:t>
      </w:r>
    </w:p>
    <w:p w14:paraId="4D162937"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66380E47" w14:textId="355BC355"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As for the </w:t>
      </w:r>
      <w:r>
        <w:t>Bureau of Customs</w:t>
      </w:r>
      <w:r w:rsidRPr="005A497D">
        <w:t xml:space="preserve">, President Aquino issued </w:t>
      </w:r>
      <w:r>
        <w:t>EO</w:t>
      </w:r>
      <w:r w:rsidRPr="005A497D">
        <w:t xml:space="preserve"> No. 155 toward the end of 2013, which effectively dissolved the </w:t>
      </w:r>
      <w:r>
        <w:t xml:space="preserve">BoC </w:t>
      </w:r>
      <w:r w:rsidRPr="005A497D">
        <w:t>Post</w:t>
      </w:r>
      <w:r>
        <w:t>-</w:t>
      </w:r>
      <w:r w:rsidRPr="005A497D">
        <w:t>Entry Audit Group and transferred its post</w:t>
      </w:r>
      <w:r>
        <w:t>-</w:t>
      </w:r>
      <w:r w:rsidRPr="005A497D">
        <w:t xml:space="preserve">entry audit functions to the </w:t>
      </w:r>
      <w:r>
        <w:t xml:space="preserve">DOF </w:t>
      </w:r>
      <w:r w:rsidRPr="005A497D">
        <w:t xml:space="preserve">Fiscal Intelligence Unit, in an effort to institute reforms. The </w:t>
      </w:r>
      <w:r>
        <w:t>Department of Finance</w:t>
      </w:r>
      <w:r w:rsidRPr="005A497D">
        <w:t xml:space="preserve"> issued several </w:t>
      </w:r>
      <w:r>
        <w:t>d</w:t>
      </w:r>
      <w:r w:rsidRPr="005A497D">
        <w:t xml:space="preserve">epartment </w:t>
      </w:r>
      <w:r>
        <w:t>o</w:t>
      </w:r>
      <w:r w:rsidRPr="005A497D">
        <w:t xml:space="preserve">rders to implement EO </w:t>
      </w:r>
      <w:r>
        <w:t>N</w:t>
      </w:r>
      <w:r w:rsidRPr="005A497D">
        <w:t xml:space="preserve">o. 155. The issued </w:t>
      </w:r>
      <w:r>
        <w:t xml:space="preserve">departmental orders </w:t>
      </w:r>
      <w:r w:rsidRPr="005A497D">
        <w:t xml:space="preserve">include the prescription of new general post-entry audit guidelines and procedures to be adopted by the </w:t>
      </w:r>
      <w:r>
        <w:t>Fiscal Intelligence Unit</w:t>
      </w:r>
      <w:r w:rsidRPr="005A497D">
        <w:t xml:space="preserve"> and audit selection through a computer-aided risk management system.</w:t>
      </w:r>
      <w:r w:rsidRPr="005A497D">
        <w:rPr>
          <w:rStyle w:val="EndnoteReference"/>
        </w:rPr>
        <w:endnoteReference w:id="83"/>
      </w:r>
      <w:r w:rsidRPr="005A497D">
        <w:t xml:space="preserve"> D</w:t>
      </w:r>
      <w:r>
        <w:t>epartmental Order</w:t>
      </w:r>
      <w:r w:rsidRPr="005A497D">
        <w:t xml:space="preserve"> </w:t>
      </w:r>
      <w:r>
        <w:t>N</w:t>
      </w:r>
      <w:r w:rsidRPr="005A497D">
        <w:t>o. 11-2014 introduced many changes designed to strengthen post</w:t>
      </w:r>
      <w:r>
        <w:t>-</w:t>
      </w:r>
      <w:r w:rsidRPr="005A497D">
        <w:t>entry audits such as the coverage</w:t>
      </w:r>
      <w:r w:rsidRPr="005A497D">
        <w:rPr>
          <w:rStyle w:val="EndnoteReference"/>
        </w:rPr>
        <w:endnoteReference w:id="84"/>
      </w:r>
      <w:r w:rsidRPr="005A497D">
        <w:t xml:space="preserve"> and retains</w:t>
      </w:r>
      <w:r>
        <w:t xml:space="preserve"> provision for </w:t>
      </w:r>
      <w:r w:rsidRPr="0004756D">
        <w:t>Customs Administrative Order</w:t>
      </w:r>
      <w:r w:rsidRPr="005A497D" w:rsidDel="00602654">
        <w:t xml:space="preserve"> </w:t>
      </w:r>
      <w:r w:rsidRPr="005A497D">
        <w:t>on the list of records to be kept by importers, mode of selection of importers to be audited</w:t>
      </w:r>
      <w:r>
        <w:t>,</w:t>
      </w:r>
      <w:r w:rsidRPr="005A497D">
        <w:t xml:space="preserve"> as well as the imposable penalties for deficiency customs duties and taxes.</w:t>
      </w:r>
    </w:p>
    <w:p w14:paraId="41DA2E96" w14:textId="77777777" w:rsidR="001762EE" w:rsidRDefault="001762EE" w:rsidP="0041744B">
      <w:pPr>
        <w:pStyle w:val="NormalWeb"/>
        <w:autoSpaceDE w:val="0"/>
        <w:autoSpaceDN w:val="0"/>
        <w:adjustRightInd w:val="0"/>
        <w:spacing w:before="0" w:beforeAutospacing="0" w:after="0" w:afterAutospacing="0"/>
        <w:contextualSpacing/>
        <w:jc w:val="both"/>
      </w:pPr>
    </w:p>
    <w:p w14:paraId="03F99B5F" w14:textId="61E0305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Considering the processes in place for both Bureau of Internal Revenue and Bureau of Customs, the score for Dimension 19.2 is assessed at “B”.</w:t>
      </w:r>
    </w:p>
    <w:p w14:paraId="0F8897D5"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06357849" w14:textId="75EFBC5D" w:rsidR="001762EE" w:rsidRPr="0004756D" w:rsidRDefault="001762EE" w:rsidP="00E32DD7">
      <w:pPr>
        <w:pStyle w:val="NormalWeb"/>
        <w:autoSpaceDE w:val="0"/>
        <w:autoSpaceDN w:val="0"/>
        <w:adjustRightInd w:val="0"/>
        <w:spacing w:before="0" w:beforeAutospacing="0" w:after="0" w:afterAutospacing="0"/>
        <w:contextualSpacing/>
        <w:jc w:val="both"/>
        <w:rPr>
          <w:b/>
          <w:i/>
        </w:rPr>
      </w:pPr>
      <w:r w:rsidRPr="0004756D">
        <w:rPr>
          <w:b/>
          <w:i/>
        </w:rPr>
        <w:t>Dimension 19.3 Revenue audit and investigation</w:t>
      </w:r>
    </w:p>
    <w:p w14:paraId="091A40A3" w14:textId="77777777" w:rsidR="001762EE" w:rsidRPr="00596557" w:rsidRDefault="001762EE" w:rsidP="00E32DD7">
      <w:pPr>
        <w:pStyle w:val="NormalWeb"/>
        <w:autoSpaceDE w:val="0"/>
        <w:autoSpaceDN w:val="0"/>
        <w:adjustRightInd w:val="0"/>
        <w:spacing w:before="0" w:beforeAutospacing="0" w:after="0" w:afterAutospacing="0"/>
        <w:contextualSpacing/>
        <w:jc w:val="both"/>
      </w:pPr>
    </w:p>
    <w:p w14:paraId="4C543AF2" w14:textId="70AABB30"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BIR National Office sets the annual audit program and coverage through Revenue Memorandum Order</w:t>
      </w:r>
      <w:r>
        <w:t xml:space="preserve"> (RMO)</w:t>
      </w:r>
      <w:r w:rsidRPr="005A497D">
        <w:rPr>
          <w:rStyle w:val="EndnoteReference"/>
        </w:rPr>
        <w:endnoteReference w:id="85"/>
      </w:r>
      <w:r w:rsidRPr="005A497D">
        <w:t xml:space="preserve"> to guide all its revenue officers in the respective revenue jurisdictions in their conduct of audit/investigation. The </w:t>
      </w:r>
      <w:r>
        <w:t>Bureau of Internal Revenue</w:t>
      </w:r>
      <w:r w:rsidRPr="005A497D">
        <w:t xml:space="preserve"> performs</w:t>
      </w:r>
      <w:r w:rsidRPr="005A497D" w:rsidDel="007154E0">
        <w:t xml:space="preserve"> </w:t>
      </w:r>
      <w:r w:rsidRPr="005A497D">
        <w:t>its audits in a decentralized manner whereby regional directors have been given complete authority over the conduct of audits in their jurisdictions and the responsibility of audit and investigation is with the assigned revenue officers.</w:t>
      </w:r>
    </w:p>
    <w:p w14:paraId="5666391E"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2AAA209F" w14:textId="53F6108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identified risks, based on the investigation report of the revenue officers, are escalated to the appropriate management (Regional District Officers or the National Office) to check if the risk has a broader BIR implication or will generate maximum effect to the taxpayers by prosecuting high</w:t>
      </w:r>
      <w:r>
        <w:t>-</w:t>
      </w:r>
      <w:r w:rsidRPr="005A497D">
        <w:t xml:space="preserve">profile tax evaders. For identified tax evasion and fraud cases, the National Office through the Commissioner of Internal Revenue refers these cases to the </w:t>
      </w:r>
      <w:r>
        <w:t>Department of Justice</w:t>
      </w:r>
      <w:r w:rsidRPr="005A497D">
        <w:t xml:space="preserve"> for preliminary investigation.</w:t>
      </w:r>
    </w:p>
    <w:p w14:paraId="5BB23CBE"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5FD11BB7" w14:textId="4B49866F" w:rsidR="001762EE" w:rsidRPr="005A497D" w:rsidRDefault="001762EE" w:rsidP="008876C7">
      <w:pPr>
        <w:pStyle w:val="NormalWeb"/>
        <w:numPr>
          <w:ilvl w:val="0"/>
          <w:numId w:val="6"/>
        </w:numPr>
        <w:autoSpaceDE w:val="0"/>
        <w:autoSpaceDN w:val="0"/>
        <w:adjustRightInd w:val="0"/>
        <w:spacing w:before="0" w:beforeAutospacing="0" w:after="0" w:afterAutospacing="0"/>
        <w:ind w:left="0" w:firstLine="0"/>
        <w:contextualSpacing/>
        <w:jc w:val="both"/>
      </w:pPr>
      <w:r>
        <w:t>The RMO</w:t>
      </w:r>
      <w:r w:rsidRPr="005A497D">
        <w:t xml:space="preserve"> 24-2008 prescribes the policies and guideline</w:t>
      </w:r>
      <w:r>
        <w:t>s</w:t>
      </w:r>
      <w:r w:rsidRPr="005A497D">
        <w:t xml:space="preserve"> for development, investigation</w:t>
      </w:r>
      <w:r>
        <w:t>,</w:t>
      </w:r>
      <w:r w:rsidRPr="005A497D">
        <w:t xml:space="preserve"> and prosecution of cases under the</w:t>
      </w:r>
      <w:r w:rsidRPr="00123FDC">
        <w:rPr>
          <w:sz w:val="20"/>
          <w:szCs w:val="20"/>
        </w:rPr>
        <w:t xml:space="preserve"> </w:t>
      </w:r>
      <w:r w:rsidRPr="0004756D">
        <w:t>Run After Tax Evaders</w:t>
      </w:r>
      <w:r w:rsidRPr="005A497D">
        <w:t xml:space="preserve"> </w:t>
      </w:r>
      <w:r>
        <w:t>(</w:t>
      </w:r>
      <w:r w:rsidRPr="005A497D">
        <w:t>RATE</w:t>
      </w:r>
      <w:r>
        <w:t>)</w:t>
      </w:r>
      <w:r w:rsidRPr="005A497D">
        <w:t xml:space="preserve"> Program. It mandates the </w:t>
      </w:r>
      <w:r>
        <w:t>Bureau of Internal Revenue</w:t>
      </w:r>
      <w:r w:rsidRPr="005A497D">
        <w:t xml:space="preserve"> to investigate criminal violations of the National Internal Revenue Code of 1997 and assist in the prosecution of criminal cases that will generate the maximum deterrent effect, enhance voluntary compliance</w:t>
      </w:r>
      <w:r>
        <w:t>,</w:t>
      </w:r>
      <w:r w:rsidRPr="005A497D">
        <w:t xml:space="preserve"> and promote public confidence in the tax system in the Philippines. Audits and fraud investigations are being undertaken and outputs of </w:t>
      </w:r>
      <w:r>
        <w:t xml:space="preserve">the </w:t>
      </w:r>
      <w:r w:rsidRPr="005A497D">
        <w:t>Electronic Letter of Authority Monitoring System (eLAMS)</w:t>
      </w:r>
      <w:r w:rsidRPr="005A497D">
        <w:rPr>
          <w:rStyle w:val="EndnoteReference"/>
        </w:rPr>
        <w:endnoteReference w:id="86"/>
      </w:r>
      <w:r w:rsidRPr="005A497D">
        <w:t xml:space="preserve"> are disclosed in the annual report.</w:t>
      </w:r>
      <w:r w:rsidRPr="005A497D">
        <w:rPr>
          <w:rStyle w:val="EndnoteReference"/>
        </w:rPr>
        <w:endnoteReference w:id="87"/>
      </w:r>
      <w:r w:rsidRPr="005A497D">
        <w:t xml:space="preserve"> The key performance indicators are monitored and evaluated quarterly.</w:t>
      </w:r>
      <w:r>
        <w:t xml:space="preserve"> F</w:t>
      </w:r>
      <w:r w:rsidRPr="008876C7">
        <w:t>or 2014 the target of at least 36 cases filed was exceed</w:t>
      </w:r>
      <w:r>
        <w:t>ed</w:t>
      </w:r>
      <w:r w:rsidRPr="008876C7">
        <w:t xml:space="preserve"> as the </w:t>
      </w:r>
      <w:r>
        <w:t>B</w:t>
      </w:r>
      <w:r w:rsidRPr="008876C7">
        <w:t xml:space="preserve">ureau accomplished a total of 123 RATE cases filed with the </w:t>
      </w:r>
      <w:r>
        <w:t>Department of Justice</w:t>
      </w:r>
      <w:r w:rsidRPr="008876C7">
        <w:t xml:space="preserve"> with estimated tax liabilities amounting to </w:t>
      </w:r>
      <w:r>
        <w:t xml:space="preserve">PhP </w:t>
      </w:r>
      <w:r w:rsidRPr="008876C7">
        <w:t>20.44 billion.</w:t>
      </w:r>
    </w:p>
    <w:p w14:paraId="74211B63"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352491FD" w14:textId="258F8BC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w:t>
      </w:r>
      <w:r w:rsidRPr="005A497D">
        <w:t xml:space="preserve">BoC </w:t>
      </w:r>
      <w:r w:rsidRPr="0004756D">
        <w:t>Run-After-The-Smugglers</w:t>
      </w:r>
      <w:r w:rsidRPr="005A497D">
        <w:t xml:space="preserve"> </w:t>
      </w:r>
      <w:r>
        <w:t>(</w:t>
      </w:r>
      <w:r w:rsidRPr="005A497D">
        <w:t>RATS</w:t>
      </w:r>
      <w:r>
        <w:t>)</w:t>
      </w:r>
      <w:r w:rsidRPr="005A497D">
        <w:t xml:space="preserve"> Program focuses on monitoring, profiling, case</w:t>
      </w:r>
      <w:r>
        <w:t xml:space="preserve"> </w:t>
      </w:r>
      <w:r w:rsidRPr="005A497D">
        <w:t>building</w:t>
      </w:r>
      <w:r>
        <w:t>,</w:t>
      </w:r>
      <w:r w:rsidRPr="005A497D">
        <w:t xml:space="preserve"> and prosecution of smugglers.</w:t>
      </w:r>
      <w:r w:rsidRPr="005A497D">
        <w:rPr>
          <w:rStyle w:val="EndnoteReference"/>
        </w:rPr>
        <w:endnoteReference w:id="88"/>
      </w:r>
      <w:r w:rsidRPr="005A497D">
        <w:t xml:space="preserve"> It is designed not only to collect taxes but also to ensure tha</w:t>
      </w:r>
      <w:r>
        <w:t>t</w:t>
      </w:r>
      <w:r w:rsidRPr="005A497D">
        <w:t xml:space="preserve"> importer</w:t>
      </w:r>
      <w:r>
        <w:t>s</w:t>
      </w:r>
      <w:r w:rsidRPr="005A497D">
        <w:t xml:space="preserve"> comply with existing laws and regulations on tariff and customs </w:t>
      </w:r>
      <w:r>
        <w:t>that</w:t>
      </w:r>
      <w:r w:rsidRPr="005A497D">
        <w:t xml:space="preserve"> complement the post-audit power under </w:t>
      </w:r>
      <w:r>
        <w:t>RA</w:t>
      </w:r>
      <w:r w:rsidRPr="005A497D">
        <w:t xml:space="preserve"> No. 9135, Tariff and Customs Code of the Philippines.</w:t>
      </w:r>
      <w:r w:rsidRPr="005A497D">
        <w:rPr>
          <w:rStyle w:val="EndnoteReference"/>
        </w:rPr>
        <w:endnoteReference w:id="89"/>
      </w:r>
      <w:r w:rsidRPr="005A497D">
        <w:t xml:space="preserve"> Milestones and key performance indicators are published. The guideline for </w:t>
      </w:r>
      <w:r>
        <w:t>Post-Entry</w:t>
      </w:r>
      <w:r w:rsidRPr="005A497D">
        <w:t xml:space="preserve"> Audit under</w:t>
      </w:r>
      <w:r>
        <w:t xml:space="preserve"> the</w:t>
      </w:r>
      <w:r w:rsidRPr="005A497D">
        <w:t xml:space="preserve"> </w:t>
      </w:r>
      <w:r>
        <w:t>Fiscal Intelligence Unit</w:t>
      </w:r>
      <w:r w:rsidRPr="005A497D">
        <w:t xml:space="preserve"> was also issued through the </w:t>
      </w:r>
      <w:r>
        <w:t>C</w:t>
      </w:r>
      <w:r w:rsidRPr="005A497D">
        <w:t xml:space="preserve">ustoms </w:t>
      </w:r>
      <w:r>
        <w:t>C</w:t>
      </w:r>
      <w:r w:rsidRPr="005A497D">
        <w:t>ircular.</w:t>
      </w:r>
      <w:r w:rsidRPr="005A497D">
        <w:rPr>
          <w:rStyle w:val="EndnoteReference"/>
        </w:rPr>
        <w:endnoteReference w:id="90"/>
      </w:r>
      <w:r w:rsidRPr="005A497D">
        <w:t xml:space="preserve"> </w:t>
      </w:r>
      <w:r>
        <w:t>With the y</w:t>
      </w:r>
      <w:r w:rsidRPr="008876C7">
        <w:t xml:space="preserve">early target </w:t>
      </w:r>
      <w:r>
        <w:t>to</w:t>
      </w:r>
      <w:r w:rsidRPr="008876C7">
        <w:t xml:space="preserve"> file 24 cases</w:t>
      </w:r>
      <w:r>
        <w:t>,</w:t>
      </w:r>
      <w:r w:rsidRPr="008876C7">
        <w:t xml:space="preserve"> the target outputs </w:t>
      </w:r>
      <w:r>
        <w:t>were</w:t>
      </w:r>
      <w:r w:rsidRPr="008876C7">
        <w:t xml:space="preserve"> exceeded for 2013 (43 cases filed) and 2014 (35 cases filed). </w:t>
      </w:r>
      <w:r>
        <w:t>Score for Dimension 19.3 is assessed at “A”. The assessment of this dimension took into consideration that the combined revenue collection by BIR and BOC is 89 percent of the total revenue, and they both exceeded their target output.</w:t>
      </w:r>
    </w:p>
    <w:p w14:paraId="57015579" w14:textId="77777777" w:rsidR="001762EE" w:rsidRPr="005A497D" w:rsidRDefault="001762EE" w:rsidP="00E32DD7">
      <w:pPr>
        <w:pStyle w:val="NormalWeb"/>
        <w:autoSpaceDE w:val="0"/>
        <w:autoSpaceDN w:val="0"/>
        <w:adjustRightInd w:val="0"/>
        <w:spacing w:before="0" w:beforeAutospacing="0" w:after="0" w:afterAutospacing="0"/>
        <w:contextualSpacing/>
        <w:jc w:val="both"/>
      </w:pPr>
    </w:p>
    <w:p w14:paraId="6938F67F" w14:textId="0AD6E602" w:rsidR="001762EE" w:rsidRPr="0004756D" w:rsidRDefault="001762EE" w:rsidP="00E32DD7">
      <w:pPr>
        <w:pStyle w:val="NormalWeb"/>
        <w:autoSpaceDE w:val="0"/>
        <w:autoSpaceDN w:val="0"/>
        <w:adjustRightInd w:val="0"/>
        <w:spacing w:before="0" w:beforeAutospacing="0" w:after="0" w:afterAutospacing="0"/>
        <w:contextualSpacing/>
        <w:jc w:val="both"/>
        <w:rPr>
          <w:b/>
          <w:i/>
        </w:rPr>
      </w:pPr>
      <w:r w:rsidRPr="0004756D">
        <w:rPr>
          <w:b/>
          <w:i/>
        </w:rPr>
        <w:t>Dimension 19.4 Revenue arrears monitoring</w:t>
      </w:r>
    </w:p>
    <w:p w14:paraId="4955436C" w14:textId="77777777" w:rsidR="001762EE" w:rsidRDefault="001762EE" w:rsidP="00E32DD7">
      <w:pPr>
        <w:pStyle w:val="NormalWeb"/>
        <w:autoSpaceDE w:val="0"/>
        <w:autoSpaceDN w:val="0"/>
        <w:adjustRightInd w:val="0"/>
        <w:spacing w:before="0" w:beforeAutospacing="0" w:after="0" w:afterAutospacing="0"/>
        <w:contextualSpacing/>
        <w:jc w:val="both"/>
        <w:rPr>
          <w:u w:val="single"/>
        </w:rPr>
      </w:pPr>
    </w:p>
    <w:p w14:paraId="4E99505A" w14:textId="0E418CDE" w:rsidR="001762EE" w:rsidRPr="005A497D" w:rsidRDefault="001762EE" w:rsidP="006226FC">
      <w:pPr>
        <w:pStyle w:val="NormalWeb"/>
        <w:numPr>
          <w:ilvl w:val="0"/>
          <w:numId w:val="6"/>
        </w:numPr>
        <w:autoSpaceDE w:val="0"/>
        <w:autoSpaceDN w:val="0"/>
        <w:adjustRightInd w:val="0"/>
        <w:spacing w:before="0" w:beforeAutospacing="0" w:after="0" w:afterAutospacing="0"/>
        <w:ind w:left="0" w:firstLine="0"/>
        <w:contextualSpacing/>
        <w:jc w:val="both"/>
      </w:pPr>
      <w:r w:rsidRPr="005A497D">
        <w:t>The substantial increase of tax arrears in 2013 was attributable to the improved recording and monitoring process of the revenue arrears as prescribed by BIR’s internal memorandum.</w:t>
      </w:r>
      <w:r w:rsidRPr="005A497D">
        <w:rPr>
          <w:rStyle w:val="EndnoteReference"/>
        </w:rPr>
        <w:endnoteReference w:id="91"/>
      </w:r>
      <w:r w:rsidRPr="005A497D">
        <w:t xml:space="preserve"> For proper guidance, the </w:t>
      </w:r>
      <w:r>
        <w:t>B</w:t>
      </w:r>
      <w:r w:rsidRPr="005A497D">
        <w:t>ureau issued a memorandum for policies, guidelines</w:t>
      </w:r>
      <w:r>
        <w:t>,</w:t>
      </w:r>
      <w:r w:rsidRPr="005A497D">
        <w:t xml:space="preserve"> and procedures in the periodic cleanup of accounts receivable or revenue arrear</w:t>
      </w:r>
      <w:r w:rsidRPr="005A497D">
        <w:rPr>
          <w:rStyle w:val="EndnoteReference"/>
        </w:rPr>
        <w:endnoteReference w:id="92"/>
      </w:r>
      <w:r w:rsidRPr="005A497D">
        <w:t xml:space="preserve"> and its amendments.</w:t>
      </w:r>
      <w:r w:rsidRPr="005A497D">
        <w:rPr>
          <w:rStyle w:val="EndnoteReference"/>
        </w:rPr>
        <w:endnoteReference w:id="93"/>
      </w:r>
      <w:r w:rsidRPr="005A497D">
        <w:t xml:space="preserve"> This is also supplemented by the BIR reform for Arrears Management</w:t>
      </w:r>
      <w:r w:rsidRPr="005A497D">
        <w:rPr>
          <w:rStyle w:val="EndnoteReference"/>
        </w:rPr>
        <w:endnoteReference w:id="94"/>
      </w:r>
      <w:r w:rsidRPr="005A497D">
        <w:t xml:space="preserve"> and the implementation of Accounts Receivable Management System</w:t>
      </w:r>
      <w:r w:rsidRPr="005A497D">
        <w:rPr>
          <w:rStyle w:val="EndnoteReference"/>
        </w:rPr>
        <w:endnoteReference w:id="95"/>
      </w:r>
      <w:r w:rsidRPr="005A497D">
        <w:t xml:space="preserve"> to enable the establishment of accurate Accounts Receivable/Delinquent Accounts database across all </w:t>
      </w:r>
      <w:r>
        <w:t>BIR</w:t>
      </w:r>
      <w:r w:rsidRPr="005A497D">
        <w:t xml:space="preserve"> offices.</w:t>
      </w:r>
    </w:p>
    <w:p w14:paraId="6AAC7EBC" w14:textId="77777777" w:rsidR="001762EE" w:rsidRPr="005A497D" w:rsidRDefault="001762EE" w:rsidP="006226FC">
      <w:pPr>
        <w:pStyle w:val="NormalWeb"/>
        <w:autoSpaceDE w:val="0"/>
        <w:autoSpaceDN w:val="0"/>
        <w:adjustRightInd w:val="0"/>
        <w:spacing w:before="0" w:beforeAutospacing="0" w:after="0" w:afterAutospacing="0"/>
        <w:contextualSpacing/>
        <w:jc w:val="both"/>
      </w:pPr>
    </w:p>
    <w:p w14:paraId="156C8DFD" w14:textId="5CAD3FBE" w:rsidR="001762EE" w:rsidRPr="005A497D" w:rsidRDefault="001762EE" w:rsidP="005337FF">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percent</w:t>
      </w:r>
      <w:r w:rsidRPr="005A497D">
        <w:t xml:space="preserve">ages of the total stock </w:t>
      </w:r>
      <w:r>
        <w:t xml:space="preserve">of </w:t>
      </w:r>
      <w:r w:rsidRPr="005A497D">
        <w:t>arrears against the total revenue were 4</w:t>
      </w:r>
      <w:r>
        <w:t xml:space="preserve"> percent</w:t>
      </w:r>
      <w:r w:rsidRPr="005A497D">
        <w:t>, 6</w:t>
      </w:r>
      <w:r>
        <w:t xml:space="preserve"> percent,</w:t>
      </w:r>
      <w:r w:rsidRPr="005A497D">
        <w:t xml:space="preserve"> and 6</w:t>
      </w:r>
      <w:r>
        <w:t xml:space="preserve"> percent</w:t>
      </w:r>
      <w:r w:rsidRPr="005A497D">
        <w:t xml:space="preserve"> for 2012, 2013, and 2014</w:t>
      </w:r>
      <w:r>
        <w:t>,</w:t>
      </w:r>
      <w:r w:rsidRPr="005A497D">
        <w:t xml:space="preserve"> respectively</w:t>
      </w:r>
      <w:r>
        <w:t xml:space="preserve"> (Table 3.</w:t>
      </w:r>
      <w:r w:rsidR="00E17DF6">
        <w:t>18</w:t>
      </w:r>
      <w:r>
        <w:t>)</w:t>
      </w:r>
      <w:r w:rsidRPr="005A497D">
        <w:t xml:space="preserve">. </w:t>
      </w:r>
      <w:r>
        <w:t>The score for the percentage of the total stock arrears in relation to the total 2014 revenue may have qualified for an “A” rating; however, the criteria must also satisfy the requirement on revenue arrears older than 12 months. In 2014, the</w:t>
      </w:r>
      <w:r w:rsidRPr="005A497D">
        <w:t xml:space="preserve"> BIR data </w:t>
      </w:r>
      <w:r>
        <w:t xml:space="preserve">on those revenue arrears </w:t>
      </w:r>
      <w:r w:rsidRPr="005A497D">
        <w:t xml:space="preserve">older than 12 months </w:t>
      </w:r>
      <w:r>
        <w:t xml:space="preserve">was 89 percent </w:t>
      </w:r>
      <w:r w:rsidRPr="005A497D">
        <w:t xml:space="preserve">of the total revenue </w:t>
      </w:r>
      <w:r>
        <w:t xml:space="preserve">arrears </w:t>
      </w:r>
      <w:r w:rsidRPr="005A497D">
        <w:t>f</w:t>
      </w:r>
      <w:r>
        <w:t>or</w:t>
      </w:r>
      <w:r w:rsidRPr="005A497D">
        <w:t xml:space="preserve"> the year. Th</w:t>
      </w:r>
      <w:r>
        <w:t>us,</w:t>
      </w:r>
      <w:r w:rsidRPr="005A497D">
        <w:t xml:space="preserve"> </w:t>
      </w:r>
      <w:r>
        <w:t>Dimension 19.4 is assessed as</w:t>
      </w:r>
      <w:r w:rsidRPr="005A497D">
        <w:t xml:space="preserve"> “</w:t>
      </w:r>
      <w:r>
        <w:t>D</w:t>
      </w:r>
      <w:r w:rsidRPr="005A497D">
        <w:t>” under the assessment framework.</w:t>
      </w:r>
    </w:p>
    <w:p w14:paraId="0C8DFCE9" w14:textId="77777777" w:rsidR="001762EE" w:rsidRPr="005A497D" w:rsidRDefault="001762EE" w:rsidP="00E32DD7">
      <w:pPr>
        <w:pStyle w:val="NormalWeb"/>
        <w:autoSpaceDE w:val="0"/>
        <w:autoSpaceDN w:val="0"/>
        <w:adjustRightInd w:val="0"/>
        <w:spacing w:before="0" w:beforeAutospacing="0" w:after="0" w:afterAutospacing="0"/>
        <w:contextualSpacing/>
        <w:jc w:val="both"/>
        <w:rPr>
          <w:u w:val="single"/>
        </w:rPr>
      </w:pPr>
    </w:p>
    <w:p w14:paraId="1CD30914" w14:textId="77777777" w:rsidR="00E17DF6" w:rsidRDefault="00E17DF6" w:rsidP="001112A1">
      <w:pPr>
        <w:pStyle w:val="PEFATable"/>
        <w:spacing w:after="40"/>
        <w:jc w:val="both"/>
        <w:rPr>
          <w:sz w:val="24"/>
          <w:szCs w:val="24"/>
        </w:rPr>
      </w:pPr>
    </w:p>
    <w:p w14:paraId="6708658B" w14:textId="0EF1F3EA" w:rsidR="001762EE" w:rsidRPr="005A497D" w:rsidRDefault="001762EE" w:rsidP="001112A1">
      <w:pPr>
        <w:pStyle w:val="PEFATable"/>
        <w:spacing w:after="40"/>
        <w:jc w:val="both"/>
        <w:rPr>
          <w:sz w:val="24"/>
          <w:szCs w:val="24"/>
        </w:rPr>
      </w:pPr>
      <w:bookmarkStart w:id="230" w:name="_Toc454889260"/>
      <w:r w:rsidRPr="005A497D">
        <w:rPr>
          <w:sz w:val="24"/>
          <w:szCs w:val="24"/>
        </w:rPr>
        <w:t>Table 3.</w:t>
      </w:r>
      <w:r w:rsidR="00A85C58">
        <w:rPr>
          <w:sz w:val="24"/>
          <w:szCs w:val="24"/>
        </w:rPr>
        <w:t>18</w:t>
      </w:r>
      <w:r w:rsidRPr="005A497D">
        <w:rPr>
          <w:sz w:val="24"/>
          <w:szCs w:val="24"/>
        </w:rPr>
        <w:t xml:space="preserve">: </w:t>
      </w:r>
      <w:r>
        <w:rPr>
          <w:sz w:val="24"/>
          <w:szCs w:val="24"/>
        </w:rPr>
        <w:t xml:space="preserve">Collectible </w:t>
      </w:r>
      <w:r w:rsidRPr="005A497D">
        <w:rPr>
          <w:sz w:val="24"/>
          <w:szCs w:val="24"/>
        </w:rPr>
        <w:t>Tax Arrears as of Year-End</w:t>
      </w:r>
      <w:bookmarkEnd w:id="230"/>
    </w:p>
    <w:tbl>
      <w:tblPr>
        <w:tblStyle w:val="TableGrid"/>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02"/>
        <w:gridCol w:w="1159"/>
        <w:gridCol w:w="938"/>
        <w:gridCol w:w="1310"/>
        <w:gridCol w:w="1390"/>
        <w:gridCol w:w="1170"/>
        <w:gridCol w:w="1259"/>
        <w:gridCol w:w="894"/>
      </w:tblGrid>
      <w:tr w:rsidR="001762EE" w:rsidRPr="005A497D" w14:paraId="19FED4A9" w14:textId="77777777" w:rsidTr="00CA0D85">
        <w:tc>
          <w:tcPr>
            <w:tcW w:w="1109" w:type="dxa"/>
            <w:tcBorders>
              <w:top w:val="double" w:sz="4" w:space="0" w:color="auto"/>
              <w:bottom w:val="double" w:sz="4" w:space="0" w:color="auto"/>
            </w:tcBorders>
            <w:shd w:val="clear" w:color="auto" w:fill="D9D9D9" w:themeFill="background1" w:themeFillShade="D9"/>
            <w:vAlign w:val="center"/>
          </w:tcPr>
          <w:p w14:paraId="482C6122" w14:textId="03C5CF42" w:rsidR="001762EE" w:rsidRPr="000D0E8D" w:rsidRDefault="001762EE" w:rsidP="00DA4279">
            <w:pPr>
              <w:pStyle w:val="NormalWeb"/>
              <w:autoSpaceDE w:val="0"/>
              <w:autoSpaceDN w:val="0"/>
              <w:adjustRightInd w:val="0"/>
              <w:spacing w:before="20" w:beforeAutospacing="0" w:after="120" w:afterAutospacing="0"/>
              <w:jc w:val="center"/>
              <w:rPr>
                <w:b/>
                <w:sz w:val="20"/>
                <w:szCs w:val="20"/>
              </w:rPr>
            </w:pPr>
            <w:r w:rsidRPr="000D0E8D">
              <w:rPr>
                <w:b/>
                <w:sz w:val="20"/>
                <w:szCs w:val="20"/>
              </w:rPr>
              <w:t>Taxable year</w:t>
            </w:r>
          </w:p>
        </w:tc>
        <w:tc>
          <w:tcPr>
            <w:tcW w:w="1170" w:type="dxa"/>
            <w:tcBorders>
              <w:top w:val="double" w:sz="4" w:space="0" w:color="auto"/>
              <w:bottom w:val="double" w:sz="4" w:space="0" w:color="auto"/>
            </w:tcBorders>
            <w:shd w:val="clear" w:color="auto" w:fill="D9D9D9" w:themeFill="background1" w:themeFillShade="D9"/>
            <w:vAlign w:val="center"/>
          </w:tcPr>
          <w:p w14:paraId="699734CF" w14:textId="77777777"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Pr>
                <w:b/>
                <w:sz w:val="20"/>
                <w:szCs w:val="20"/>
              </w:rPr>
              <w:t>No. of dockets</w:t>
            </w:r>
          </w:p>
        </w:tc>
        <w:tc>
          <w:tcPr>
            <w:tcW w:w="944" w:type="dxa"/>
            <w:tcBorders>
              <w:top w:val="double" w:sz="4" w:space="0" w:color="auto"/>
              <w:bottom w:val="double" w:sz="4" w:space="0" w:color="auto"/>
            </w:tcBorders>
            <w:shd w:val="clear" w:color="auto" w:fill="D9D9D9" w:themeFill="background1" w:themeFillShade="D9"/>
            <w:vAlign w:val="center"/>
          </w:tcPr>
          <w:p w14:paraId="68D1D2C5" w14:textId="77777777"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Pr>
                <w:b/>
                <w:sz w:val="20"/>
                <w:szCs w:val="20"/>
              </w:rPr>
              <w:t>No. of cases</w:t>
            </w:r>
          </w:p>
        </w:tc>
        <w:tc>
          <w:tcPr>
            <w:tcW w:w="1316" w:type="dxa"/>
            <w:tcBorders>
              <w:top w:val="double" w:sz="4" w:space="0" w:color="auto"/>
              <w:bottom w:val="double" w:sz="4" w:space="0" w:color="auto"/>
            </w:tcBorders>
            <w:shd w:val="clear" w:color="auto" w:fill="D9D9D9" w:themeFill="background1" w:themeFillShade="D9"/>
            <w:vAlign w:val="center"/>
          </w:tcPr>
          <w:p w14:paraId="548FCD25" w14:textId="6978B0BF" w:rsidR="001762EE" w:rsidRPr="000D0E8D" w:rsidRDefault="001762EE" w:rsidP="007812DF">
            <w:pPr>
              <w:pStyle w:val="NormalWeb"/>
              <w:autoSpaceDE w:val="0"/>
              <w:autoSpaceDN w:val="0"/>
              <w:adjustRightInd w:val="0"/>
              <w:spacing w:before="20" w:beforeAutospacing="0" w:after="20" w:afterAutospacing="0"/>
              <w:jc w:val="center"/>
              <w:rPr>
                <w:b/>
                <w:sz w:val="20"/>
                <w:szCs w:val="20"/>
              </w:rPr>
            </w:pPr>
            <w:r w:rsidRPr="000D0E8D">
              <w:rPr>
                <w:b/>
                <w:sz w:val="20"/>
                <w:szCs w:val="20"/>
              </w:rPr>
              <w:t>Collectible arrears older than 12 months  (PhP billion)</w:t>
            </w:r>
          </w:p>
        </w:tc>
        <w:tc>
          <w:tcPr>
            <w:tcW w:w="1401" w:type="dxa"/>
            <w:tcBorders>
              <w:top w:val="double" w:sz="4" w:space="0" w:color="auto"/>
              <w:bottom w:val="double" w:sz="4" w:space="0" w:color="auto"/>
            </w:tcBorders>
            <w:shd w:val="clear" w:color="auto" w:fill="D9D9D9" w:themeFill="background1" w:themeFillShade="D9"/>
            <w:vAlign w:val="center"/>
          </w:tcPr>
          <w:p w14:paraId="2C882C59" w14:textId="5CCE50B9"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Pr>
                <w:b/>
                <w:sz w:val="20"/>
                <w:szCs w:val="20"/>
              </w:rPr>
              <w:t>Total collectible tax arrears</w:t>
            </w:r>
          </w:p>
          <w:p w14:paraId="2BBDEEC4" w14:textId="2BB9A0F6"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sidDel="00DA4279">
              <w:rPr>
                <w:b/>
                <w:sz w:val="20"/>
                <w:szCs w:val="20"/>
              </w:rPr>
              <w:t xml:space="preserve"> </w:t>
            </w:r>
            <w:r w:rsidRPr="000D0E8D">
              <w:rPr>
                <w:b/>
                <w:sz w:val="20"/>
                <w:szCs w:val="20"/>
              </w:rPr>
              <w:t xml:space="preserve">(PhP </w:t>
            </w:r>
            <w:r w:rsidR="001610D9" w:rsidRPr="000D0E8D">
              <w:rPr>
                <w:b/>
                <w:sz w:val="20"/>
                <w:szCs w:val="20"/>
              </w:rPr>
              <w:t>billion</w:t>
            </w:r>
            <w:r w:rsidRPr="000D0E8D">
              <w:rPr>
                <w:b/>
                <w:sz w:val="20"/>
                <w:szCs w:val="20"/>
              </w:rPr>
              <w:t>)</w:t>
            </w:r>
          </w:p>
        </w:tc>
        <w:tc>
          <w:tcPr>
            <w:tcW w:w="1181" w:type="dxa"/>
            <w:tcBorders>
              <w:top w:val="double" w:sz="4" w:space="0" w:color="auto"/>
              <w:bottom w:val="double" w:sz="4" w:space="0" w:color="auto"/>
            </w:tcBorders>
            <w:shd w:val="clear" w:color="auto" w:fill="D9D9D9" w:themeFill="background1" w:themeFillShade="D9"/>
            <w:vAlign w:val="center"/>
          </w:tcPr>
          <w:p w14:paraId="307DA561" w14:textId="71FB9DF3" w:rsidR="001762EE" w:rsidRPr="000D0E8D" w:rsidRDefault="001762EE" w:rsidP="007812DF">
            <w:pPr>
              <w:pStyle w:val="NormalWeb"/>
              <w:autoSpaceDE w:val="0"/>
              <w:autoSpaceDN w:val="0"/>
              <w:adjustRightInd w:val="0"/>
              <w:spacing w:before="20" w:beforeAutospacing="0" w:after="20" w:afterAutospacing="0"/>
              <w:jc w:val="center"/>
              <w:rPr>
                <w:b/>
                <w:sz w:val="20"/>
                <w:szCs w:val="20"/>
              </w:rPr>
            </w:pPr>
            <w:r w:rsidRPr="00A85C58">
              <w:rPr>
                <w:b/>
                <w:sz w:val="20"/>
                <w:szCs w:val="20"/>
              </w:rPr>
              <w:t xml:space="preserve">% of tax arrears older than 12 months relative </w:t>
            </w:r>
            <w:r w:rsidRPr="009B0551">
              <w:rPr>
                <w:b/>
                <w:sz w:val="20"/>
                <w:szCs w:val="20"/>
              </w:rPr>
              <w:t>to total arrears</w:t>
            </w:r>
          </w:p>
        </w:tc>
        <w:tc>
          <w:tcPr>
            <w:tcW w:w="1268" w:type="dxa"/>
            <w:tcBorders>
              <w:top w:val="double" w:sz="4" w:space="0" w:color="auto"/>
              <w:bottom w:val="double" w:sz="4" w:space="0" w:color="auto"/>
            </w:tcBorders>
            <w:shd w:val="clear" w:color="auto" w:fill="D9D9D9" w:themeFill="background1" w:themeFillShade="D9"/>
            <w:vAlign w:val="center"/>
          </w:tcPr>
          <w:p w14:paraId="7F5DF9C9" w14:textId="0385BF32"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Pr>
                <w:b/>
                <w:sz w:val="20"/>
                <w:szCs w:val="20"/>
              </w:rPr>
              <w:t xml:space="preserve">Total revenue </w:t>
            </w:r>
          </w:p>
          <w:p w14:paraId="5F3E3B59" w14:textId="2E927419"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Pr>
                <w:b/>
                <w:sz w:val="20"/>
                <w:szCs w:val="20"/>
              </w:rPr>
              <w:t>(PhP billion)</w:t>
            </w:r>
          </w:p>
        </w:tc>
        <w:tc>
          <w:tcPr>
            <w:tcW w:w="833" w:type="dxa"/>
            <w:tcBorders>
              <w:top w:val="double" w:sz="4" w:space="0" w:color="auto"/>
              <w:bottom w:val="double" w:sz="4" w:space="0" w:color="auto"/>
            </w:tcBorders>
            <w:shd w:val="clear" w:color="auto" w:fill="D9D9D9" w:themeFill="background1" w:themeFillShade="D9"/>
            <w:vAlign w:val="center"/>
          </w:tcPr>
          <w:p w14:paraId="7177BF9D" w14:textId="5E4C3297" w:rsidR="001762EE" w:rsidRPr="000D0E8D" w:rsidRDefault="001762EE" w:rsidP="00DA4279">
            <w:pPr>
              <w:pStyle w:val="NormalWeb"/>
              <w:autoSpaceDE w:val="0"/>
              <w:autoSpaceDN w:val="0"/>
              <w:adjustRightInd w:val="0"/>
              <w:spacing w:before="20" w:beforeAutospacing="0" w:after="20" w:afterAutospacing="0"/>
              <w:jc w:val="center"/>
              <w:rPr>
                <w:b/>
                <w:sz w:val="20"/>
                <w:szCs w:val="20"/>
              </w:rPr>
            </w:pPr>
            <w:r w:rsidRPr="000D0E8D">
              <w:rPr>
                <w:b/>
                <w:sz w:val="20"/>
                <w:szCs w:val="20"/>
              </w:rPr>
              <w:t>%</w:t>
            </w:r>
            <w:r w:rsidR="00CA0D85" w:rsidRPr="000D0E8D">
              <w:rPr>
                <w:b/>
                <w:sz w:val="20"/>
                <w:szCs w:val="20"/>
              </w:rPr>
              <w:t xml:space="preserve"> </w:t>
            </w:r>
            <w:r w:rsidR="00CA0D85" w:rsidRPr="00A85C58">
              <w:rPr>
                <w:b/>
                <w:sz w:val="20"/>
                <w:szCs w:val="20"/>
              </w:rPr>
              <w:t>of tax arrears re</w:t>
            </w:r>
            <w:r w:rsidR="0045514E" w:rsidRPr="009B0551">
              <w:rPr>
                <w:b/>
                <w:sz w:val="20"/>
                <w:szCs w:val="20"/>
              </w:rPr>
              <w:t>l</w:t>
            </w:r>
            <w:r w:rsidR="00CA0D85" w:rsidRPr="009B0551">
              <w:rPr>
                <w:b/>
                <w:sz w:val="20"/>
                <w:szCs w:val="20"/>
              </w:rPr>
              <w:t>ative to total revenue</w:t>
            </w:r>
            <w:r w:rsidR="00CA0D85" w:rsidRPr="000D0E8D">
              <w:rPr>
                <w:b/>
                <w:sz w:val="20"/>
                <w:szCs w:val="20"/>
              </w:rPr>
              <w:t xml:space="preserve"> </w:t>
            </w:r>
          </w:p>
        </w:tc>
      </w:tr>
      <w:tr w:rsidR="001762EE" w:rsidRPr="005A497D" w14:paraId="4F23A936" w14:textId="77777777" w:rsidTr="007812DF">
        <w:trPr>
          <w:trHeight w:val="340"/>
        </w:trPr>
        <w:tc>
          <w:tcPr>
            <w:tcW w:w="1109" w:type="dxa"/>
            <w:vAlign w:val="center"/>
          </w:tcPr>
          <w:p w14:paraId="60311D27"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2012</w:t>
            </w:r>
          </w:p>
        </w:tc>
        <w:tc>
          <w:tcPr>
            <w:tcW w:w="1170" w:type="dxa"/>
            <w:vAlign w:val="center"/>
          </w:tcPr>
          <w:p w14:paraId="57383F21"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38,457</w:t>
            </w:r>
          </w:p>
        </w:tc>
        <w:tc>
          <w:tcPr>
            <w:tcW w:w="944" w:type="dxa"/>
            <w:vAlign w:val="center"/>
          </w:tcPr>
          <w:p w14:paraId="23DAA64A"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54,020</w:t>
            </w:r>
          </w:p>
        </w:tc>
        <w:tc>
          <w:tcPr>
            <w:tcW w:w="1316" w:type="dxa"/>
          </w:tcPr>
          <w:p w14:paraId="162A1B6F" w14:textId="3D049D42"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Pr>
                <w:sz w:val="20"/>
                <w:szCs w:val="20"/>
              </w:rPr>
              <w:t>36.91</w:t>
            </w:r>
          </w:p>
        </w:tc>
        <w:tc>
          <w:tcPr>
            <w:tcW w:w="1401" w:type="dxa"/>
            <w:vAlign w:val="center"/>
          </w:tcPr>
          <w:p w14:paraId="686B2DCA" w14:textId="7511BA60"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61.64</w:t>
            </w:r>
          </w:p>
        </w:tc>
        <w:tc>
          <w:tcPr>
            <w:tcW w:w="1181" w:type="dxa"/>
          </w:tcPr>
          <w:p w14:paraId="72C88E9F" w14:textId="4427E711" w:rsidR="001762EE" w:rsidRPr="0004756D" w:rsidRDefault="001762EE" w:rsidP="00DA4279">
            <w:pPr>
              <w:pStyle w:val="NormalWeb"/>
              <w:autoSpaceDE w:val="0"/>
              <w:autoSpaceDN w:val="0"/>
              <w:adjustRightInd w:val="0"/>
              <w:spacing w:before="20" w:beforeAutospacing="0" w:after="20" w:afterAutospacing="0"/>
              <w:jc w:val="center"/>
              <w:rPr>
                <w:b/>
                <w:sz w:val="20"/>
                <w:szCs w:val="20"/>
              </w:rPr>
            </w:pPr>
            <w:r>
              <w:rPr>
                <w:sz w:val="20"/>
                <w:szCs w:val="20"/>
              </w:rPr>
              <w:t>60</w:t>
            </w:r>
          </w:p>
        </w:tc>
        <w:tc>
          <w:tcPr>
            <w:tcW w:w="1268" w:type="dxa"/>
            <w:vAlign w:val="center"/>
          </w:tcPr>
          <w:p w14:paraId="13146DB7" w14:textId="49D84A1F"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1,534.932</w:t>
            </w:r>
          </w:p>
        </w:tc>
        <w:tc>
          <w:tcPr>
            <w:tcW w:w="833" w:type="dxa"/>
            <w:vAlign w:val="center"/>
          </w:tcPr>
          <w:p w14:paraId="11C1B404" w14:textId="09A06407" w:rsidR="001762EE" w:rsidRPr="0004756D" w:rsidRDefault="001762EE" w:rsidP="00DA4279">
            <w:pPr>
              <w:pStyle w:val="NormalWeb"/>
              <w:autoSpaceDE w:val="0"/>
              <w:autoSpaceDN w:val="0"/>
              <w:adjustRightInd w:val="0"/>
              <w:spacing w:before="20" w:beforeAutospacing="0" w:after="20" w:afterAutospacing="0"/>
              <w:jc w:val="center"/>
              <w:rPr>
                <w:b/>
                <w:sz w:val="20"/>
                <w:szCs w:val="20"/>
              </w:rPr>
            </w:pPr>
            <w:r>
              <w:rPr>
                <w:b/>
                <w:sz w:val="20"/>
                <w:szCs w:val="20"/>
              </w:rPr>
              <w:t>4</w:t>
            </w:r>
          </w:p>
        </w:tc>
      </w:tr>
      <w:tr w:rsidR="001762EE" w:rsidRPr="005A497D" w14:paraId="60E6A3CA" w14:textId="77777777" w:rsidTr="007812DF">
        <w:trPr>
          <w:trHeight w:val="340"/>
        </w:trPr>
        <w:tc>
          <w:tcPr>
            <w:tcW w:w="1109" w:type="dxa"/>
            <w:tcBorders>
              <w:bottom w:val="single" w:sz="4" w:space="0" w:color="auto"/>
            </w:tcBorders>
            <w:vAlign w:val="center"/>
          </w:tcPr>
          <w:p w14:paraId="261F5975"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2013</w:t>
            </w:r>
          </w:p>
        </w:tc>
        <w:tc>
          <w:tcPr>
            <w:tcW w:w="1170" w:type="dxa"/>
            <w:tcBorders>
              <w:bottom w:val="single" w:sz="4" w:space="0" w:color="auto"/>
            </w:tcBorders>
            <w:vAlign w:val="center"/>
          </w:tcPr>
          <w:p w14:paraId="1BB79301"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42,664</w:t>
            </w:r>
          </w:p>
        </w:tc>
        <w:tc>
          <w:tcPr>
            <w:tcW w:w="944" w:type="dxa"/>
            <w:tcBorders>
              <w:bottom w:val="single" w:sz="4" w:space="0" w:color="auto"/>
            </w:tcBorders>
            <w:vAlign w:val="center"/>
          </w:tcPr>
          <w:p w14:paraId="6C8F5B5C"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64,244</w:t>
            </w:r>
          </w:p>
        </w:tc>
        <w:tc>
          <w:tcPr>
            <w:tcW w:w="1316" w:type="dxa"/>
            <w:tcBorders>
              <w:bottom w:val="single" w:sz="4" w:space="0" w:color="auto"/>
            </w:tcBorders>
          </w:tcPr>
          <w:p w14:paraId="52B0DBFF" w14:textId="692A0F12"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Pr>
                <w:sz w:val="20"/>
                <w:szCs w:val="20"/>
              </w:rPr>
              <w:t>88.15</w:t>
            </w:r>
          </w:p>
        </w:tc>
        <w:tc>
          <w:tcPr>
            <w:tcW w:w="1401" w:type="dxa"/>
            <w:tcBorders>
              <w:bottom w:val="single" w:sz="4" w:space="0" w:color="auto"/>
            </w:tcBorders>
            <w:vAlign w:val="center"/>
          </w:tcPr>
          <w:p w14:paraId="65F49DFA" w14:textId="0D911E0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107.61</w:t>
            </w:r>
          </w:p>
        </w:tc>
        <w:tc>
          <w:tcPr>
            <w:tcW w:w="1181" w:type="dxa"/>
            <w:tcBorders>
              <w:bottom w:val="single" w:sz="4" w:space="0" w:color="auto"/>
            </w:tcBorders>
          </w:tcPr>
          <w:p w14:paraId="745D5F93" w14:textId="1339A905" w:rsidR="001762EE" w:rsidRPr="0004756D" w:rsidRDefault="001762EE" w:rsidP="00DA4279">
            <w:pPr>
              <w:pStyle w:val="NormalWeb"/>
              <w:autoSpaceDE w:val="0"/>
              <w:autoSpaceDN w:val="0"/>
              <w:adjustRightInd w:val="0"/>
              <w:spacing w:before="20" w:beforeAutospacing="0" w:after="20" w:afterAutospacing="0"/>
              <w:jc w:val="center"/>
              <w:rPr>
                <w:b/>
                <w:sz w:val="20"/>
                <w:szCs w:val="20"/>
              </w:rPr>
            </w:pPr>
            <w:r>
              <w:rPr>
                <w:sz w:val="20"/>
                <w:szCs w:val="20"/>
              </w:rPr>
              <w:t>82</w:t>
            </w:r>
          </w:p>
        </w:tc>
        <w:tc>
          <w:tcPr>
            <w:tcW w:w="1268" w:type="dxa"/>
            <w:tcBorders>
              <w:bottom w:val="single" w:sz="4" w:space="0" w:color="auto"/>
            </w:tcBorders>
            <w:vAlign w:val="center"/>
          </w:tcPr>
          <w:p w14:paraId="3D288FDA" w14:textId="2615DA51"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1,716.093</w:t>
            </w:r>
          </w:p>
        </w:tc>
        <w:tc>
          <w:tcPr>
            <w:tcW w:w="833" w:type="dxa"/>
            <w:tcBorders>
              <w:bottom w:val="single" w:sz="4" w:space="0" w:color="auto"/>
            </w:tcBorders>
            <w:vAlign w:val="center"/>
          </w:tcPr>
          <w:p w14:paraId="58236500" w14:textId="2F65236D" w:rsidR="001762EE" w:rsidRPr="0004756D" w:rsidRDefault="001762EE" w:rsidP="00DA4279">
            <w:pPr>
              <w:pStyle w:val="NormalWeb"/>
              <w:autoSpaceDE w:val="0"/>
              <w:autoSpaceDN w:val="0"/>
              <w:adjustRightInd w:val="0"/>
              <w:spacing w:before="20" w:beforeAutospacing="0" w:after="20" w:afterAutospacing="0"/>
              <w:jc w:val="center"/>
              <w:rPr>
                <w:b/>
                <w:sz w:val="20"/>
                <w:szCs w:val="20"/>
              </w:rPr>
            </w:pPr>
            <w:r>
              <w:rPr>
                <w:b/>
                <w:sz w:val="20"/>
                <w:szCs w:val="20"/>
              </w:rPr>
              <w:t>6</w:t>
            </w:r>
          </w:p>
        </w:tc>
      </w:tr>
      <w:tr w:rsidR="001762EE" w:rsidRPr="005A497D" w14:paraId="00F80C57" w14:textId="77777777" w:rsidTr="007812DF">
        <w:trPr>
          <w:trHeight w:val="340"/>
        </w:trPr>
        <w:tc>
          <w:tcPr>
            <w:tcW w:w="1109" w:type="dxa"/>
            <w:tcBorders>
              <w:top w:val="single" w:sz="4" w:space="0" w:color="auto"/>
            </w:tcBorders>
            <w:vAlign w:val="center"/>
          </w:tcPr>
          <w:p w14:paraId="0B2660B7"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2014</w:t>
            </w:r>
          </w:p>
        </w:tc>
        <w:tc>
          <w:tcPr>
            <w:tcW w:w="1170" w:type="dxa"/>
            <w:tcBorders>
              <w:top w:val="single" w:sz="4" w:space="0" w:color="auto"/>
            </w:tcBorders>
            <w:vAlign w:val="center"/>
          </w:tcPr>
          <w:p w14:paraId="5A590846"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41,988</w:t>
            </w:r>
          </w:p>
        </w:tc>
        <w:tc>
          <w:tcPr>
            <w:tcW w:w="944" w:type="dxa"/>
            <w:tcBorders>
              <w:top w:val="single" w:sz="4" w:space="0" w:color="auto"/>
            </w:tcBorders>
            <w:vAlign w:val="center"/>
          </w:tcPr>
          <w:p w14:paraId="249F3D53" w14:textId="77777777"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66,560</w:t>
            </w:r>
          </w:p>
        </w:tc>
        <w:tc>
          <w:tcPr>
            <w:tcW w:w="1316" w:type="dxa"/>
            <w:tcBorders>
              <w:top w:val="single" w:sz="4" w:space="0" w:color="auto"/>
            </w:tcBorders>
          </w:tcPr>
          <w:p w14:paraId="0C004F1B" w14:textId="560CE9CF"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Pr>
                <w:sz w:val="20"/>
                <w:szCs w:val="20"/>
              </w:rPr>
              <w:t>108.49</w:t>
            </w:r>
          </w:p>
        </w:tc>
        <w:tc>
          <w:tcPr>
            <w:tcW w:w="1401" w:type="dxa"/>
            <w:tcBorders>
              <w:top w:val="single" w:sz="4" w:space="0" w:color="auto"/>
            </w:tcBorders>
            <w:vAlign w:val="center"/>
          </w:tcPr>
          <w:p w14:paraId="02E769E5" w14:textId="4872828A"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121.88</w:t>
            </w:r>
          </w:p>
        </w:tc>
        <w:tc>
          <w:tcPr>
            <w:tcW w:w="1181" w:type="dxa"/>
            <w:tcBorders>
              <w:top w:val="single" w:sz="4" w:space="0" w:color="auto"/>
            </w:tcBorders>
          </w:tcPr>
          <w:p w14:paraId="02D63AAE" w14:textId="6C06C7E4" w:rsidR="001762EE" w:rsidRPr="0004756D" w:rsidRDefault="001762EE" w:rsidP="00DA4279">
            <w:pPr>
              <w:pStyle w:val="NormalWeb"/>
              <w:autoSpaceDE w:val="0"/>
              <w:autoSpaceDN w:val="0"/>
              <w:adjustRightInd w:val="0"/>
              <w:spacing w:before="20" w:beforeAutospacing="0" w:after="20" w:afterAutospacing="0"/>
              <w:jc w:val="center"/>
              <w:rPr>
                <w:b/>
                <w:sz w:val="20"/>
                <w:szCs w:val="20"/>
              </w:rPr>
            </w:pPr>
            <w:r>
              <w:rPr>
                <w:sz w:val="20"/>
                <w:szCs w:val="20"/>
              </w:rPr>
              <w:t>89</w:t>
            </w:r>
          </w:p>
        </w:tc>
        <w:tc>
          <w:tcPr>
            <w:tcW w:w="1268" w:type="dxa"/>
            <w:tcBorders>
              <w:top w:val="single" w:sz="4" w:space="0" w:color="auto"/>
            </w:tcBorders>
            <w:vAlign w:val="center"/>
          </w:tcPr>
          <w:p w14:paraId="6F95D970" w14:textId="5B2F54E9" w:rsidR="001762EE" w:rsidRPr="0004756D" w:rsidRDefault="001762EE" w:rsidP="00DA4279">
            <w:pPr>
              <w:pStyle w:val="NormalWeb"/>
              <w:autoSpaceDE w:val="0"/>
              <w:autoSpaceDN w:val="0"/>
              <w:adjustRightInd w:val="0"/>
              <w:spacing w:before="20" w:beforeAutospacing="0" w:after="20" w:afterAutospacing="0"/>
              <w:jc w:val="center"/>
              <w:rPr>
                <w:sz w:val="20"/>
                <w:szCs w:val="20"/>
              </w:rPr>
            </w:pPr>
            <w:r w:rsidRPr="0004756D">
              <w:rPr>
                <w:sz w:val="20"/>
                <w:szCs w:val="20"/>
              </w:rPr>
              <w:t>1,908.527</w:t>
            </w:r>
          </w:p>
        </w:tc>
        <w:tc>
          <w:tcPr>
            <w:tcW w:w="833" w:type="dxa"/>
            <w:tcBorders>
              <w:top w:val="single" w:sz="4" w:space="0" w:color="auto"/>
            </w:tcBorders>
            <w:vAlign w:val="center"/>
          </w:tcPr>
          <w:p w14:paraId="62C37F50" w14:textId="41D95BD1" w:rsidR="001762EE" w:rsidRPr="0004756D" w:rsidRDefault="001762EE" w:rsidP="00DA4279">
            <w:pPr>
              <w:pStyle w:val="NormalWeb"/>
              <w:autoSpaceDE w:val="0"/>
              <w:autoSpaceDN w:val="0"/>
              <w:adjustRightInd w:val="0"/>
              <w:spacing w:before="20" w:beforeAutospacing="0" w:after="20" w:afterAutospacing="0"/>
              <w:jc w:val="center"/>
              <w:rPr>
                <w:b/>
                <w:sz w:val="20"/>
                <w:szCs w:val="20"/>
              </w:rPr>
            </w:pPr>
            <w:r>
              <w:rPr>
                <w:b/>
                <w:sz w:val="20"/>
                <w:szCs w:val="20"/>
              </w:rPr>
              <w:t>6</w:t>
            </w:r>
          </w:p>
        </w:tc>
      </w:tr>
    </w:tbl>
    <w:p w14:paraId="46FE04C7" w14:textId="77777777" w:rsidR="001762EE" w:rsidRPr="005A497D" w:rsidRDefault="001762EE" w:rsidP="00530D65">
      <w:pPr>
        <w:pStyle w:val="NormalWeb"/>
        <w:autoSpaceDE w:val="0"/>
        <w:autoSpaceDN w:val="0"/>
        <w:adjustRightInd w:val="0"/>
        <w:spacing w:before="40" w:beforeAutospacing="0" w:after="0" w:afterAutospacing="0"/>
        <w:jc w:val="both"/>
        <w:rPr>
          <w:sz w:val="20"/>
          <w:szCs w:val="20"/>
        </w:rPr>
      </w:pPr>
      <w:r w:rsidRPr="0004756D">
        <w:rPr>
          <w:i/>
          <w:sz w:val="20"/>
          <w:szCs w:val="20"/>
        </w:rPr>
        <w:t>Source</w:t>
      </w:r>
      <w:r w:rsidRPr="005A497D">
        <w:rPr>
          <w:sz w:val="20"/>
          <w:szCs w:val="20"/>
        </w:rPr>
        <w:t>: BIR.</w:t>
      </w:r>
    </w:p>
    <w:p w14:paraId="1A0A0F5A" w14:textId="77777777" w:rsidR="001762EE" w:rsidRPr="005A497D" w:rsidRDefault="001762EE" w:rsidP="00530D65">
      <w:pPr>
        <w:pStyle w:val="NormalWeb"/>
        <w:autoSpaceDE w:val="0"/>
        <w:autoSpaceDN w:val="0"/>
        <w:adjustRightInd w:val="0"/>
        <w:spacing w:before="0" w:beforeAutospacing="0" w:after="0" w:afterAutospacing="0"/>
        <w:contextualSpacing/>
        <w:jc w:val="both"/>
        <w:rPr>
          <w:u w:val="single"/>
        </w:rPr>
      </w:pPr>
    </w:p>
    <w:p w14:paraId="7E16D8E4" w14:textId="0DCCBE7C" w:rsidR="001762EE" w:rsidRDefault="001762EE" w:rsidP="00411651">
      <w:pPr>
        <w:pStyle w:val="Heading3"/>
      </w:pPr>
      <w:bookmarkStart w:id="231" w:name="_Toc142146107"/>
      <w:bookmarkStart w:id="232" w:name="_Toc142561157"/>
      <w:bookmarkStart w:id="233" w:name="_Toc317467012"/>
      <w:bookmarkStart w:id="234" w:name="_Toc318187276"/>
      <w:bookmarkStart w:id="235" w:name="_Toc454811709"/>
      <w:bookmarkStart w:id="236" w:name="_Toc454888853"/>
      <w:r w:rsidRPr="005A497D">
        <w:t xml:space="preserve">PI-20 </w:t>
      </w:r>
      <w:bookmarkEnd w:id="231"/>
      <w:bookmarkEnd w:id="232"/>
      <w:bookmarkEnd w:id="233"/>
      <w:bookmarkEnd w:id="234"/>
      <w:r w:rsidRPr="005A497D">
        <w:t>Accounting for revenue</w:t>
      </w:r>
      <w:bookmarkEnd w:id="235"/>
      <w:bookmarkEnd w:id="236"/>
    </w:p>
    <w:p w14:paraId="14D6D95A" w14:textId="77777777" w:rsidR="001762EE" w:rsidRPr="00642C7D" w:rsidRDefault="001762EE" w:rsidP="00642C7D"/>
    <w:p w14:paraId="4D8BA5A7" w14:textId="3B77AB2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124358">
        <w:rPr>
          <w:lang w:val="en-SG"/>
        </w:rPr>
        <w:t>This indicator assesses procedures for recording and reporting revenue collections, consolidating revenue collected, and reconciling tax revenue accounts. It covers both tax and non-tax revenue colle</w:t>
      </w:r>
      <w:r>
        <w:rPr>
          <w:lang w:val="en-SG"/>
        </w:rPr>
        <w:t>cted by the central government.</w:t>
      </w:r>
      <w:r w:rsidRPr="005A497D">
        <w:t xml:space="preserve"> </w:t>
      </w:r>
    </w:p>
    <w:p w14:paraId="015ED735" w14:textId="77777777" w:rsidR="001762EE" w:rsidRPr="005A497D" w:rsidRDefault="001762EE" w:rsidP="00747EED">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7FC1D405" w14:textId="77777777" w:rsidTr="0004756D">
        <w:trPr>
          <w:trHeight w:val="397"/>
          <w:tblHeader/>
        </w:trPr>
        <w:tc>
          <w:tcPr>
            <w:tcW w:w="3600" w:type="dxa"/>
            <w:tcBorders>
              <w:top w:val="double" w:sz="4" w:space="0" w:color="auto"/>
            </w:tcBorders>
            <w:shd w:val="clear" w:color="auto" w:fill="D9D9D9"/>
            <w:vAlign w:val="center"/>
          </w:tcPr>
          <w:p w14:paraId="2E72B012" w14:textId="77777777" w:rsidR="001762EE" w:rsidRPr="00D53B92" w:rsidRDefault="001762EE" w:rsidP="00474D54">
            <w:pPr>
              <w:spacing w:before="40" w:after="40"/>
              <w:jc w:val="center"/>
              <w:rPr>
                <w:b/>
                <w:i/>
              </w:rPr>
            </w:pPr>
            <w:r w:rsidRPr="00D53B92">
              <w:rPr>
                <w:b/>
                <w:i/>
                <w:sz w:val="22"/>
                <w:szCs w:val="22"/>
              </w:rPr>
              <w:t>Indicator / Dimension</w:t>
            </w:r>
          </w:p>
        </w:tc>
        <w:tc>
          <w:tcPr>
            <w:tcW w:w="1843" w:type="dxa"/>
            <w:tcBorders>
              <w:top w:val="double" w:sz="4" w:space="0" w:color="auto"/>
            </w:tcBorders>
            <w:shd w:val="clear" w:color="auto" w:fill="D9D9D9"/>
            <w:vAlign w:val="center"/>
          </w:tcPr>
          <w:p w14:paraId="00D975A4" w14:textId="77777777" w:rsidR="001762EE" w:rsidRPr="00D53B92" w:rsidRDefault="001762EE" w:rsidP="00474D54">
            <w:pPr>
              <w:spacing w:before="40" w:after="40"/>
              <w:jc w:val="center"/>
              <w:rPr>
                <w:b/>
                <w:i/>
              </w:rPr>
            </w:pPr>
            <w:r w:rsidRPr="00D53B92">
              <w:rPr>
                <w:b/>
                <w:i/>
                <w:sz w:val="22"/>
                <w:szCs w:val="22"/>
              </w:rPr>
              <w:t>Score</w:t>
            </w:r>
          </w:p>
        </w:tc>
        <w:tc>
          <w:tcPr>
            <w:tcW w:w="3913" w:type="dxa"/>
            <w:tcBorders>
              <w:top w:val="double" w:sz="4" w:space="0" w:color="auto"/>
            </w:tcBorders>
            <w:shd w:val="clear" w:color="auto" w:fill="D9D9D9"/>
            <w:vAlign w:val="center"/>
          </w:tcPr>
          <w:p w14:paraId="3182BE0D" w14:textId="77777777" w:rsidR="001762EE" w:rsidRPr="00D53B92" w:rsidRDefault="001762EE" w:rsidP="00474D54">
            <w:pPr>
              <w:spacing w:before="40" w:after="40"/>
              <w:jc w:val="center"/>
              <w:rPr>
                <w:b/>
                <w:i/>
              </w:rPr>
            </w:pPr>
            <w:r w:rsidRPr="00D53B92">
              <w:rPr>
                <w:b/>
                <w:i/>
                <w:sz w:val="22"/>
                <w:szCs w:val="22"/>
              </w:rPr>
              <w:t>Brief Explanation</w:t>
            </w:r>
          </w:p>
        </w:tc>
      </w:tr>
      <w:tr w:rsidR="001762EE" w:rsidRPr="005A497D" w14:paraId="2D120EF9" w14:textId="77777777" w:rsidTr="00474D54">
        <w:tc>
          <w:tcPr>
            <w:tcW w:w="3600" w:type="dxa"/>
            <w:tcBorders>
              <w:top w:val="double" w:sz="4" w:space="0" w:color="auto"/>
              <w:bottom w:val="single" w:sz="4" w:space="0" w:color="auto"/>
            </w:tcBorders>
          </w:tcPr>
          <w:p w14:paraId="49EFC8F7" w14:textId="78EDBDD2" w:rsidR="001762EE" w:rsidRPr="005A497D" w:rsidRDefault="001762EE" w:rsidP="00474D54">
            <w:pPr>
              <w:spacing w:before="40" w:after="40"/>
            </w:pPr>
            <w:r w:rsidRPr="005A497D">
              <w:rPr>
                <w:b/>
                <w:bCs/>
                <w:sz w:val="22"/>
                <w:szCs w:val="22"/>
              </w:rPr>
              <w:t>PI-20 Accounting for revenue</w:t>
            </w:r>
          </w:p>
        </w:tc>
        <w:tc>
          <w:tcPr>
            <w:tcW w:w="1843" w:type="dxa"/>
            <w:tcBorders>
              <w:top w:val="double" w:sz="4" w:space="0" w:color="auto"/>
              <w:bottom w:val="single" w:sz="4" w:space="0" w:color="auto"/>
            </w:tcBorders>
          </w:tcPr>
          <w:p w14:paraId="0EFD7D08" w14:textId="30C626A2" w:rsidR="001762EE" w:rsidRPr="005A497D" w:rsidRDefault="001762EE" w:rsidP="00474D54">
            <w:pPr>
              <w:spacing w:before="40" w:after="40"/>
              <w:jc w:val="center"/>
              <w:rPr>
                <w:b/>
              </w:rPr>
            </w:pPr>
            <w:r>
              <w:rPr>
                <w:b/>
                <w:sz w:val="22"/>
                <w:szCs w:val="22"/>
              </w:rPr>
              <w:t>A</w:t>
            </w:r>
          </w:p>
        </w:tc>
        <w:tc>
          <w:tcPr>
            <w:tcW w:w="3913" w:type="dxa"/>
            <w:tcBorders>
              <w:top w:val="double" w:sz="4" w:space="0" w:color="auto"/>
              <w:bottom w:val="single" w:sz="4" w:space="0" w:color="auto"/>
            </w:tcBorders>
          </w:tcPr>
          <w:p w14:paraId="2DB25275" w14:textId="1E1ADC17" w:rsidR="001762EE" w:rsidRPr="005A497D" w:rsidRDefault="001762EE" w:rsidP="00F476BA">
            <w:pPr>
              <w:spacing w:before="40" w:after="40"/>
            </w:pPr>
            <w:r w:rsidRPr="005A497D">
              <w:rPr>
                <w:sz w:val="22"/>
                <w:szCs w:val="22"/>
              </w:rPr>
              <w:t>Overall rating based on M</w:t>
            </w:r>
            <w:r>
              <w:rPr>
                <w:sz w:val="22"/>
                <w:szCs w:val="22"/>
              </w:rPr>
              <w:t>1</w:t>
            </w:r>
            <w:r w:rsidRPr="005A497D">
              <w:rPr>
                <w:sz w:val="22"/>
                <w:szCs w:val="22"/>
              </w:rPr>
              <w:t xml:space="preserve"> methodology.</w:t>
            </w:r>
          </w:p>
        </w:tc>
      </w:tr>
      <w:tr w:rsidR="001762EE" w:rsidRPr="005A497D" w14:paraId="0CB821E6" w14:textId="77777777" w:rsidTr="000D762A">
        <w:trPr>
          <w:trHeight w:val="908"/>
        </w:trPr>
        <w:tc>
          <w:tcPr>
            <w:tcW w:w="3600" w:type="dxa"/>
            <w:tcBorders>
              <w:top w:val="single" w:sz="4" w:space="0" w:color="auto"/>
              <w:bottom w:val="single" w:sz="4" w:space="0" w:color="auto"/>
            </w:tcBorders>
          </w:tcPr>
          <w:p w14:paraId="28D53057" w14:textId="210E55CC" w:rsidR="001762EE" w:rsidRPr="005A497D" w:rsidRDefault="001762EE" w:rsidP="000D762A">
            <w:pPr>
              <w:pStyle w:val="Default"/>
              <w:rPr>
                <w:color w:val="auto"/>
                <w:sz w:val="22"/>
                <w:szCs w:val="22"/>
              </w:rPr>
            </w:pPr>
            <w:r>
              <w:rPr>
                <w:color w:val="auto"/>
                <w:sz w:val="22"/>
                <w:szCs w:val="22"/>
              </w:rPr>
              <w:t>20.1</w:t>
            </w:r>
            <w:r w:rsidRPr="005A497D">
              <w:rPr>
                <w:color w:val="auto"/>
                <w:sz w:val="22"/>
                <w:szCs w:val="22"/>
              </w:rPr>
              <w:t xml:space="preserve"> </w:t>
            </w:r>
            <w:r>
              <w:rPr>
                <w:color w:val="auto"/>
                <w:sz w:val="22"/>
                <w:szCs w:val="22"/>
              </w:rPr>
              <w:t>I</w:t>
            </w:r>
            <w:r w:rsidRPr="005A497D">
              <w:rPr>
                <w:color w:val="auto"/>
                <w:sz w:val="22"/>
                <w:szCs w:val="22"/>
              </w:rPr>
              <w:t xml:space="preserve">nformation </w:t>
            </w:r>
            <w:r>
              <w:rPr>
                <w:color w:val="auto"/>
                <w:sz w:val="22"/>
                <w:szCs w:val="22"/>
              </w:rPr>
              <w:t>on revenue collection</w:t>
            </w:r>
          </w:p>
        </w:tc>
        <w:tc>
          <w:tcPr>
            <w:tcW w:w="1843" w:type="dxa"/>
            <w:tcBorders>
              <w:top w:val="single" w:sz="4" w:space="0" w:color="auto"/>
              <w:bottom w:val="single" w:sz="4" w:space="0" w:color="auto"/>
            </w:tcBorders>
          </w:tcPr>
          <w:p w14:paraId="15AC30D5" w14:textId="3CC4E04E" w:rsidR="001762EE" w:rsidRPr="005A497D" w:rsidRDefault="001762EE" w:rsidP="00474D54">
            <w:pPr>
              <w:spacing w:before="40" w:after="40"/>
              <w:jc w:val="center"/>
            </w:pPr>
            <w:r>
              <w:rPr>
                <w:sz w:val="22"/>
                <w:szCs w:val="22"/>
              </w:rPr>
              <w:t>A</w:t>
            </w:r>
          </w:p>
        </w:tc>
        <w:tc>
          <w:tcPr>
            <w:tcW w:w="3913" w:type="dxa"/>
            <w:tcBorders>
              <w:top w:val="single" w:sz="4" w:space="0" w:color="auto"/>
              <w:bottom w:val="single" w:sz="4" w:space="0" w:color="auto"/>
            </w:tcBorders>
          </w:tcPr>
          <w:p w14:paraId="09DA09D7" w14:textId="53982C81" w:rsidR="001762EE" w:rsidRPr="005A497D" w:rsidRDefault="001762EE" w:rsidP="0045514E">
            <w:pPr>
              <w:spacing w:before="40" w:after="40"/>
            </w:pPr>
            <w:r w:rsidRPr="005A497D">
              <w:rPr>
                <w:sz w:val="22"/>
                <w:szCs w:val="22"/>
              </w:rPr>
              <w:t>Monthly submission by the revenue generating agencies is consolidated and publi</w:t>
            </w:r>
            <w:r>
              <w:rPr>
                <w:sz w:val="22"/>
                <w:szCs w:val="22"/>
              </w:rPr>
              <w:t>shed by BTr covering all revenue.</w:t>
            </w:r>
          </w:p>
        </w:tc>
      </w:tr>
      <w:tr w:rsidR="001762EE" w:rsidRPr="005A497D" w14:paraId="603B0704" w14:textId="77777777" w:rsidTr="000D762A">
        <w:trPr>
          <w:trHeight w:val="710"/>
        </w:trPr>
        <w:tc>
          <w:tcPr>
            <w:tcW w:w="3600" w:type="dxa"/>
            <w:tcBorders>
              <w:top w:val="single" w:sz="4" w:space="0" w:color="auto"/>
              <w:bottom w:val="single" w:sz="4" w:space="0" w:color="auto"/>
            </w:tcBorders>
          </w:tcPr>
          <w:p w14:paraId="0EF92F27" w14:textId="5DFDAD6A" w:rsidR="001762EE" w:rsidRPr="005A497D" w:rsidRDefault="001762EE" w:rsidP="000D762A">
            <w:pPr>
              <w:pStyle w:val="Default"/>
              <w:rPr>
                <w:color w:val="auto"/>
                <w:sz w:val="22"/>
                <w:szCs w:val="22"/>
              </w:rPr>
            </w:pPr>
            <w:r>
              <w:rPr>
                <w:color w:val="auto"/>
                <w:sz w:val="22"/>
                <w:szCs w:val="22"/>
              </w:rPr>
              <w:t>20.2</w:t>
            </w:r>
            <w:r w:rsidRPr="005A497D">
              <w:rPr>
                <w:color w:val="auto"/>
                <w:sz w:val="22"/>
                <w:szCs w:val="22"/>
              </w:rPr>
              <w:t xml:space="preserve"> </w:t>
            </w:r>
            <w:r>
              <w:rPr>
                <w:color w:val="auto"/>
                <w:sz w:val="22"/>
                <w:szCs w:val="22"/>
              </w:rPr>
              <w:t>T</w:t>
            </w:r>
            <w:r w:rsidRPr="005A497D">
              <w:rPr>
                <w:color w:val="auto"/>
                <w:sz w:val="22"/>
                <w:szCs w:val="22"/>
              </w:rPr>
              <w:t>ransfer of revenue collections</w:t>
            </w:r>
          </w:p>
        </w:tc>
        <w:tc>
          <w:tcPr>
            <w:tcW w:w="1843" w:type="dxa"/>
            <w:tcBorders>
              <w:top w:val="single" w:sz="4" w:space="0" w:color="auto"/>
              <w:bottom w:val="single" w:sz="4" w:space="0" w:color="auto"/>
            </w:tcBorders>
          </w:tcPr>
          <w:p w14:paraId="0892A04C" w14:textId="77777777" w:rsidR="001762EE" w:rsidRPr="005A497D" w:rsidRDefault="001762EE" w:rsidP="00474D54">
            <w:pPr>
              <w:spacing w:before="40" w:after="40"/>
              <w:jc w:val="center"/>
            </w:pPr>
            <w:r w:rsidRPr="005A497D">
              <w:rPr>
                <w:sz w:val="22"/>
                <w:szCs w:val="22"/>
              </w:rPr>
              <w:t>A</w:t>
            </w:r>
          </w:p>
        </w:tc>
        <w:tc>
          <w:tcPr>
            <w:tcW w:w="3913" w:type="dxa"/>
            <w:tcBorders>
              <w:top w:val="single" w:sz="4" w:space="0" w:color="auto"/>
              <w:bottom w:val="single" w:sz="4" w:space="0" w:color="auto"/>
            </w:tcBorders>
          </w:tcPr>
          <w:p w14:paraId="7C1C2EC4" w14:textId="4D9B3EB1" w:rsidR="001762EE" w:rsidRPr="005A497D" w:rsidRDefault="001762EE" w:rsidP="0018356A">
            <w:pPr>
              <w:spacing w:before="40" w:after="40"/>
            </w:pPr>
            <w:r w:rsidRPr="005A497D">
              <w:rPr>
                <w:sz w:val="22"/>
                <w:szCs w:val="22"/>
              </w:rPr>
              <w:t xml:space="preserve">The BIR and BoC comply with the use of </w:t>
            </w:r>
            <w:r>
              <w:rPr>
                <w:sz w:val="22"/>
                <w:szCs w:val="22"/>
              </w:rPr>
              <w:t>TSA</w:t>
            </w:r>
            <w:r w:rsidRPr="005A497D">
              <w:rPr>
                <w:sz w:val="22"/>
                <w:szCs w:val="22"/>
              </w:rPr>
              <w:t xml:space="preserve"> System. </w:t>
            </w:r>
          </w:p>
        </w:tc>
      </w:tr>
      <w:tr w:rsidR="001762EE" w:rsidRPr="005A497D" w14:paraId="21D869F6" w14:textId="77777777" w:rsidTr="000D762A">
        <w:trPr>
          <w:trHeight w:val="890"/>
        </w:trPr>
        <w:tc>
          <w:tcPr>
            <w:tcW w:w="3600" w:type="dxa"/>
            <w:tcBorders>
              <w:top w:val="single" w:sz="4" w:space="0" w:color="auto"/>
              <w:bottom w:val="double" w:sz="4" w:space="0" w:color="auto"/>
            </w:tcBorders>
          </w:tcPr>
          <w:p w14:paraId="5389215C" w14:textId="650F92AF" w:rsidR="001762EE" w:rsidRPr="005A497D" w:rsidRDefault="001762EE" w:rsidP="000D762A">
            <w:pPr>
              <w:pStyle w:val="Default"/>
              <w:rPr>
                <w:color w:val="auto"/>
                <w:sz w:val="22"/>
                <w:szCs w:val="22"/>
              </w:rPr>
            </w:pPr>
            <w:r>
              <w:rPr>
                <w:color w:val="auto"/>
                <w:sz w:val="22"/>
                <w:szCs w:val="22"/>
              </w:rPr>
              <w:t>20.3</w:t>
            </w:r>
            <w:r w:rsidRPr="005A497D">
              <w:rPr>
                <w:color w:val="auto"/>
                <w:sz w:val="22"/>
                <w:szCs w:val="22"/>
              </w:rPr>
              <w:t xml:space="preserve"> </w:t>
            </w:r>
            <w:r>
              <w:rPr>
                <w:color w:val="auto"/>
                <w:sz w:val="22"/>
                <w:szCs w:val="22"/>
              </w:rPr>
              <w:t>Revenue accounts reconciliation</w:t>
            </w:r>
          </w:p>
        </w:tc>
        <w:tc>
          <w:tcPr>
            <w:tcW w:w="1843" w:type="dxa"/>
            <w:tcBorders>
              <w:top w:val="single" w:sz="4" w:space="0" w:color="auto"/>
              <w:bottom w:val="double" w:sz="4" w:space="0" w:color="auto"/>
            </w:tcBorders>
          </w:tcPr>
          <w:p w14:paraId="4ED19865" w14:textId="77777777" w:rsidR="001762EE" w:rsidRPr="005A497D" w:rsidRDefault="001762EE" w:rsidP="00474D54">
            <w:pPr>
              <w:spacing w:before="40" w:after="40"/>
              <w:jc w:val="center"/>
            </w:pPr>
            <w:r w:rsidRPr="005A497D">
              <w:rPr>
                <w:sz w:val="22"/>
                <w:szCs w:val="22"/>
              </w:rPr>
              <w:t>A</w:t>
            </w:r>
          </w:p>
        </w:tc>
        <w:tc>
          <w:tcPr>
            <w:tcW w:w="3913" w:type="dxa"/>
            <w:tcBorders>
              <w:top w:val="single" w:sz="4" w:space="0" w:color="auto"/>
              <w:bottom w:val="double" w:sz="4" w:space="0" w:color="auto"/>
            </w:tcBorders>
          </w:tcPr>
          <w:p w14:paraId="59D02997" w14:textId="77777777" w:rsidR="001762EE" w:rsidRPr="005A497D" w:rsidRDefault="001762EE" w:rsidP="00474D54">
            <w:pPr>
              <w:spacing w:before="40" w:after="40"/>
            </w:pPr>
            <w:r w:rsidRPr="005A497D">
              <w:rPr>
                <w:sz w:val="22"/>
                <w:szCs w:val="22"/>
              </w:rPr>
              <w:t>The reconciliation with the BTr of the BIR and BoC collections is done monthly.</w:t>
            </w:r>
          </w:p>
        </w:tc>
      </w:tr>
    </w:tbl>
    <w:p w14:paraId="0665CF9F" w14:textId="77777777" w:rsidR="001762EE" w:rsidRPr="005A497D" w:rsidRDefault="001762EE" w:rsidP="00747EED">
      <w:pPr>
        <w:autoSpaceDE w:val="0"/>
        <w:autoSpaceDN w:val="0"/>
        <w:adjustRightInd w:val="0"/>
        <w:jc w:val="both"/>
      </w:pPr>
    </w:p>
    <w:p w14:paraId="5BCE4E92" w14:textId="10264381" w:rsidR="001762EE" w:rsidRPr="0004756D" w:rsidRDefault="001762EE" w:rsidP="00747EED">
      <w:pPr>
        <w:pStyle w:val="NormalWeb"/>
        <w:autoSpaceDE w:val="0"/>
        <w:autoSpaceDN w:val="0"/>
        <w:adjustRightInd w:val="0"/>
        <w:spacing w:before="0" w:beforeAutospacing="0" w:after="0" w:afterAutospacing="0"/>
        <w:contextualSpacing/>
        <w:jc w:val="both"/>
        <w:rPr>
          <w:b/>
          <w:i/>
        </w:rPr>
      </w:pPr>
      <w:r w:rsidRPr="0004756D">
        <w:rPr>
          <w:b/>
          <w:i/>
        </w:rPr>
        <w:t>Dimension 20.1 Information on revenue collections</w:t>
      </w:r>
    </w:p>
    <w:p w14:paraId="4C0AD23A" w14:textId="77777777" w:rsidR="001762EE" w:rsidRPr="000D762A" w:rsidRDefault="001762EE" w:rsidP="00747EED">
      <w:pPr>
        <w:pStyle w:val="NormalWeb"/>
        <w:autoSpaceDE w:val="0"/>
        <w:autoSpaceDN w:val="0"/>
        <w:adjustRightInd w:val="0"/>
        <w:spacing w:before="0" w:beforeAutospacing="0" w:after="0" w:afterAutospacing="0"/>
        <w:contextualSpacing/>
        <w:jc w:val="both"/>
        <w:rPr>
          <w:i/>
        </w:rPr>
      </w:pPr>
    </w:p>
    <w:p w14:paraId="14A912FB" w14:textId="0FF03D9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Department of Finance</w:t>
      </w:r>
      <w:r w:rsidRPr="005A497D">
        <w:t xml:space="preserve"> </w:t>
      </w:r>
      <w:r>
        <w:t xml:space="preserve">receives </w:t>
      </w:r>
      <w:r w:rsidRPr="005A497D">
        <w:t xml:space="preserve">information </w:t>
      </w:r>
      <w:r>
        <w:t xml:space="preserve">by each revenue type from the revenue-generating agencies. This is </w:t>
      </w:r>
      <w:r w:rsidRPr="005A497D">
        <w:t>consolidated monthly to keep track o</w:t>
      </w:r>
      <w:r>
        <w:t>f</w:t>
      </w:r>
      <w:r w:rsidRPr="005A497D">
        <w:t xml:space="preserve"> the national government’s fiscal condition. The monthly consolidated revenue</w:t>
      </w:r>
      <w:r>
        <w:t xml:space="preserve"> report</w:t>
      </w:r>
      <w:r w:rsidRPr="005A497D">
        <w:rPr>
          <w:rStyle w:val="EndnoteReference"/>
        </w:rPr>
        <w:endnoteReference w:id="96"/>
      </w:r>
      <w:r w:rsidRPr="005A497D">
        <w:t xml:space="preserve"> </w:t>
      </w:r>
      <w:r>
        <w:t>is posted on the BTr website within two months of reference period. Score for Dimension 20.1 is assessed at “A” since the published data includes all the national government revenue.</w:t>
      </w:r>
    </w:p>
    <w:p w14:paraId="3549D5CA" w14:textId="77777777" w:rsidR="001762EE" w:rsidRPr="005A497D" w:rsidRDefault="001762EE" w:rsidP="00747EED">
      <w:pPr>
        <w:pStyle w:val="NormalWeb"/>
        <w:autoSpaceDE w:val="0"/>
        <w:autoSpaceDN w:val="0"/>
        <w:adjustRightInd w:val="0"/>
        <w:spacing w:before="0" w:beforeAutospacing="0" w:after="0" w:afterAutospacing="0"/>
        <w:contextualSpacing/>
        <w:jc w:val="both"/>
      </w:pPr>
    </w:p>
    <w:p w14:paraId="6C9B7F78" w14:textId="21E1591B" w:rsidR="001762EE" w:rsidRPr="0004756D" w:rsidRDefault="001762EE" w:rsidP="00747EED">
      <w:pPr>
        <w:pStyle w:val="NormalWeb"/>
        <w:autoSpaceDE w:val="0"/>
        <w:autoSpaceDN w:val="0"/>
        <w:adjustRightInd w:val="0"/>
        <w:spacing w:before="0" w:beforeAutospacing="0" w:after="0" w:afterAutospacing="0"/>
        <w:contextualSpacing/>
        <w:jc w:val="both"/>
        <w:rPr>
          <w:b/>
          <w:bCs/>
          <w:i/>
        </w:rPr>
      </w:pPr>
      <w:r w:rsidRPr="0004756D">
        <w:rPr>
          <w:b/>
          <w:bCs/>
          <w:i/>
        </w:rPr>
        <w:t>Dimension 20.2 Transfer of revenue collections</w:t>
      </w:r>
    </w:p>
    <w:p w14:paraId="00813899" w14:textId="77777777" w:rsidR="001762EE" w:rsidRPr="000D762A" w:rsidRDefault="001762EE" w:rsidP="00747EED">
      <w:pPr>
        <w:pStyle w:val="NormalWeb"/>
        <w:autoSpaceDE w:val="0"/>
        <w:autoSpaceDN w:val="0"/>
        <w:adjustRightInd w:val="0"/>
        <w:spacing w:before="0" w:beforeAutospacing="0" w:after="0" w:afterAutospacing="0"/>
        <w:contextualSpacing/>
        <w:jc w:val="both"/>
      </w:pPr>
    </w:p>
    <w:p w14:paraId="24761DAD" w14:textId="168934A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taxpayers and importers settle their tax dues and custom duties directly to the accounts controlled by the Treasury through authorized commercial depositary bank and authorized government depositary bank. </w:t>
      </w:r>
      <w:r>
        <w:t xml:space="preserve">To show compliance with TSA implementation, </w:t>
      </w:r>
      <w:r w:rsidRPr="005A497D">
        <w:t xml:space="preserve">a memorandum of agreement </w:t>
      </w:r>
      <w:r>
        <w:t>among</w:t>
      </w:r>
      <w:r w:rsidRPr="005A497D">
        <w:t xml:space="preserve"> the signing bank, </w:t>
      </w:r>
      <w:r>
        <w:t xml:space="preserve">Bureau of </w:t>
      </w:r>
      <w:r w:rsidR="0045514E">
        <w:t xml:space="preserve">the </w:t>
      </w:r>
      <w:r>
        <w:t>Treasury,</w:t>
      </w:r>
      <w:r w:rsidRPr="005A497D">
        <w:t xml:space="preserve"> and </w:t>
      </w:r>
      <w:r>
        <w:t>Bureaus of Internal Revenue and Customs</w:t>
      </w:r>
      <w:r w:rsidRPr="005A497D">
        <w:t xml:space="preserve"> </w:t>
      </w:r>
      <w:r>
        <w:t>covers remittances and reports of collection by the banks</w:t>
      </w:r>
      <w:r w:rsidRPr="005A497D">
        <w:t xml:space="preserve">. Per </w:t>
      </w:r>
      <w:r>
        <w:t>the memorandum</w:t>
      </w:r>
      <w:r w:rsidRPr="005A497D">
        <w:t xml:space="preserve">, the </w:t>
      </w:r>
      <w:r>
        <w:t xml:space="preserve">signing </w:t>
      </w:r>
      <w:r w:rsidRPr="005A497D">
        <w:t xml:space="preserve">bank will remit all collections to the account of the </w:t>
      </w:r>
      <w:r w:rsidR="0045514E">
        <w:t>BTr</w:t>
      </w:r>
      <w:r w:rsidRPr="005A497D">
        <w:t xml:space="preserve"> with </w:t>
      </w:r>
      <w:r w:rsidRPr="00D46430">
        <w:t>Bangko Sentral ng Pilipinas</w:t>
      </w:r>
      <w:r w:rsidRPr="005A497D">
        <w:t xml:space="preserve"> not later than 10:00 AM of the succeeding banking day counted from date of collection</w:t>
      </w:r>
      <w:r>
        <w:t>;</w:t>
      </w:r>
      <w:r w:rsidRPr="005A497D">
        <w:t xml:space="preserve"> and the </w:t>
      </w:r>
      <w:r>
        <w:t xml:space="preserve">signing </w:t>
      </w:r>
      <w:r w:rsidRPr="005A497D">
        <w:t xml:space="preserve">bank will submit to </w:t>
      </w:r>
      <w:r>
        <w:t>B</w:t>
      </w:r>
      <w:r w:rsidR="0045514E">
        <w:t>Tr</w:t>
      </w:r>
      <w:r w:rsidRPr="005A497D">
        <w:t xml:space="preserve"> a collection report comprising all </w:t>
      </w:r>
      <w:r>
        <w:t>BIR</w:t>
      </w:r>
      <w:r w:rsidRPr="005A497D">
        <w:t>/</w:t>
      </w:r>
      <w:r>
        <w:t>BoC</w:t>
      </w:r>
      <w:r w:rsidRPr="005A497D">
        <w:t xml:space="preserve"> collection not later than 2:00 PM of the succeeding banking day counted from date of collection. </w:t>
      </w:r>
      <w:r>
        <w:t>Score for Dimension 20.2 is thus assessed at “A”.</w:t>
      </w:r>
    </w:p>
    <w:p w14:paraId="625D2BB8" w14:textId="77777777" w:rsidR="001762EE" w:rsidRPr="005A497D" w:rsidRDefault="001762EE" w:rsidP="00747EED">
      <w:pPr>
        <w:pStyle w:val="NormalWeb"/>
        <w:autoSpaceDE w:val="0"/>
        <w:autoSpaceDN w:val="0"/>
        <w:adjustRightInd w:val="0"/>
        <w:spacing w:before="0" w:beforeAutospacing="0" w:after="0" w:afterAutospacing="0"/>
        <w:contextualSpacing/>
        <w:jc w:val="both"/>
      </w:pPr>
    </w:p>
    <w:p w14:paraId="2B6322B0" w14:textId="50249869" w:rsidR="001762EE" w:rsidRPr="009F2554" w:rsidRDefault="001762EE" w:rsidP="00747EED">
      <w:pPr>
        <w:pStyle w:val="NormalWeb"/>
        <w:autoSpaceDE w:val="0"/>
        <w:autoSpaceDN w:val="0"/>
        <w:adjustRightInd w:val="0"/>
        <w:spacing w:before="0" w:beforeAutospacing="0" w:after="0" w:afterAutospacing="0"/>
        <w:contextualSpacing/>
        <w:jc w:val="both"/>
        <w:rPr>
          <w:b/>
          <w:i/>
          <w:iCs/>
        </w:rPr>
      </w:pPr>
      <w:r w:rsidRPr="009F2554">
        <w:rPr>
          <w:b/>
          <w:i/>
          <w:iCs/>
        </w:rPr>
        <w:t>Dimension 20.3 Revenue accounts reconciliation</w:t>
      </w:r>
    </w:p>
    <w:p w14:paraId="3739E3C8" w14:textId="77777777" w:rsidR="001762EE" w:rsidRPr="000D762A" w:rsidRDefault="001762EE" w:rsidP="00747EED">
      <w:pPr>
        <w:pStyle w:val="NormalWeb"/>
        <w:autoSpaceDE w:val="0"/>
        <w:autoSpaceDN w:val="0"/>
        <w:adjustRightInd w:val="0"/>
        <w:spacing w:before="0" w:beforeAutospacing="0" w:after="0" w:afterAutospacing="0"/>
        <w:contextualSpacing/>
        <w:jc w:val="both"/>
        <w:rPr>
          <w:i/>
        </w:rPr>
      </w:pPr>
    </w:p>
    <w:p w14:paraId="1536828C" w14:textId="6878128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revenues collected by Bureau of Internal Revenue and Bureau of Customs amount to around 89 percent of the total revenue. This revenue data</w:t>
      </w:r>
      <w:r w:rsidRPr="005A497D">
        <w:rPr>
          <w:rStyle w:val="EndnoteReference"/>
        </w:rPr>
        <w:endnoteReference w:id="97"/>
      </w:r>
      <w:r>
        <w:t xml:space="preserve"> is </w:t>
      </w:r>
      <w:r w:rsidRPr="005A497D">
        <w:t>reconcile</w:t>
      </w:r>
      <w:r>
        <w:t>d</w:t>
      </w:r>
      <w:r w:rsidRPr="005A497D">
        <w:t xml:space="preserve"> with the </w:t>
      </w:r>
      <w:r>
        <w:t xml:space="preserve">Bureau of </w:t>
      </w:r>
      <w:r w:rsidR="0045514E">
        <w:t xml:space="preserve">the </w:t>
      </w:r>
      <w:r>
        <w:t>Treasury</w:t>
      </w:r>
      <w:r w:rsidRPr="005A497D">
        <w:t xml:space="preserve"> and </w:t>
      </w:r>
      <w:r w:rsidRPr="009F2554">
        <w:t>Bangko Sentral ng Pilipinas</w:t>
      </w:r>
      <w:r w:rsidRPr="005A497D">
        <w:t xml:space="preserve"> on </w:t>
      </w:r>
      <w:r>
        <w:t xml:space="preserve">a monthly basis. </w:t>
      </w:r>
      <w:r w:rsidRPr="005A497D">
        <w:t>Reconciliations are done every month from</w:t>
      </w:r>
      <w:r>
        <w:t xml:space="preserve"> the</w:t>
      </w:r>
      <w:r w:rsidRPr="005A497D">
        <w:t xml:space="preserve"> 5</w:t>
      </w:r>
      <w:r w:rsidRPr="005A497D">
        <w:rPr>
          <w:vertAlign w:val="superscript"/>
        </w:rPr>
        <w:t>th</w:t>
      </w:r>
      <w:r w:rsidRPr="005A497D">
        <w:t xml:space="preserve"> to 15</w:t>
      </w:r>
      <w:r w:rsidRPr="005A497D">
        <w:rPr>
          <w:vertAlign w:val="superscript"/>
        </w:rPr>
        <w:t xml:space="preserve">th </w:t>
      </w:r>
      <w:r w:rsidRPr="005A497D">
        <w:t xml:space="preserve">to reconcile the collections/receipts of the </w:t>
      </w:r>
      <w:r>
        <w:t>B</w:t>
      </w:r>
      <w:r w:rsidRPr="005A497D">
        <w:t>ureau of the previous month</w:t>
      </w:r>
      <w:r>
        <w:t xml:space="preserve"> with the transfers to the BTr account</w:t>
      </w:r>
      <w:r w:rsidRPr="005A497D">
        <w:t>. Annual reconciliation for both bureaus is done before the end of the fiscal period as it customarily accounts for discrepancies and collection adjustments.</w:t>
      </w:r>
      <w:r>
        <w:t xml:space="preserve"> Reconciliation of collections is also performed with the assessments and if applicable the arrears (opening and closing) in both Bureau of Internal Revenue and Bureau of Customs. Score for Dimension 20.3 is assessed at “A”.</w:t>
      </w:r>
    </w:p>
    <w:p w14:paraId="673AE8B5" w14:textId="77777777" w:rsidR="001762EE" w:rsidRPr="005A497D" w:rsidRDefault="001762EE" w:rsidP="005F768F">
      <w:pPr>
        <w:pStyle w:val="Default"/>
        <w:rPr>
          <w:bCs/>
        </w:rPr>
      </w:pPr>
    </w:p>
    <w:p w14:paraId="59FE5C44" w14:textId="7B44AD66" w:rsidR="001762EE" w:rsidRDefault="001762EE" w:rsidP="00411651">
      <w:pPr>
        <w:pStyle w:val="Heading3"/>
      </w:pPr>
      <w:bookmarkStart w:id="237" w:name="_Toc317506455"/>
      <w:bookmarkStart w:id="238" w:name="_Toc454811710"/>
      <w:bookmarkStart w:id="239" w:name="_Toc454888854"/>
      <w:r w:rsidRPr="005A497D">
        <w:t xml:space="preserve">PI-21 </w:t>
      </w:r>
      <w:bookmarkEnd w:id="237"/>
      <w:r w:rsidRPr="005A497D">
        <w:t xml:space="preserve">Predictability </w:t>
      </w:r>
      <w:r>
        <w:t>of in-year resource allocation</w:t>
      </w:r>
      <w:bookmarkEnd w:id="238"/>
      <w:bookmarkEnd w:id="239"/>
    </w:p>
    <w:p w14:paraId="1D728240" w14:textId="77777777" w:rsidR="001762EE" w:rsidRPr="00604767" w:rsidRDefault="001762EE" w:rsidP="00604767"/>
    <w:p w14:paraId="0E2687DB" w14:textId="6437B73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assesses the extent to which the central Ministry of Finance is able to forecast cash commitments and requirements and to provide reliable information on the availability of funds to budgetary units for service delivery. </w:t>
      </w:r>
    </w:p>
    <w:p w14:paraId="7736864A" w14:textId="77777777" w:rsidR="001762EE" w:rsidRPr="005A497D" w:rsidRDefault="001762EE" w:rsidP="004F09A0">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D53B92" w14:paraId="67C63E14" w14:textId="77777777" w:rsidTr="00CA0D85">
        <w:trPr>
          <w:trHeight w:val="397"/>
          <w:tblHeader/>
        </w:trPr>
        <w:tc>
          <w:tcPr>
            <w:tcW w:w="3600" w:type="dxa"/>
            <w:tcBorders>
              <w:top w:val="double" w:sz="4" w:space="0" w:color="auto"/>
            </w:tcBorders>
            <w:shd w:val="clear" w:color="auto" w:fill="D9D9D9"/>
            <w:vAlign w:val="center"/>
          </w:tcPr>
          <w:p w14:paraId="01CACBC2" w14:textId="77777777" w:rsidR="001762EE" w:rsidRPr="00D53B92" w:rsidRDefault="001762EE" w:rsidP="00882C4F">
            <w:pPr>
              <w:spacing w:before="40" w:after="40"/>
              <w:jc w:val="center"/>
              <w:rPr>
                <w:b/>
                <w:i/>
                <w:sz w:val="22"/>
                <w:szCs w:val="22"/>
              </w:rPr>
            </w:pPr>
            <w:r w:rsidRPr="00D53B92">
              <w:rPr>
                <w:b/>
                <w:i/>
                <w:sz w:val="22"/>
                <w:szCs w:val="22"/>
              </w:rPr>
              <w:t>Indicator / Dimension</w:t>
            </w:r>
          </w:p>
        </w:tc>
        <w:tc>
          <w:tcPr>
            <w:tcW w:w="1843" w:type="dxa"/>
            <w:tcBorders>
              <w:top w:val="double" w:sz="4" w:space="0" w:color="auto"/>
            </w:tcBorders>
            <w:shd w:val="clear" w:color="auto" w:fill="D9D9D9"/>
            <w:vAlign w:val="center"/>
          </w:tcPr>
          <w:p w14:paraId="5BF78327" w14:textId="77777777" w:rsidR="001762EE" w:rsidRPr="00D53B92" w:rsidRDefault="001762EE" w:rsidP="00882C4F">
            <w:pPr>
              <w:spacing w:before="40" w:after="40"/>
              <w:jc w:val="center"/>
              <w:rPr>
                <w:b/>
                <w:i/>
                <w:sz w:val="22"/>
                <w:szCs w:val="22"/>
              </w:rPr>
            </w:pPr>
            <w:r w:rsidRPr="00D53B92">
              <w:rPr>
                <w:b/>
                <w:i/>
                <w:sz w:val="22"/>
                <w:szCs w:val="22"/>
              </w:rPr>
              <w:t>Score</w:t>
            </w:r>
          </w:p>
        </w:tc>
        <w:tc>
          <w:tcPr>
            <w:tcW w:w="3913" w:type="dxa"/>
            <w:tcBorders>
              <w:top w:val="double" w:sz="4" w:space="0" w:color="auto"/>
            </w:tcBorders>
            <w:shd w:val="clear" w:color="auto" w:fill="D9D9D9"/>
            <w:vAlign w:val="center"/>
          </w:tcPr>
          <w:p w14:paraId="416F596B" w14:textId="77777777" w:rsidR="001762EE" w:rsidRPr="00D53B92" w:rsidRDefault="001762EE" w:rsidP="00882C4F">
            <w:pPr>
              <w:spacing w:before="40" w:after="40"/>
              <w:jc w:val="center"/>
              <w:rPr>
                <w:b/>
                <w:i/>
                <w:sz w:val="22"/>
                <w:szCs w:val="22"/>
              </w:rPr>
            </w:pPr>
            <w:r w:rsidRPr="00D53B92">
              <w:rPr>
                <w:b/>
                <w:i/>
                <w:sz w:val="22"/>
                <w:szCs w:val="22"/>
              </w:rPr>
              <w:t>Brief Explanation</w:t>
            </w:r>
          </w:p>
        </w:tc>
      </w:tr>
      <w:tr w:rsidR="001762EE" w:rsidRPr="005A497D" w14:paraId="2EB986A6" w14:textId="77777777" w:rsidTr="00882C4F">
        <w:tc>
          <w:tcPr>
            <w:tcW w:w="3600" w:type="dxa"/>
            <w:tcBorders>
              <w:top w:val="double" w:sz="4" w:space="0" w:color="auto"/>
              <w:bottom w:val="single" w:sz="4" w:space="0" w:color="auto"/>
            </w:tcBorders>
          </w:tcPr>
          <w:p w14:paraId="3B4867CC" w14:textId="5854C717" w:rsidR="001762EE" w:rsidRPr="005A497D" w:rsidRDefault="001762EE" w:rsidP="00241373">
            <w:pPr>
              <w:spacing w:before="40" w:after="40"/>
              <w:rPr>
                <w:sz w:val="22"/>
                <w:szCs w:val="22"/>
              </w:rPr>
            </w:pPr>
            <w:r w:rsidRPr="005A497D">
              <w:rPr>
                <w:b/>
                <w:bCs/>
                <w:sz w:val="22"/>
                <w:szCs w:val="22"/>
              </w:rPr>
              <w:t xml:space="preserve">PI-21 Predictability </w:t>
            </w:r>
            <w:r>
              <w:rPr>
                <w:b/>
                <w:bCs/>
                <w:sz w:val="22"/>
                <w:szCs w:val="22"/>
              </w:rPr>
              <w:t>of in-year resource allocation</w:t>
            </w:r>
          </w:p>
        </w:tc>
        <w:tc>
          <w:tcPr>
            <w:tcW w:w="1843" w:type="dxa"/>
            <w:tcBorders>
              <w:top w:val="double" w:sz="4" w:space="0" w:color="auto"/>
              <w:bottom w:val="single" w:sz="4" w:space="0" w:color="auto"/>
            </w:tcBorders>
          </w:tcPr>
          <w:p w14:paraId="63C2D17A" w14:textId="0ACA2A4A" w:rsidR="001762EE" w:rsidRPr="005A497D" w:rsidRDefault="001762EE" w:rsidP="00882C4F">
            <w:pPr>
              <w:spacing w:before="40" w:after="40"/>
              <w:jc w:val="center"/>
              <w:rPr>
                <w:b/>
                <w:sz w:val="22"/>
                <w:szCs w:val="22"/>
              </w:rPr>
            </w:pPr>
            <w:r>
              <w:rPr>
                <w:b/>
                <w:sz w:val="22"/>
                <w:szCs w:val="22"/>
              </w:rPr>
              <w:t>B+</w:t>
            </w:r>
          </w:p>
        </w:tc>
        <w:tc>
          <w:tcPr>
            <w:tcW w:w="3913" w:type="dxa"/>
            <w:tcBorders>
              <w:top w:val="double" w:sz="4" w:space="0" w:color="auto"/>
              <w:bottom w:val="single" w:sz="4" w:space="0" w:color="auto"/>
            </w:tcBorders>
          </w:tcPr>
          <w:p w14:paraId="43EB2364" w14:textId="77777777" w:rsidR="001762EE" w:rsidRPr="005A497D" w:rsidRDefault="001762EE" w:rsidP="00882C4F">
            <w:pPr>
              <w:spacing w:before="40" w:after="40"/>
              <w:rPr>
                <w:sz w:val="22"/>
                <w:szCs w:val="22"/>
              </w:rPr>
            </w:pPr>
            <w:r w:rsidRPr="005A497D">
              <w:rPr>
                <w:sz w:val="22"/>
                <w:szCs w:val="22"/>
              </w:rPr>
              <w:t>Overall rating based on M2 methodology.</w:t>
            </w:r>
          </w:p>
        </w:tc>
      </w:tr>
      <w:tr w:rsidR="001762EE" w:rsidRPr="005A497D" w14:paraId="6FD3AAB3" w14:textId="77777777" w:rsidTr="00CA0D85">
        <w:trPr>
          <w:trHeight w:val="1592"/>
        </w:trPr>
        <w:tc>
          <w:tcPr>
            <w:tcW w:w="3600" w:type="dxa"/>
            <w:tcBorders>
              <w:top w:val="single" w:sz="4" w:space="0" w:color="auto"/>
              <w:bottom w:val="single" w:sz="4" w:space="0" w:color="auto"/>
            </w:tcBorders>
          </w:tcPr>
          <w:p w14:paraId="1E6F678C" w14:textId="0B6C90CF" w:rsidR="001762EE" w:rsidRPr="005A497D" w:rsidRDefault="001762EE" w:rsidP="00D83346">
            <w:pPr>
              <w:pStyle w:val="BodyB"/>
              <w:rPr>
                <w:rFonts w:ascii="Times New Roman" w:hAnsi="Times New Roman"/>
                <w:sz w:val="22"/>
              </w:rPr>
            </w:pPr>
            <w:r>
              <w:rPr>
                <w:rFonts w:ascii="Times New Roman" w:hAnsi="Times New Roman"/>
                <w:sz w:val="22"/>
              </w:rPr>
              <w:t>21.1</w:t>
            </w:r>
            <w:r w:rsidRPr="005A497D">
              <w:rPr>
                <w:rFonts w:ascii="Times New Roman" w:hAnsi="Times New Roman"/>
                <w:sz w:val="22"/>
              </w:rPr>
              <w:t xml:space="preserve"> </w:t>
            </w:r>
            <w:r>
              <w:rPr>
                <w:rFonts w:ascii="Times New Roman" w:hAnsi="Times New Roman"/>
                <w:sz w:val="22"/>
              </w:rPr>
              <w:t>C</w:t>
            </w:r>
            <w:r w:rsidRPr="005A497D">
              <w:rPr>
                <w:rFonts w:ascii="Times New Roman" w:hAnsi="Times New Roman"/>
                <w:sz w:val="22"/>
              </w:rPr>
              <w:t>onsolidation of cash balances.</w:t>
            </w:r>
          </w:p>
        </w:tc>
        <w:tc>
          <w:tcPr>
            <w:tcW w:w="1843" w:type="dxa"/>
            <w:tcBorders>
              <w:top w:val="single" w:sz="4" w:space="0" w:color="auto"/>
              <w:bottom w:val="single" w:sz="4" w:space="0" w:color="auto"/>
            </w:tcBorders>
          </w:tcPr>
          <w:p w14:paraId="32E42626" w14:textId="4766ABF3" w:rsidR="001762EE" w:rsidRPr="005A497D" w:rsidRDefault="001762EE" w:rsidP="00B94F62">
            <w:pPr>
              <w:pStyle w:val="BodyB"/>
              <w:jc w:val="center"/>
              <w:rPr>
                <w:rFonts w:ascii="Times New Roman" w:hAnsi="Times New Roman"/>
                <w:sz w:val="22"/>
              </w:rPr>
            </w:pPr>
            <w:r>
              <w:rPr>
                <w:rFonts w:ascii="Times New Roman" w:hAnsi="Times New Roman"/>
                <w:sz w:val="22"/>
              </w:rPr>
              <w:t>C</w:t>
            </w:r>
          </w:p>
        </w:tc>
        <w:tc>
          <w:tcPr>
            <w:tcW w:w="3913" w:type="dxa"/>
            <w:tcBorders>
              <w:top w:val="single" w:sz="4" w:space="0" w:color="auto"/>
              <w:bottom w:val="single" w:sz="4" w:space="0" w:color="auto"/>
            </w:tcBorders>
          </w:tcPr>
          <w:p w14:paraId="759853CC" w14:textId="28B5A437" w:rsidR="001762EE" w:rsidRPr="005A497D" w:rsidRDefault="001762EE" w:rsidP="0045514E">
            <w:pPr>
              <w:pStyle w:val="BodyB"/>
              <w:rPr>
                <w:rFonts w:ascii="Times New Roman" w:hAnsi="Times New Roman"/>
                <w:sz w:val="22"/>
              </w:rPr>
            </w:pPr>
            <w:r w:rsidRPr="005A497D">
              <w:rPr>
                <w:rFonts w:ascii="Times New Roman" w:hAnsi="Times New Roman"/>
                <w:sz w:val="22"/>
              </w:rPr>
              <w:t xml:space="preserve">TSA is in place for revenue collected by BIR and BoC and is being rolled out for expenditure through eMDS. Accounts for foreign-funded projects </w:t>
            </w:r>
            <w:r>
              <w:rPr>
                <w:rFonts w:ascii="Times New Roman" w:hAnsi="Times New Roman"/>
                <w:sz w:val="22"/>
              </w:rPr>
              <w:t xml:space="preserve">and those trust accounts with legal basis </w:t>
            </w:r>
            <w:r w:rsidRPr="005A497D">
              <w:rPr>
                <w:rFonts w:ascii="Times New Roman" w:hAnsi="Times New Roman"/>
                <w:sz w:val="22"/>
              </w:rPr>
              <w:t>remain outside the TSA</w:t>
            </w:r>
            <w:r>
              <w:rPr>
                <w:rFonts w:ascii="Times New Roman" w:hAnsi="Times New Roman"/>
                <w:sz w:val="22"/>
              </w:rPr>
              <w:t>.</w:t>
            </w:r>
          </w:p>
        </w:tc>
      </w:tr>
      <w:tr w:rsidR="001762EE" w:rsidRPr="005A497D" w14:paraId="4F8025F2" w14:textId="77777777" w:rsidTr="007E7384">
        <w:trPr>
          <w:trHeight w:val="1142"/>
        </w:trPr>
        <w:tc>
          <w:tcPr>
            <w:tcW w:w="3600" w:type="dxa"/>
            <w:tcBorders>
              <w:top w:val="single" w:sz="4" w:space="0" w:color="auto"/>
              <w:bottom w:val="single" w:sz="4" w:space="0" w:color="auto"/>
            </w:tcBorders>
          </w:tcPr>
          <w:p w14:paraId="26487CF4" w14:textId="06AEDD78" w:rsidR="001762EE" w:rsidRPr="005A497D" w:rsidRDefault="001762EE" w:rsidP="00D83346">
            <w:pPr>
              <w:pStyle w:val="BodyB"/>
              <w:rPr>
                <w:rFonts w:ascii="Times New Roman" w:hAnsi="Times New Roman"/>
                <w:sz w:val="22"/>
              </w:rPr>
            </w:pPr>
            <w:r>
              <w:rPr>
                <w:rFonts w:ascii="Times New Roman" w:hAnsi="Times New Roman"/>
                <w:sz w:val="22"/>
              </w:rPr>
              <w:t>21.2</w:t>
            </w:r>
            <w:r w:rsidRPr="005A497D">
              <w:rPr>
                <w:rFonts w:ascii="Times New Roman" w:hAnsi="Times New Roman"/>
                <w:sz w:val="22"/>
              </w:rPr>
              <w:t xml:space="preserve"> </w:t>
            </w:r>
            <w:r>
              <w:rPr>
                <w:rFonts w:ascii="Times New Roman" w:hAnsi="Times New Roman"/>
                <w:sz w:val="22"/>
              </w:rPr>
              <w:t>Cash forecasting and monitoring</w:t>
            </w:r>
            <w:r w:rsidRPr="005A497D">
              <w:rPr>
                <w:rFonts w:ascii="Times New Roman" w:hAnsi="Times New Roman"/>
                <w:sz w:val="22"/>
              </w:rPr>
              <w:t>.</w:t>
            </w:r>
          </w:p>
        </w:tc>
        <w:tc>
          <w:tcPr>
            <w:tcW w:w="1843" w:type="dxa"/>
            <w:tcBorders>
              <w:top w:val="single" w:sz="4" w:space="0" w:color="auto"/>
              <w:bottom w:val="single" w:sz="4" w:space="0" w:color="auto"/>
            </w:tcBorders>
          </w:tcPr>
          <w:p w14:paraId="45EE7415" w14:textId="77777777" w:rsidR="001762EE" w:rsidRPr="005A497D" w:rsidRDefault="001762EE" w:rsidP="008F153D">
            <w:pPr>
              <w:pStyle w:val="BodyB"/>
              <w:jc w:val="center"/>
              <w:rPr>
                <w:rFonts w:ascii="Times New Roman" w:hAnsi="Times New Roman"/>
                <w:sz w:val="22"/>
              </w:rPr>
            </w:pPr>
            <w:r w:rsidRPr="005A497D">
              <w:rPr>
                <w:rFonts w:ascii="Times New Roman" w:hAnsi="Times New Roman"/>
                <w:sz w:val="22"/>
              </w:rPr>
              <w:t>A</w:t>
            </w:r>
          </w:p>
        </w:tc>
        <w:tc>
          <w:tcPr>
            <w:tcW w:w="3913" w:type="dxa"/>
            <w:tcBorders>
              <w:top w:val="single" w:sz="4" w:space="0" w:color="auto"/>
              <w:bottom w:val="single" w:sz="4" w:space="0" w:color="auto"/>
            </w:tcBorders>
          </w:tcPr>
          <w:p w14:paraId="67E8227E" w14:textId="6FC51994" w:rsidR="001762EE" w:rsidRPr="005A497D" w:rsidRDefault="001762EE" w:rsidP="00DA4279">
            <w:pPr>
              <w:pStyle w:val="BodyB"/>
              <w:rPr>
                <w:rFonts w:ascii="Times New Roman" w:hAnsi="Times New Roman"/>
                <w:sz w:val="22"/>
              </w:rPr>
            </w:pPr>
            <w:r w:rsidRPr="005A497D">
              <w:rPr>
                <w:rFonts w:ascii="Times New Roman" w:hAnsi="Times New Roman"/>
                <w:sz w:val="22"/>
              </w:rPr>
              <w:t xml:space="preserve">Cash flow committee prepares a cash flow forecast and updates it </w:t>
            </w:r>
            <w:r>
              <w:rPr>
                <w:rFonts w:ascii="Times New Roman" w:hAnsi="Times New Roman"/>
                <w:sz w:val="22"/>
              </w:rPr>
              <w:t xml:space="preserve">twice a </w:t>
            </w:r>
            <w:r w:rsidRPr="005A497D">
              <w:rPr>
                <w:rFonts w:ascii="Times New Roman" w:hAnsi="Times New Roman"/>
                <w:sz w:val="22"/>
              </w:rPr>
              <w:t>month for actual flows and changes in forecast.</w:t>
            </w:r>
          </w:p>
        </w:tc>
      </w:tr>
      <w:tr w:rsidR="001762EE" w:rsidRPr="005A497D" w14:paraId="6FAF9C51" w14:textId="77777777" w:rsidTr="000307BF">
        <w:trPr>
          <w:trHeight w:val="1610"/>
        </w:trPr>
        <w:tc>
          <w:tcPr>
            <w:tcW w:w="3600" w:type="dxa"/>
            <w:tcBorders>
              <w:top w:val="single" w:sz="4" w:space="0" w:color="auto"/>
              <w:bottom w:val="single" w:sz="4" w:space="0" w:color="auto"/>
            </w:tcBorders>
          </w:tcPr>
          <w:p w14:paraId="023C9D85" w14:textId="41557D2C" w:rsidR="001762EE" w:rsidRPr="005A497D" w:rsidRDefault="001762EE" w:rsidP="00D83346">
            <w:pPr>
              <w:pStyle w:val="BodyB"/>
              <w:rPr>
                <w:rFonts w:ascii="Times New Roman" w:hAnsi="Times New Roman"/>
                <w:sz w:val="22"/>
              </w:rPr>
            </w:pPr>
            <w:r>
              <w:rPr>
                <w:rFonts w:ascii="Times New Roman" w:hAnsi="Times New Roman"/>
                <w:sz w:val="22"/>
              </w:rPr>
              <w:t>21.3</w:t>
            </w:r>
            <w:r w:rsidRPr="005A497D">
              <w:rPr>
                <w:rFonts w:ascii="Times New Roman" w:hAnsi="Times New Roman"/>
                <w:sz w:val="22"/>
              </w:rPr>
              <w:t xml:space="preserve"> </w:t>
            </w:r>
            <w:r>
              <w:rPr>
                <w:rFonts w:ascii="Times New Roman" w:hAnsi="Times New Roman"/>
                <w:sz w:val="22"/>
              </w:rPr>
              <w:t xml:space="preserve">Information on commitment ceilings. </w:t>
            </w:r>
          </w:p>
        </w:tc>
        <w:tc>
          <w:tcPr>
            <w:tcW w:w="1843" w:type="dxa"/>
            <w:tcBorders>
              <w:top w:val="single" w:sz="4" w:space="0" w:color="auto"/>
              <w:bottom w:val="single" w:sz="4" w:space="0" w:color="auto"/>
            </w:tcBorders>
          </w:tcPr>
          <w:p w14:paraId="6A739A4E" w14:textId="77777777" w:rsidR="001762EE" w:rsidRPr="005A497D" w:rsidRDefault="001762EE" w:rsidP="008F153D">
            <w:pPr>
              <w:pStyle w:val="BodyB"/>
              <w:jc w:val="center"/>
              <w:rPr>
                <w:rFonts w:ascii="Times New Roman" w:hAnsi="Times New Roman"/>
                <w:sz w:val="22"/>
              </w:rPr>
            </w:pPr>
            <w:r w:rsidRPr="005A497D">
              <w:rPr>
                <w:rFonts w:ascii="Times New Roman" w:hAnsi="Times New Roman"/>
                <w:sz w:val="22"/>
              </w:rPr>
              <w:t>A</w:t>
            </w:r>
          </w:p>
        </w:tc>
        <w:tc>
          <w:tcPr>
            <w:tcW w:w="3913" w:type="dxa"/>
            <w:tcBorders>
              <w:top w:val="single" w:sz="4" w:space="0" w:color="auto"/>
              <w:bottom w:val="single" w:sz="4" w:space="0" w:color="auto"/>
            </w:tcBorders>
          </w:tcPr>
          <w:p w14:paraId="6FF39BDF" w14:textId="5C87EF2C" w:rsidR="001762EE" w:rsidRPr="005A497D" w:rsidRDefault="001762EE" w:rsidP="009D6D97">
            <w:pPr>
              <w:pStyle w:val="BodyB"/>
              <w:tabs>
                <w:tab w:val="left" w:pos="287"/>
              </w:tabs>
              <w:rPr>
                <w:rFonts w:ascii="Times New Roman" w:hAnsi="Times New Roman"/>
                <w:color w:val="0B0B0B"/>
                <w:sz w:val="22"/>
              </w:rPr>
            </w:pPr>
            <w:r w:rsidRPr="005A497D">
              <w:rPr>
                <w:rFonts w:ascii="Times New Roman" w:hAnsi="Times New Roman"/>
                <w:sz w:val="22"/>
              </w:rPr>
              <w:t xml:space="preserve">Since 2014, the GAA stands as the government’s primary budget release document. Notices of </w:t>
            </w:r>
            <w:r>
              <w:rPr>
                <w:rFonts w:ascii="Times New Roman" w:hAnsi="Times New Roman"/>
                <w:sz w:val="22"/>
              </w:rPr>
              <w:t>c</w:t>
            </w:r>
            <w:r w:rsidRPr="005A497D">
              <w:rPr>
                <w:rFonts w:ascii="Times New Roman" w:hAnsi="Times New Roman"/>
                <w:sz w:val="22"/>
              </w:rPr>
              <w:t xml:space="preserve">ash </w:t>
            </w:r>
            <w:r>
              <w:rPr>
                <w:rFonts w:ascii="Times New Roman" w:hAnsi="Times New Roman"/>
                <w:sz w:val="22"/>
              </w:rPr>
              <w:t>a</w:t>
            </w:r>
            <w:r w:rsidRPr="005A497D">
              <w:rPr>
                <w:rFonts w:ascii="Times New Roman" w:hAnsi="Times New Roman"/>
                <w:sz w:val="22"/>
              </w:rPr>
              <w:t>llocation are issued for a semester and agencies are able to plan and commit for a six</w:t>
            </w:r>
            <w:r>
              <w:rPr>
                <w:rFonts w:ascii="Times New Roman" w:hAnsi="Times New Roman"/>
                <w:sz w:val="22"/>
              </w:rPr>
              <w:t>-</w:t>
            </w:r>
            <w:r w:rsidRPr="005A497D">
              <w:rPr>
                <w:rFonts w:ascii="Times New Roman" w:hAnsi="Times New Roman"/>
                <w:sz w:val="22"/>
              </w:rPr>
              <w:t>month horizon</w:t>
            </w:r>
            <w:r w:rsidRPr="005A497D">
              <w:rPr>
                <w:rFonts w:ascii="Times New Roman" w:hAnsi="Times New Roman"/>
                <w:color w:val="0B0B0B"/>
                <w:sz w:val="22"/>
              </w:rPr>
              <w:t>.</w:t>
            </w:r>
          </w:p>
        </w:tc>
      </w:tr>
      <w:tr w:rsidR="001762EE" w:rsidRPr="005A497D" w14:paraId="26AE3443" w14:textId="77777777" w:rsidTr="000307BF">
        <w:trPr>
          <w:trHeight w:val="1430"/>
        </w:trPr>
        <w:tc>
          <w:tcPr>
            <w:tcW w:w="3600" w:type="dxa"/>
            <w:tcBorders>
              <w:top w:val="single" w:sz="4" w:space="0" w:color="auto"/>
              <w:bottom w:val="double" w:sz="4" w:space="0" w:color="auto"/>
            </w:tcBorders>
          </w:tcPr>
          <w:p w14:paraId="3F0CB541" w14:textId="01A1145C" w:rsidR="001762EE" w:rsidRPr="005A497D" w:rsidRDefault="001762EE" w:rsidP="00D83346">
            <w:pPr>
              <w:pStyle w:val="BodyB"/>
              <w:rPr>
                <w:rFonts w:ascii="Times New Roman" w:hAnsi="Times New Roman"/>
                <w:sz w:val="22"/>
              </w:rPr>
            </w:pPr>
            <w:r>
              <w:rPr>
                <w:rFonts w:ascii="Times New Roman" w:hAnsi="Times New Roman"/>
                <w:sz w:val="22"/>
              </w:rPr>
              <w:t>21.4</w:t>
            </w:r>
            <w:r w:rsidRPr="005A497D">
              <w:rPr>
                <w:rFonts w:ascii="Times New Roman" w:hAnsi="Times New Roman"/>
                <w:sz w:val="22"/>
              </w:rPr>
              <w:t xml:space="preserve"> </w:t>
            </w:r>
            <w:r>
              <w:rPr>
                <w:rFonts w:ascii="Times New Roman" w:hAnsi="Times New Roman"/>
                <w:sz w:val="22"/>
              </w:rPr>
              <w:t>Significance of in-year budget adjustments</w:t>
            </w:r>
            <w:r w:rsidRPr="005A497D">
              <w:rPr>
                <w:rFonts w:ascii="Times New Roman" w:hAnsi="Times New Roman"/>
                <w:sz w:val="22"/>
              </w:rPr>
              <w:t>.</w:t>
            </w:r>
          </w:p>
        </w:tc>
        <w:tc>
          <w:tcPr>
            <w:tcW w:w="1843" w:type="dxa"/>
            <w:tcBorders>
              <w:top w:val="single" w:sz="4" w:space="0" w:color="auto"/>
              <w:bottom w:val="double" w:sz="4" w:space="0" w:color="auto"/>
            </w:tcBorders>
          </w:tcPr>
          <w:p w14:paraId="659252C1" w14:textId="267E59E9" w:rsidR="001762EE" w:rsidRPr="005A497D" w:rsidRDefault="001762EE" w:rsidP="009B2151">
            <w:pPr>
              <w:pStyle w:val="BodyB"/>
              <w:jc w:val="center"/>
              <w:rPr>
                <w:rFonts w:ascii="Times New Roman" w:hAnsi="Times New Roman"/>
                <w:sz w:val="22"/>
              </w:rPr>
            </w:pPr>
            <w:r w:rsidRPr="005A497D">
              <w:rPr>
                <w:rFonts w:ascii="Times New Roman" w:hAnsi="Times New Roman"/>
                <w:sz w:val="22"/>
              </w:rPr>
              <w:t>A</w:t>
            </w:r>
          </w:p>
        </w:tc>
        <w:tc>
          <w:tcPr>
            <w:tcW w:w="3913" w:type="dxa"/>
            <w:tcBorders>
              <w:top w:val="single" w:sz="4" w:space="0" w:color="auto"/>
              <w:bottom w:val="double" w:sz="4" w:space="0" w:color="auto"/>
            </w:tcBorders>
          </w:tcPr>
          <w:p w14:paraId="397DB5A4" w14:textId="74E6E1DF" w:rsidR="001762EE" w:rsidRPr="005A497D" w:rsidRDefault="001762EE" w:rsidP="004013F1">
            <w:pPr>
              <w:pStyle w:val="BodyB"/>
              <w:ind w:hanging="4"/>
              <w:rPr>
                <w:rFonts w:ascii="Times New Roman" w:hAnsi="Times New Roman"/>
                <w:sz w:val="22"/>
              </w:rPr>
            </w:pPr>
            <w:r>
              <w:rPr>
                <w:rFonts w:ascii="Times New Roman" w:hAnsi="Times New Roman"/>
                <w:sz w:val="22"/>
              </w:rPr>
              <w:t>A</w:t>
            </w:r>
            <w:r w:rsidRPr="009B2151">
              <w:rPr>
                <w:rFonts w:ascii="Times New Roman" w:hAnsi="Times New Roman"/>
                <w:sz w:val="22"/>
              </w:rPr>
              <w:t xml:space="preserve">ny realignment requires </w:t>
            </w:r>
            <w:r w:rsidR="0045514E">
              <w:rPr>
                <w:rFonts w:ascii="Times New Roman" w:hAnsi="Times New Roman"/>
                <w:sz w:val="22"/>
              </w:rPr>
              <w:t xml:space="preserve">a </w:t>
            </w:r>
            <w:r w:rsidRPr="009B2151">
              <w:rPr>
                <w:rFonts w:ascii="Times New Roman" w:hAnsi="Times New Roman"/>
                <w:sz w:val="22"/>
              </w:rPr>
              <w:t>request by the concerned department or agency and should be approved by DBM</w:t>
            </w:r>
            <w:r w:rsidRPr="005A497D">
              <w:rPr>
                <w:rFonts w:ascii="Times New Roman" w:hAnsi="Times New Roman"/>
                <w:sz w:val="22"/>
              </w:rPr>
              <w:t>. Adjustments involve the management of the department or agency.</w:t>
            </w:r>
          </w:p>
        </w:tc>
      </w:tr>
    </w:tbl>
    <w:p w14:paraId="6710181C" w14:textId="77777777" w:rsidR="00E17DF6" w:rsidRDefault="00E17DF6" w:rsidP="004F09A0">
      <w:pPr>
        <w:pStyle w:val="NormalWeb"/>
        <w:autoSpaceDE w:val="0"/>
        <w:autoSpaceDN w:val="0"/>
        <w:adjustRightInd w:val="0"/>
        <w:spacing w:before="0" w:beforeAutospacing="0" w:after="0" w:afterAutospacing="0"/>
        <w:jc w:val="both"/>
        <w:rPr>
          <w:b/>
          <w:i/>
          <w:iCs/>
        </w:rPr>
      </w:pPr>
    </w:p>
    <w:p w14:paraId="1F25415C" w14:textId="03AC2FA0" w:rsidR="001762EE" w:rsidRPr="00C06FE3" w:rsidRDefault="001762EE" w:rsidP="004F09A0">
      <w:pPr>
        <w:pStyle w:val="NormalWeb"/>
        <w:autoSpaceDE w:val="0"/>
        <w:autoSpaceDN w:val="0"/>
        <w:adjustRightInd w:val="0"/>
        <w:spacing w:before="0" w:beforeAutospacing="0" w:after="0" w:afterAutospacing="0"/>
        <w:jc w:val="both"/>
        <w:rPr>
          <w:b/>
          <w:i/>
        </w:rPr>
      </w:pPr>
      <w:r w:rsidRPr="00C06FE3">
        <w:rPr>
          <w:b/>
          <w:i/>
          <w:iCs/>
        </w:rPr>
        <w:t>Dimension 21.1 C</w:t>
      </w:r>
      <w:r w:rsidRPr="00C06FE3">
        <w:rPr>
          <w:b/>
          <w:i/>
        </w:rPr>
        <w:t>onsolidation of cash balances</w:t>
      </w:r>
    </w:p>
    <w:p w14:paraId="0B89F0E5" w14:textId="77777777" w:rsidR="001762EE" w:rsidRPr="005A497D" w:rsidRDefault="001762EE" w:rsidP="004F09A0">
      <w:pPr>
        <w:pStyle w:val="NormalWeb"/>
        <w:autoSpaceDE w:val="0"/>
        <w:autoSpaceDN w:val="0"/>
        <w:adjustRightInd w:val="0"/>
        <w:spacing w:before="0" w:beforeAutospacing="0" w:after="0" w:afterAutospacing="0"/>
        <w:jc w:val="both"/>
        <w:rPr>
          <w:u w:val="single"/>
        </w:rPr>
      </w:pPr>
    </w:p>
    <w:p w14:paraId="73492B81" w14:textId="6275C2E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 xml:space="preserve">In accordance with </w:t>
      </w:r>
      <w:r>
        <w:t>EO</w:t>
      </w:r>
      <w:r w:rsidRPr="005A497D">
        <w:t xml:space="preserve"> No. 55 (2011), the </w:t>
      </w:r>
      <w:r>
        <w:t xml:space="preserve">Bureau of </w:t>
      </w:r>
      <w:r w:rsidR="00070A97">
        <w:t xml:space="preserve">the </w:t>
      </w:r>
      <w:r>
        <w:t>Treasury</w:t>
      </w:r>
      <w:r w:rsidRPr="005A497D">
        <w:t xml:space="preserve"> operates a </w:t>
      </w:r>
      <w:r>
        <w:t>treasury single account</w:t>
      </w:r>
      <w:r w:rsidRPr="005A497D">
        <w:t xml:space="preserve"> to receive remittance of collections of internal revenue taxes and customs duties from </w:t>
      </w:r>
      <w:r>
        <w:t>BIR-</w:t>
      </w:r>
      <w:r w:rsidRPr="005A497D">
        <w:t xml:space="preserve"> and </w:t>
      </w:r>
      <w:r>
        <w:t>BoC-</w:t>
      </w:r>
      <w:r w:rsidRPr="005A497D">
        <w:t xml:space="preserve">authorized agent banks as well as other collections of </w:t>
      </w:r>
      <w:r>
        <w:t>national government agencies</w:t>
      </w:r>
      <w:r w:rsidRPr="005A497D">
        <w:t xml:space="preserve"> from authorized government depository banks. The </w:t>
      </w:r>
      <w:r>
        <w:t>treasury single account</w:t>
      </w:r>
      <w:r w:rsidRPr="005A497D">
        <w:t xml:space="preserve">, maintained at </w:t>
      </w:r>
      <w:r w:rsidRPr="00873B06">
        <w:t>Bangko Sentral ng Pilipinas</w:t>
      </w:r>
      <w:r w:rsidRPr="005A497D">
        <w:t>, aligns the government policy of greater financial management and control of its cash resources and allow</w:t>
      </w:r>
      <w:r>
        <w:t>s</w:t>
      </w:r>
      <w:r w:rsidRPr="005A497D">
        <w:t xml:space="preserve"> the unification of the structure of government bank accounts to enable consolidation and optimum utilization of government cash resources.</w:t>
      </w:r>
    </w:p>
    <w:p w14:paraId="5916DFD5" w14:textId="77777777" w:rsidR="001762EE" w:rsidRPr="005A497D" w:rsidRDefault="001762EE" w:rsidP="00D825C4">
      <w:pPr>
        <w:pStyle w:val="NormalWeb"/>
        <w:autoSpaceDE w:val="0"/>
        <w:autoSpaceDN w:val="0"/>
        <w:adjustRightInd w:val="0"/>
        <w:spacing w:before="0" w:beforeAutospacing="0" w:after="0" w:afterAutospacing="0"/>
        <w:jc w:val="both"/>
      </w:pPr>
    </w:p>
    <w:p w14:paraId="5D95E4D7" w14:textId="7D118A1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Spending agencies process payments through the Modified Disbursement System (MDS)</w:t>
      </w:r>
      <w:r w:rsidRPr="005A497D">
        <w:rPr>
          <w:rStyle w:val="FootnoteReference1"/>
        </w:rPr>
        <w:endnoteReference w:id="98"/>
      </w:r>
      <w:r w:rsidRPr="005A497D">
        <w:t xml:space="preserve"> and as part of </w:t>
      </w:r>
      <w:r>
        <w:t>TSA</w:t>
      </w:r>
      <w:r w:rsidRPr="005A497D">
        <w:t xml:space="preserve"> implementation, </w:t>
      </w:r>
      <w:r>
        <w:t>Department of Budget and Management</w:t>
      </w:r>
      <w:r w:rsidRPr="005A497D">
        <w:t xml:space="preserve"> and </w:t>
      </w:r>
      <w:r>
        <w:t>Department of Finance</w:t>
      </w:r>
      <w:r w:rsidRPr="005A497D">
        <w:t>, through Joint Administrative Order No. 2015-1 dated March 12, 2015</w:t>
      </w:r>
      <w:r>
        <w:t>,</w:t>
      </w:r>
      <w:r w:rsidRPr="005A497D">
        <w:t xml:space="preserve"> prescribe the adoption of the electronic </w:t>
      </w:r>
      <w:r>
        <w:t>MDS</w:t>
      </w:r>
      <w:r w:rsidRPr="005A497D">
        <w:t xml:space="preserve"> (eMDS). With the implementation of the eMDS, the government agency shall no longer submit the hardcopy of the documents as previously required in the MDS. In addition, the required MDS reports will be immediately available to the </w:t>
      </w:r>
      <w:r>
        <w:t xml:space="preserve">Bureau of </w:t>
      </w:r>
      <w:r w:rsidR="00070A97">
        <w:t xml:space="preserve">the </w:t>
      </w:r>
      <w:r>
        <w:t>Treasury</w:t>
      </w:r>
      <w:r w:rsidRPr="005A497D">
        <w:t xml:space="preserve"> and concerned government agencies. The </w:t>
      </w:r>
      <w:r w:rsidR="00070A97">
        <w:t>BTr</w:t>
      </w:r>
      <w:r w:rsidRPr="005A497D">
        <w:t xml:space="preserve"> replenishes the MDS account with government servicing banks with funds equivalent to the amount of negotiated checks presented to the government servicing banks by implementing agencies.</w:t>
      </w:r>
    </w:p>
    <w:p w14:paraId="5A78EC9D" w14:textId="77777777" w:rsidR="001762EE" w:rsidRPr="005A497D" w:rsidRDefault="001762EE" w:rsidP="00D825C4">
      <w:pPr>
        <w:pStyle w:val="NormalWeb"/>
        <w:autoSpaceDE w:val="0"/>
        <w:autoSpaceDN w:val="0"/>
        <w:adjustRightInd w:val="0"/>
        <w:spacing w:before="0" w:beforeAutospacing="0" w:after="0" w:afterAutospacing="0"/>
        <w:jc w:val="both"/>
      </w:pPr>
    </w:p>
    <w:p w14:paraId="6C1A1B13" w14:textId="01BE6D5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 xml:space="preserve">Special </w:t>
      </w:r>
      <w:r>
        <w:t>a</w:t>
      </w:r>
      <w:r w:rsidRPr="005A497D">
        <w:t xml:space="preserve">ccounts of ODA funds </w:t>
      </w:r>
      <w:r>
        <w:t>and those trust accounts with legal basis that</w:t>
      </w:r>
      <w:r w:rsidRPr="005A497D">
        <w:t xml:space="preserve"> are maintained by the </w:t>
      </w:r>
      <w:r>
        <w:t>ministries, departments, and agencies</w:t>
      </w:r>
      <w:r w:rsidRPr="005A497D">
        <w:t xml:space="preserve"> implementing the projects are currently not covered in the </w:t>
      </w:r>
      <w:r>
        <w:t>treasury single account</w:t>
      </w:r>
      <w:r w:rsidRPr="005A497D">
        <w:t xml:space="preserve"> and hence are not included in the consolidated cash balances. </w:t>
      </w:r>
      <w:r>
        <w:t xml:space="preserve">All other balances </w:t>
      </w:r>
      <w:r w:rsidR="00AF0E49">
        <w:t xml:space="preserve">are with the BTr and </w:t>
      </w:r>
      <w:r>
        <w:t xml:space="preserve">are consolidated. </w:t>
      </w:r>
      <w:r w:rsidRPr="005A497D">
        <w:t>Score</w:t>
      </w:r>
      <w:r>
        <w:t xml:space="preserve"> for Dimension 21.1</w:t>
      </w:r>
      <w:r w:rsidRPr="005A497D">
        <w:t xml:space="preserve"> is assessed at “</w:t>
      </w:r>
      <w:r>
        <w:t>C</w:t>
      </w:r>
      <w:r w:rsidRPr="005A497D">
        <w:t>”.</w:t>
      </w:r>
    </w:p>
    <w:p w14:paraId="408D9227" w14:textId="77777777" w:rsidR="001762EE" w:rsidRPr="00054896" w:rsidRDefault="001762EE" w:rsidP="004F09A0">
      <w:pPr>
        <w:pStyle w:val="NormalWeb"/>
        <w:autoSpaceDE w:val="0"/>
        <w:autoSpaceDN w:val="0"/>
        <w:adjustRightInd w:val="0"/>
        <w:spacing w:before="0" w:beforeAutospacing="0" w:after="0" w:afterAutospacing="0"/>
        <w:jc w:val="both"/>
        <w:rPr>
          <w:i/>
        </w:rPr>
      </w:pPr>
    </w:p>
    <w:p w14:paraId="122CAB87" w14:textId="5944B88B" w:rsidR="001762EE" w:rsidRPr="009F2554" w:rsidRDefault="001762EE" w:rsidP="004F09A0">
      <w:pPr>
        <w:pStyle w:val="NormalWeb"/>
        <w:autoSpaceDE w:val="0"/>
        <w:autoSpaceDN w:val="0"/>
        <w:adjustRightInd w:val="0"/>
        <w:spacing w:before="0" w:beforeAutospacing="0" w:after="0" w:afterAutospacing="0"/>
        <w:jc w:val="both"/>
        <w:rPr>
          <w:b/>
          <w:i/>
        </w:rPr>
      </w:pPr>
      <w:r w:rsidRPr="009F2554">
        <w:rPr>
          <w:b/>
          <w:i/>
          <w:iCs/>
        </w:rPr>
        <w:t>Dimension 21.2 Cash forecasting and monitoring</w:t>
      </w:r>
    </w:p>
    <w:p w14:paraId="4FFDF41F" w14:textId="77777777" w:rsidR="001762EE" w:rsidRDefault="001762EE" w:rsidP="00054896">
      <w:pPr>
        <w:pStyle w:val="NormalWeb"/>
        <w:autoSpaceDE w:val="0"/>
        <w:autoSpaceDN w:val="0"/>
        <w:adjustRightInd w:val="0"/>
        <w:spacing w:before="0" w:beforeAutospacing="0" w:after="0" w:afterAutospacing="0"/>
        <w:jc w:val="both"/>
      </w:pPr>
    </w:p>
    <w:p w14:paraId="56BD06D9" w14:textId="7F65986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t xml:space="preserve">The Bureau of </w:t>
      </w:r>
      <w:r w:rsidR="00070A97">
        <w:t xml:space="preserve">the </w:t>
      </w:r>
      <w:r>
        <w:t>Treasury</w:t>
      </w:r>
      <w:r w:rsidRPr="005A497D">
        <w:t xml:space="preserve"> and </w:t>
      </w:r>
      <w:r>
        <w:t>Department of Budget and Management</w:t>
      </w:r>
      <w:r w:rsidRPr="005A497D">
        <w:t xml:space="preserve"> are both involved in the government’s cash management function. </w:t>
      </w:r>
      <w:r>
        <w:t>The Department of Budget and Management</w:t>
      </w:r>
      <w:r w:rsidRPr="005A497D">
        <w:t xml:space="preserve"> manages allotments and cash releases to spending agencies through the issuance of Notices of Cash Allocation. The </w:t>
      </w:r>
      <w:r>
        <w:t>BTr</w:t>
      </w:r>
      <w:r w:rsidRPr="005A497D">
        <w:t xml:space="preserve">, on the other hand, manages the government bank accounts. The DBCC Cash Programming and Monitoring Committee regularly meets to assess the fiscal performance of the </w:t>
      </w:r>
      <w:r>
        <w:t>n</w:t>
      </w:r>
      <w:r w:rsidRPr="005A497D">
        <w:t xml:space="preserve">ational </w:t>
      </w:r>
      <w:r>
        <w:t>g</w:t>
      </w:r>
      <w:r w:rsidRPr="005A497D">
        <w:t xml:space="preserve">overnment and </w:t>
      </w:r>
      <w:r>
        <w:t xml:space="preserve">to </w:t>
      </w:r>
      <w:r w:rsidRPr="005A497D">
        <w:t xml:space="preserve">recommend to the </w:t>
      </w:r>
      <w:r>
        <w:t>Development Budget Coordination Committee</w:t>
      </w:r>
      <w:r w:rsidRPr="005A497D">
        <w:t xml:space="preserve"> the annual and quarterly cash budget programs of the government. These cash budget programs are closely monitored and updated from time to time to take into account significant fiscal developments and status of resources and expenditures. </w:t>
      </w:r>
      <w:r>
        <w:t>A Cash Flow Committee also monitors the cash flows</w:t>
      </w:r>
      <w:r w:rsidR="00AF0E49" w:rsidRPr="00AF0E49">
        <w:t xml:space="preserve"> </w:t>
      </w:r>
      <w:r w:rsidR="00AF0E49">
        <w:t>prepared by Asset Management Service (AMS)</w:t>
      </w:r>
      <w:r>
        <w:t xml:space="preserve">. </w:t>
      </w:r>
      <w:r w:rsidRPr="005A497D">
        <w:t xml:space="preserve">This Committee </w:t>
      </w:r>
      <w:r>
        <w:t xml:space="preserve">meets twice a month before the conduct of bills and bonds options and </w:t>
      </w:r>
      <w:r w:rsidRPr="005A497D">
        <w:t xml:space="preserve">reports the forecast on the level and direction of the yield rates for government securities to guide the Auction Committee composed of the </w:t>
      </w:r>
      <w:r>
        <w:t xml:space="preserve">Bureau of </w:t>
      </w:r>
      <w:r w:rsidR="00070A97">
        <w:t xml:space="preserve">the </w:t>
      </w:r>
      <w:r>
        <w:t>Treasury</w:t>
      </w:r>
      <w:r w:rsidRPr="005A497D">
        <w:t xml:space="preserve">, </w:t>
      </w:r>
      <w:r>
        <w:t>Department of Finance,</w:t>
      </w:r>
      <w:r w:rsidRPr="005A497D">
        <w:t xml:space="preserve"> and </w:t>
      </w:r>
      <w:r w:rsidRPr="004521BD">
        <w:t>Bangko Sentral ng Pilipinas</w:t>
      </w:r>
      <w:r w:rsidRPr="005A497D">
        <w:t xml:space="preserve">. The </w:t>
      </w:r>
      <w:r w:rsidR="00AF0E49">
        <w:t xml:space="preserve">AMS </w:t>
      </w:r>
      <w:r w:rsidRPr="005A497D">
        <w:t xml:space="preserve">updates the cash forecast </w:t>
      </w:r>
      <w:r w:rsidR="00AF0E49">
        <w:t xml:space="preserve">daily </w:t>
      </w:r>
      <w:r>
        <w:t>based on actual flows</w:t>
      </w:r>
      <w:r w:rsidR="00AF0E49">
        <w:t>, internal estimates and any adjustments or</w:t>
      </w:r>
      <w:r>
        <w:t xml:space="preserve"> changes in forecast</w:t>
      </w:r>
      <w:r w:rsidRPr="005A497D">
        <w:t>. Score</w:t>
      </w:r>
      <w:r>
        <w:t xml:space="preserve"> for Dimension 21.1</w:t>
      </w:r>
      <w:r w:rsidRPr="005A497D">
        <w:t xml:space="preserve"> is thus assessed at “A”.</w:t>
      </w:r>
    </w:p>
    <w:p w14:paraId="2CBCA480" w14:textId="77777777" w:rsidR="001762EE" w:rsidRPr="005A497D" w:rsidRDefault="001762EE" w:rsidP="00375F6A">
      <w:pPr>
        <w:pStyle w:val="NormalWeb2"/>
        <w:spacing w:before="0" w:after="0"/>
        <w:jc w:val="both"/>
      </w:pPr>
    </w:p>
    <w:p w14:paraId="5BFF8B07" w14:textId="0FF9D4A4" w:rsidR="001762EE" w:rsidRPr="0025475E" w:rsidRDefault="001762EE" w:rsidP="004F09A0">
      <w:pPr>
        <w:pStyle w:val="NormalWeb"/>
        <w:autoSpaceDE w:val="0"/>
        <w:autoSpaceDN w:val="0"/>
        <w:adjustRightInd w:val="0"/>
        <w:spacing w:before="0" w:beforeAutospacing="0" w:after="0" w:afterAutospacing="0"/>
        <w:jc w:val="both"/>
        <w:rPr>
          <w:b/>
          <w:i/>
          <w:iCs/>
        </w:rPr>
      </w:pPr>
      <w:r w:rsidRPr="0025475E">
        <w:rPr>
          <w:b/>
          <w:i/>
          <w:iCs/>
        </w:rPr>
        <w:t>Dimension 21.3 Information on commitment ceilings</w:t>
      </w:r>
    </w:p>
    <w:p w14:paraId="0810D5D5" w14:textId="77777777" w:rsidR="001762EE" w:rsidRPr="005A497D" w:rsidRDefault="001762EE" w:rsidP="004F09A0">
      <w:pPr>
        <w:pStyle w:val="NormalWeb"/>
        <w:autoSpaceDE w:val="0"/>
        <w:autoSpaceDN w:val="0"/>
        <w:adjustRightInd w:val="0"/>
        <w:spacing w:before="0" w:beforeAutospacing="0" w:after="0" w:afterAutospacing="0"/>
        <w:jc w:val="both"/>
        <w:rPr>
          <w:u w:val="single"/>
        </w:rPr>
      </w:pPr>
    </w:p>
    <w:p w14:paraId="75858526" w14:textId="0F3538B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 xml:space="preserve">In 2014 and 2015, the </w:t>
      </w:r>
      <w:r>
        <w:t>General Appropriations Act</w:t>
      </w:r>
      <w:r w:rsidRPr="005A497D">
        <w:t xml:space="preserve"> stands as the government’s primary budget release document. This means that all the disaggregated budget items in the </w:t>
      </w:r>
      <w:r>
        <w:t>General Appropriations Act</w:t>
      </w:r>
      <w:r w:rsidRPr="005A497D">
        <w:t xml:space="preserve"> are already considered released to their respective agencies, with the exception of lump-sum funds that have yet to be itemized and therefore require prior approval before release through issuance of the Special Allotment Release Order. Departments and agencies no longer need to secure </w:t>
      </w:r>
      <w:r>
        <w:t>the Special Allotment Release Orders</w:t>
      </w:r>
      <w:r w:rsidRPr="005A497D">
        <w:t xml:space="preserve"> to obligate funds </w:t>
      </w:r>
      <w:r>
        <w:t>(</w:t>
      </w:r>
      <w:r w:rsidRPr="005A497D">
        <w:t>i.e.</w:t>
      </w:r>
      <w:r>
        <w:t>,</w:t>
      </w:r>
      <w:r w:rsidRPr="005A497D">
        <w:t xml:space="preserve"> for initiating the procurement process and entering into contracts</w:t>
      </w:r>
      <w:r>
        <w:t>)</w:t>
      </w:r>
      <w:r w:rsidRPr="005A497D">
        <w:t xml:space="preserve">. Instead, an agency can begin obligating funds as soon as the </w:t>
      </w:r>
      <w:r>
        <w:t>General Appropriations Act</w:t>
      </w:r>
      <w:r w:rsidRPr="005A497D">
        <w:t xml:space="preserve"> is enacted.</w:t>
      </w:r>
    </w:p>
    <w:p w14:paraId="1E51FB71" w14:textId="77777777" w:rsidR="001762EE" w:rsidRPr="005A497D" w:rsidRDefault="001762EE" w:rsidP="00002CA8">
      <w:pPr>
        <w:pStyle w:val="NormalWeb"/>
        <w:autoSpaceDE w:val="0"/>
        <w:autoSpaceDN w:val="0"/>
        <w:adjustRightInd w:val="0"/>
        <w:spacing w:before="0" w:beforeAutospacing="0" w:after="0" w:afterAutospacing="0"/>
        <w:jc w:val="both"/>
      </w:pPr>
    </w:p>
    <w:p w14:paraId="4A27E29C" w14:textId="71E433A3"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For multi-year programs, activities</w:t>
      </w:r>
      <w:r>
        <w:t>,</w:t>
      </w:r>
      <w:r w:rsidRPr="005A497D">
        <w:t xml:space="preserve"> and projects that take more than one year to complete, a Multi-Year Obligational Authority must be requested from </w:t>
      </w:r>
      <w:r>
        <w:t>Department of Budget and Management</w:t>
      </w:r>
      <w:r w:rsidRPr="005A497D">
        <w:t xml:space="preserve"> prior to entering into contracts to cover the total project costs.</w:t>
      </w:r>
    </w:p>
    <w:p w14:paraId="772D5C3A" w14:textId="77777777" w:rsidR="001762EE" w:rsidRPr="005A497D" w:rsidRDefault="001762EE" w:rsidP="00002CA8">
      <w:pPr>
        <w:pStyle w:val="NormalWeb"/>
        <w:autoSpaceDE w:val="0"/>
        <w:autoSpaceDN w:val="0"/>
        <w:adjustRightInd w:val="0"/>
        <w:spacing w:before="0" w:beforeAutospacing="0" w:after="0" w:afterAutospacing="0"/>
        <w:jc w:val="both"/>
      </w:pPr>
    </w:p>
    <w:p w14:paraId="223809F1" w14:textId="7794FEA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For budget year 2014 and 2015,</w:t>
      </w:r>
      <w:r w:rsidRPr="005A497D">
        <w:rPr>
          <w:rStyle w:val="FootnoteReference1"/>
        </w:rPr>
        <w:endnoteReference w:id="99"/>
      </w:r>
      <w:r w:rsidRPr="005A497D">
        <w:t xml:space="preserve"> disbursement authorities such as </w:t>
      </w:r>
      <w:r>
        <w:t>Notice of Cash Allocation</w:t>
      </w:r>
      <w:r w:rsidRPr="005A497D">
        <w:t xml:space="preserve"> are released by </w:t>
      </w:r>
      <w:r>
        <w:t>Department of Budget and Management</w:t>
      </w:r>
      <w:r w:rsidRPr="005A497D">
        <w:t xml:space="preserve"> on the basis of the Budget Execution Documents</w:t>
      </w:r>
      <w:r>
        <w:t>,</w:t>
      </w:r>
      <w:r w:rsidRPr="005A497D">
        <w:t xml:space="preserve"> particularly the Monthly Disbursement Program</w:t>
      </w:r>
      <w:r>
        <w:t>,</w:t>
      </w:r>
      <w:r w:rsidRPr="005A497D">
        <w:t xml:space="preserve"> prepared and submitted by the agency to </w:t>
      </w:r>
      <w:r>
        <w:t>Department of Budget and Management</w:t>
      </w:r>
      <w:r w:rsidRPr="005A497D">
        <w:t xml:space="preserve">. The </w:t>
      </w:r>
      <w:r>
        <w:t>Notice of Cash Allocation</w:t>
      </w:r>
      <w:r w:rsidRPr="005A497D">
        <w:t xml:space="preserve"> acts as a second level of control as recipients of allotments incur obligations but cannot make payments until they receive </w:t>
      </w:r>
      <w:r>
        <w:t>Notice of Cash Allocations</w:t>
      </w:r>
      <w:r w:rsidRPr="005A497D">
        <w:t xml:space="preserve">, which are treated as authorizations to issue checks. An initial comprehensive </w:t>
      </w:r>
      <w:r>
        <w:t>Notice of Cash Allocation</w:t>
      </w:r>
      <w:r w:rsidRPr="005A497D">
        <w:t xml:space="preserve"> is issued directly to the operating units covering the first semester requirements </w:t>
      </w:r>
      <w:r>
        <w:t>(</w:t>
      </w:r>
      <w:r w:rsidRPr="005A497D">
        <w:t>i.e.</w:t>
      </w:r>
      <w:r>
        <w:t>,</w:t>
      </w:r>
      <w:r w:rsidRPr="005A497D">
        <w:t xml:space="preserve"> January to June</w:t>
      </w:r>
      <w:r>
        <w:t>)</w:t>
      </w:r>
      <w:r w:rsidRPr="005A497D">
        <w:t xml:space="preserve">, chargeable against the current year budget. Succeeding comprehensive </w:t>
      </w:r>
      <w:r>
        <w:t>Notice</w:t>
      </w:r>
      <w:r w:rsidR="00070A97">
        <w:t>s</w:t>
      </w:r>
      <w:r>
        <w:t xml:space="preserve"> of Cash Allocations</w:t>
      </w:r>
      <w:r w:rsidRPr="005A497D">
        <w:t xml:space="preserve"> are issued to cover the 2</w:t>
      </w:r>
      <w:r w:rsidRPr="009E788D">
        <w:rPr>
          <w:vertAlign w:val="superscript"/>
        </w:rPr>
        <w:t>nd</w:t>
      </w:r>
      <w:r w:rsidRPr="005A497D">
        <w:t xml:space="preserve"> semester regular requirements, subject to the submission of </w:t>
      </w:r>
      <w:r>
        <w:t>Budget and Financial Accountability Report</w:t>
      </w:r>
      <w:r w:rsidRPr="005A497D">
        <w:t xml:space="preserve">s as </w:t>
      </w:r>
      <w:r w:rsidR="00070A97">
        <w:t>at</w:t>
      </w:r>
      <w:r w:rsidRPr="005A497D">
        <w:t xml:space="preserve"> end of June and consistent with DBCC-approved </w:t>
      </w:r>
      <w:r>
        <w:t>Monthly Disbursement Program.</w:t>
      </w:r>
      <w:r w:rsidRPr="005A497D">
        <w:t xml:space="preserve"> In 2014 and 2015, this </w:t>
      </w:r>
      <w:r>
        <w:t>did</w:t>
      </w:r>
      <w:r w:rsidRPr="005A497D">
        <w:t xml:space="preserve"> not disrupt the operations of agencies and the receipt of </w:t>
      </w:r>
      <w:r>
        <w:t>Notice of Cash Allocations</w:t>
      </w:r>
      <w:r w:rsidRPr="005A497D">
        <w:t xml:space="preserve"> has been predictable allowing advance planning of expenditures for a horizon of six months. Score</w:t>
      </w:r>
      <w:r>
        <w:t xml:space="preserve"> for Dimension 21.3</w:t>
      </w:r>
      <w:r w:rsidRPr="005A497D">
        <w:t xml:space="preserve"> is thus assessed as “A”.</w:t>
      </w:r>
    </w:p>
    <w:p w14:paraId="5AE2398B" w14:textId="77777777" w:rsidR="001762EE" w:rsidRPr="005A497D" w:rsidRDefault="001762EE" w:rsidP="004F09A0">
      <w:pPr>
        <w:pStyle w:val="NormalWeb"/>
        <w:autoSpaceDE w:val="0"/>
        <w:autoSpaceDN w:val="0"/>
        <w:adjustRightInd w:val="0"/>
        <w:spacing w:before="0" w:beforeAutospacing="0" w:after="0" w:afterAutospacing="0"/>
        <w:jc w:val="both"/>
      </w:pPr>
    </w:p>
    <w:p w14:paraId="33C65EEA" w14:textId="7F03251E" w:rsidR="001762EE" w:rsidRPr="0025475E" w:rsidRDefault="001762EE" w:rsidP="004F09A0">
      <w:pPr>
        <w:pStyle w:val="NormalWeb"/>
        <w:autoSpaceDE w:val="0"/>
        <w:autoSpaceDN w:val="0"/>
        <w:adjustRightInd w:val="0"/>
        <w:spacing w:before="0" w:beforeAutospacing="0" w:after="0" w:afterAutospacing="0"/>
        <w:jc w:val="both"/>
        <w:rPr>
          <w:b/>
          <w:i/>
          <w:iCs/>
        </w:rPr>
      </w:pPr>
      <w:r w:rsidRPr="0025475E">
        <w:rPr>
          <w:b/>
          <w:i/>
          <w:iCs/>
        </w:rPr>
        <w:t>Dimension 21.4 Significance of in-year budget adjustments</w:t>
      </w:r>
    </w:p>
    <w:p w14:paraId="46BF8CB2" w14:textId="77777777" w:rsidR="001762EE" w:rsidRPr="000307BF" w:rsidRDefault="001762EE" w:rsidP="004F09A0">
      <w:pPr>
        <w:pStyle w:val="NormalWeb"/>
        <w:autoSpaceDE w:val="0"/>
        <w:autoSpaceDN w:val="0"/>
        <w:adjustRightInd w:val="0"/>
        <w:spacing w:before="0" w:beforeAutospacing="0" w:after="0" w:afterAutospacing="0"/>
        <w:jc w:val="both"/>
      </w:pPr>
    </w:p>
    <w:p w14:paraId="5C34138B" w14:textId="63D3AB79" w:rsidR="001762EE" w:rsidRDefault="001762EE" w:rsidP="005A03CD">
      <w:pPr>
        <w:pStyle w:val="NormalWeb"/>
        <w:numPr>
          <w:ilvl w:val="0"/>
          <w:numId w:val="6"/>
        </w:numPr>
        <w:autoSpaceDE w:val="0"/>
        <w:autoSpaceDN w:val="0"/>
        <w:adjustRightInd w:val="0"/>
        <w:spacing w:before="0" w:beforeAutospacing="0" w:after="0" w:afterAutospacing="0"/>
        <w:ind w:left="0" w:firstLine="0"/>
        <w:jc w:val="both"/>
      </w:pPr>
      <w:r w:rsidRPr="005A497D">
        <w:t xml:space="preserve">In 2015, </w:t>
      </w:r>
      <w:r>
        <w:t>the Department of Budget and Management</w:t>
      </w:r>
      <w:r w:rsidRPr="005A497D">
        <w:t xml:space="preserve"> issued National Budget Circular No. 559 dated June 26, 2015</w:t>
      </w:r>
      <w:r>
        <w:t>,</w:t>
      </w:r>
      <w:r w:rsidRPr="005A497D">
        <w:t xml:space="preserve"> to provide guidelines in the realignment of funds under the FY2015 </w:t>
      </w:r>
      <w:r>
        <w:t>General Appropriations Act</w:t>
      </w:r>
      <w:r w:rsidRPr="005A497D">
        <w:t xml:space="preserve"> in which it states that realignment covers change in (a) object of expenditure within an allotment class; (b) implementing or operating units; (c) project modifications as authorized in the pertinent special provisions of certain agencies in the </w:t>
      </w:r>
      <w:r>
        <w:t>General Appropriations Act</w:t>
      </w:r>
      <w:r w:rsidRPr="005A497D">
        <w:t xml:space="preserve">; or (d) one allotment class to another. Since any realignment requires </w:t>
      </w:r>
      <w:r w:rsidR="00070A97">
        <w:t xml:space="preserve">a </w:t>
      </w:r>
      <w:r w:rsidRPr="005A497D">
        <w:t xml:space="preserve">request by the concerned department or agency </w:t>
      </w:r>
      <w:r>
        <w:t xml:space="preserve">and should be approved by Department of Budget and Management, </w:t>
      </w:r>
      <w:r w:rsidRPr="005A497D">
        <w:t>the score</w:t>
      </w:r>
      <w:r>
        <w:t xml:space="preserve"> for Dimension 21.4</w:t>
      </w:r>
      <w:r w:rsidRPr="005A497D">
        <w:t xml:space="preserve"> is assessed at “A”.</w:t>
      </w:r>
    </w:p>
    <w:p w14:paraId="23784BBB" w14:textId="77777777" w:rsidR="001762EE" w:rsidRPr="005A497D" w:rsidRDefault="001762EE" w:rsidP="000307BF">
      <w:pPr>
        <w:pStyle w:val="NormalWeb"/>
        <w:autoSpaceDE w:val="0"/>
        <w:autoSpaceDN w:val="0"/>
        <w:adjustRightInd w:val="0"/>
        <w:spacing w:before="0" w:beforeAutospacing="0" w:after="0" w:afterAutospacing="0"/>
        <w:jc w:val="both"/>
      </w:pPr>
    </w:p>
    <w:p w14:paraId="0C12227C" w14:textId="77777777" w:rsidR="001762EE" w:rsidRDefault="001762EE" w:rsidP="00411651">
      <w:pPr>
        <w:pStyle w:val="Heading3"/>
      </w:pPr>
      <w:bookmarkStart w:id="240" w:name="_Toc454811711"/>
      <w:bookmarkStart w:id="241" w:name="_Toc454888855"/>
      <w:r w:rsidRPr="005A497D">
        <w:t>PI-</w:t>
      </w:r>
      <w:r>
        <w:t>22</w:t>
      </w:r>
      <w:r w:rsidRPr="005A497D">
        <w:t xml:space="preserve"> </w:t>
      </w:r>
      <w:r>
        <w:t>E</w:t>
      </w:r>
      <w:r w:rsidRPr="005A497D">
        <w:t>xpenditure arrears</w:t>
      </w:r>
      <w:bookmarkEnd w:id="240"/>
      <w:bookmarkEnd w:id="241"/>
    </w:p>
    <w:p w14:paraId="2EC199C2" w14:textId="77777777" w:rsidR="001762EE" w:rsidRPr="00E17DF6" w:rsidRDefault="001762EE" w:rsidP="000307BF">
      <w:pPr>
        <w:rPr>
          <w:sz w:val="20"/>
        </w:rPr>
      </w:pPr>
    </w:p>
    <w:p w14:paraId="54346F7B" w14:textId="7777777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18673D">
        <w:t>This indicator measures the extent to which there is a stock of arrears, and the extent to which a systemic problem in this regard is being addressed and brought under control</w:t>
      </w:r>
      <w:r w:rsidRPr="005A497D">
        <w:t>.</w:t>
      </w:r>
    </w:p>
    <w:p w14:paraId="7AA5B0E0" w14:textId="77777777" w:rsidR="001762EE" w:rsidRPr="00E17DF6" w:rsidRDefault="001762EE" w:rsidP="000307BF">
      <w:pPr>
        <w:pStyle w:val="NormalWeb"/>
        <w:autoSpaceDE w:val="0"/>
        <w:autoSpaceDN w:val="0"/>
        <w:adjustRightInd w:val="0"/>
        <w:spacing w:before="0" w:beforeAutospacing="0" w:after="0" w:afterAutospacing="0"/>
        <w:contextualSpacing/>
        <w:jc w:val="both"/>
        <w:rPr>
          <w:sz w:val="20"/>
        </w:rPr>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76315F26" w14:textId="77777777" w:rsidTr="00233C6E">
        <w:trPr>
          <w:trHeight w:val="666"/>
        </w:trPr>
        <w:tc>
          <w:tcPr>
            <w:tcW w:w="3600" w:type="dxa"/>
            <w:tcBorders>
              <w:top w:val="double" w:sz="4" w:space="0" w:color="auto"/>
            </w:tcBorders>
            <w:shd w:val="clear" w:color="auto" w:fill="D9D9D9"/>
            <w:vAlign w:val="center"/>
          </w:tcPr>
          <w:p w14:paraId="417F707E" w14:textId="77777777" w:rsidR="001762EE" w:rsidRPr="0025475E" w:rsidRDefault="001762EE" w:rsidP="00233C6E">
            <w:pPr>
              <w:spacing w:before="40" w:after="40"/>
              <w:jc w:val="center"/>
              <w:rPr>
                <w:b/>
                <w:i/>
              </w:rPr>
            </w:pPr>
            <w:r w:rsidRPr="0025475E">
              <w:rPr>
                <w:b/>
                <w:i/>
                <w:sz w:val="22"/>
                <w:szCs w:val="22"/>
              </w:rPr>
              <w:t>Indicator / Dimension</w:t>
            </w:r>
          </w:p>
        </w:tc>
        <w:tc>
          <w:tcPr>
            <w:tcW w:w="1843" w:type="dxa"/>
            <w:tcBorders>
              <w:top w:val="double" w:sz="4" w:space="0" w:color="auto"/>
            </w:tcBorders>
            <w:shd w:val="clear" w:color="auto" w:fill="D9D9D9"/>
            <w:vAlign w:val="center"/>
          </w:tcPr>
          <w:p w14:paraId="510B79FF" w14:textId="77777777" w:rsidR="001762EE" w:rsidRPr="0025475E" w:rsidRDefault="001762EE" w:rsidP="00233C6E">
            <w:pPr>
              <w:spacing w:before="40" w:after="40"/>
              <w:jc w:val="center"/>
              <w:rPr>
                <w:b/>
                <w:i/>
              </w:rPr>
            </w:pPr>
            <w:r w:rsidRPr="0025475E">
              <w:rPr>
                <w:b/>
                <w:i/>
                <w:sz w:val="22"/>
                <w:szCs w:val="22"/>
              </w:rPr>
              <w:t>Score</w:t>
            </w:r>
          </w:p>
        </w:tc>
        <w:tc>
          <w:tcPr>
            <w:tcW w:w="3913" w:type="dxa"/>
            <w:tcBorders>
              <w:top w:val="double" w:sz="4" w:space="0" w:color="auto"/>
            </w:tcBorders>
            <w:shd w:val="clear" w:color="auto" w:fill="D9D9D9"/>
            <w:vAlign w:val="center"/>
          </w:tcPr>
          <w:p w14:paraId="40541EE0" w14:textId="77777777" w:rsidR="001762EE" w:rsidRPr="0025475E" w:rsidRDefault="001762EE" w:rsidP="00233C6E">
            <w:pPr>
              <w:spacing w:before="40" w:after="40"/>
              <w:jc w:val="center"/>
              <w:rPr>
                <w:b/>
                <w:i/>
              </w:rPr>
            </w:pPr>
            <w:r w:rsidRPr="0025475E">
              <w:rPr>
                <w:b/>
                <w:i/>
                <w:sz w:val="22"/>
                <w:szCs w:val="22"/>
              </w:rPr>
              <w:t>Brief Explanation</w:t>
            </w:r>
          </w:p>
        </w:tc>
      </w:tr>
      <w:tr w:rsidR="001762EE" w:rsidRPr="005A497D" w14:paraId="3181383C" w14:textId="77777777" w:rsidTr="00233C6E">
        <w:tc>
          <w:tcPr>
            <w:tcW w:w="3600" w:type="dxa"/>
            <w:tcBorders>
              <w:top w:val="double" w:sz="4" w:space="0" w:color="auto"/>
              <w:bottom w:val="single" w:sz="4" w:space="0" w:color="auto"/>
            </w:tcBorders>
            <w:vAlign w:val="center"/>
          </w:tcPr>
          <w:p w14:paraId="5F1C2499" w14:textId="77777777" w:rsidR="001762EE" w:rsidRPr="005A497D" w:rsidRDefault="001762EE" w:rsidP="00233C6E">
            <w:pPr>
              <w:tabs>
                <w:tab w:val="left" w:pos="1350"/>
              </w:tabs>
              <w:autoSpaceDE w:val="0"/>
              <w:autoSpaceDN w:val="0"/>
              <w:adjustRightInd w:val="0"/>
              <w:rPr>
                <w:b/>
                <w:bCs/>
              </w:rPr>
            </w:pPr>
            <w:r w:rsidRPr="005A497D">
              <w:rPr>
                <w:b/>
                <w:bCs/>
                <w:sz w:val="22"/>
                <w:szCs w:val="22"/>
              </w:rPr>
              <w:t>PI-</w:t>
            </w:r>
            <w:r>
              <w:rPr>
                <w:b/>
                <w:bCs/>
                <w:sz w:val="22"/>
                <w:szCs w:val="22"/>
              </w:rPr>
              <w:t>22</w:t>
            </w:r>
            <w:r w:rsidRPr="005A497D">
              <w:rPr>
                <w:b/>
                <w:bCs/>
                <w:sz w:val="22"/>
                <w:szCs w:val="22"/>
              </w:rPr>
              <w:t xml:space="preserve"> </w:t>
            </w:r>
            <w:r>
              <w:rPr>
                <w:b/>
                <w:sz w:val="22"/>
                <w:szCs w:val="22"/>
              </w:rPr>
              <w:t>E</w:t>
            </w:r>
            <w:r w:rsidRPr="005A497D">
              <w:rPr>
                <w:b/>
                <w:sz w:val="22"/>
                <w:szCs w:val="22"/>
              </w:rPr>
              <w:t>xpenditure arrears</w:t>
            </w:r>
          </w:p>
        </w:tc>
        <w:tc>
          <w:tcPr>
            <w:tcW w:w="1843" w:type="dxa"/>
            <w:tcBorders>
              <w:top w:val="double" w:sz="4" w:space="0" w:color="auto"/>
              <w:bottom w:val="single" w:sz="4" w:space="0" w:color="auto"/>
            </w:tcBorders>
            <w:vAlign w:val="center"/>
          </w:tcPr>
          <w:p w14:paraId="55B4DBB8" w14:textId="1BC0DB19" w:rsidR="001762EE" w:rsidRPr="005A497D" w:rsidRDefault="001762EE" w:rsidP="00233C6E">
            <w:pPr>
              <w:spacing w:before="40" w:after="40"/>
              <w:jc w:val="center"/>
              <w:rPr>
                <w:b/>
              </w:rPr>
            </w:pPr>
            <w:r>
              <w:rPr>
                <w:b/>
                <w:sz w:val="22"/>
                <w:szCs w:val="22"/>
              </w:rPr>
              <w:t>C+</w:t>
            </w:r>
          </w:p>
        </w:tc>
        <w:tc>
          <w:tcPr>
            <w:tcW w:w="3913" w:type="dxa"/>
            <w:tcBorders>
              <w:top w:val="double" w:sz="4" w:space="0" w:color="auto"/>
              <w:bottom w:val="single" w:sz="4" w:space="0" w:color="auto"/>
            </w:tcBorders>
            <w:vAlign w:val="center"/>
          </w:tcPr>
          <w:p w14:paraId="165E0F64" w14:textId="77777777" w:rsidR="001762EE" w:rsidRPr="005A497D" w:rsidRDefault="001762EE" w:rsidP="00233C6E">
            <w:pPr>
              <w:spacing w:before="40" w:after="40"/>
            </w:pPr>
            <w:r w:rsidRPr="005A497D">
              <w:rPr>
                <w:sz w:val="22"/>
                <w:szCs w:val="22"/>
              </w:rPr>
              <w:t>Overall rating based on M</w:t>
            </w:r>
            <w:r>
              <w:rPr>
                <w:sz w:val="22"/>
                <w:szCs w:val="22"/>
              </w:rPr>
              <w:t>1</w:t>
            </w:r>
            <w:r w:rsidRPr="005A497D">
              <w:rPr>
                <w:sz w:val="22"/>
                <w:szCs w:val="22"/>
              </w:rPr>
              <w:t xml:space="preserve"> methodology.</w:t>
            </w:r>
          </w:p>
        </w:tc>
      </w:tr>
      <w:tr w:rsidR="001762EE" w:rsidRPr="005A497D" w14:paraId="78333668" w14:textId="77777777" w:rsidTr="00CA0D85">
        <w:trPr>
          <w:trHeight w:val="872"/>
        </w:trPr>
        <w:tc>
          <w:tcPr>
            <w:tcW w:w="3600" w:type="dxa"/>
            <w:tcBorders>
              <w:top w:val="single" w:sz="4" w:space="0" w:color="auto"/>
              <w:bottom w:val="single" w:sz="4" w:space="0" w:color="auto"/>
            </w:tcBorders>
            <w:vAlign w:val="center"/>
          </w:tcPr>
          <w:p w14:paraId="45572585" w14:textId="31DAD280" w:rsidR="001762EE" w:rsidRPr="005A497D" w:rsidRDefault="001762EE" w:rsidP="00233C6E">
            <w:pPr>
              <w:pStyle w:val="Default"/>
              <w:rPr>
                <w:color w:val="auto"/>
                <w:sz w:val="22"/>
                <w:szCs w:val="22"/>
              </w:rPr>
            </w:pPr>
            <w:r>
              <w:rPr>
                <w:color w:val="auto"/>
                <w:sz w:val="22"/>
                <w:szCs w:val="22"/>
              </w:rPr>
              <w:t>22.1</w:t>
            </w:r>
            <w:r w:rsidRPr="005A497D">
              <w:rPr>
                <w:color w:val="auto"/>
                <w:sz w:val="22"/>
                <w:szCs w:val="22"/>
              </w:rPr>
              <w:t xml:space="preserve"> Stock</w:t>
            </w:r>
            <w:r>
              <w:rPr>
                <w:color w:val="auto"/>
                <w:sz w:val="22"/>
                <w:szCs w:val="22"/>
              </w:rPr>
              <w:t xml:space="preserve"> of</w:t>
            </w:r>
            <w:r w:rsidRPr="005A497D">
              <w:rPr>
                <w:color w:val="auto"/>
                <w:sz w:val="22"/>
                <w:szCs w:val="22"/>
              </w:rPr>
              <w:t xml:space="preserve"> expenditure arrears</w:t>
            </w:r>
          </w:p>
        </w:tc>
        <w:tc>
          <w:tcPr>
            <w:tcW w:w="1843" w:type="dxa"/>
            <w:tcBorders>
              <w:top w:val="single" w:sz="4" w:space="0" w:color="auto"/>
              <w:bottom w:val="single" w:sz="4" w:space="0" w:color="auto"/>
            </w:tcBorders>
            <w:vAlign w:val="center"/>
          </w:tcPr>
          <w:p w14:paraId="3B474359" w14:textId="77777777" w:rsidR="001762EE" w:rsidRPr="005A497D" w:rsidRDefault="001762EE" w:rsidP="00233C6E">
            <w:pPr>
              <w:spacing w:before="40" w:after="40"/>
              <w:jc w:val="center"/>
            </w:pPr>
            <w:r>
              <w:rPr>
                <w:sz w:val="22"/>
                <w:szCs w:val="22"/>
              </w:rPr>
              <w:t>B</w:t>
            </w:r>
          </w:p>
        </w:tc>
        <w:tc>
          <w:tcPr>
            <w:tcW w:w="3913" w:type="dxa"/>
            <w:tcBorders>
              <w:top w:val="single" w:sz="4" w:space="0" w:color="auto"/>
              <w:bottom w:val="single" w:sz="4" w:space="0" w:color="auto"/>
            </w:tcBorders>
            <w:vAlign w:val="center"/>
          </w:tcPr>
          <w:p w14:paraId="37EF739E" w14:textId="77777777" w:rsidR="001762EE" w:rsidRPr="005A497D" w:rsidRDefault="001762EE" w:rsidP="00233C6E">
            <w:pPr>
              <w:spacing w:before="40" w:after="40"/>
            </w:pPr>
            <w:r>
              <w:rPr>
                <w:sz w:val="22"/>
                <w:szCs w:val="22"/>
              </w:rPr>
              <w:t>The stock of expenditures arrears is no more than 6% of the total obligations incurred for the past three years.</w:t>
            </w:r>
          </w:p>
        </w:tc>
      </w:tr>
      <w:tr w:rsidR="001762EE" w:rsidRPr="005A497D" w14:paraId="49063228" w14:textId="77777777" w:rsidTr="00CA0D85">
        <w:trPr>
          <w:trHeight w:val="890"/>
        </w:trPr>
        <w:tc>
          <w:tcPr>
            <w:tcW w:w="3600" w:type="dxa"/>
            <w:tcBorders>
              <w:top w:val="single" w:sz="4" w:space="0" w:color="auto"/>
              <w:bottom w:val="double" w:sz="4" w:space="0" w:color="auto"/>
            </w:tcBorders>
            <w:vAlign w:val="center"/>
          </w:tcPr>
          <w:p w14:paraId="5FBB34F5" w14:textId="16ABC672" w:rsidR="001762EE" w:rsidRPr="005A497D" w:rsidRDefault="001762EE" w:rsidP="00233C6E">
            <w:pPr>
              <w:pStyle w:val="Default"/>
              <w:rPr>
                <w:color w:val="auto"/>
                <w:sz w:val="22"/>
                <w:szCs w:val="22"/>
              </w:rPr>
            </w:pPr>
            <w:r>
              <w:rPr>
                <w:color w:val="auto"/>
                <w:sz w:val="22"/>
                <w:szCs w:val="22"/>
              </w:rPr>
              <w:t>22.2</w:t>
            </w:r>
            <w:r w:rsidRPr="005A497D">
              <w:rPr>
                <w:color w:val="auto"/>
                <w:sz w:val="22"/>
                <w:szCs w:val="22"/>
              </w:rPr>
              <w:t xml:space="preserve"> </w:t>
            </w:r>
            <w:r>
              <w:rPr>
                <w:color w:val="auto"/>
                <w:sz w:val="22"/>
                <w:szCs w:val="22"/>
              </w:rPr>
              <w:t>E</w:t>
            </w:r>
            <w:r w:rsidRPr="005A497D">
              <w:rPr>
                <w:color w:val="auto"/>
                <w:sz w:val="22"/>
                <w:szCs w:val="22"/>
              </w:rPr>
              <w:t>xpenditure arrears</w:t>
            </w:r>
            <w:r>
              <w:rPr>
                <w:color w:val="auto"/>
                <w:sz w:val="22"/>
                <w:szCs w:val="22"/>
              </w:rPr>
              <w:t xml:space="preserve"> monitoring</w:t>
            </w:r>
          </w:p>
        </w:tc>
        <w:tc>
          <w:tcPr>
            <w:tcW w:w="1843" w:type="dxa"/>
            <w:tcBorders>
              <w:top w:val="single" w:sz="4" w:space="0" w:color="auto"/>
              <w:bottom w:val="double" w:sz="4" w:space="0" w:color="auto"/>
            </w:tcBorders>
            <w:vAlign w:val="center"/>
          </w:tcPr>
          <w:p w14:paraId="2BEB7A8A" w14:textId="2C616EE1" w:rsidR="001762EE" w:rsidRPr="005A497D" w:rsidRDefault="001762EE" w:rsidP="00233C6E">
            <w:pPr>
              <w:spacing w:before="40" w:after="40"/>
              <w:jc w:val="center"/>
            </w:pPr>
            <w:r>
              <w:rPr>
                <w:sz w:val="22"/>
                <w:szCs w:val="22"/>
              </w:rPr>
              <w:t>C</w:t>
            </w:r>
          </w:p>
        </w:tc>
        <w:tc>
          <w:tcPr>
            <w:tcW w:w="3913" w:type="dxa"/>
            <w:tcBorders>
              <w:top w:val="single" w:sz="4" w:space="0" w:color="auto"/>
              <w:bottom w:val="double" w:sz="4" w:space="0" w:color="auto"/>
            </w:tcBorders>
            <w:vAlign w:val="center"/>
          </w:tcPr>
          <w:p w14:paraId="03C8CA51" w14:textId="62DA58A7" w:rsidR="001762EE" w:rsidRPr="005A497D" w:rsidRDefault="001762EE" w:rsidP="00D46430">
            <w:r>
              <w:rPr>
                <w:sz w:val="22"/>
                <w:szCs w:val="22"/>
              </w:rPr>
              <w:t>CoA requirement for the submission of year-end reports includes the aging of expenditure arrears</w:t>
            </w:r>
          </w:p>
        </w:tc>
      </w:tr>
    </w:tbl>
    <w:p w14:paraId="0DBF133C" w14:textId="77777777" w:rsidR="001762EE" w:rsidRPr="00E17DF6" w:rsidRDefault="001762EE" w:rsidP="000307BF">
      <w:pPr>
        <w:jc w:val="both"/>
        <w:rPr>
          <w:sz w:val="20"/>
        </w:rPr>
      </w:pPr>
    </w:p>
    <w:p w14:paraId="76518B15" w14:textId="387AFD7A" w:rsidR="001762EE" w:rsidRPr="0025475E" w:rsidRDefault="001762EE" w:rsidP="000307BF">
      <w:pPr>
        <w:pStyle w:val="NormalWeb"/>
        <w:autoSpaceDE w:val="0"/>
        <w:autoSpaceDN w:val="0"/>
        <w:adjustRightInd w:val="0"/>
        <w:spacing w:before="0" w:beforeAutospacing="0" w:after="0" w:afterAutospacing="0"/>
        <w:jc w:val="both"/>
        <w:rPr>
          <w:b/>
          <w:i/>
          <w:iCs/>
        </w:rPr>
      </w:pPr>
      <w:r w:rsidRPr="0025475E">
        <w:rPr>
          <w:b/>
          <w:i/>
          <w:iCs/>
        </w:rPr>
        <w:t>Dimension 22.1 Stock of expenditure arrears</w:t>
      </w:r>
    </w:p>
    <w:p w14:paraId="31519DDD" w14:textId="77777777" w:rsidR="001762EE" w:rsidRPr="00E17DF6" w:rsidRDefault="001762EE" w:rsidP="000307BF">
      <w:pPr>
        <w:pStyle w:val="NormalWeb"/>
        <w:autoSpaceDE w:val="0"/>
        <w:autoSpaceDN w:val="0"/>
        <w:adjustRightInd w:val="0"/>
        <w:spacing w:before="0" w:beforeAutospacing="0" w:after="0" w:afterAutospacing="0"/>
        <w:jc w:val="both"/>
        <w:rPr>
          <w:sz w:val="20"/>
        </w:rPr>
      </w:pPr>
    </w:p>
    <w:p w14:paraId="2321FD3B" w14:textId="3840EFCC" w:rsidR="001762EE" w:rsidRPr="00DB38A8"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b</w:t>
      </w:r>
      <w:r w:rsidRPr="005A497D">
        <w:t xml:space="preserve">alance </w:t>
      </w:r>
      <w:r>
        <w:t>s</w:t>
      </w:r>
      <w:r w:rsidRPr="005A497D">
        <w:t xml:space="preserve">heet for </w:t>
      </w:r>
      <w:r>
        <w:t>g</w:t>
      </w:r>
      <w:r w:rsidRPr="005A497D">
        <w:t xml:space="preserve">overnment in the </w:t>
      </w:r>
      <w:r>
        <w:t>a</w:t>
      </w:r>
      <w:r w:rsidRPr="005A497D">
        <w:t xml:space="preserve">nnual </w:t>
      </w:r>
      <w:r>
        <w:t>f</w:t>
      </w:r>
      <w:r w:rsidRPr="005A497D">
        <w:t xml:space="preserve">inancial </w:t>
      </w:r>
      <w:r>
        <w:t>r</w:t>
      </w:r>
      <w:r w:rsidRPr="005A497D">
        <w:t xml:space="preserve">eport prepared by </w:t>
      </w:r>
      <w:r>
        <w:t>the Commission on Audit</w:t>
      </w:r>
      <w:r w:rsidRPr="005A497D">
        <w:t xml:space="preserve"> shows accounts payable of P</w:t>
      </w:r>
      <w:r>
        <w:t xml:space="preserve">hP </w:t>
      </w:r>
      <w:r w:rsidRPr="005A497D">
        <w:t>1</w:t>
      </w:r>
      <w:r>
        <w:t>01</w:t>
      </w:r>
      <w:r w:rsidRPr="005A497D">
        <w:t>.6</w:t>
      </w:r>
      <w:r>
        <w:t>8</w:t>
      </w:r>
      <w:r w:rsidRPr="005A497D">
        <w:t xml:space="preserve"> billion</w:t>
      </w:r>
      <w:r>
        <w:t xml:space="preserve">, </w:t>
      </w:r>
      <w:r w:rsidRPr="005A497D">
        <w:t>P</w:t>
      </w:r>
      <w:r>
        <w:t xml:space="preserve">hP </w:t>
      </w:r>
      <w:r w:rsidRPr="005A497D">
        <w:t>119.61 billion</w:t>
      </w:r>
      <w:r>
        <w:t>,</w:t>
      </w:r>
      <w:r w:rsidRPr="005A497D">
        <w:t xml:space="preserve"> and P</w:t>
      </w:r>
      <w:r>
        <w:t xml:space="preserve">hP </w:t>
      </w:r>
      <w:r w:rsidRPr="005A497D">
        <w:t xml:space="preserve">107.91 billion that were due to external suppliers in the </w:t>
      </w:r>
      <w:r>
        <w:t xml:space="preserve">2014, </w:t>
      </w:r>
      <w:r w:rsidRPr="005A497D">
        <w:t>2013 and 2012 accounts</w:t>
      </w:r>
      <w:r>
        <w:t>,</w:t>
      </w:r>
      <w:r w:rsidRPr="005A497D">
        <w:t xml:space="preserve"> respectively. These payables pertain to accounts that have been outstanding for over two years with no actual claims, administrative or judicial, being filed against them or are not covered by contracts which, under Section 98 of Presidential Decree 1445 or the Government Auditing Code of the Philippines, should be reversed. </w:t>
      </w:r>
      <w:r>
        <w:t>True arrears may in fact be only a part of this total amount. The Tables 3.</w:t>
      </w:r>
      <w:r w:rsidR="00E17DF6">
        <w:t>19</w:t>
      </w:r>
      <w:r>
        <w:t xml:space="preserve"> and 3.2</w:t>
      </w:r>
      <w:r w:rsidR="00E17DF6">
        <w:t>0</w:t>
      </w:r>
      <w:r>
        <w:t xml:space="preserve"> show the decreasing trend of </w:t>
      </w:r>
      <w:r w:rsidRPr="00DB38A8">
        <w:t>overstated</w:t>
      </w:r>
      <w:r>
        <w:t xml:space="preserve"> and </w:t>
      </w:r>
      <w:r w:rsidRPr="00DB38A8">
        <w:t xml:space="preserve">understated accounts payable </w:t>
      </w:r>
      <w:r>
        <w:t xml:space="preserve">findings </w:t>
      </w:r>
      <w:r w:rsidRPr="00DB38A8">
        <w:t xml:space="preserve">drawn from </w:t>
      </w:r>
      <w:r>
        <w:t>the CoA financial audit reports</w:t>
      </w:r>
      <w:r w:rsidRPr="00DB38A8">
        <w:t>.</w:t>
      </w:r>
      <w:r>
        <w:t xml:space="preserve"> </w:t>
      </w:r>
    </w:p>
    <w:p w14:paraId="69FC8105" w14:textId="77777777" w:rsidR="001762EE" w:rsidRDefault="001762EE" w:rsidP="000307BF">
      <w:pPr>
        <w:pStyle w:val="NormalWeb"/>
        <w:autoSpaceDE w:val="0"/>
        <w:autoSpaceDN w:val="0"/>
        <w:adjustRightInd w:val="0"/>
        <w:spacing w:before="0" w:beforeAutospacing="0" w:after="0" w:afterAutospacing="0"/>
        <w:contextualSpacing/>
        <w:jc w:val="both"/>
      </w:pPr>
    </w:p>
    <w:p w14:paraId="16EE8CB0" w14:textId="31CDC8A3"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stock of payables in 2012 </w:t>
      </w:r>
      <w:r>
        <w:t xml:space="preserve">is </w:t>
      </w:r>
      <w:r w:rsidRPr="005A497D">
        <w:t>5</w:t>
      </w:r>
      <w:r>
        <w:t xml:space="preserve"> percent</w:t>
      </w:r>
      <w:r w:rsidRPr="005A497D">
        <w:t xml:space="preserve"> of the total obligations incurred</w:t>
      </w:r>
      <w:r>
        <w:t xml:space="preserve">, 5.4 percent </w:t>
      </w:r>
      <w:r w:rsidRPr="005A497D">
        <w:t>of the total obligations incurred</w:t>
      </w:r>
      <w:r>
        <w:t xml:space="preserve"> in 2013 and 4.59 percent </w:t>
      </w:r>
      <w:r w:rsidRPr="005A497D">
        <w:t xml:space="preserve">of the total obligations incurred </w:t>
      </w:r>
      <w:r>
        <w:t>in 2014</w:t>
      </w:r>
      <w:r w:rsidRPr="005A497D">
        <w:t>.</w:t>
      </w:r>
      <w:r>
        <w:t xml:space="preserve"> The score for Dimension 22.1 is assessed at “B”.</w:t>
      </w:r>
    </w:p>
    <w:p w14:paraId="5897F6AE" w14:textId="77777777" w:rsidR="001762EE" w:rsidRPr="00E17DF6" w:rsidRDefault="001762EE" w:rsidP="000307BF">
      <w:pPr>
        <w:pStyle w:val="NormalWeb"/>
        <w:autoSpaceDE w:val="0"/>
        <w:autoSpaceDN w:val="0"/>
        <w:adjustRightInd w:val="0"/>
        <w:spacing w:before="0" w:beforeAutospacing="0" w:after="0" w:afterAutospacing="0"/>
        <w:contextualSpacing/>
        <w:jc w:val="both"/>
        <w:rPr>
          <w:sz w:val="20"/>
        </w:rPr>
      </w:pPr>
    </w:p>
    <w:p w14:paraId="50781C57" w14:textId="59DA2FD8" w:rsidR="001762EE" w:rsidRPr="00DB38A8" w:rsidRDefault="001762EE" w:rsidP="001112A1">
      <w:pPr>
        <w:pStyle w:val="PEFATable"/>
        <w:spacing w:after="40"/>
        <w:jc w:val="both"/>
        <w:rPr>
          <w:sz w:val="24"/>
          <w:szCs w:val="24"/>
        </w:rPr>
      </w:pPr>
      <w:bookmarkStart w:id="242" w:name="_Toc454889261"/>
      <w:r>
        <w:rPr>
          <w:sz w:val="24"/>
          <w:szCs w:val="24"/>
        </w:rPr>
        <w:t>Table 3.</w:t>
      </w:r>
      <w:r w:rsidR="00A85C58">
        <w:rPr>
          <w:sz w:val="24"/>
          <w:szCs w:val="24"/>
        </w:rPr>
        <w:t>19</w:t>
      </w:r>
      <w:r w:rsidRPr="00DB38A8">
        <w:rPr>
          <w:sz w:val="24"/>
          <w:szCs w:val="24"/>
        </w:rPr>
        <w:t xml:space="preserve">: </w:t>
      </w:r>
      <w:r w:rsidR="00E17DF6">
        <w:rPr>
          <w:sz w:val="24"/>
          <w:szCs w:val="24"/>
        </w:rPr>
        <w:t>Audit observations</w:t>
      </w:r>
      <w:r w:rsidRPr="00DB38A8">
        <w:rPr>
          <w:sz w:val="24"/>
          <w:szCs w:val="24"/>
        </w:rPr>
        <w:t xml:space="preserve"> on Accounts payable as of December 31, 201</w:t>
      </w:r>
      <w:r>
        <w:rPr>
          <w:sz w:val="24"/>
          <w:szCs w:val="24"/>
        </w:rPr>
        <w:t>4</w:t>
      </w:r>
      <w:bookmarkEnd w:id="242"/>
    </w:p>
    <w:tbl>
      <w:tblPr>
        <w:tblStyle w:val="TableGrid"/>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387"/>
        <w:gridCol w:w="3969"/>
      </w:tblGrid>
      <w:tr w:rsidR="001762EE" w:rsidRPr="00DB38A8" w14:paraId="21390CA5" w14:textId="77777777" w:rsidTr="00233C6E">
        <w:trPr>
          <w:trHeight w:val="397"/>
          <w:tblHeader/>
        </w:trPr>
        <w:tc>
          <w:tcPr>
            <w:tcW w:w="5387" w:type="dxa"/>
            <w:tcBorders>
              <w:top w:val="double" w:sz="4" w:space="0" w:color="auto"/>
              <w:bottom w:val="double" w:sz="4" w:space="0" w:color="auto"/>
            </w:tcBorders>
            <w:shd w:val="clear" w:color="auto" w:fill="BFBFBF" w:themeFill="background1" w:themeFillShade="BF"/>
            <w:vAlign w:val="center"/>
          </w:tcPr>
          <w:p w14:paraId="2AE40508" w14:textId="77777777" w:rsidR="001762EE" w:rsidRPr="00E17DF6" w:rsidRDefault="001762EE" w:rsidP="00233C6E">
            <w:pPr>
              <w:spacing w:before="20" w:after="20"/>
              <w:jc w:val="center"/>
              <w:rPr>
                <w:b/>
                <w:sz w:val="22"/>
                <w:szCs w:val="22"/>
              </w:rPr>
            </w:pPr>
            <w:r w:rsidRPr="00E17DF6">
              <w:rPr>
                <w:b/>
                <w:sz w:val="22"/>
                <w:szCs w:val="22"/>
              </w:rPr>
              <w:t>Department</w:t>
            </w:r>
          </w:p>
        </w:tc>
        <w:tc>
          <w:tcPr>
            <w:tcW w:w="3969" w:type="dxa"/>
            <w:tcBorders>
              <w:top w:val="double" w:sz="4" w:space="0" w:color="auto"/>
              <w:bottom w:val="double" w:sz="4" w:space="0" w:color="auto"/>
            </w:tcBorders>
            <w:shd w:val="clear" w:color="auto" w:fill="BFBFBF" w:themeFill="background1" w:themeFillShade="BF"/>
            <w:vAlign w:val="center"/>
          </w:tcPr>
          <w:p w14:paraId="08A1CC11" w14:textId="3D2D36FA" w:rsidR="001762EE" w:rsidRPr="00E17DF6" w:rsidRDefault="001762EE" w:rsidP="00233C6E">
            <w:pPr>
              <w:spacing w:before="20" w:after="20"/>
              <w:jc w:val="center"/>
              <w:rPr>
                <w:b/>
                <w:sz w:val="22"/>
                <w:szCs w:val="22"/>
              </w:rPr>
            </w:pPr>
            <w:r w:rsidRPr="00E17DF6">
              <w:rPr>
                <w:b/>
                <w:sz w:val="22"/>
                <w:szCs w:val="22"/>
              </w:rPr>
              <w:t>Overstatement and  (Understatement)</w:t>
            </w:r>
          </w:p>
          <w:p w14:paraId="421E5894" w14:textId="590EFAAB" w:rsidR="001762EE" w:rsidRPr="00E17DF6" w:rsidRDefault="00C814E8" w:rsidP="00D46430">
            <w:pPr>
              <w:keepNext/>
              <w:spacing w:before="20" w:after="20"/>
              <w:jc w:val="center"/>
              <w:outlineLvl w:val="2"/>
              <w:rPr>
                <w:b/>
                <w:i/>
                <w:sz w:val="22"/>
                <w:szCs w:val="22"/>
              </w:rPr>
            </w:pPr>
            <w:bookmarkStart w:id="243" w:name="_Toc454811712"/>
            <w:bookmarkStart w:id="244" w:name="_Toc454888856"/>
            <w:r w:rsidRPr="00E17DF6">
              <w:rPr>
                <w:i/>
                <w:sz w:val="22"/>
                <w:szCs w:val="22"/>
              </w:rPr>
              <w:t>(</w:t>
            </w:r>
            <w:r w:rsidR="001762EE" w:rsidRPr="00E17DF6">
              <w:rPr>
                <w:i/>
                <w:sz w:val="22"/>
                <w:szCs w:val="22"/>
              </w:rPr>
              <w:t>PhP million</w:t>
            </w:r>
            <w:r w:rsidR="00E17DF6">
              <w:rPr>
                <w:i/>
                <w:sz w:val="22"/>
                <w:szCs w:val="22"/>
              </w:rPr>
              <w:t>s</w:t>
            </w:r>
            <w:r w:rsidRPr="00E17DF6">
              <w:rPr>
                <w:i/>
                <w:sz w:val="22"/>
                <w:szCs w:val="22"/>
              </w:rPr>
              <w:t>)</w:t>
            </w:r>
            <w:bookmarkEnd w:id="243"/>
            <w:bookmarkEnd w:id="244"/>
          </w:p>
        </w:tc>
      </w:tr>
      <w:tr w:rsidR="001762EE" w:rsidRPr="00DB38A8" w14:paraId="329AD4E9" w14:textId="77777777" w:rsidTr="00233C6E">
        <w:trPr>
          <w:trHeight w:val="283"/>
        </w:trPr>
        <w:tc>
          <w:tcPr>
            <w:tcW w:w="5387" w:type="dxa"/>
            <w:tcBorders>
              <w:top w:val="double" w:sz="4" w:space="0" w:color="auto"/>
            </w:tcBorders>
          </w:tcPr>
          <w:p w14:paraId="24A6D87B" w14:textId="77777777" w:rsidR="001762EE" w:rsidRPr="0025475E" w:rsidRDefault="001762EE" w:rsidP="00233C6E">
            <w:pPr>
              <w:spacing w:before="20" w:after="20"/>
              <w:rPr>
                <w:sz w:val="20"/>
                <w:szCs w:val="20"/>
              </w:rPr>
            </w:pPr>
            <w:r w:rsidRPr="0025475E">
              <w:rPr>
                <w:sz w:val="20"/>
                <w:szCs w:val="20"/>
              </w:rPr>
              <w:t>Dangerous Drugs Board</w:t>
            </w:r>
          </w:p>
        </w:tc>
        <w:tc>
          <w:tcPr>
            <w:tcW w:w="3969" w:type="dxa"/>
            <w:tcBorders>
              <w:top w:val="double" w:sz="4" w:space="0" w:color="auto"/>
            </w:tcBorders>
          </w:tcPr>
          <w:p w14:paraId="2FCBA58D" w14:textId="77777777" w:rsidR="001762EE" w:rsidRPr="0025475E" w:rsidRDefault="001762EE" w:rsidP="00233C6E">
            <w:pPr>
              <w:spacing w:before="20" w:after="20"/>
              <w:ind w:left="-1701" w:right="1701"/>
              <w:jc w:val="right"/>
              <w:rPr>
                <w:sz w:val="20"/>
                <w:szCs w:val="20"/>
              </w:rPr>
            </w:pPr>
            <w:r w:rsidRPr="0025475E">
              <w:rPr>
                <w:sz w:val="20"/>
                <w:szCs w:val="20"/>
              </w:rPr>
              <w:t>(4.170)</w:t>
            </w:r>
          </w:p>
        </w:tc>
      </w:tr>
      <w:tr w:rsidR="001762EE" w:rsidRPr="00DB38A8" w14:paraId="31B38942" w14:textId="77777777" w:rsidTr="00233C6E">
        <w:trPr>
          <w:trHeight w:val="283"/>
        </w:trPr>
        <w:tc>
          <w:tcPr>
            <w:tcW w:w="5387" w:type="dxa"/>
          </w:tcPr>
          <w:p w14:paraId="78E6BB71" w14:textId="77777777" w:rsidR="001762EE" w:rsidRPr="0025475E" w:rsidRDefault="001762EE" w:rsidP="00233C6E">
            <w:pPr>
              <w:spacing w:before="20" w:after="20"/>
              <w:rPr>
                <w:sz w:val="20"/>
                <w:szCs w:val="20"/>
              </w:rPr>
            </w:pPr>
            <w:r w:rsidRPr="0025475E">
              <w:rPr>
                <w:sz w:val="20"/>
                <w:szCs w:val="20"/>
              </w:rPr>
              <w:t>Design Center of the Philippines</w:t>
            </w:r>
          </w:p>
        </w:tc>
        <w:tc>
          <w:tcPr>
            <w:tcW w:w="3969" w:type="dxa"/>
          </w:tcPr>
          <w:p w14:paraId="46B1E539" w14:textId="77777777" w:rsidR="001762EE" w:rsidRPr="0025475E" w:rsidRDefault="001762EE" w:rsidP="00233C6E">
            <w:pPr>
              <w:spacing w:before="20" w:after="20"/>
              <w:ind w:left="-1701" w:right="1701"/>
              <w:jc w:val="right"/>
              <w:rPr>
                <w:sz w:val="20"/>
                <w:szCs w:val="20"/>
              </w:rPr>
            </w:pPr>
            <w:r w:rsidRPr="0025475E">
              <w:rPr>
                <w:sz w:val="20"/>
                <w:szCs w:val="20"/>
              </w:rPr>
              <w:t>0.214</w:t>
            </w:r>
          </w:p>
        </w:tc>
      </w:tr>
      <w:tr w:rsidR="001762EE" w:rsidRPr="00DB38A8" w14:paraId="51052615" w14:textId="77777777" w:rsidTr="00233C6E">
        <w:trPr>
          <w:trHeight w:val="283"/>
        </w:trPr>
        <w:tc>
          <w:tcPr>
            <w:tcW w:w="5387" w:type="dxa"/>
          </w:tcPr>
          <w:p w14:paraId="4FA582BD" w14:textId="77777777" w:rsidR="001762EE" w:rsidRPr="0025475E" w:rsidRDefault="001762EE" w:rsidP="00233C6E">
            <w:pPr>
              <w:spacing w:before="20" w:after="20"/>
              <w:rPr>
                <w:sz w:val="20"/>
                <w:szCs w:val="20"/>
              </w:rPr>
            </w:pPr>
            <w:r w:rsidRPr="0025475E">
              <w:rPr>
                <w:sz w:val="20"/>
                <w:szCs w:val="20"/>
              </w:rPr>
              <w:t>Laguna State Polytechnic University</w:t>
            </w:r>
          </w:p>
        </w:tc>
        <w:tc>
          <w:tcPr>
            <w:tcW w:w="3969" w:type="dxa"/>
          </w:tcPr>
          <w:p w14:paraId="1B957DBB" w14:textId="77777777" w:rsidR="001762EE" w:rsidRPr="0025475E" w:rsidRDefault="001762EE" w:rsidP="00233C6E">
            <w:pPr>
              <w:spacing w:before="20" w:after="20"/>
              <w:ind w:left="-1701" w:right="1701"/>
              <w:jc w:val="right"/>
              <w:rPr>
                <w:sz w:val="20"/>
                <w:szCs w:val="20"/>
              </w:rPr>
            </w:pPr>
            <w:r w:rsidRPr="0025475E">
              <w:rPr>
                <w:sz w:val="20"/>
                <w:szCs w:val="20"/>
              </w:rPr>
              <w:t>4.220</w:t>
            </w:r>
          </w:p>
        </w:tc>
      </w:tr>
      <w:tr w:rsidR="001762EE" w:rsidRPr="00DB38A8" w14:paraId="584F4996" w14:textId="77777777" w:rsidTr="00233C6E">
        <w:trPr>
          <w:trHeight w:val="283"/>
        </w:trPr>
        <w:tc>
          <w:tcPr>
            <w:tcW w:w="5387" w:type="dxa"/>
          </w:tcPr>
          <w:p w14:paraId="4D92C17B" w14:textId="77777777" w:rsidR="001762EE" w:rsidRPr="0025475E" w:rsidRDefault="001762EE" w:rsidP="00233C6E">
            <w:pPr>
              <w:spacing w:before="20" w:after="20"/>
              <w:rPr>
                <w:sz w:val="20"/>
                <w:szCs w:val="20"/>
              </w:rPr>
            </w:pPr>
            <w:r w:rsidRPr="0025475E">
              <w:rPr>
                <w:sz w:val="20"/>
                <w:szCs w:val="20"/>
              </w:rPr>
              <w:t>Philippine Army</w:t>
            </w:r>
          </w:p>
        </w:tc>
        <w:tc>
          <w:tcPr>
            <w:tcW w:w="3969" w:type="dxa"/>
          </w:tcPr>
          <w:p w14:paraId="12155AF6" w14:textId="77777777" w:rsidR="001762EE" w:rsidRPr="0025475E" w:rsidRDefault="001762EE" w:rsidP="00233C6E">
            <w:pPr>
              <w:spacing w:before="20" w:after="20"/>
              <w:ind w:left="-1701" w:right="1701"/>
              <w:jc w:val="right"/>
              <w:rPr>
                <w:sz w:val="20"/>
                <w:szCs w:val="20"/>
              </w:rPr>
            </w:pPr>
            <w:r w:rsidRPr="0025475E">
              <w:rPr>
                <w:sz w:val="20"/>
                <w:szCs w:val="20"/>
              </w:rPr>
              <w:t>23.828</w:t>
            </w:r>
          </w:p>
        </w:tc>
      </w:tr>
      <w:tr w:rsidR="001762EE" w:rsidRPr="00DB38A8" w14:paraId="5CCE7C24" w14:textId="77777777" w:rsidTr="00233C6E">
        <w:trPr>
          <w:trHeight w:val="283"/>
        </w:trPr>
        <w:tc>
          <w:tcPr>
            <w:tcW w:w="5387" w:type="dxa"/>
          </w:tcPr>
          <w:p w14:paraId="74C6DE80" w14:textId="77777777" w:rsidR="001762EE" w:rsidRPr="0025475E" w:rsidRDefault="001762EE" w:rsidP="00233C6E">
            <w:pPr>
              <w:spacing w:before="20" w:after="20"/>
              <w:rPr>
                <w:sz w:val="20"/>
                <w:szCs w:val="20"/>
              </w:rPr>
            </w:pPr>
            <w:r w:rsidRPr="0025475E">
              <w:rPr>
                <w:sz w:val="20"/>
                <w:szCs w:val="20"/>
              </w:rPr>
              <w:t>Philippine Air Force</w:t>
            </w:r>
          </w:p>
        </w:tc>
        <w:tc>
          <w:tcPr>
            <w:tcW w:w="3969" w:type="dxa"/>
          </w:tcPr>
          <w:p w14:paraId="0C52BAA1" w14:textId="77777777" w:rsidR="001762EE" w:rsidRPr="0025475E" w:rsidRDefault="001762EE" w:rsidP="00233C6E">
            <w:pPr>
              <w:spacing w:before="20" w:after="20"/>
              <w:ind w:left="-1701" w:right="1701"/>
              <w:jc w:val="right"/>
              <w:rPr>
                <w:sz w:val="20"/>
                <w:szCs w:val="20"/>
              </w:rPr>
            </w:pPr>
            <w:r w:rsidRPr="0025475E">
              <w:rPr>
                <w:sz w:val="20"/>
                <w:szCs w:val="20"/>
              </w:rPr>
              <w:t>(1.458)</w:t>
            </w:r>
          </w:p>
        </w:tc>
      </w:tr>
      <w:tr w:rsidR="001762EE" w:rsidRPr="00DB38A8" w14:paraId="54AFED84" w14:textId="77777777" w:rsidTr="00233C6E">
        <w:trPr>
          <w:trHeight w:val="283"/>
        </w:trPr>
        <w:tc>
          <w:tcPr>
            <w:tcW w:w="5387" w:type="dxa"/>
          </w:tcPr>
          <w:p w14:paraId="787D601E" w14:textId="77777777" w:rsidR="001762EE" w:rsidRPr="0025475E" w:rsidRDefault="001762EE" w:rsidP="00233C6E">
            <w:pPr>
              <w:spacing w:before="20" w:after="20"/>
              <w:rPr>
                <w:sz w:val="20"/>
                <w:szCs w:val="20"/>
              </w:rPr>
            </w:pPr>
            <w:r w:rsidRPr="0025475E">
              <w:rPr>
                <w:sz w:val="20"/>
                <w:szCs w:val="20"/>
              </w:rPr>
              <w:t>National Parks Development Committee</w:t>
            </w:r>
          </w:p>
        </w:tc>
        <w:tc>
          <w:tcPr>
            <w:tcW w:w="3969" w:type="dxa"/>
          </w:tcPr>
          <w:p w14:paraId="7CDD6671" w14:textId="77777777" w:rsidR="001762EE" w:rsidRPr="0025475E" w:rsidRDefault="001762EE" w:rsidP="00233C6E">
            <w:pPr>
              <w:spacing w:before="20" w:after="20"/>
              <w:ind w:left="-1701" w:right="1701"/>
              <w:jc w:val="right"/>
              <w:rPr>
                <w:sz w:val="20"/>
                <w:szCs w:val="20"/>
              </w:rPr>
            </w:pPr>
            <w:r w:rsidRPr="0025475E">
              <w:rPr>
                <w:sz w:val="20"/>
                <w:szCs w:val="20"/>
              </w:rPr>
              <w:t>7.254</w:t>
            </w:r>
          </w:p>
        </w:tc>
      </w:tr>
      <w:tr w:rsidR="001762EE" w:rsidRPr="00DB38A8" w14:paraId="7DB7952D" w14:textId="77777777" w:rsidTr="00233C6E">
        <w:trPr>
          <w:trHeight w:val="283"/>
        </w:trPr>
        <w:tc>
          <w:tcPr>
            <w:tcW w:w="5387" w:type="dxa"/>
          </w:tcPr>
          <w:p w14:paraId="7C37D384" w14:textId="77777777" w:rsidR="001762EE" w:rsidRPr="0025475E" w:rsidRDefault="001762EE" w:rsidP="00233C6E">
            <w:pPr>
              <w:spacing w:before="20" w:after="20"/>
              <w:rPr>
                <w:sz w:val="20"/>
                <w:szCs w:val="20"/>
              </w:rPr>
            </w:pPr>
            <w:r w:rsidRPr="0025475E">
              <w:rPr>
                <w:sz w:val="20"/>
                <w:szCs w:val="20"/>
              </w:rPr>
              <w:t>Intramuros Administration</w:t>
            </w:r>
          </w:p>
        </w:tc>
        <w:tc>
          <w:tcPr>
            <w:tcW w:w="3969" w:type="dxa"/>
          </w:tcPr>
          <w:p w14:paraId="04BA64BF" w14:textId="77777777" w:rsidR="001762EE" w:rsidRPr="0025475E" w:rsidRDefault="001762EE" w:rsidP="00233C6E">
            <w:pPr>
              <w:spacing w:before="20" w:after="20"/>
              <w:ind w:left="-1701" w:right="1701"/>
              <w:jc w:val="right"/>
              <w:rPr>
                <w:sz w:val="20"/>
                <w:szCs w:val="20"/>
              </w:rPr>
            </w:pPr>
            <w:r w:rsidRPr="0025475E">
              <w:rPr>
                <w:sz w:val="20"/>
                <w:szCs w:val="20"/>
              </w:rPr>
              <w:t>(2.040)</w:t>
            </w:r>
          </w:p>
        </w:tc>
      </w:tr>
      <w:tr w:rsidR="001762EE" w:rsidRPr="00DB38A8" w14:paraId="1EF2F5CF" w14:textId="77777777" w:rsidTr="00233C6E">
        <w:trPr>
          <w:trHeight w:val="283"/>
        </w:trPr>
        <w:tc>
          <w:tcPr>
            <w:tcW w:w="5387" w:type="dxa"/>
          </w:tcPr>
          <w:p w14:paraId="06E2DC7B" w14:textId="77777777" w:rsidR="001762EE" w:rsidRPr="0025475E" w:rsidRDefault="001762EE" w:rsidP="00233C6E">
            <w:pPr>
              <w:spacing w:before="20" w:after="20"/>
              <w:rPr>
                <w:sz w:val="20"/>
                <w:szCs w:val="20"/>
              </w:rPr>
            </w:pPr>
            <w:r w:rsidRPr="0025475E">
              <w:rPr>
                <w:sz w:val="20"/>
                <w:szCs w:val="20"/>
              </w:rPr>
              <w:t>Philippine Trade Training Center</w:t>
            </w:r>
          </w:p>
        </w:tc>
        <w:tc>
          <w:tcPr>
            <w:tcW w:w="3969" w:type="dxa"/>
          </w:tcPr>
          <w:p w14:paraId="48311B59" w14:textId="77777777" w:rsidR="001762EE" w:rsidRPr="0025475E" w:rsidRDefault="001762EE" w:rsidP="00233C6E">
            <w:pPr>
              <w:spacing w:before="20" w:after="20"/>
              <w:ind w:left="-1701" w:right="1701"/>
              <w:jc w:val="right"/>
              <w:rPr>
                <w:sz w:val="20"/>
                <w:szCs w:val="20"/>
              </w:rPr>
            </w:pPr>
            <w:r w:rsidRPr="0025475E">
              <w:rPr>
                <w:sz w:val="20"/>
                <w:szCs w:val="20"/>
              </w:rPr>
              <w:t>(2.682)</w:t>
            </w:r>
          </w:p>
        </w:tc>
      </w:tr>
      <w:tr w:rsidR="001762EE" w:rsidRPr="00DB38A8" w14:paraId="0D476E1E" w14:textId="77777777" w:rsidTr="00233C6E">
        <w:trPr>
          <w:trHeight w:val="283"/>
        </w:trPr>
        <w:tc>
          <w:tcPr>
            <w:tcW w:w="5387" w:type="dxa"/>
          </w:tcPr>
          <w:p w14:paraId="69CCBCD2" w14:textId="77777777" w:rsidR="001762EE" w:rsidRPr="0025475E" w:rsidRDefault="001762EE" w:rsidP="00233C6E">
            <w:pPr>
              <w:spacing w:before="20" w:after="20"/>
              <w:rPr>
                <w:b/>
                <w:sz w:val="20"/>
                <w:szCs w:val="20"/>
              </w:rPr>
            </w:pPr>
            <w:r w:rsidRPr="0025475E">
              <w:rPr>
                <w:b/>
                <w:sz w:val="20"/>
                <w:szCs w:val="20"/>
              </w:rPr>
              <w:t xml:space="preserve">Total </w:t>
            </w:r>
          </w:p>
        </w:tc>
        <w:tc>
          <w:tcPr>
            <w:tcW w:w="3969" w:type="dxa"/>
          </w:tcPr>
          <w:p w14:paraId="6E74AE16" w14:textId="77777777" w:rsidR="001762EE" w:rsidRPr="0025475E" w:rsidRDefault="001762EE" w:rsidP="00233C6E">
            <w:pPr>
              <w:spacing w:before="20" w:after="20"/>
              <w:ind w:left="-1701" w:right="1701"/>
              <w:jc w:val="right"/>
              <w:rPr>
                <w:b/>
                <w:sz w:val="20"/>
                <w:szCs w:val="20"/>
              </w:rPr>
            </w:pPr>
            <w:r w:rsidRPr="0025475E">
              <w:rPr>
                <w:b/>
                <w:sz w:val="20"/>
                <w:szCs w:val="20"/>
              </w:rPr>
              <w:t>25.166</w:t>
            </w:r>
          </w:p>
        </w:tc>
      </w:tr>
    </w:tbl>
    <w:p w14:paraId="34BE612C" w14:textId="70026C47" w:rsidR="001762EE" w:rsidRPr="00773338" w:rsidRDefault="001762EE" w:rsidP="00773338">
      <w:pPr>
        <w:pStyle w:val="NormalWeb"/>
        <w:autoSpaceDE w:val="0"/>
        <w:autoSpaceDN w:val="0"/>
        <w:adjustRightInd w:val="0"/>
        <w:spacing w:before="40" w:beforeAutospacing="0" w:after="0" w:afterAutospacing="0"/>
        <w:jc w:val="both"/>
        <w:rPr>
          <w:sz w:val="20"/>
          <w:szCs w:val="20"/>
          <w:u w:val="single"/>
        </w:rPr>
      </w:pPr>
      <w:bookmarkStart w:id="245" w:name="_Toc446425006"/>
      <w:r w:rsidRPr="00773338">
        <w:rPr>
          <w:i/>
          <w:sz w:val="20"/>
          <w:szCs w:val="20"/>
        </w:rPr>
        <w:t>Source</w:t>
      </w:r>
      <w:r w:rsidRPr="00773338">
        <w:rPr>
          <w:sz w:val="20"/>
          <w:szCs w:val="20"/>
        </w:rPr>
        <w:t>: CoA 2014 Annual Financial Report for National Government, Volume I</w:t>
      </w:r>
      <w:r w:rsidRPr="00773338">
        <w:rPr>
          <w:sz w:val="20"/>
          <w:szCs w:val="20"/>
          <w:u w:val="single"/>
        </w:rPr>
        <w:t>.</w:t>
      </w:r>
      <w:bookmarkEnd w:id="245"/>
    </w:p>
    <w:p w14:paraId="39B2B54E" w14:textId="7956EED0" w:rsidR="001762EE" w:rsidRPr="00DB38A8" w:rsidRDefault="001762EE" w:rsidP="001112A1">
      <w:pPr>
        <w:pStyle w:val="PEFATable"/>
        <w:spacing w:after="40"/>
        <w:jc w:val="both"/>
        <w:rPr>
          <w:sz w:val="24"/>
          <w:szCs w:val="24"/>
        </w:rPr>
      </w:pPr>
      <w:bookmarkStart w:id="246" w:name="_Toc454889262"/>
      <w:r w:rsidRPr="00DB38A8">
        <w:rPr>
          <w:sz w:val="24"/>
          <w:szCs w:val="24"/>
        </w:rPr>
        <w:t>Table 3.</w:t>
      </w:r>
      <w:r w:rsidR="00A85C58">
        <w:rPr>
          <w:sz w:val="24"/>
          <w:szCs w:val="24"/>
        </w:rPr>
        <w:t>20</w:t>
      </w:r>
      <w:r w:rsidRPr="00DB38A8">
        <w:rPr>
          <w:sz w:val="24"/>
          <w:szCs w:val="24"/>
        </w:rPr>
        <w:t xml:space="preserve">: </w:t>
      </w:r>
      <w:r w:rsidR="00E17DF6">
        <w:rPr>
          <w:sz w:val="24"/>
          <w:szCs w:val="24"/>
        </w:rPr>
        <w:t>Audit observations</w:t>
      </w:r>
      <w:r w:rsidRPr="00DB38A8">
        <w:rPr>
          <w:sz w:val="24"/>
          <w:szCs w:val="24"/>
        </w:rPr>
        <w:t xml:space="preserve"> on Accounts payable as of December 31, 2013</w:t>
      </w:r>
      <w:bookmarkEnd w:id="246"/>
    </w:p>
    <w:tbl>
      <w:tblPr>
        <w:tblStyle w:val="TableGrid"/>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387"/>
        <w:gridCol w:w="3969"/>
      </w:tblGrid>
      <w:tr w:rsidR="001762EE" w:rsidRPr="00DB38A8" w14:paraId="7C3E78A3" w14:textId="77777777" w:rsidTr="00233C6E">
        <w:trPr>
          <w:trHeight w:val="397"/>
          <w:tblHeader/>
        </w:trPr>
        <w:tc>
          <w:tcPr>
            <w:tcW w:w="5387" w:type="dxa"/>
            <w:tcBorders>
              <w:top w:val="double" w:sz="4" w:space="0" w:color="auto"/>
              <w:bottom w:val="double" w:sz="4" w:space="0" w:color="auto"/>
            </w:tcBorders>
            <w:shd w:val="clear" w:color="auto" w:fill="BFBFBF" w:themeFill="background1" w:themeFillShade="BF"/>
            <w:vAlign w:val="center"/>
          </w:tcPr>
          <w:p w14:paraId="17E24A21" w14:textId="77777777" w:rsidR="001762EE" w:rsidRPr="00E17DF6" w:rsidRDefault="001762EE" w:rsidP="00233C6E">
            <w:pPr>
              <w:spacing w:before="20" w:after="20"/>
              <w:jc w:val="center"/>
              <w:rPr>
                <w:b/>
                <w:sz w:val="22"/>
                <w:szCs w:val="22"/>
              </w:rPr>
            </w:pPr>
            <w:r w:rsidRPr="00E17DF6">
              <w:rPr>
                <w:b/>
                <w:sz w:val="22"/>
                <w:szCs w:val="22"/>
              </w:rPr>
              <w:t>Department</w:t>
            </w:r>
          </w:p>
        </w:tc>
        <w:tc>
          <w:tcPr>
            <w:tcW w:w="3969" w:type="dxa"/>
            <w:tcBorders>
              <w:top w:val="double" w:sz="4" w:space="0" w:color="auto"/>
              <w:bottom w:val="double" w:sz="4" w:space="0" w:color="auto"/>
            </w:tcBorders>
            <w:shd w:val="clear" w:color="auto" w:fill="BFBFBF" w:themeFill="background1" w:themeFillShade="BF"/>
            <w:vAlign w:val="center"/>
          </w:tcPr>
          <w:p w14:paraId="5F4290D4" w14:textId="1A83A5DE" w:rsidR="001762EE" w:rsidRPr="00E17DF6" w:rsidRDefault="001762EE" w:rsidP="00233C6E">
            <w:pPr>
              <w:spacing w:before="20" w:after="20"/>
              <w:jc w:val="center"/>
              <w:rPr>
                <w:b/>
                <w:sz w:val="22"/>
                <w:szCs w:val="22"/>
              </w:rPr>
            </w:pPr>
            <w:r w:rsidRPr="00E17DF6">
              <w:rPr>
                <w:b/>
                <w:sz w:val="22"/>
                <w:szCs w:val="22"/>
              </w:rPr>
              <w:t xml:space="preserve">Overstatement </w:t>
            </w:r>
            <w:r w:rsidR="00C805B5" w:rsidRPr="00E17DF6">
              <w:rPr>
                <w:b/>
                <w:sz w:val="22"/>
                <w:szCs w:val="22"/>
              </w:rPr>
              <w:t>(</w:t>
            </w:r>
            <w:r w:rsidRPr="00E17DF6">
              <w:rPr>
                <w:b/>
                <w:sz w:val="22"/>
                <w:szCs w:val="22"/>
              </w:rPr>
              <w:t>and Understatement)</w:t>
            </w:r>
          </w:p>
          <w:p w14:paraId="17BB01BD" w14:textId="171495C7" w:rsidR="001762EE" w:rsidRPr="00E17DF6" w:rsidRDefault="00C814E8" w:rsidP="00D46430">
            <w:pPr>
              <w:keepNext/>
              <w:spacing w:before="20" w:after="20"/>
              <w:jc w:val="center"/>
              <w:outlineLvl w:val="2"/>
              <w:rPr>
                <w:b/>
                <w:i/>
                <w:sz w:val="22"/>
                <w:szCs w:val="22"/>
              </w:rPr>
            </w:pPr>
            <w:bookmarkStart w:id="247" w:name="_Toc454811713"/>
            <w:bookmarkStart w:id="248" w:name="_Toc454888857"/>
            <w:r w:rsidRPr="00E17DF6">
              <w:rPr>
                <w:i/>
                <w:sz w:val="22"/>
                <w:szCs w:val="22"/>
              </w:rPr>
              <w:t>(</w:t>
            </w:r>
            <w:r w:rsidR="001762EE" w:rsidRPr="00E17DF6">
              <w:rPr>
                <w:i/>
                <w:sz w:val="22"/>
                <w:szCs w:val="22"/>
              </w:rPr>
              <w:t>PhP million</w:t>
            </w:r>
            <w:r w:rsidR="00E17DF6" w:rsidRPr="00E17DF6">
              <w:rPr>
                <w:i/>
                <w:sz w:val="22"/>
                <w:szCs w:val="22"/>
              </w:rPr>
              <w:t>s</w:t>
            </w:r>
            <w:r w:rsidRPr="00E17DF6">
              <w:rPr>
                <w:i/>
                <w:sz w:val="22"/>
                <w:szCs w:val="22"/>
              </w:rPr>
              <w:t>)</w:t>
            </w:r>
            <w:bookmarkEnd w:id="247"/>
            <w:bookmarkEnd w:id="248"/>
            <w:r w:rsidR="001762EE" w:rsidRPr="00E17DF6">
              <w:rPr>
                <w:i/>
                <w:sz w:val="22"/>
                <w:szCs w:val="22"/>
              </w:rPr>
              <w:t xml:space="preserve"> </w:t>
            </w:r>
          </w:p>
        </w:tc>
      </w:tr>
      <w:tr w:rsidR="001762EE" w:rsidRPr="00DB38A8" w14:paraId="0D424D5A" w14:textId="77777777" w:rsidTr="00233C6E">
        <w:trPr>
          <w:trHeight w:val="283"/>
        </w:trPr>
        <w:tc>
          <w:tcPr>
            <w:tcW w:w="5387" w:type="dxa"/>
            <w:tcBorders>
              <w:top w:val="double" w:sz="4" w:space="0" w:color="auto"/>
            </w:tcBorders>
          </w:tcPr>
          <w:p w14:paraId="03A70246" w14:textId="51C30F15" w:rsidR="001762EE" w:rsidRPr="0025475E" w:rsidRDefault="001762EE" w:rsidP="00070A97">
            <w:pPr>
              <w:spacing w:before="20" w:after="20"/>
              <w:rPr>
                <w:sz w:val="20"/>
                <w:szCs w:val="20"/>
              </w:rPr>
            </w:pPr>
            <w:r w:rsidRPr="0025475E">
              <w:rPr>
                <w:sz w:val="20"/>
                <w:szCs w:val="20"/>
              </w:rPr>
              <w:t>D</w:t>
            </w:r>
            <w:r w:rsidR="00070A97">
              <w:rPr>
                <w:sz w:val="20"/>
                <w:szCs w:val="20"/>
              </w:rPr>
              <w:t>epartment of Transportation and Communication</w:t>
            </w:r>
          </w:p>
        </w:tc>
        <w:tc>
          <w:tcPr>
            <w:tcW w:w="3969" w:type="dxa"/>
            <w:tcBorders>
              <w:top w:val="double" w:sz="4" w:space="0" w:color="auto"/>
            </w:tcBorders>
          </w:tcPr>
          <w:p w14:paraId="390EF10D" w14:textId="77777777" w:rsidR="001762EE" w:rsidRPr="0025475E" w:rsidRDefault="001762EE" w:rsidP="00233C6E">
            <w:pPr>
              <w:spacing w:before="20" w:after="20"/>
              <w:ind w:left="-1701" w:right="1701"/>
              <w:jc w:val="right"/>
              <w:rPr>
                <w:sz w:val="20"/>
                <w:szCs w:val="20"/>
              </w:rPr>
            </w:pPr>
            <w:r w:rsidRPr="0025475E">
              <w:rPr>
                <w:sz w:val="20"/>
                <w:szCs w:val="20"/>
              </w:rPr>
              <w:t>22.786</w:t>
            </w:r>
          </w:p>
        </w:tc>
      </w:tr>
      <w:tr w:rsidR="001762EE" w:rsidRPr="00DB38A8" w14:paraId="668A6A5C" w14:textId="77777777" w:rsidTr="00233C6E">
        <w:trPr>
          <w:trHeight w:val="283"/>
        </w:trPr>
        <w:tc>
          <w:tcPr>
            <w:tcW w:w="5387" w:type="dxa"/>
          </w:tcPr>
          <w:p w14:paraId="439E3011" w14:textId="14BBA488" w:rsidR="001762EE" w:rsidRPr="0025475E" w:rsidRDefault="001762EE" w:rsidP="00D46430">
            <w:pPr>
              <w:spacing w:before="20" w:after="20"/>
              <w:rPr>
                <w:sz w:val="20"/>
                <w:szCs w:val="20"/>
              </w:rPr>
            </w:pPr>
            <w:r w:rsidRPr="0025475E">
              <w:rPr>
                <w:sz w:val="20"/>
                <w:szCs w:val="20"/>
              </w:rPr>
              <w:t>B</w:t>
            </w:r>
            <w:r w:rsidR="00070A97">
              <w:rPr>
                <w:sz w:val="20"/>
                <w:szCs w:val="20"/>
              </w:rPr>
              <w:t xml:space="preserve">ureau of </w:t>
            </w:r>
            <w:r w:rsidRPr="0025475E">
              <w:rPr>
                <w:sz w:val="20"/>
                <w:szCs w:val="20"/>
              </w:rPr>
              <w:t>I</w:t>
            </w:r>
            <w:r w:rsidR="00070A97">
              <w:rPr>
                <w:sz w:val="20"/>
                <w:szCs w:val="20"/>
              </w:rPr>
              <w:t xml:space="preserve">nternal </w:t>
            </w:r>
            <w:r w:rsidRPr="0025475E">
              <w:rPr>
                <w:sz w:val="20"/>
                <w:szCs w:val="20"/>
              </w:rPr>
              <w:t>R</w:t>
            </w:r>
            <w:r w:rsidR="00070A97">
              <w:rPr>
                <w:sz w:val="20"/>
                <w:szCs w:val="20"/>
              </w:rPr>
              <w:t>evenue</w:t>
            </w:r>
          </w:p>
        </w:tc>
        <w:tc>
          <w:tcPr>
            <w:tcW w:w="3969" w:type="dxa"/>
          </w:tcPr>
          <w:p w14:paraId="26A6C2C3" w14:textId="77777777" w:rsidR="001762EE" w:rsidRPr="0025475E" w:rsidRDefault="001762EE" w:rsidP="00233C6E">
            <w:pPr>
              <w:spacing w:before="20" w:after="20"/>
              <w:ind w:left="-1701" w:right="1701"/>
              <w:jc w:val="right"/>
              <w:rPr>
                <w:sz w:val="20"/>
                <w:szCs w:val="20"/>
              </w:rPr>
            </w:pPr>
            <w:r w:rsidRPr="0025475E">
              <w:rPr>
                <w:sz w:val="20"/>
                <w:szCs w:val="20"/>
              </w:rPr>
              <w:t>162.453</w:t>
            </w:r>
          </w:p>
        </w:tc>
      </w:tr>
      <w:tr w:rsidR="001762EE" w:rsidRPr="00DB38A8" w14:paraId="49AC6E22" w14:textId="77777777" w:rsidTr="00233C6E">
        <w:trPr>
          <w:trHeight w:val="283"/>
        </w:trPr>
        <w:tc>
          <w:tcPr>
            <w:tcW w:w="5387" w:type="dxa"/>
          </w:tcPr>
          <w:p w14:paraId="671F3C1D" w14:textId="2A5889CB" w:rsidR="001762EE" w:rsidRPr="0025475E" w:rsidRDefault="001762EE" w:rsidP="00233C6E">
            <w:pPr>
              <w:spacing w:before="20" w:after="20"/>
              <w:rPr>
                <w:sz w:val="20"/>
                <w:szCs w:val="20"/>
              </w:rPr>
            </w:pPr>
            <w:r w:rsidRPr="0025475E">
              <w:rPr>
                <w:sz w:val="20"/>
                <w:szCs w:val="20"/>
              </w:rPr>
              <w:t>Dep</w:t>
            </w:r>
            <w:r w:rsidR="00070A97">
              <w:rPr>
                <w:sz w:val="20"/>
                <w:szCs w:val="20"/>
              </w:rPr>
              <w:t xml:space="preserve">artment of </w:t>
            </w:r>
            <w:r w:rsidRPr="0025475E">
              <w:rPr>
                <w:sz w:val="20"/>
                <w:szCs w:val="20"/>
              </w:rPr>
              <w:t>Ed</w:t>
            </w:r>
            <w:r w:rsidR="00070A97">
              <w:rPr>
                <w:sz w:val="20"/>
                <w:szCs w:val="20"/>
              </w:rPr>
              <w:t>ucation</w:t>
            </w:r>
          </w:p>
        </w:tc>
        <w:tc>
          <w:tcPr>
            <w:tcW w:w="3969" w:type="dxa"/>
          </w:tcPr>
          <w:p w14:paraId="34520591" w14:textId="77777777" w:rsidR="001762EE" w:rsidRPr="0025475E" w:rsidRDefault="001762EE" w:rsidP="00233C6E">
            <w:pPr>
              <w:spacing w:before="20" w:after="20"/>
              <w:ind w:left="-1701" w:right="1701"/>
              <w:jc w:val="right"/>
              <w:rPr>
                <w:sz w:val="20"/>
                <w:szCs w:val="20"/>
              </w:rPr>
            </w:pPr>
            <w:r w:rsidRPr="0025475E">
              <w:rPr>
                <w:sz w:val="20"/>
                <w:szCs w:val="20"/>
              </w:rPr>
              <w:t>(514.890)</w:t>
            </w:r>
          </w:p>
        </w:tc>
      </w:tr>
      <w:tr w:rsidR="001762EE" w:rsidRPr="00DB38A8" w14:paraId="4CEE5E7F" w14:textId="77777777" w:rsidTr="00233C6E">
        <w:trPr>
          <w:trHeight w:val="283"/>
        </w:trPr>
        <w:tc>
          <w:tcPr>
            <w:tcW w:w="5387" w:type="dxa"/>
          </w:tcPr>
          <w:p w14:paraId="7709DBC0" w14:textId="43266D5F" w:rsidR="001762EE" w:rsidRPr="0025475E" w:rsidRDefault="001762EE" w:rsidP="00070A97">
            <w:pPr>
              <w:spacing w:before="20" w:after="20"/>
              <w:rPr>
                <w:sz w:val="20"/>
                <w:szCs w:val="20"/>
              </w:rPr>
            </w:pPr>
            <w:r w:rsidRPr="0025475E">
              <w:rPr>
                <w:sz w:val="20"/>
                <w:szCs w:val="20"/>
              </w:rPr>
              <w:t>D</w:t>
            </w:r>
            <w:r w:rsidR="00070A97">
              <w:rPr>
                <w:sz w:val="20"/>
                <w:szCs w:val="20"/>
              </w:rPr>
              <w:t>epartment of Energy</w:t>
            </w:r>
          </w:p>
        </w:tc>
        <w:tc>
          <w:tcPr>
            <w:tcW w:w="3969" w:type="dxa"/>
          </w:tcPr>
          <w:p w14:paraId="504046F1" w14:textId="77777777" w:rsidR="001762EE" w:rsidRPr="0025475E" w:rsidRDefault="001762EE" w:rsidP="00233C6E">
            <w:pPr>
              <w:spacing w:before="20" w:after="20"/>
              <w:ind w:left="-1701" w:right="1701"/>
              <w:jc w:val="right"/>
              <w:rPr>
                <w:sz w:val="20"/>
                <w:szCs w:val="20"/>
              </w:rPr>
            </w:pPr>
            <w:r w:rsidRPr="0025475E">
              <w:rPr>
                <w:sz w:val="20"/>
                <w:szCs w:val="20"/>
              </w:rPr>
              <w:t>914.835</w:t>
            </w:r>
          </w:p>
        </w:tc>
      </w:tr>
      <w:tr w:rsidR="001762EE" w:rsidRPr="00DB38A8" w14:paraId="280A83FA" w14:textId="77777777" w:rsidTr="00233C6E">
        <w:trPr>
          <w:trHeight w:val="283"/>
        </w:trPr>
        <w:tc>
          <w:tcPr>
            <w:tcW w:w="5387" w:type="dxa"/>
          </w:tcPr>
          <w:p w14:paraId="6FAC0AE5" w14:textId="12960FE3" w:rsidR="001762EE" w:rsidRPr="0025475E" w:rsidRDefault="001762EE" w:rsidP="00070A97">
            <w:pPr>
              <w:spacing w:before="20" w:after="20"/>
              <w:rPr>
                <w:sz w:val="20"/>
                <w:szCs w:val="20"/>
              </w:rPr>
            </w:pPr>
            <w:r w:rsidRPr="0025475E">
              <w:rPr>
                <w:sz w:val="20"/>
                <w:szCs w:val="20"/>
              </w:rPr>
              <w:t>D</w:t>
            </w:r>
            <w:r w:rsidR="00070A97">
              <w:rPr>
                <w:sz w:val="20"/>
                <w:szCs w:val="20"/>
              </w:rPr>
              <w:t xml:space="preserve">epartment of </w:t>
            </w:r>
            <w:r w:rsidRPr="0025475E">
              <w:rPr>
                <w:sz w:val="20"/>
                <w:szCs w:val="20"/>
              </w:rPr>
              <w:t>E</w:t>
            </w:r>
            <w:r w:rsidR="00070A97">
              <w:rPr>
                <w:sz w:val="20"/>
                <w:szCs w:val="20"/>
              </w:rPr>
              <w:t xml:space="preserve">nvironment and </w:t>
            </w:r>
            <w:r w:rsidRPr="0025475E">
              <w:rPr>
                <w:sz w:val="20"/>
                <w:szCs w:val="20"/>
              </w:rPr>
              <w:t>N</w:t>
            </w:r>
            <w:r w:rsidR="00070A97">
              <w:rPr>
                <w:sz w:val="20"/>
                <w:szCs w:val="20"/>
              </w:rPr>
              <w:t xml:space="preserve">atural </w:t>
            </w:r>
            <w:r w:rsidRPr="0025475E">
              <w:rPr>
                <w:sz w:val="20"/>
                <w:szCs w:val="20"/>
              </w:rPr>
              <w:t>R</w:t>
            </w:r>
            <w:r w:rsidR="00070A97">
              <w:rPr>
                <w:sz w:val="20"/>
                <w:szCs w:val="20"/>
              </w:rPr>
              <w:t>esources</w:t>
            </w:r>
          </w:p>
        </w:tc>
        <w:tc>
          <w:tcPr>
            <w:tcW w:w="3969" w:type="dxa"/>
          </w:tcPr>
          <w:p w14:paraId="362AEE73" w14:textId="77777777" w:rsidR="001762EE" w:rsidRPr="0025475E" w:rsidRDefault="001762EE" w:rsidP="00233C6E">
            <w:pPr>
              <w:spacing w:before="20" w:after="20"/>
              <w:ind w:left="-1701" w:right="1701"/>
              <w:jc w:val="right"/>
              <w:rPr>
                <w:sz w:val="20"/>
                <w:szCs w:val="20"/>
              </w:rPr>
            </w:pPr>
            <w:r w:rsidRPr="0025475E">
              <w:rPr>
                <w:sz w:val="20"/>
                <w:szCs w:val="20"/>
              </w:rPr>
              <w:t>67.424</w:t>
            </w:r>
          </w:p>
        </w:tc>
      </w:tr>
      <w:tr w:rsidR="001762EE" w:rsidRPr="00DB38A8" w14:paraId="06477102" w14:textId="77777777" w:rsidTr="00233C6E">
        <w:trPr>
          <w:trHeight w:val="283"/>
        </w:trPr>
        <w:tc>
          <w:tcPr>
            <w:tcW w:w="5387" w:type="dxa"/>
          </w:tcPr>
          <w:p w14:paraId="3675CB43" w14:textId="5D6E7797" w:rsidR="001762EE" w:rsidRPr="0025475E" w:rsidRDefault="001762EE" w:rsidP="00233C6E">
            <w:pPr>
              <w:spacing w:before="20" w:after="20"/>
              <w:rPr>
                <w:sz w:val="20"/>
                <w:szCs w:val="20"/>
              </w:rPr>
            </w:pPr>
            <w:r w:rsidRPr="0025475E">
              <w:rPr>
                <w:sz w:val="20"/>
                <w:szCs w:val="20"/>
              </w:rPr>
              <w:t>D</w:t>
            </w:r>
            <w:r w:rsidR="00070A97">
              <w:rPr>
                <w:sz w:val="20"/>
                <w:szCs w:val="20"/>
              </w:rPr>
              <w:t xml:space="preserve">epartment of </w:t>
            </w:r>
            <w:r w:rsidRPr="0025475E">
              <w:rPr>
                <w:sz w:val="20"/>
                <w:szCs w:val="20"/>
              </w:rPr>
              <w:t>S</w:t>
            </w:r>
            <w:r w:rsidR="00070A97">
              <w:rPr>
                <w:sz w:val="20"/>
                <w:szCs w:val="20"/>
              </w:rPr>
              <w:t xml:space="preserve">ocial </w:t>
            </w:r>
            <w:r w:rsidRPr="0025475E">
              <w:rPr>
                <w:sz w:val="20"/>
                <w:szCs w:val="20"/>
              </w:rPr>
              <w:t>W</w:t>
            </w:r>
            <w:r w:rsidR="00070A97">
              <w:rPr>
                <w:sz w:val="20"/>
                <w:szCs w:val="20"/>
              </w:rPr>
              <w:t xml:space="preserve">elfare and </w:t>
            </w:r>
            <w:r w:rsidRPr="0025475E">
              <w:rPr>
                <w:sz w:val="20"/>
                <w:szCs w:val="20"/>
              </w:rPr>
              <w:t>D</w:t>
            </w:r>
            <w:r w:rsidR="00070A97">
              <w:rPr>
                <w:sz w:val="20"/>
                <w:szCs w:val="20"/>
              </w:rPr>
              <w:t>evelopment</w:t>
            </w:r>
          </w:p>
        </w:tc>
        <w:tc>
          <w:tcPr>
            <w:tcW w:w="3969" w:type="dxa"/>
          </w:tcPr>
          <w:p w14:paraId="6003A114" w14:textId="77777777" w:rsidR="001762EE" w:rsidRPr="0025475E" w:rsidRDefault="001762EE" w:rsidP="00233C6E">
            <w:pPr>
              <w:spacing w:before="20" w:after="20"/>
              <w:ind w:left="-1701" w:right="1701"/>
              <w:jc w:val="right"/>
              <w:rPr>
                <w:sz w:val="20"/>
                <w:szCs w:val="20"/>
              </w:rPr>
            </w:pPr>
            <w:r w:rsidRPr="0025475E">
              <w:rPr>
                <w:sz w:val="20"/>
                <w:szCs w:val="20"/>
              </w:rPr>
              <w:t>(562.397)</w:t>
            </w:r>
          </w:p>
        </w:tc>
      </w:tr>
      <w:tr w:rsidR="001762EE" w:rsidRPr="00DB38A8" w14:paraId="0D1C7AED" w14:textId="77777777" w:rsidTr="00233C6E">
        <w:trPr>
          <w:trHeight w:val="283"/>
        </w:trPr>
        <w:tc>
          <w:tcPr>
            <w:tcW w:w="5387" w:type="dxa"/>
          </w:tcPr>
          <w:p w14:paraId="7DC70D0D" w14:textId="39A0A8F1" w:rsidR="001762EE" w:rsidRPr="0025475E" w:rsidRDefault="001762EE" w:rsidP="00233C6E">
            <w:pPr>
              <w:spacing w:before="20" w:after="20"/>
              <w:rPr>
                <w:sz w:val="20"/>
                <w:szCs w:val="20"/>
              </w:rPr>
            </w:pPr>
            <w:r w:rsidRPr="0025475E">
              <w:rPr>
                <w:sz w:val="20"/>
                <w:szCs w:val="20"/>
              </w:rPr>
              <w:t>M</w:t>
            </w:r>
            <w:r w:rsidR="00070A97">
              <w:rPr>
                <w:sz w:val="20"/>
                <w:szCs w:val="20"/>
              </w:rPr>
              <w:t xml:space="preserve">etro </w:t>
            </w:r>
            <w:r w:rsidRPr="0025475E">
              <w:rPr>
                <w:sz w:val="20"/>
                <w:szCs w:val="20"/>
              </w:rPr>
              <w:t>M</w:t>
            </w:r>
            <w:r w:rsidR="00070A97">
              <w:rPr>
                <w:sz w:val="20"/>
                <w:szCs w:val="20"/>
              </w:rPr>
              <w:t xml:space="preserve">anila </w:t>
            </w:r>
            <w:r w:rsidRPr="0025475E">
              <w:rPr>
                <w:sz w:val="20"/>
                <w:szCs w:val="20"/>
              </w:rPr>
              <w:t>D</w:t>
            </w:r>
            <w:r w:rsidR="00070A97">
              <w:rPr>
                <w:sz w:val="20"/>
                <w:szCs w:val="20"/>
              </w:rPr>
              <w:t xml:space="preserve">evelopment </w:t>
            </w:r>
            <w:r w:rsidRPr="0025475E">
              <w:rPr>
                <w:sz w:val="20"/>
                <w:szCs w:val="20"/>
              </w:rPr>
              <w:t>A</w:t>
            </w:r>
            <w:r w:rsidR="00070A97">
              <w:rPr>
                <w:sz w:val="20"/>
                <w:szCs w:val="20"/>
              </w:rPr>
              <w:t>uthority</w:t>
            </w:r>
          </w:p>
        </w:tc>
        <w:tc>
          <w:tcPr>
            <w:tcW w:w="3969" w:type="dxa"/>
          </w:tcPr>
          <w:p w14:paraId="584C95D2" w14:textId="77777777" w:rsidR="001762EE" w:rsidRPr="0025475E" w:rsidRDefault="001762EE" w:rsidP="00233C6E">
            <w:pPr>
              <w:spacing w:before="20" w:after="20"/>
              <w:ind w:left="-1701" w:right="1701"/>
              <w:jc w:val="right"/>
              <w:rPr>
                <w:sz w:val="20"/>
                <w:szCs w:val="20"/>
              </w:rPr>
            </w:pPr>
            <w:r w:rsidRPr="0025475E">
              <w:rPr>
                <w:sz w:val="20"/>
                <w:szCs w:val="20"/>
              </w:rPr>
              <w:t>1,524.175</w:t>
            </w:r>
          </w:p>
        </w:tc>
      </w:tr>
      <w:tr w:rsidR="001762EE" w:rsidRPr="00DB38A8" w14:paraId="18E0D856" w14:textId="77777777" w:rsidTr="00233C6E">
        <w:trPr>
          <w:trHeight w:val="283"/>
        </w:trPr>
        <w:tc>
          <w:tcPr>
            <w:tcW w:w="5387" w:type="dxa"/>
          </w:tcPr>
          <w:p w14:paraId="18A47D37" w14:textId="77777777" w:rsidR="001762EE" w:rsidRPr="0025475E" w:rsidRDefault="001762EE" w:rsidP="00233C6E">
            <w:pPr>
              <w:spacing w:before="20" w:after="20"/>
              <w:rPr>
                <w:sz w:val="20"/>
                <w:szCs w:val="20"/>
              </w:rPr>
            </w:pPr>
            <w:r w:rsidRPr="0025475E">
              <w:rPr>
                <w:sz w:val="20"/>
                <w:szCs w:val="20"/>
              </w:rPr>
              <w:t>National Youth Commission</w:t>
            </w:r>
          </w:p>
        </w:tc>
        <w:tc>
          <w:tcPr>
            <w:tcW w:w="3969" w:type="dxa"/>
          </w:tcPr>
          <w:p w14:paraId="79645369" w14:textId="77777777" w:rsidR="001762EE" w:rsidRPr="0025475E" w:rsidRDefault="001762EE" w:rsidP="00233C6E">
            <w:pPr>
              <w:spacing w:before="20" w:after="20"/>
              <w:ind w:left="-1701" w:right="1701"/>
              <w:jc w:val="right"/>
              <w:rPr>
                <w:sz w:val="20"/>
                <w:szCs w:val="20"/>
              </w:rPr>
            </w:pPr>
            <w:r w:rsidRPr="0025475E">
              <w:rPr>
                <w:sz w:val="20"/>
                <w:szCs w:val="20"/>
              </w:rPr>
              <w:t>(1.408)</w:t>
            </w:r>
          </w:p>
        </w:tc>
      </w:tr>
      <w:tr w:rsidR="001762EE" w:rsidRPr="00DB38A8" w14:paraId="2DB82689" w14:textId="77777777" w:rsidTr="00233C6E">
        <w:trPr>
          <w:trHeight w:val="283"/>
        </w:trPr>
        <w:tc>
          <w:tcPr>
            <w:tcW w:w="5387" w:type="dxa"/>
          </w:tcPr>
          <w:p w14:paraId="04D81205" w14:textId="77777777" w:rsidR="001762EE" w:rsidRPr="0025475E" w:rsidRDefault="001762EE" w:rsidP="00233C6E">
            <w:pPr>
              <w:spacing w:before="20" w:after="20"/>
              <w:rPr>
                <w:sz w:val="20"/>
                <w:szCs w:val="20"/>
              </w:rPr>
            </w:pPr>
            <w:r w:rsidRPr="0025475E">
              <w:rPr>
                <w:sz w:val="20"/>
                <w:szCs w:val="20"/>
              </w:rPr>
              <w:t>National Water Resources Board</w:t>
            </w:r>
          </w:p>
        </w:tc>
        <w:tc>
          <w:tcPr>
            <w:tcW w:w="3969" w:type="dxa"/>
          </w:tcPr>
          <w:p w14:paraId="7037F4D3" w14:textId="77777777" w:rsidR="001762EE" w:rsidRPr="0025475E" w:rsidRDefault="001762EE" w:rsidP="00233C6E">
            <w:pPr>
              <w:spacing w:before="20" w:after="20"/>
              <w:ind w:left="-1701" w:right="1701"/>
              <w:jc w:val="right"/>
              <w:rPr>
                <w:sz w:val="20"/>
                <w:szCs w:val="20"/>
              </w:rPr>
            </w:pPr>
            <w:r w:rsidRPr="0025475E">
              <w:rPr>
                <w:sz w:val="20"/>
                <w:szCs w:val="20"/>
              </w:rPr>
              <w:t>0.301</w:t>
            </w:r>
          </w:p>
        </w:tc>
      </w:tr>
      <w:tr w:rsidR="001762EE" w:rsidRPr="00DB38A8" w14:paraId="1D1A9F20" w14:textId="77777777" w:rsidTr="00233C6E">
        <w:trPr>
          <w:trHeight w:val="283"/>
        </w:trPr>
        <w:tc>
          <w:tcPr>
            <w:tcW w:w="5387" w:type="dxa"/>
          </w:tcPr>
          <w:p w14:paraId="0CAB0E32" w14:textId="77777777" w:rsidR="001762EE" w:rsidRPr="0025475E" w:rsidRDefault="001762EE" w:rsidP="00233C6E">
            <w:pPr>
              <w:spacing w:before="20" w:after="20"/>
              <w:rPr>
                <w:sz w:val="20"/>
                <w:szCs w:val="20"/>
              </w:rPr>
            </w:pPr>
            <w:r w:rsidRPr="0025475E">
              <w:rPr>
                <w:sz w:val="20"/>
                <w:szCs w:val="20"/>
              </w:rPr>
              <w:t>Kalinga-Apayao State College</w:t>
            </w:r>
          </w:p>
        </w:tc>
        <w:tc>
          <w:tcPr>
            <w:tcW w:w="3969" w:type="dxa"/>
          </w:tcPr>
          <w:p w14:paraId="194C3F07" w14:textId="77777777" w:rsidR="001762EE" w:rsidRPr="0025475E" w:rsidRDefault="001762EE" w:rsidP="00233C6E">
            <w:pPr>
              <w:spacing w:before="20" w:after="20"/>
              <w:ind w:left="-1701" w:right="1701"/>
              <w:jc w:val="right"/>
              <w:rPr>
                <w:sz w:val="20"/>
                <w:szCs w:val="20"/>
              </w:rPr>
            </w:pPr>
            <w:r w:rsidRPr="0025475E">
              <w:rPr>
                <w:sz w:val="20"/>
                <w:szCs w:val="20"/>
              </w:rPr>
              <w:t>12.101</w:t>
            </w:r>
          </w:p>
        </w:tc>
      </w:tr>
      <w:tr w:rsidR="001762EE" w:rsidRPr="00DB38A8" w14:paraId="24AD0828" w14:textId="77777777" w:rsidTr="00233C6E">
        <w:trPr>
          <w:trHeight w:val="283"/>
        </w:trPr>
        <w:tc>
          <w:tcPr>
            <w:tcW w:w="5387" w:type="dxa"/>
          </w:tcPr>
          <w:p w14:paraId="21574F37" w14:textId="77777777" w:rsidR="001762EE" w:rsidRPr="0025475E" w:rsidRDefault="001762EE" w:rsidP="00233C6E">
            <w:pPr>
              <w:spacing w:before="20" w:after="20"/>
              <w:rPr>
                <w:sz w:val="20"/>
                <w:szCs w:val="20"/>
              </w:rPr>
            </w:pPr>
            <w:r w:rsidRPr="0025475E">
              <w:rPr>
                <w:sz w:val="20"/>
                <w:szCs w:val="20"/>
              </w:rPr>
              <w:t>Philippine Merchant Marine Academy</w:t>
            </w:r>
          </w:p>
        </w:tc>
        <w:tc>
          <w:tcPr>
            <w:tcW w:w="3969" w:type="dxa"/>
          </w:tcPr>
          <w:p w14:paraId="2D86BA7D" w14:textId="77777777" w:rsidR="001762EE" w:rsidRPr="0025475E" w:rsidRDefault="001762EE" w:rsidP="00233C6E">
            <w:pPr>
              <w:spacing w:before="20" w:after="20"/>
              <w:ind w:left="-1701" w:right="1701"/>
              <w:jc w:val="right"/>
              <w:rPr>
                <w:sz w:val="20"/>
                <w:szCs w:val="20"/>
              </w:rPr>
            </w:pPr>
            <w:r w:rsidRPr="0025475E">
              <w:rPr>
                <w:sz w:val="20"/>
                <w:szCs w:val="20"/>
              </w:rPr>
              <w:t>1.100</w:t>
            </w:r>
          </w:p>
        </w:tc>
      </w:tr>
      <w:tr w:rsidR="001762EE" w:rsidRPr="00DB38A8" w14:paraId="5542FBB3" w14:textId="77777777" w:rsidTr="00233C6E">
        <w:trPr>
          <w:trHeight w:val="283"/>
        </w:trPr>
        <w:tc>
          <w:tcPr>
            <w:tcW w:w="5387" w:type="dxa"/>
          </w:tcPr>
          <w:p w14:paraId="1D1EA998" w14:textId="0FF0E604" w:rsidR="001762EE" w:rsidRPr="0025475E" w:rsidRDefault="001762EE" w:rsidP="00184094">
            <w:pPr>
              <w:spacing w:before="20" w:after="20"/>
              <w:rPr>
                <w:sz w:val="20"/>
                <w:szCs w:val="20"/>
              </w:rPr>
            </w:pPr>
            <w:r w:rsidRPr="0025475E">
              <w:rPr>
                <w:sz w:val="20"/>
                <w:szCs w:val="20"/>
              </w:rPr>
              <w:t>Jose Rizal Memorial State University– Dipolog</w:t>
            </w:r>
          </w:p>
        </w:tc>
        <w:tc>
          <w:tcPr>
            <w:tcW w:w="3969" w:type="dxa"/>
          </w:tcPr>
          <w:p w14:paraId="3C5CF580" w14:textId="77777777" w:rsidR="001762EE" w:rsidRPr="0025475E" w:rsidRDefault="001762EE" w:rsidP="00233C6E">
            <w:pPr>
              <w:spacing w:before="20" w:after="20"/>
              <w:ind w:left="-1701" w:right="1701"/>
              <w:jc w:val="right"/>
              <w:rPr>
                <w:sz w:val="20"/>
                <w:szCs w:val="20"/>
              </w:rPr>
            </w:pPr>
            <w:r w:rsidRPr="0025475E">
              <w:rPr>
                <w:sz w:val="20"/>
                <w:szCs w:val="20"/>
              </w:rPr>
              <w:t>(0.215)</w:t>
            </w:r>
          </w:p>
        </w:tc>
      </w:tr>
      <w:tr w:rsidR="001762EE" w:rsidRPr="00DB38A8" w14:paraId="4E3C5D65" w14:textId="77777777" w:rsidTr="00233C6E">
        <w:trPr>
          <w:trHeight w:val="283"/>
        </w:trPr>
        <w:tc>
          <w:tcPr>
            <w:tcW w:w="5387" w:type="dxa"/>
          </w:tcPr>
          <w:p w14:paraId="05BEF7D2" w14:textId="049980DA" w:rsidR="001762EE" w:rsidRPr="0025475E" w:rsidRDefault="001762EE" w:rsidP="00233C6E">
            <w:pPr>
              <w:spacing w:before="20" w:after="20"/>
              <w:rPr>
                <w:sz w:val="20"/>
                <w:szCs w:val="20"/>
              </w:rPr>
            </w:pPr>
            <w:r w:rsidRPr="0025475E">
              <w:rPr>
                <w:sz w:val="20"/>
                <w:szCs w:val="20"/>
              </w:rPr>
              <w:t>Jose Rizal Memorial State University – Tampilisan</w:t>
            </w:r>
          </w:p>
        </w:tc>
        <w:tc>
          <w:tcPr>
            <w:tcW w:w="3969" w:type="dxa"/>
          </w:tcPr>
          <w:p w14:paraId="0A35D516" w14:textId="77777777" w:rsidR="001762EE" w:rsidRPr="0025475E" w:rsidRDefault="001762EE" w:rsidP="00233C6E">
            <w:pPr>
              <w:spacing w:before="20" w:after="20"/>
              <w:ind w:left="-1701" w:right="1701"/>
              <w:jc w:val="right"/>
              <w:rPr>
                <w:sz w:val="20"/>
                <w:szCs w:val="20"/>
              </w:rPr>
            </w:pPr>
            <w:r w:rsidRPr="0025475E">
              <w:rPr>
                <w:sz w:val="20"/>
                <w:szCs w:val="20"/>
              </w:rPr>
              <w:t>(0.228)</w:t>
            </w:r>
          </w:p>
        </w:tc>
      </w:tr>
      <w:tr w:rsidR="001762EE" w:rsidRPr="00DB38A8" w14:paraId="246805A2" w14:textId="77777777" w:rsidTr="00233C6E">
        <w:trPr>
          <w:trHeight w:val="283"/>
        </w:trPr>
        <w:tc>
          <w:tcPr>
            <w:tcW w:w="5387" w:type="dxa"/>
          </w:tcPr>
          <w:p w14:paraId="7CD7D291" w14:textId="77777777" w:rsidR="001762EE" w:rsidRPr="0025475E" w:rsidRDefault="001762EE" w:rsidP="00233C6E">
            <w:pPr>
              <w:spacing w:before="20" w:after="20"/>
              <w:rPr>
                <w:b/>
                <w:sz w:val="20"/>
                <w:szCs w:val="20"/>
              </w:rPr>
            </w:pPr>
            <w:r w:rsidRPr="0025475E">
              <w:rPr>
                <w:b/>
                <w:sz w:val="20"/>
                <w:szCs w:val="20"/>
              </w:rPr>
              <w:t xml:space="preserve">Total </w:t>
            </w:r>
          </w:p>
        </w:tc>
        <w:tc>
          <w:tcPr>
            <w:tcW w:w="3969" w:type="dxa"/>
          </w:tcPr>
          <w:p w14:paraId="7EB5ED92" w14:textId="77777777" w:rsidR="001762EE" w:rsidRPr="0025475E" w:rsidRDefault="001762EE" w:rsidP="00233C6E">
            <w:pPr>
              <w:spacing w:before="20" w:after="20"/>
              <w:ind w:left="-1701" w:right="1701"/>
              <w:jc w:val="right"/>
              <w:rPr>
                <w:b/>
                <w:sz w:val="20"/>
                <w:szCs w:val="20"/>
              </w:rPr>
            </w:pPr>
            <w:r w:rsidRPr="0025475E">
              <w:rPr>
                <w:b/>
                <w:sz w:val="20"/>
                <w:szCs w:val="20"/>
              </w:rPr>
              <w:t>1,626.037</w:t>
            </w:r>
          </w:p>
        </w:tc>
      </w:tr>
    </w:tbl>
    <w:p w14:paraId="45ACDA9D" w14:textId="442B108E" w:rsidR="001762EE" w:rsidRPr="00DB38A8" w:rsidRDefault="001762EE" w:rsidP="000307BF">
      <w:pPr>
        <w:pStyle w:val="NormalWeb"/>
        <w:autoSpaceDE w:val="0"/>
        <w:autoSpaceDN w:val="0"/>
        <w:adjustRightInd w:val="0"/>
        <w:spacing w:before="40" w:beforeAutospacing="0" w:after="0" w:afterAutospacing="0"/>
        <w:jc w:val="both"/>
        <w:rPr>
          <w:sz w:val="20"/>
          <w:szCs w:val="20"/>
        </w:rPr>
      </w:pPr>
      <w:r w:rsidRPr="00CA0D85">
        <w:rPr>
          <w:i/>
          <w:sz w:val="20"/>
          <w:szCs w:val="20"/>
        </w:rPr>
        <w:t>Source</w:t>
      </w:r>
      <w:r w:rsidRPr="004C2FF2">
        <w:rPr>
          <w:sz w:val="20"/>
          <w:szCs w:val="20"/>
        </w:rPr>
        <w:t>:</w:t>
      </w:r>
      <w:r w:rsidRPr="00DB38A8">
        <w:rPr>
          <w:sz w:val="20"/>
          <w:szCs w:val="20"/>
        </w:rPr>
        <w:t xml:space="preserve"> </w:t>
      </w:r>
      <w:r>
        <w:rPr>
          <w:sz w:val="20"/>
          <w:szCs w:val="20"/>
        </w:rPr>
        <w:t>CoA</w:t>
      </w:r>
      <w:r w:rsidRPr="00DB38A8">
        <w:rPr>
          <w:sz w:val="20"/>
          <w:szCs w:val="20"/>
        </w:rPr>
        <w:t xml:space="preserve"> 2013 Annual Financial Report for National Government, Volume I-B.</w:t>
      </w:r>
    </w:p>
    <w:p w14:paraId="4A8059A0" w14:textId="77777777" w:rsidR="001762EE" w:rsidRDefault="001762EE" w:rsidP="00AA05D8">
      <w:pPr>
        <w:pStyle w:val="NormalWeb"/>
        <w:autoSpaceDE w:val="0"/>
        <w:autoSpaceDN w:val="0"/>
        <w:adjustRightInd w:val="0"/>
        <w:spacing w:before="0" w:beforeAutospacing="0" w:after="0" w:afterAutospacing="0"/>
        <w:contextualSpacing/>
        <w:jc w:val="both"/>
      </w:pPr>
    </w:p>
    <w:p w14:paraId="4EEF3991" w14:textId="00770A90" w:rsidR="001762EE" w:rsidRPr="00DB38A8"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DB38A8">
        <w:t xml:space="preserve">These accounts payable figures may be materially overstated. Interviews with DBM officials reveal that a large portion of these accounts payable were due to the recording of obligations as accounts payable using the definition of obligations under the old government accounting system. Under the old system, an obligation referred to contracts entered into whether or not goods or services were delivered. This definition of </w:t>
      </w:r>
      <w:r w:rsidRPr="003839F4">
        <w:rPr>
          <w:iCs/>
        </w:rPr>
        <w:t>obligation</w:t>
      </w:r>
      <w:r w:rsidRPr="00DB38A8">
        <w:rPr>
          <w:i/>
          <w:iCs/>
        </w:rPr>
        <w:t xml:space="preserve"> </w:t>
      </w:r>
      <w:r w:rsidRPr="00DB38A8">
        <w:t xml:space="preserve">was tightened with the introduction of the </w:t>
      </w:r>
      <w:r>
        <w:t>N</w:t>
      </w:r>
      <w:r w:rsidRPr="00DB38A8">
        <w:t xml:space="preserve">ew </w:t>
      </w:r>
      <w:r>
        <w:t>G</w:t>
      </w:r>
      <w:r w:rsidRPr="00DB38A8">
        <w:t xml:space="preserve">overnment </w:t>
      </w:r>
      <w:r>
        <w:t>A</w:t>
      </w:r>
      <w:r w:rsidRPr="00DB38A8">
        <w:t xml:space="preserve">ccounting </w:t>
      </w:r>
      <w:r>
        <w:t>S</w:t>
      </w:r>
      <w:r w:rsidRPr="00DB38A8">
        <w:t xml:space="preserve">ystem in January 2002. </w:t>
      </w:r>
      <w:r>
        <w:t>The new system</w:t>
      </w:r>
      <w:r w:rsidRPr="00DB38A8">
        <w:t xml:space="preserve"> defines obligations as “commitment by a government agency arising from an act of a duly authorized </w:t>
      </w:r>
      <w:r w:rsidRPr="003839F4">
        <w:t xml:space="preserve">official </w:t>
      </w:r>
      <w:r w:rsidRPr="003839F4">
        <w:rPr>
          <w:iCs/>
        </w:rPr>
        <w:t xml:space="preserve">which binds the government to the immediate </w:t>
      </w:r>
      <w:r w:rsidRPr="003839F4">
        <w:rPr>
          <w:bCs/>
          <w:iCs/>
        </w:rPr>
        <w:t xml:space="preserve">or </w:t>
      </w:r>
      <w:r w:rsidRPr="003839F4">
        <w:rPr>
          <w:iCs/>
        </w:rPr>
        <w:t>eventual payment of a sum of money</w:t>
      </w:r>
      <w:r w:rsidRPr="00DB38A8">
        <w:rPr>
          <w:i/>
          <w:iCs/>
        </w:rPr>
        <w:t xml:space="preserve"> </w:t>
      </w:r>
      <w:r w:rsidRPr="0025475E">
        <w:rPr>
          <w:iCs/>
        </w:rPr>
        <w:t>in view of the delivery of goods or services</w:t>
      </w:r>
      <w:r>
        <w:rPr>
          <w:i/>
          <w:iCs/>
        </w:rPr>
        <w:t>”</w:t>
      </w:r>
      <w:r w:rsidRPr="00DB38A8">
        <w:t>.</w:t>
      </w:r>
    </w:p>
    <w:p w14:paraId="134B8CCF" w14:textId="77777777" w:rsidR="001762EE" w:rsidRDefault="001762EE" w:rsidP="000307BF">
      <w:pPr>
        <w:pStyle w:val="NormalWeb"/>
        <w:autoSpaceDE w:val="0"/>
        <w:autoSpaceDN w:val="0"/>
        <w:adjustRightInd w:val="0"/>
        <w:spacing w:before="0" w:beforeAutospacing="0" w:after="0" w:afterAutospacing="0"/>
        <w:jc w:val="both"/>
        <w:rPr>
          <w:iCs/>
          <w:u w:val="single"/>
        </w:rPr>
      </w:pPr>
    </w:p>
    <w:p w14:paraId="54659785" w14:textId="79ABB963" w:rsidR="001762EE" w:rsidRPr="0025475E" w:rsidRDefault="001762EE" w:rsidP="000307BF">
      <w:pPr>
        <w:pStyle w:val="NormalWeb"/>
        <w:autoSpaceDE w:val="0"/>
        <w:autoSpaceDN w:val="0"/>
        <w:adjustRightInd w:val="0"/>
        <w:spacing w:before="0" w:beforeAutospacing="0" w:after="0" w:afterAutospacing="0"/>
        <w:jc w:val="both"/>
        <w:rPr>
          <w:b/>
          <w:i/>
          <w:iCs/>
        </w:rPr>
      </w:pPr>
      <w:r w:rsidRPr="0025475E">
        <w:rPr>
          <w:b/>
          <w:i/>
          <w:iCs/>
        </w:rPr>
        <w:t>Dimension 22.2 Expenditure arrears monitoring</w:t>
      </w:r>
    </w:p>
    <w:p w14:paraId="5872BD9B" w14:textId="77777777" w:rsidR="001762EE" w:rsidRPr="005A497D" w:rsidRDefault="001762EE" w:rsidP="000307BF">
      <w:pPr>
        <w:pStyle w:val="NormalWeb"/>
        <w:autoSpaceDE w:val="0"/>
        <w:autoSpaceDN w:val="0"/>
        <w:adjustRightInd w:val="0"/>
        <w:spacing w:before="0" w:beforeAutospacing="0" w:after="0" w:afterAutospacing="0"/>
        <w:jc w:val="both"/>
        <w:rPr>
          <w:u w:val="single"/>
        </w:rPr>
      </w:pPr>
    </w:p>
    <w:p w14:paraId="44E0B98D" w14:textId="79E8497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More reliable data on the stock of arrears is included in the budget proposal submissions by line departments to the </w:t>
      </w:r>
      <w:r>
        <w:t>Department of Budget and Management</w:t>
      </w:r>
      <w:r w:rsidRPr="005A497D">
        <w:t xml:space="preserve">, but that data is not collated and analyzed. According to the </w:t>
      </w:r>
      <w:r>
        <w:t>Department of Budget and Management</w:t>
      </w:r>
      <w:r w:rsidRPr="005A497D">
        <w:t xml:space="preserve">, a computerized system to monitor outstanding claims and their settlement has been developed. Its full utilization should facilitate improved management of </w:t>
      </w:r>
      <w:r>
        <w:t>a</w:t>
      </w:r>
      <w:r w:rsidRPr="005A497D">
        <w:t xml:space="preserve">ccounts </w:t>
      </w:r>
      <w:r>
        <w:t>p</w:t>
      </w:r>
      <w:r w:rsidRPr="005A497D">
        <w:t>ayable.</w:t>
      </w:r>
    </w:p>
    <w:p w14:paraId="7C3B32AE" w14:textId="77777777" w:rsidR="001762EE" w:rsidRPr="005A497D" w:rsidRDefault="001762EE" w:rsidP="000307BF">
      <w:pPr>
        <w:pStyle w:val="NormalWeb"/>
        <w:autoSpaceDE w:val="0"/>
        <w:autoSpaceDN w:val="0"/>
        <w:adjustRightInd w:val="0"/>
        <w:spacing w:before="0" w:beforeAutospacing="0" w:after="0" w:afterAutospacing="0"/>
        <w:contextualSpacing/>
        <w:jc w:val="both"/>
      </w:pPr>
    </w:p>
    <w:p w14:paraId="061442F6" w14:textId="0B60D85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CoA Accounting Circular Letter 2007-001 for NGAs includes requirement for aging reports as part of the submission of year-end financial reports. Sample of aging reports of expenditure arrears for FY2015 submitted by various departments were provided for verification</w:t>
      </w:r>
      <w:r w:rsidR="001610D9">
        <w:t>.</w:t>
      </w:r>
      <w:r w:rsidRPr="005A497D">
        <w:t xml:space="preserve"> The score</w:t>
      </w:r>
      <w:r>
        <w:t xml:space="preserve"> for Dimension 22.2</w:t>
      </w:r>
      <w:r w:rsidRPr="005A497D">
        <w:t xml:space="preserve"> is assessed as </w:t>
      </w:r>
      <w:r>
        <w:t>“C”</w:t>
      </w:r>
      <w:r w:rsidRPr="005A497D">
        <w:t>.</w:t>
      </w:r>
    </w:p>
    <w:p w14:paraId="54DEA1D9" w14:textId="77777777" w:rsidR="001762EE" w:rsidRDefault="001762EE" w:rsidP="004F09A0">
      <w:pPr>
        <w:pStyle w:val="NormalWeb"/>
        <w:autoSpaceDE w:val="0"/>
        <w:autoSpaceDN w:val="0"/>
        <w:adjustRightInd w:val="0"/>
        <w:spacing w:before="0" w:beforeAutospacing="0" w:after="0" w:afterAutospacing="0"/>
        <w:jc w:val="both"/>
      </w:pPr>
    </w:p>
    <w:p w14:paraId="45C40C73" w14:textId="77777777" w:rsidR="00E17DF6" w:rsidRDefault="00E17DF6" w:rsidP="004F09A0">
      <w:pPr>
        <w:pStyle w:val="NormalWeb"/>
        <w:autoSpaceDE w:val="0"/>
        <w:autoSpaceDN w:val="0"/>
        <w:adjustRightInd w:val="0"/>
        <w:spacing w:before="0" w:beforeAutospacing="0" w:after="0" w:afterAutospacing="0"/>
        <w:jc w:val="both"/>
      </w:pPr>
    </w:p>
    <w:p w14:paraId="4B15CDE0" w14:textId="77777777" w:rsidR="00E17DF6" w:rsidRPr="005A497D" w:rsidRDefault="00E17DF6" w:rsidP="004F09A0">
      <w:pPr>
        <w:pStyle w:val="NormalWeb"/>
        <w:autoSpaceDE w:val="0"/>
        <w:autoSpaceDN w:val="0"/>
        <w:adjustRightInd w:val="0"/>
        <w:spacing w:before="0" w:beforeAutospacing="0" w:after="0" w:afterAutospacing="0"/>
        <w:jc w:val="both"/>
      </w:pPr>
    </w:p>
    <w:p w14:paraId="7BF3E050" w14:textId="0EA42E90" w:rsidR="001762EE" w:rsidRPr="00411651" w:rsidRDefault="001762EE" w:rsidP="00411651">
      <w:pPr>
        <w:pStyle w:val="Heading3"/>
      </w:pPr>
      <w:bookmarkStart w:id="249" w:name="_Toc454811714"/>
      <w:bookmarkStart w:id="250" w:name="_Toc454888858"/>
      <w:r w:rsidRPr="00411651">
        <w:t xml:space="preserve">PI-23 </w:t>
      </w:r>
      <w:bookmarkEnd w:id="221"/>
      <w:bookmarkEnd w:id="222"/>
      <w:bookmarkEnd w:id="223"/>
      <w:bookmarkEnd w:id="224"/>
      <w:r w:rsidRPr="00411651">
        <w:t>Payroll controls</w:t>
      </w:r>
      <w:bookmarkEnd w:id="249"/>
      <w:bookmarkEnd w:id="250"/>
    </w:p>
    <w:p w14:paraId="7D9FC4AC" w14:textId="77777777" w:rsidR="001762EE" w:rsidRPr="00AA05D8" w:rsidRDefault="001762EE" w:rsidP="00AA05D8"/>
    <w:p w14:paraId="55F15F23" w14:textId="1BD09DE9"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This indicator is concerned with payroll for public servants only: how it is managed, how changes are handled, and how consistency with personnel records management is achieved. Wages for casual labor and discretionary allowances that do not form part of the payroll system are included in the assessment of non-salary internal controls in PI-25.</w:t>
      </w:r>
    </w:p>
    <w:p w14:paraId="4F76CDF2" w14:textId="77777777" w:rsidR="0096547C" w:rsidRPr="005A497D" w:rsidRDefault="0096547C" w:rsidP="000D0E8D">
      <w:pPr>
        <w:pStyle w:val="NormalWeb"/>
        <w:autoSpaceDE w:val="0"/>
        <w:autoSpaceDN w:val="0"/>
        <w:adjustRightInd w:val="0"/>
        <w:spacing w:before="0" w:beforeAutospacing="0" w:after="0" w:afterAutospacing="0"/>
        <w:contextualSpacing/>
        <w:jc w:val="both"/>
      </w:pPr>
    </w:p>
    <w:p w14:paraId="27DBA825" w14:textId="77777777" w:rsidR="001762EE" w:rsidRPr="005A497D" w:rsidRDefault="001762EE" w:rsidP="00FA4EA8">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080"/>
        <w:gridCol w:w="4676"/>
      </w:tblGrid>
      <w:tr w:rsidR="001762EE" w:rsidRPr="005A497D" w14:paraId="6881C59E" w14:textId="77777777" w:rsidTr="00CA0D85">
        <w:trPr>
          <w:trHeight w:val="397"/>
        </w:trPr>
        <w:tc>
          <w:tcPr>
            <w:tcW w:w="3600" w:type="dxa"/>
            <w:tcBorders>
              <w:top w:val="double" w:sz="4" w:space="0" w:color="auto"/>
            </w:tcBorders>
            <w:shd w:val="clear" w:color="auto" w:fill="D9D9D9"/>
            <w:vAlign w:val="center"/>
          </w:tcPr>
          <w:p w14:paraId="30CE5288" w14:textId="77777777" w:rsidR="001762EE" w:rsidRPr="0025475E" w:rsidRDefault="001762EE" w:rsidP="00283AE6">
            <w:pPr>
              <w:spacing w:before="40" w:after="40"/>
              <w:jc w:val="center"/>
              <w:rPr>
                <w:b/>
                <w:i/>
                <w:sz w:val="22"/>
                <w:szCs w:val="22"/>
              </w:rPr>
            </w:pPr>
            <w:r w:rsidRPr="0025475E">
              <w:rPr>
                <w:b/>
                <w:i/>
                <w:sz w:val="22"/>
                <w:szCs w:val="22"/>
              </w:rPr>
              <w:t>Indicator / Dimension</w:t>
            </w:r>
          </w:p>
        </w:tc>
        <w:tc>
          <w:tcPr>
            <w:tcW w:w="1080" w:type="dxa"/>
            <w:tcBorders>
              <w:top w:val="double" w:sz="4" w:space="0" w:color="auto"/>
            </w:tcBorders>
            <w:shd w:val="clear" w:color="auto" w:fill="D9D9D9"/>
            <w:vAlign w:val="center"/>
          </w:tcPr>
          <w:p w14:paraId="764102FF" w14:textId="77777777" w:rsidR="001762EE" w:rsidRPr="0025475E" w:rsidRDefault="001762EE" w:rsidP="00283AE6">
            <w:pPr>
              <w:spacing w:before="40" w:after="40"/>
              <w:jc w:val="center"/>
              <w:rPr>
                <w:b/>
                <w:i/>
                <w:sz w:val="22"/>
                <w:szCs w:val="22"/>
              </w:rPr>
            </w:pPr>
            <w:r w:rsidRPr="0025475E">
              <w:rPr>
                <w:b/>
                <w:i/>
                <w:sz w:val="22"/>
                <w:szCs w:val="22"/>
              </w:rPr>
              <w:t>Score</w:t>
            </w:r>
          </w:p>
        </w:tc>
        <w:tc>
          <w:tcPr>
            <w:tcW w:w="4676" w:type="dxa"/>
            <w:tcBorders>
              <w:top w:val="double" w:sz="4" w:space="0" w:color="auto"/>
            </w:tcBorders>
            <w:shd w:val="clear" w:color="auto" w:fill="D9D9D9"/>
            <w:vAlign w:val="center"/>
          </w:tcPr>
          <w:p w14:paraId="371CD770" w14:textId="2D46C3BF" w:rsidR="001762EE" w:rsidRPr="0025475E" w:rsidRDefault="001762EE" w:rsidP="005108BC">
            <w:pPr>
              <w:spacing w:before="40" w:after="40"/>
              <w:jc w:val="center"/>
              <w:rPr>
                <w:b/>
                <w:i/>
                <w:sz w:val="22"/>
                <w:szCs w:val="22"/>
              </w:rPr>
            </w:pPr>
            <w:r w:rsidRPr="0025475E">
              <w:rPr>
                <w:b/>
                <w:i/>
                <w:sz w:val="22"/>
                <w:szCs w:val="22"/>
              </w:rPr>
              <w:t xml:space="preserve">Brief </w:t>
            </w:r>
            <w:r>
              <w:rPr>
                <w:b/>
                <w:i/>
                <w:sz w:val="22"/>
                <w:szCs w:val="22"/>
              </w:rPr>
              <w:t>e</w:t>
            </w:r>
            <w:r w:rsidRPr="0025475E">
              <w:rPr>
                <w:b/>
                <w:i/>
                <w:sz w:val="22"/>
                <w:szCs w:val="22"/>
              </w:rPr>
              <w:t>xplanation</w:t>
            </w:r>
          </w:p>
        </w:tc>
      </w:tr>
      <w:tr w:rsidR="001762EE" w:rsidRPr="005A497D" w14:paraId="0DBC36C5" w14:textId="77777777" w:rsidTr="00CA0D85">
        <w:tc>
          <w:tcPr>
            <w:tcW w:w="3600" w:type="dxa"/>
            <w:tcBorders>
              <w:top w:val="double" w:sz="4" w:space="0" w:color="auto"/>
              <w:bottom w:val="single" w:sz="4" w:space="0" w:color="auto"/>
            </w:tcBorders>
          </w:tcPr>
          <w:p w14:paraId="558727BF" w14:textId="4561FE2C" w:rsidR="001762EE" w:rsidRPr="005A497D" w:rsidRDefault="001762EE" w:rsidP="00E464A4">
            <w:pPr>
              <w:spacing w:before="40" w:after="40"/>
              <w:rPr>
                <w:sz w:val="22"/>
                <w:szCs w:val="22"/>
              </w:rPr>
            </w:pPr>
            <w:r w:rsidRPr="005A497D">
              <w:rPr>
                <w:b/>
                <w:bCs/>
                <w:sz w:val="22"/>
                <w:szCs w:val="22"/>
              </w:rPr>
              <w:t>PI-2</w:t>
            </w:r>
            <w:r>
              <w:rPr>
                <w:b/>
                <w:bCs/>
                <w:sz w:val="22"/>
                <w:szCs w:val="22"/>
              </w:rPr>
              <w:t>3</w:t>
            </w:r>
            <w:r w:rsidRPr="005A497D">
              <w:rPr>
                <w:b/>
                <w:bCs/>
                <w:sz w:val="22"/>
                <w:szCs w:val="22"/>
              </w:rPr>
              <w:t xml:space="preserve"> </w:t>
            </w:r>
            <w:r>
              <w:rPr>
                <w:b/>
                <w:bCs/>
                <w:sz w:val="22"/>
                <w:szCs w:val="22"/>
              </w:rPr>
              <w:t>P</w:t>
            </w:r>
            <w:r w:rsidRPr="005A497D">
              <w:rPr>
                <w:b/>
                <w:bCs/>
                <w:sz w:val="22"/>
                <w:szCs w:val="22"/>
              </w:rPr>
              <w:t>ayroll controls</w:t>
            </w:r>
          </w:p>
        </w:tc>
        <w:tc>
          <w:tcPr>
            <w:tcW w:w="1080" w:type="dxa"/>
            <w:tcBorders>
              <w:top w:val="double" w:sz="4" w:space="0" w:color="auto"/>
              <w:bottom w:val="single" w:sz="4" w:space="0" w:color="auto"/>
            </w:tcBorders>
          </w:tcPr>
          <w:p w14:paraId="3D0CB310" w14:textId="6548AE34" w:rsidR="001762EE" w:rsidRPr="005A497D" w:rsidRDefault="001762EE" w:rsidP="00A658ED">
            <w:pPr>
              <w:spacing w:before="40" w:after="40"/>
              <w:jc w:val="center"/>
              <w:rPr>
                <w:b/>
                <w:sz w:val="22"/>
                <w:szCs w:val="22"/>
              </w:rPr>
            </w:pPr>
            <w:r>
              <w:rPr>
                <w:b/>
                <w:sz w:val="22"/>
                <w:szCs w:val="22"/>
              </w:rPr>
              <w:t>B+</w:t>
            </w:r>
          </w:p>
        </w:tc>
        <w:tc>
          <w:tcPr>
            <w:tcW w:w="4676" w:type="dxa"/>
            <w:tcBorders>
              <w:top w:val="double" w:sz="4" w:space="0" w:color="auto"/>
              <w:bottom w:val="single" w:sz="4" w:space="0" w:color="auto"/>
            </w:tcBorders>
          </w:tcPr>
          <w:p w14:paraId="2B3E3D23" w14:textId="77777777" w:rsidR="001762EE" w:rsidRPr="005A497D" w:rsidRDefault="001762EE" w:rsidP="00283AE6">
            <w:pPr>
              <w:spacing w:before="40" w:after="40"/>
              <w:rPr>
                <w:sz w:val="22"/>
                <w:szCs w:val="22"/>
              </w:rPr>
            </w:pPr>
            <w:r w:rsidRPr="005A497D">
              <w:rPr>
                <w:sz w:val="22"/>
                <w:szCs w:val="22"/>
              </w:rPr>
              <w:t>Overall rating based on M1 methodology.</w:t>
            </w:r>
          </w:p>
        </w:tc>
      </w:tr>
      <w:tr w:rsidR="00C805B5" w:rsidRPr="005A497D" w14:paraId="23ACD07F" w14:textId="77777777" w:rsidTr="00C805B5">
        <w:trPr>
          <w:trHeight w:val="1574"/>
        </w:trPr>
        <w:tc>
          <w:tcPr>
            <w:tcW w:w="3600" w:type="dxa"/>
            <w:tcBorders>
              <w:top w:val="single" w:sz="4" w:space="0" w:color="auto"/>
              <w:bottom w:val="single" w:sz="4" w:space="0" w:color="auto"/>
            </w:tcBorders>
          </w:tcPr>
          <w:p w14:paraId="088DC8E2" w14:textId="4B613C22" w:rsidR="001762EE" w:rsidRPr="005A497D" w:rsidRDefault="001762EE" w:rsidP="007E27D3">
            <w:pPr>
              <w:pStyle w:val="Default"/>
              <w:rPr>
                <w:sz w:val="22"/>
              </w:rPr>
            </w:pPr>
            <w:r>
              <w:rPr>
                <w:sz w:val="22"/>
              </w:rPr>
              <w:t>23.1</w:t>
            </w:r>
            <w:r w:rsidRPr="005A497D">
              <w:rPr>
                <w:sz w:val="22"/>
              </w:rPr>
              <w:t xml:space="preserve"> </w:t>
            </w:r>
            <w:r>
              <w:rPr>
                <w:sz w:val="22"/>
              </w:rPr>
              <w:t>I</w:t>
            </w:r>
            <w:r w:rsidRPr="005A497D">
              <w:rPr>
                <w:sz w:val="22"/>
              </w:rPr>
              <w:t xml:space="preserve">ntegration </w:t>
            </w:r>
            <w:r>
              <w:rPr>
                <w:sz w:val="22"/>
              </w:rPr>
              <w:t xml:space="preserve">of payroll and </w:t>
            </w:r>
            <w:r w:rsidR="009D0CBA">
              <w:rPr>
                <w:sz w:val="22"/>
              </w:rPr>
              <w:t>personnel</w:t>
            </w:r>
            <w:r w:rsidRPr="005A497D">
              <w:rPr>
                <w:sz w:val="22"/>
              </w:rPr>
              <w:t xml:space="preserve"> records</w:t>
            </w:r>
          </w:p>
        </w:tc>
        <w:tc>
          <w:tcPr>
            <w:tcW w:w="1080" w:type="dxa"/>
            <w:tcBorders>
              <w:top w:val="single" w:sz="4" w:space="0" w:color="auto"/>
              <w:bottom w:val="single" w:sz="4" w:space="0" w:color="auto"/>
            </w:tcBorders>
          </w:tcPr>
          <w:p w14:paraId="42604B1C" w14:textId="7663B544" w:rsidR="001762EE" w:rsidRPr="005A497D" w:rsidRDefault="001762EE" w:rsidP="00E431C3">
            <w:pPr>
              <w:jc w:val="center"/>
            </w:pPr>
            <w:r>
              <w:t>B</w:t>
            </w:r>
          </w:p>
        </w:tc>
        <w:tc>
          <w:tcPr>
            <w:tcW w:w="4676" w:type="dxa"/>
            <w:tcBorders>
              <w:top w:val="single" w:sz="4" w:space="0" w:color="auto"/>
              <w:bottom w:val="single" w:sz="4" w:space="0" w:color="auto"/>
            </w:tcBorders>
          </w:tcPr>
          <w:p w14:paraId="032E562E" w14:textId="5C6EF199" w:rsidR="001762EE" w:rsidRPr="005A497D" w:rsidRDefault="001762EE" w:rsidP="00D65A39">
            <w:pPr>
              <w:pStyle w:val="BodyB"/>
              <w:rPr>
                <w:rFonts w:ascii="Times New Roman" w:eastAsia="Times New Roman" w:hAnsi="Times New Roman"/>
                <w:color w:val="auto"/>
                <w:sz w:val="20"/>
              </w:rPr>
            </w:pPr>
            <w:r w:rsidRPr="005A497D">
              <w:rPr>
                <w:rFonts w:ascii="Times New Roman" w:hAnsi="Times New Roman"/>
                <w:sz w:val="22"/>
              </w:rPr>
              <w:t xml:space="preserve">DBM maintains </w:t>
            </w:r>
            <w:r>
              <w:rPr>
                <w:rFonts w:ascii="Times New Roman" w:hAnsi="Times New Roman"/>
                <w:sz w:val="22"/>
              </w:rPr>
              <w:t>central-</w:t>
            </w:r>
            <w:r w:rsidRPr="005A497D">
              <w:rPr>
                <w:rFonts w:ascii="Times New Roman" w:hAnsi="Times New Roman"/>
                <w:sz w:val="22"/>
              </w:rPr>
              <w:t xml:space="preserve">level GMIS used for budgeting; departments maintain </w:t>
            </w:r>
            <w:r w:rsidR="009D0CBA">
              <w:rPr>
                <w:rFonts w:ascii="Times New Roman" w:hAnsi="Times New Roman"/>
                <w:sz w:val="22"/>
              </w:rPr>
              <w:t>personnel</w:t>
            </w:r>
            <w:r w:rsidRPr="005A497D">
              <w:rPr>
                <w:rFonts w:ascii="Times New Roman" w:hAnsi="Times New Roman"/>
                <w:sz w:val="22"/>
              </w:rPr>
              <w:t xml:space="preserve"> records and payroll data. Controls exist over hiring and promotion to ensure compliance with approved positions. Reconciliation of payroll with </w:t>
            </w:r>
            <w:r w:rsidR="009D0CBA">
              <w:rPr>
                <w:rFonts w:ascii="Times New Roman" w:hAnsi="Times New Roman"/>
                <w:sz w:val="22"/>
              </w:rPr>
              <w:t>personnel</w:t>
            </w:r>
            <w:r w:rsidRPr="005A497D">
              <w:rPr>
                <w:rFonts w:ascii="Times New Roman" w:hAnsi="Times New Roman"/>
                <w:sz w:val="22"/>
              </w:rPr>
              <w:t xml:space="preserve"> records is conducted </w:t>
            </w:r>
            <w:r>
              <w:rPr>
                <w:rFonts w:ascii="Times New Roman" w:hAnsi="Times New Roman"/>
                <w:sz w:val="22"/>
              </w:rPr>
              <w:t>monthly</w:t>
            </w:r>
            <w:r w:rsidRPr="005A497D">
              <w:rPr>
                <w:rFonts w:ascii="Times New Roman" w:hAnsi="Times New Roman"/>
                <w:sz w:val="22"/>
              </w:rPr>
              <w:t>.</w:t>
            </w:r>
          </w:p>
        </w:tc>
      </w:tr>
      <w:tr w:rsidR="001762EE" w:rsidRPr="005A497D" w14:paraId="6F4D8859" w14:textId="77777777" w:rsidTr="00CA0D85">
        <w:trPr>
          <w:trHeight w:val="818"/>
        </w:trPr>
        <w:tc>
          <w:tcPr>
            <w:tcW w:w="3600" w:type="dxa"/>
            <w:tcBorders>
              <w:top w:val="single" w:sz="4" w:space="0" w:color="auto"/>
              <w:bottom w:val="single" w:sz="4" w:space="0" w:color="auto"/>
            </w:tcBorders>
          </w:tcPr>
          <w:p w14:paraId="37C74AF1" w14:textId="030F0108" w:rsidR="001762EE" w:rsidRPr="005A497D" w:rsidRDefault="001762EE" w:rsidP="007E27D3">
            <w:pPr>
              <w:pStyle w:val="Default"/>
              <w:rPr>
                <w:sz w:val="22"/>
              </w:rPr>
            </w:pPr>
            <w:r>
              <w:rPr>
                <w:sz w:val="22"/>
              </w:rPr>
              <w:t>23.2</w:t>
            </w:r>
            <w:r w:rsidRPr="005A497D">
              <w:rPr>
                <w:sz w:val="22"/>
              </w:rPr>
              <w:t xml:space="preserve"> </w:t>
            </w:r>
            <w:r>
              <w:rPr>
                <w:sz w:val="22"/>
              </w:rPr>
              <w:t xml:space="preserve">Management of payroll changes </w:t>
            </w:r>
          </w:p>
        </w:tc>
        <w:tc>
          <w:tcPr>
            <w:tcW w:w="1080" w:type="dxa"/>
            <w:tcBorders>
              <w:top w:val="single" w:sz="4" w:space="0" w:color="auto"/>
              <w:bottom w:val="single" w:sz="4" w:space="0" w:color="auto"/>
            </w:tcBorders>
          </w:tcPr>
          <w:p w14:paraId="7392CFDF" w14:textId="70FEB936" w:rsidR="001762EE" w:rsidRPr="005A497D" w:rsidRDefault="001762EE" w:rsidP="00E431C3">
            <w:pPr>
              <w:jc w:val="center"/>
            </w:pPr>
            <w:r>
              <w:t>B</w:t>
            </w:r>
          </w:p>
        </w:tc>
        <w:tc>
          <w:tcPr>
            <w:tcW w:w="4676" w:type="dxa"/>
            <w:tcBorders>
              <w:top w:val="single" w:sz="4" w:space="0" w:color="auto"/>
              <w:bottom w:val="single" w:sz="4" w:space="0" w:color="auto"/>
            </w:tcBorders>
          </w:tcPr>
          <w:p w14:paraId="623D936C" w14:textId="11B13945" w:rsidR="001762EE" w:rsidRPr="005A497D" w:rsidRDefault="009D0CBA" w:rsidP="00D849AE">
            <w:pPr>
              <w:pStyle w:val="BodyB"/>
              <w:rPr>
                <w:rFonts w:ascii="Times New Roman" w:eastAsia="Times New Roman" w:hAnsi="Times New Roman"/>
                <w:color w:val="auto"/>
                <w:sz w:val="20"/>
              </w:rPr>
            </w:pPr>
            <w:r>
              <w:rPr>
                <w:rFonts w:ascii="Times New Roman" w:hAnsi="Times New Roman"/>
                <w:sz w:val="22"/>
              </w:rPr>
              <w:t>Personnel</w:t>
            </w:r>
            <w:r w:rsidR="001762EE">
              <w:rPr>
                <w:rFonts w:ascii="Times New Roman" w:hAnsi="Times New Roman"/>
                <w:sz w:val="22"/>
              </w:rPr>
              <w:t xml:space="preserve"> record and payroll are updated upon receipt of the required documentation within the month and in the case of DepEd, within a quarter</w:t>
            </w:r>
            <w:r w:rsidR="001762EE" w:rsidRPr="005A497D">
              <w:rPr>
                <w:rFonts w:ascii="Times New Roman" w:hAnsi="Times New Roman"/>
                <w:sz w:val="22"/>
              </w:rPr>
              <w:t>.</w:t>
            </w:r>
            <w:r w:rsidR="001762EE">
              <w:rPr>
                <w:rFonts w:ascii="Times New Roman" w:hAnsi="Times New Roman"/>
                <w:sz w:val="22"/>
              </w:rPr>
              <w:t xml:space="preserve"> Retroactive adjustments are few.</w:t>
            </w:r>
          </w:p>
        </w:tc>
      </w:tr>
      <w:tr w:rsidR="00C805B5" w:rsidRPr="005A497D" w14:paraId="3AA1DAB2" w14:textId="77777777" w:rsidTr="00CA0D85">
        <w:trPr>
          <w:trHeight w:val="674"/>
        </w:trPr>
        <w:tc>
          <w:tcPr>
            <w:tcW w:w="3600" w:type="dxa"/>
            <w:tcBorders>
              <w:top w:val="single" w:sz="4" w:space="0" w:color="auto"/>
              <w:bottom w:val="single" w:sz="4" w:space="0" w:color="auto"/>
            </w:tcBorders>
          </w:tcPr>
          <w:p w14:paraId="0C74B0AD" w14:textId="38F076DB" w:rsidR="001762EE" w:rsidRPr="005A497D" w:rsidRDefault="001762EE" w:rsidP="007E27D3">
            <w:pPr>
              <w:pStyle w:val="Default"/>
              <w:rPr>
                <w:sz w:val="22"/>
              </w:rPr>
            </w:pPr>
            <w:r>
              <w:rPr>
                <w:sz w:val="22"/>
              </w:rPr>
              <w:t>23.3</w:t>
            </w:r>
            <w:r w:rsidRPr="005A497D">
              <w:rPr>
                <w:sz w:val="22"/>
              </w:rPr>
              <w:t xml:space="preserve"> Internal control</w:t>
            </w:r>
            <w:r>
              <w:rPr>
                <w:sz w:val="22"/>
              </w:rPr>
              <w:t xml:space="preserve"> </w:t>
            </w:r>
            <w:r w:rsidRPr="005A497D">
              <w:rPr>
                <w:sz w:val="22"/>
              </w:rPr>
              <w:t>of payroll</w:t>
            </w:r>
          </w:p>
        </w:tc>
        <w:tc>
          <w:tcPr>
            <w:tcW w:w="1080" w:type="dxa"/>
            <w:tcBorders>
              <w:top w:val="single" w:sz="4" w:space="0" w:color="auto"/>
              <w:bottom w:val="single" w:sz="4" w:space="0" w:color="auto"/>
            </w:tcBorders>
          </w:tcPr>
          <w:p w14:paraId="73AA9784" w14:textId="43E13A30" w:rsidR="001762EE" w:rsidRPr="005A497D" w:rsidRDefault="001762EE" w:rsidP="001A0434">
            <w:pPr>
              <w:jc w:val="center"/>
            </w:pPr>
            <w:r>
              <w:t>B</w:t>
            </w:r>
          </w:p>
        </w:tc>
        <w:tc>
          <w:tcPr>
            <w:tcW w:w="4676" w:type="dxa"/>
            <w:tcBorders>
              <w:top w:val="single" w:sz="4" w:space="0" w:color="auto"/>
              <w:bottom w:val="single" w:sz="4" w:space="0" w:color="auto"/>
            </w:tcBorders>
          </w:tcPr>
          <w:p w14:paraId="72838568" w14:textId="220E73F6" w:rsidR="001762EE" w:rsidRPr="005A497D" w:rsidRDefault="001762EE" w:rsidP="001A0434">
            <w:pPr>
              <w:pStyle w:val="BodyB"/>
              <w:rPr>
                <w:rFonts w:ascii="Times New Roman" w:hAnsi="Times New Roman"/>
                <w:sz w:val="22"/>
              </w:rPr>
            </w:pPr>
            <w:r>
              <w:rPr>
                <w:rFonts w:ascii="Times New Roman" w:hAnsi="Times New Roman"/>
                <w:sz w:val="22"/>
              </w:rPr>
              <w:t xml:space="preserve">Control exists on the authority and basis for the changes to </w:t>
            </w:r>
            <w:r w:rsidR="009D0CBA">
              <w:rPr>
                <w:rFonts w:ascii="Times New Roman" w:hAnsi="Times New Roman"/>
                <w:sz w:val="22"/>
              </w:rPr>
              <w:t>personnel</w:t>
            </w:r>
            <w:r>
              <w:rPr>
                <w:rFonts w:ascii="Times New Roman" w:hAnsi="Times New Roman"/>
                <w:sz w:val="22"/>
              </w:rPr>
              <w:t xml:space="preserve"> records and payroll.</w:t>
            </w:r>
          </w:p>
        </w:tc>
      </w:tr>
      <w:tr w:rsidR="001762EE" w:rsidRPr="005A497D" w14:paraId="64395DDC" w14:textId="77777777" w:rsidTr="00CA0D85">
        <w:trPr>
          <w:trHeight w:val="1340"/>
        </w:trPr>
        <w:tc>
          <w:tcPr>
            <w:tcW w:w="3600" w:type="dxa"/>
            <w:tcBorders>
              <w:top w:val="single" w:sz="4" w:space="0" w:color="auto"/>
              <w:bottom w:val="double" w:sz="4" w:space="0" w:color="auto"/>
            </w:tcBorders>
          </w:tcPr>
          <w:p w14:paraId="6E4FB880" w14:textId="0496070C" w:rsidR="001762EE" w:rsidRPr="005A497D" w:rsidRDefault="001762EE" w:rsidP="007E27D3">
            <w:pPr>
              <w:pStyle w:val="Default"/>
              <w:rPr>
                <w:sz w:val="22"/>
                <w:szCs w:val="22"/>
              </w:rPr>
            </w:pPr>
            <w:r>
              <w:rPr>
                <w:sz w:val="22"/>
                <w:szCs w:val="22"/>
              </w:rPr>
              <w:t>23.4</w:t>
            </w:r>
            <w:r w:rsidRPr="005A497D">
              <w:rPr>
                <w:sz w:val="22"/>
                <w:szCs w:val="22"/>
              </w:rPr>
              <w:t xml:space="preserve"> </w:t>
            </w:r>
            <w:r>
              <w:rPr>
                <w:sz w:val="22"/>
                <w:szCs w:val="22"/>
              </w:rPr>
              <w:t>P</w:t>
            </w:r>
            <w:r w:rsidRPr="005A497D">
              <w:rPr>
                <w:sz w:val="22"/>
                <w:szCs w:val="22"/>
              </w:rPr>
              <w:t>ayroll audit</w:t>
            </w:r>
            <w:r>
              <w:rPr>
                <w:sz w:val="22"/>
                <w:szCs w:val="22"/>
              </w:rPr>
              <w:t xml:space="preserve"> </w:t>
            </w:r>
          </w:p>
        </w:tc>
        <w:tc>
          <w:tcPr>
            <w:tcW w:w="1080" w:type="dxa"/>
            <w:tcBorders>
              <w:top w:val="single" w:sz="4" w:space="0" w:color="auto"/>
              <w:bottom w:val="double" w:sz="4" w:space="0" w:color="auto"/>
            </w:tcBorders>
          </w:tcPr>
          <w:p w14:paraId="0365FE8A" w14:textId="21C47356" w:rsidR="001762EE" w:rsidRPr="005A497D" w:rsidRDefault="001762EE" w:rsidP="00105D25">
            <w:pPr>
              <w:jc w:val="center"/>
              <w:rPr>
                <w:sz w:val="22"/>
                <w:szCs w:val="22"/>
              </w:rPr>
            </w:pPr>
            <w:r>
              <w:rPr>
                <w:sz w:val="22"/>
                <w:szCs w:val="22"/>
              </w:rPr>
              <w:t>A</w:t>
            </w:r>
          </w:p>
        </w:tc>
        <w:tc>
          <w:tcPr>
            <w:tcW w:w="4676" w:type="dxa"/>
            <w:tcBorders>
              <w:top w:val="single" w:sz="4" w:space="0" w:color="auto"/>
              <w:bottom w:val="double" w:sz="4" w:space="0" w:color="auto"/>
            </w:tcBorders>
          </w:tcPr>
          <w:p w14:paraId="7AE2A74E" w14:textId="195BAC7D" w:rsidR="001762EE" w:rsidRPr="005A497D" w:rsidRDefault="001762EE" w:rsidP="00750BDD">
            <w:pPr>
              <w:rPr>
                <w:sz w:val="22"/>
                <w:szCs w:val="22"/>
              </w:rPr>
            </w:pPr>
            <w:r w:rsidRPr="005A497D">
              <w:rPr>
                <w:sz w:val="22"/>
                <w:szCs w:val="22"/>
              </w:rPr>
              <w:t xml:space="preserve">While payroll audits are performed by </w:t>
            </w:r>
            <w:r>
              <w:rPr>
                <w:sz w:val="22"/>
                <w:szCs w:val="22"/>
              </w:rPr>
              <w:t>CoA</w:t>
            </w:r>
            <w:r w:rsidRPr="005A497D">
              <w:rPr>
                <w:sz w:val="22"/>
                <w:szCs w:val="22"/>
              </w:rPr>
              <w:t xml:space="preserve"> as part of their regular </w:t>
            </w:r>
            <w:r>
              <w:rPr>
                <w:sz w:val="22"/>
                <w:szCs w:val="22"/>
              </w:rPr>
              <w:t xml:space="preserve">annual </w:t>
            </w:r>
            <w:r w:rsidRPr="005A497D">
              <w:rPr>
                <w:sz w:val="22"/>
                <w:szCs w:val="22"/>
              </w:rPr>
              <w:t xml:space="preserve">audit of the </w:t>
            </w:r>
            <w:r>
              <w:rPr>
                <w:sz w:val="22"/>
                <w:szCs w:val="22"/>
              </w:rPr>
              <w:t>a</w:t>
            </w:r>
            <w:r w:rsidRPr="005A497D">
              <w:rPr>
                <w:sz w:val="22"/>
                <w:szCs w:val="22"/>
              </w:rPr>
              <w:t xml:space="preserve">gency’s financial statements, </w:t>
            </w:r>
            <w:r>
              <w:rPr>
                <w:sz w:val="22"/>
                <w:szCs w:val="22"/>
              </w:rPr>
              <w:t xml:space="preserve">the installation of biometric attendance systems in all national government offices has minimized the risk of </w:t>
            </w:r>
            <w:r w:rsidRPr="005A497D">
              <w:rPr>
                <w:sz w:val="22"/>
                <w:szCs w:val="22"/>
              </w:rPr>
              <w:t xml:space="preserve">ghost workers. </w:t>
            </w:r>
          </w:p>
        </w:tc>
      </w:tr>
    </w:tbl>
    <w:p w14:paraId="07D2AAF3" w14:textId="77777777" w:rsidR="001762EE" w:rsidRPr="005A497D" w:rsidRDefault="001762EE" w:rsidP="00FA4EA8">
      <w:pPr>
        <w:pStyle w:val="NormalWeb"/>
        <w:autoSpaceDE w:val="0"/>
        <w:autoSpaceDN w:val="0"/>
        <w:adjustRightInd w:val="0"/>
        <w:spacing w:before="0" w:beforeAutospacing="0" w:after="0" w:afterAutospacing="0"/>
        <w:contextualSpacing/>
        <w:jc w:val="both"/>
      </w:pPr>
    </w:p>
    <w:p w14:paraId="37F4E094" w14:textId="0EEFF292" w:rsidR="001762EE" w:rsidRPr="0025475E" w:rsidRDefault="001762EE" w:rsidP="00FA4EA8">
      <w:pPr>
        <w:pStyle w:val="NormalWeb"/>
        <w:autoSpaceDE w:val="0"/>
        <w:autoSpaceDN w:val="0"/>
        <w:adjustRightInd w:val="0"/>
        <w:spacing w:before="0" w:beforeAutospacing="0" w:after="0" w:afterAutospacing="0"/>
        <w:contextualSpacing/>
        <w:jc w:val="both"/>
        <w:rPr>
          <w:rFonts w:eastAsia="ヒラギノ角ゴ Pro W3"/>
          <w:b/>
          <w:i/>
        </w:rPr>
      </w:pPr>
      <w:r w:rsidRPr="0025475E">
        <w:rPr>
          <w:rFonts w:eastAsia="ヒラギノ角ゴ Pro W3"/>
          <w:b/>
          <w:i/>
        </w:rPr>
        <w:t xml:space="preserve">Dimension 23.1 Integration of payroll and </w:t>
      </w:r>
      <w:r w:rsidR="009D0CBA">
        <w:rPr>
          <w:rFonts w:eastAsia="ヒラギノ角ゴ Pro W3"/>
          <w:b/>
          <w:i/>
        </w:rPr>
        <w:t>personnel</w:t>
      </w:r>
      <w:r w:rsidRPr="0025475E">
        <w:rPr>
          <w:rFonts w:eastAsia="ヒラギノ角ゴ Pro W3"/>
          <w:b/>
          <w:i/>
        </w:rPr>
        <w:t xml:space="preserve"> records</w:t>
      </w:r>
    </w:p>
    <w:p w14:paraId="0E2E5B73" w14:textId="77777777" w:rsidR="001762EE" w:rsidRPr="00AA05D8" w:rsidRDefault="001762EE" w:rsidP="00FA4EA8">
      <w:pPr>
        <w:pStyle w:val="NormalWeb"/>
        <w:autoSpaceDE w:val="0"/>
        <w:autoSpaceDN w:val="0"/>
        <w:adjustRightInd w:val="0"/>
        <w:spacing w:before="0" w:beforeAutospacing="0" w:after="0" w:afterAutospacing="0"/>
        <w:contextualSpacing/>
        <w:jc w:val="both"/>
      </w:pPr>
    </w:p>
    <w:p w14:paraId="48585F5D" w14:textId="614F40E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DBM-based </w:t>
      </w:r>
      <w:r w:rsidRPr="005A497D">
        <w:t xml:space="preserve">Organization, Position Classification and Compensation Bureau maintains the Government Manpower Information System (GMIS). </w:t>
      </w:r>
      <w:r>
        <w:t xml:space="preserve">This database includes the total number of authorized positions for each organizational unit and the aggregate actual salaries of permanent positions, which are comprised of the actual salaries of the filled positions and the authorized salaries of the unfilled positions. The </w:t>
      </w:r>
      <w:r w:rsidRPr="005A497D">
        <w:t xml:space="preserve">GMIS generates the list of filled and unfilled positions as well as basic information, including the salary grade of personnel. </w:t>
      </w:r>
      <w:r>
        <w:t>The Bureau</w:t>
      </w:r>
      <w:r w:rsidRPr="005A497D">
        <w:t xml:space="preserve"> utilizes this information for budgeting.</w:t>
      </w:r>
    </w:p>
    <w:p w14:paraId="014F4536" w14:textId="77777777" w:rsidR="001762EE" w:rsidRPr="005A497D" w:rsidRDefault="001762EE" w:rsidP="008F153D">
      <w:pPr>
        <w:pStyle w:val="NormalWeb"/>
        <w:autoSpaceDE w:val="0"/>
        <w:autoSpaceDN w:val="0"/>
        <w:adjustRightInd w:val="0"/>
        <w:spacing w:before="0" w:beforeAutospacing="0" w:after="0" w:afterAutospacing="0"/>
        <w:contextualSpacing/>
        <w:jc w:val="both"/>
      </w:pPr>
    </w:p>
    <w:p w14:paraId="591ED499" w14:textId="31C0E5CC"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2E411E">
        <w:t xml:space="preserve">Each line department and agency maintains their respective </w:t>
      </w:r>
      <w:r w:rsidR="009D0CBA">
        <w:t>personnel</w:t>
      </w:r>
      <w:r w:rsidRPr="002E411E">
        <w:t xml:space="preserve"> records and payroll data either manually or in a computerized system. For instance, </w:t>
      </w:r>
      <w:r>
        <w:t>The Department of Education</w:t>
      </w:r>
      <w:r w:rsidRPr="002E411E">
        <w:t xml:space="preserve">, having the largest </w:t>
      </w:r>
      <w:r w:rsidR="003176F9">
        <w:t xml:space="preserve">human resource </w:t>
      </w:r>
      <w:r w:rsidRPr="002E411E">
        <w:t>complement of 761,647 positions (711,472 filled</w:t>
      </w:r>
      <w:r>
        <w:t xml:space="preserve"> and</w:t>
      </w:r>
      <w:r w:rsidRPr="002E411E">
        <w:t xml:space="preserve"> 50,175 unfilled</w:t>
      </w:r>
      <w:r>
        <w:t xml:space="preserve"> as of </w:t>
      </w:r>
      <w:r w:rsidRPr="002E411E">
        <w:t>February 29, 2016</w:t>
      </w:r>
      <w:r>
        <w:t>)</w:t>
      </w:r>
      <w:r w:rsidRPr="002E411E">
        <w:t xml:space="preserve">, adopts a decentralized system where </w:t>
      </w:r>
      <w:r>
        <w:t>r</w:t>
      </w:r>
      <w:r w:rsidRPr="002E411E">
        <w:t xml:space="preserve">egional </w:t>
      </w:r>
      <w:r>
        <w:t>o</w:t>
      </w:r>
      <w:r w:rsidRPr="002E411E">
        <w:t xml:space="preserve">ffices as well as those secondary schools with fiscal autonomy manage their own records and data through </w:t>
      </w:r>
      <w:r>
        <w:t xml:space="preserve">a </w:t>
      </w:r>
      <w:r w:rsidRPr="002E411E">
        <w:t>Regional Payroll Service Unit databas</w:t>
      </w:r>
      <w:r w:rsidRPr="005A497D">
        <w:t>e.</w:t>
      </w:r>
    </w:p>
    <w:p w14:paraId="3BFF9AB3" w14:textId="77777777" w:rsidR="001762EE" w:rsidRDefault="001762EE" w:rsidP="00750BDD">
      <w:pPr>
        <w:pStyle w:val="NormalWeb"/>
        <w:autoSpaceDE w:val="0"/>
        <w:autoSpaceDN w:val="0"/>
        <w:adjustRightInd w:val="0"/>
        <w:spacing w:before="0" w:beforeAutospacing="0" w:after="0" w:afterAutospacing="0"/>
        <w:contextualSpacing/>
        <w:jc w:val="both"/>
      </w:pPr>
    </w:p>
    <w:p w14:paraId="1AEE0A72" w14:textId="472C9032" w:rsidR="001762EE" w:rsidRPr="005A497D" w:rsidRDefault="009D0CBA" w:rsidP="000433A5">
      <w:pPr>
        <w:pStyle w:val="NormalWeb"/>
        <w:numPr>
          <w:ilvl w:val="0"/>
          <w:numId w:val="6"/>
        </w:numPr>
        <w:autoSpaceDE w:val="0"/>
        <w:autoSpaceDN w:val="0"/>
        <w:adjustRightInd w:val="0"/>
        <w:spacing w:before="0" w:beforeAutospacing="0" w:after="0" w:afterAutospacing="0"/>
        <w:ind w:left="0" w:firstLine="0"/>
        <w:contextualSpacing/>
        <w:jc w:val="both"/>
      </w:pPr>
      <w:r>
        <w:t>Personnel</w:t>
      </w:r>
      <w:r w:rsidR="001762EE">
        <w:t xml:space="preserve"> records and payroll data are updated by the respective line agencies on receipt of required documentation in compliance with CoA guidance on documentary requirements.</w:t>
      </w:r>
      <w:r w:rsidR="001762EE">
        <w:rPr>
          <w:rStyle w:val="EndnoteReference"/>
        </w:rPr>
        <w:endnoteReference w:id="100"/>
      </w:r>
      <w:r w:rsidR="001762EE">
        <w:t xml:space="preserve"> Personal benefits include salary increases; step increment; incentives; other benefits and claims; and other forms of compensation, including payment for retirement gratuities, separation pay, and terminal leave benefit.</w:t>
      </w:r>
    </w:p>
    <w:p w14:paraId="0ECEE354" w14:textId="77777777" w:rsidR="001762EE" w:rsidRPr="005A497D" w:rsidRDefault="001762EE" w:rsidP="008F153D">
      <w:pPr>
        <w:pStyle w:val="NormalWeb"/>
        <w:autoSpaceDE w:val="0"/>
        <w:autoSpaceDN w:val="0"/>
        <w:adjustRightInd w:val="0"/>
        <w:spacing w:before="0" w:beforeAutospacing="0" w:after="0" w:afterAutospacing="0"/>
        <w:contextualSpacing/>
        <w:jc w:val="both"/>
      </w:pPr>
    </w:p>
    <w:p w14:paraId="31F3C21E" w14:textId="3174618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list of approved positions is consulted prior to approval of staff promotion and hiring. The payroll data is validated with the </w:t>
      </w:r>
      <w:r w:rsidR="009D0CBA">
        <w:t>personnel</w:t>
      </w:r>
      <w:r w:rsidRPr="005A497D">
        <w:t xml:space="preserve"> records </w:t>
      </w:r>
      <w:r>
        <w:t xml:space="preserve">on monthly basis as verified in Departments of Education, Trade and Industry, Social Welfare and Development, and Environment and Natural Resources. </w:t>
      </w:r>
      <w:r w:rsidRPr="005A497D">
        <w:t>Score</w:t>
      </w:r>
      <w:r>
        <w:t xml:space="preserve"> for Dimension 23.1</w:t>
      </w:r>
      <w:r w:rsidRPr="005A497D">
        <w:t xml:space="preserve"> is assessed at “</w:t>
      </w:r>
      <w:r>
        <w:t>B</w:t>
      </w:r>
      <w:r w:rsidRPr="005A497D">
        <w:t>”.</w:t>
      </w:r>
    </w:p>
    <w:p w14:paraId="6F6AC001" w14:textId="77777777" w:rsidR="001762EE" w:rsidRPr="005A497D" w:rsidRDefault="001762EE" w:rsidP="00FA4EA8">
      <w:pPr>
        <w:pStyle w:val="NormalWeb"/>
        <w:autoSpaceDE w:val="0"/>
        <w:autoSpaceDN w:val="0"/>
        <w:adjustRightInd w:val="0"/>
        <w:spacing w:before="0" w:beforeAutospacing="0" w:after="0" w:afterAutospacing="0"/>
        <w:contextualSpacing/>
        <w:jc w:val="both"/>
      </w:pPr>
    </w:p>
    <w:p w14:paraId="6D54CEA9" w14:textId="405B3D48" w:rsidR="001762EE" w:rsidRPr="0025475E" w:rsidRDefault="001762EE" w:rsidP="00FA4EA8">
      <w:pPr>
        <w:pStyle w:val="NormalWeb"/>
        <w:autoSpaceDE w:val="0"/>
        <w:autoSpaceDN w:val="0"/>
        <w:adjustRightInd w:val="0"/>
        <w:spacing w:before="0" w:beforeAutospacing="0" w:after="0" w:afterAutospacing="0"/>
        <w:contextualSpacing/>
        <w:jc w:val="both"/>
        <w:rPr>
          <w:rFonts w:eastAsia="ヒラギノ角ゴ Pro W3"/>
          <w:b/>
          <w:i/>
        </w:rPr>
      </w:pPr>
      <w:r w:rsidRPr="0025475E">
        <w:rPr>
          <w:rFonts w:eastAsia="ヒラギノ角ゴ Pro W3"/>
          <w:b/>
          <w:i/>
        </w:rPr>
        <w:t>Dimension 23.2 Management of payroll changes</w:t>
      </w:r>
    </w:p>
    <w:p w14:paraId="775FF46A" w14:textId="77777777" w:rsidR="001762EE" w:rsidRPr="00AF3F83" w:rsidRDefault="001762EE" w:rsidP="00FA4EA8">
      <w:pPr>
        <w:pStyle w:val="NormalWeb"/>
        <w:autoSpaceDE w:val="0"/>
        <w:autoSpaceDN w:val="0"/>
        <w:adjustRightInd w:val="0"/>
        <w:spacing w:before="0" w:beforeAutospacing="0" w:after="0" w:afterAutospacing="0"/>
        <w:contextualSpacing/>
        <w:jc w:val="both"/>
      </w:pPr>
    </w:p>
    <w:p w14:paraId="6989239A" w14:textId="2B845B2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 xml:space="preserve">authorized </w:t>
      </w:r>
      <w:r w:rsidRPr="005A497D">
        <w:t xml:space="preserve">payroll staff in each line department record changes in payroll only after receiving required documentation </w:t>
      </w:r>
      <w:r>
        <w:t>to support salary differentials due to promotion and/or step increment, with changes made in the month these actions are received. Delays in receipt of the necessary documents leads to retroactive adjustments in a few cases. Tax adjustments are made annually at the end of the fiscal period.</w:t>
      </w:r>
    </w:p>
    <w:p w14:paraId="4D27AEAD" w14:textId="77777777" w:rsidR="001762EE" w:rsidRPr="005A497D" w:rsidRDefault="001762EE" w:rsidP="008F153D">
      <w:pPr>
        <w:pStyle w:val="NormalWeb"/>
        <w:autoSpaceDE w:val="0"/>
        <w:autoSpaceDN w:val="0"/>
        <w:adjustRightInd w:val="0"/>
        <w:spacing w:before="0" w:beforeAutospacing="0" w:after="0" w:afterAutospacing="0"/>
        <w:contextualSpacing/>
        <w:jc w:val="both"/>
      </w:pPr>
    </w:p>
    <w:p w14:paraId="0664F3A0" w14:textId="402FF63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2E411E">
        <w:t xml:space="preserve">While payroll processing as such is decentralized in </w:t>
      </w:r>
      <w:r>
        <w:t>the Department of Education,</w:t>
      </w:r>
      <w:r w:rsidRPr="002E411E">
        <w:t xml:space="preserve"> delays still occur in updating changes in </w:t>
      </w:r>
      <w:r w:rsidR="009D0CBA">
        <w:t>personnel</w:t>
      </w:r>
      <w:r w:rsidRPr="002E411E">
        <w:t xml:space="preserve"> records and payroll data</w:t>
      </w:r>
      <w:r>
        <w:t>, but these are made within a quarter</w:t>
      </w:r>
      <w:r w:rsidRPr="002E411E">
        <w:t xml:space="preserve">. </w:t>
      </w:r>
      <w:r>
        <w:t>The CoA</w:t>
      </w:r>
      <w:r w:rsidRPr="002E411E">
        <w:t xml:space="preserve"> audit reports regularly </w:t>
      </w:r>
      <w:r>
        <w:t>identify</w:t>
      </w:r>
      <w:r w:rsidRPr="002E411E">
        <w:t xml:space="preserve"> instances of delays in updating the </w:t>
      </w:r>
      <w:r w:rsidR="009D0CBA">
        <w:t>personnel</w:t>
      </w:r>
      <w:r w:rsidRPr="002E411E">
        <w:t xml:space="preserve"> records and timely changes to payroll data</w:t>
      </w:r>
      <w:r>
        <w:t xml:space="preserve"> in this Department</w:t>
      </w:r>
      <w:r w:rsidRPr="002E411E">
        <w:t xml:space="preserve">. </w:t>
      </w:r>
      <w:r>
        <w:t xml:space="preserve">The status of implementation of prior year’s audit recommendation included in the annual </w:t>
      </w:r>
      <w:r w:rsidR="003176F9">
        <w:t xml:space="preserve">audit </w:t>
      </w:r>
      <w:r>
        <w:t>report for calendar year 2014 reported these observations as only partially implemented. Score for Dimension 23.2 is assessed at “B</w:t>
      </w:r>
      <w:r w:rsidRPr="005A497D">
        <w:t>”.</w:t>
      </w:r>
    </w:p>
    <w:p w14:paraId="69E2ED41" w14:textId="77777777" w:rsidR="001762EE" w:rsidRPr="005A497D" w:rsidRDefault="001762EE">
      <w:pPr>
        <w:pStyle w:val="NormalWeb"/>
        <w:autoSpaceDE w:val="0"/>
        <w:autoSpaceDN w:val="0"/>
        <w:adjustRightInd w:val="0"/>
        <w:spacing w:before="0" w:beforeAutospacing="0" w:after="0" w:afterAutospacing="0"/>
        <w:contextualSpacing/>
        <w:jc w:val="both"/>
      </w:pPr>
    </w:p>
    <w:p w14:paraId="41B4D64B" w14:textId="5C8D19F6" w:rsidR="001762EE" w:rsidRPr="0025475E" w:rsidRDefault="001762EE" w:rsidP="00FA4EA8">
      <w:pPr>
        <w:pStyle w:val="FreeFormAAAA"/>
        <w:jc w:val="both"/>
        <w:rPr>
          <w:b/>
          <w:i/>
          <w:sz w:val="24"/>
          <w:lang w:val="en-US"/>
        </w:rPr>
      </w:pPr>
      <w:r w:rsidRPr="0025475E">
        <w:rPr>
          <w:b/>
          <w:i/>
          <w:sz w:val="24"/>
          <w:lang w:val="en-US"/>
        </w:rPr>
        <w:t>Dimension 23.3 Internal control of payroll</w:t>
      </w:r>
    </w:p>
    <w:p w14:paraId="45003C6B" w14:textId="77777777" w:rsidR="001762EE" w:rsidRDefault="001762EE" w:rsidP="00AF3F83">
      <w:pPr>
        <w:pStyle w:val="NormalWeb"/>
        <w:autoSpaceDE w:val="0"/>
        <w:autoSpaceDN w:val="0"/>
        <w:adjustRightInd w:val="0"/>
        <w:spacing w:before="0" w:beforeAutospacing="0" w:after="0" w:afterAutospacing="0"/>
        <w:contextualSpacing/>
        <w:jc w:val="both"/>
      </w:pPr>
    </w:p>
    <w:p w14:paraId="228F1943" w14:textId="1084183C" w:rsidR="001762EE" w:rsidRDefault="001762EE" w:rsidP="00750BD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Each line department and agency maintains their respective </w:t>
      </w:r>
      <w:r w:rsidR="009D0CBA">
        <w:t>personnel</w:t>
      </w:r>
      <w:r w:rsidRPr="005A497D">
        <w:t xml:space="preserve"> records and processes payroll separately. </w:t>
      </w:r>
      <w:r>
        <w:t xml:space="preserve">Only authorized staff is allowed to make changes with an available audit trail. </w:t>
      </w:r>
      <w:r w:rsidRPr="005A497D">
        <w:t>Timekeeping is facilitated through use of either Bundy clocks or biometrics</w:t>
      </w:r>
      <w:r>
        <w:t>,</w:t>
      </w:r>
      <w:r w:rsidRPr="005A497D">
        <w:t xml:space="preserve"> which becomes the input for payroll processing. </w:t>
      </w:r>
    </w:p>
    <w:p w14:paraId="466B9EBD" w14:textId="77777777" w:rsidR="001762EE" w:rsidRPr="005A497D" w:rsidRDefault="001762EE" w:rsidP="00D849AE">
      <w:pPr>
        <w:pStyle w:val="NormalWeb"/>
        <w:autoSpaceDE w:val="0"/>
        <w:autoSpaceDN w:val="0"/>
        <w:adjustRightInd w:val="0"/>
        <w:spacing w:before="0" w:beforeAutospacing="0" w:after="0" w:afterAutospacing="0"/>
        <w:contextualSpacing/>
        <w:jc w:val="both"/>
      </w:pPr>
    </w:p>
    <w:p w14:paraId="4B5AC57A" w14:textId="10542C9B"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Payroll controls for preparation, validation, calculation, and segregation between the preparation and payment functions were found to be in place when reviewing sample departments. Payrolls are prepared by the </w:t>
      </w:r>
      <w:r w:rsidR="009D0CBA">
        <w:t>personnel</w:t>
      </w:r>
      <w:r>
        <w:t xml:space="preserve"> service department based on the validated daily time records. Approved prepared payroll is then presented to the accounting department for budget verification and validation of payroll data and its calculation and computation of deductions. Verified payroll information are processed and forwarded to the bank for payment</w:t>
      </w:r>
    </w:p>
    <w:p w14:paraId="3FF57D1B" w14:textId="77777777" w:rsidR="001762EE" w:rsidRDefault="001762EE" w:rsidP="00A53E3B">
      <w:pPr>
        <w:pStyle w:val="NormalWeb"/>
        <w:autoSpaceDE w:val="0"/>
        <w:autoSpaceDN w:val="0"/>
        <w:adjustRightInd w:val="0"/>
        <w:spacing w:before="0" w:beforeAutospacing="0" w:after="0" w:afterAutospacing="0"/>
        <w:contextualSpacing/>
        <w:jc w:val="both"/>
      </w:pPr>
    </w:p>
    <w:p w14:paraId="29B58444" w14:textId="522EC13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CoA audit reports note some instances of errors in the payroll data update; but d</w:t>
      </w:r>
      <w:r w:rsidRPr="005A497D">
        <w:t xml:space="preserve">espite weaknesses in </w:t>
      </w:r>
      <w:r>
        <w:t xml:space="preserve">implementation of some </w:t>
      </w:r>
      <w:r w:rsidRPr="005A497D">
        <w:t>controls, the overall level of compliance for payroll is considered sufficient for ensuring integrity of the payroll data. Score</w:t>
      </w:r>
      <w:r>
        <w:t xml:space="preserve"> for Dimension 23.3</w:t>
      </w:r>
      <w:r w:rsidRPr="005A497D">
        <w:t xml:space="preserve"> is assessed at “</w:t>
      </w:r>
      <w:r>
        <w:t>B</w:t>
      </w:r>
      <w:r w:rsidRPr="005A497D">
        <w:t xml:space="preserve">”. </w:t>
      </w:r>
    </w:p>
    <w:p w14:paraId="339FE2BF" w14:textId="77777777" w:rsidR="001762EE" w:rsidRPr="005A497D" w:rsidRDefault="001762EE" w:rsidP="00FA4EA8">
      <w:pPr>
        <w:pStyle w:val="NormalWeb"/>
        <w:autoSpaceDE w:val="0"/>
        <w:autoSpaceDN w:val="0"/>
        <w:adjustRightInd w:val="0"/>
        <w:spacing w:before="0" w:beforeAutospacing="0" w:after="0" w:afterAutospacing="0"/>
        <w:contextualSpacing/>
        <w:jc w:val="both"/>
      </w:pPr>
    </w:p>
    <w:p w14:paraId="17CA7C27" w14:textId="406DE998" w:rsidR="001762EE" w:rsidRPr="0025475E" w:rsidRDefault="001762EE" w:rsidP="00FA4EA8">
      <w:pPr>
        <w:pStyle w:val="NormalWeb"/>
        <w:autoSpaceDE w:val="0"/>
        <w:autoSpaceDN w:val="0"/>
        <w:adjustRightInd w:val="0"/>
        <w:spacing w:before="0" w:beforeAutospacing="0" w:after="0" w:afterAutospacing="0"/>
        <w:contextualSpacing/>
        <w:jc w:val="both"/>
        <w:rPr>
          <w:rFonts w:eastAsia="ヒラギノ角ゴ Pro W3"/>
          <w:b/>
          <w:i/>
        </w:rPr>
      </w:pPr>
      <w:r w:rsidRPr="0025475E">
        <w:rPr>
          <w:rFonts w:eastAsia="ヒラギノ角ゴ Pro W3"/>
          <w:b/>
          <w:i/>
        </w:rPr>
        <w:t>Dimension 23.4 Payroll audit</w:t>
      </w:r>
    </w:p>
    <w:p w14:paraId="60229116" w14:textId="77777777" w:rsidR="001762EE" w:rsidRPr="005A497D" w:rsidRDefault="001762EE" w:rsidP="008F153D">
      <w:pPr>
        <w:pStyle w:val="NormalWeb"/>
        <w:autoSpaceDE w:val="0"/>
        <w:autoSpaceDN w:val="0"/>
        <w:adjustRightInd w:val="0"/>
        <w:spacing w:before="0" w:beforeAutospacing="0" w:after="0" w:afterAutospacing="0"/>
        <w:contextualSpacing/>
        <w:jc w:val="both"/>
      </w:pPr>
    </w:p>
    <w:p w14:paraId="2924ED48" w14:textId="503C838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Biometric attendance systems have been installed in all national government offices thereby minimizing the risk of existence of ghost employees. This was verified in the sample departments visited as well as through certifications from several departments</w:t>
      </w:r>
      <w:r w:rsidR="003176F9" w:rsidRPr="003176F9">
        <w:t xml:space="preserve"> </w:t>
      </w:r>
      <w:r w:rsidR="003176F9">
        <w:t>and validations by assigned auditors</w:t>
      </w:r>
      <w:r>
        <w:t>. The Commission on Audit</w:t>
      </w:r>
      <w:r w:rsidRPr="005A497D">
        <w:t xml:space="preserve"> includes, as part of their regular </w:t>
      </w:r>
      <w:r>
        <w:t xml:space="preserve">annual </w:t>
      </w:r>
      <w:r w:rsidRPr="005A497D">
        <w:t xml:space="preserve">audit of </w:t>
      </w:r>
      <w:r>
        <w:t>an a</w:t>
      </w:r>
      <w:r w:rsidRPr="005A497D">
        <w:t>gency’s financial statements, procedures to attest management’s assertion on the accuracy and validity of the payroll accounts</w:t>
      </w:r>
      <w:r>
        <w:t>, including controls in place to prevent ghost workers</w:t>
      </w:r>
      <w:r w:rsidRPr="005A497D">
        <w:t>. Score</w:t>
      </w:r>
      <w:r>
        <w:t xml:space="preserve"> for Dimension 23.4</w:t>
      </w:r>
      <w:r w:rsidRPr="005A497D">
        <w:t xml:space="preserve"> is assessed as “</w:t>
      </w:r>
      <w:r>
        <w:t>A</w:t>
      </w:r>
      <w:r w:rsidRPr="005A497D">
        <w:t>”.</w:t>
      </w:r>
    </w:p>
    <w:p w14:paraId="08AFB967" w14:textId="77777777" w:rsidR="001762EE" w:rsidRPr="005A497D" w:rsidRDefault="001762EE" w:rsidP="001F539B">
      <w:pPr>
        <w:pStyle w:val="Default"/>
        <w:rPr>
          <w:bCs/>
        </w:rPr>
      </w:pPr>
    </w:p>
    <w:p w14:paraId="326C61EB" w14:textId="2940A26D" w:rsidR="001762EE" w:rsidRDefault="001762EE" w:rsidP="00411651">
      <w:pPr>
        <w:pStyle w:val="Heading3"/>
      </w:pPr>
      <w:bookmarkStart w:id="251" w:name="_Toc454811715"/>
      <w:bookmarkStart w:id="252" w:name="_Toc454888859"/>
      <w:r w:rsidRPr="005A497D">
        <w:t>PI-2</w:t>
      </w:r>
      <w:r>
        <w:t>4</w:t>
      </w:r>
      <w:r w:rsidRPr="005A497D">
        <w:t xml:space="preserve"> </w:t>
      </w:r>
      <w:r>
        <w:t>P</w:t>
      </w:r>
      <w:r w:rsidRPr="005A497D">
        <w:t>rocurement</w:t>
      </w:r>
      <w:bookmarkEnd w:id="251"/>
      <w:bookmarkEnd w:id="252"/>
    </w:p>
    <w:p w14:paraId="13F3C005" w14:textId="77777777" w:rsidR="001762EE" w:rsidRPr="00AF3F83" w:rsidRDefault="001762EE" w:rsidP="00AF3F83"/>
    <w:p w14:paraId="02F53065" w14:textId="0A54B310"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Significant public spending takes place through the public procurement system. </w:t>
      </w:r>
      <w:r>
        <w:t>This indicator examines key aspects of procurement management. It focuses on transparency of arrangements, emphasis on open and competitive procedures, monitoring of procurement results, and access to appeal and redress arrangements.</w:t>
      </w:r>
      <w:r w:rsidRPr="005A497D">
        <w:t xml:space="preserve"> The scope of the indicator covers the entire central government and all procurement of goods, services</w:t>
      </w:r>
      <w:r>
        <w:t>,</w:t>
      </w:r>
      <w:r w:rsidRPr="005A497D">
        <w:t xml:space="preserve"> and civil works whether classified as recurrent or capital investment expenditure (e.g.</w:t>
      </w:r>
      <w:r>
        <w:t>,</w:t>
      </w:r>
      <w:r w:rsidRPr="005A497D">
        <w:t xml:space="preserve"> including civil works and major equipment investments).</w:t>
      </w:r>
    </w:p>
    <w:p w14:paraId="134E32C4" w14:textId="77777777" w:rsidR="001762EE" w:rsidRPr="005A497D" w:rsidRDefault="001762EE" w:rsidP="00AF3F83">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2880"/>
        <w:gridCol w:w="900"/>
        <w:gridCol w:w="5576"/>
      </w:tblGrid>
      <w:tr w:rsidR="00C805B5" w:rsidRPr="00C06FE3" w14:paraId="4E0DFCAB" w14:textId="77777777" w:rsidTr="00C805B5">
        <w:trPr>
          <w:trHeight w:val="397"/>
        </w:trPr>
        <w:tc>
          <w:tcPr>
            <w:tcW w:w="2880" w:type="dxa"/>
            <w:tcBorders>
              <w:top w:val="double" w:sz="4" w:space="0" w:color="auto"/>
            </w:tcBorders>
            <w:shd w:val="clear" w:color="auto" w:fill="D9D9D9"/>
            <w:vAlign w:val="center"/>
          </w:tcPr>
          <w:p w14:paraId="39FE32CB" w14:textId="77777777" w:rsidR="001762EE" w:rsidRPr="00C06FE3" w:rsidRDefault="001762EE" w:rsidP="00233C6E">
            <w:pPr>
              <w:spacing w:before="40" w:after="40"/>
              <w:jc w:val="center"/>
              <w:rPr>
                <w:b/>
                <w:i/>
                <w:sz w:val="22"/>
                <w:szCs w:val="22"/>
              </w:rPr>
            </w:pPr>
            <w:r w:rsidRPr="00C06FE3">
              <w:rPr>
                <w:b/>
                <w:i/>
                <w:sz w:val="22"/>
                <w:szCs w:val="22"/>
              </w:rPr>
              <w:t>Indicator / Dimension</w:t>
            </w:r>
          </w:p>
        </w:tc>
        <w:tc>
          <w:tcPr>
            <w:tcW w:w="900" w:type="dxa"/>
            <w:tcBorders>
              <w:top w:val="double" w:sz="4" w:space="0" w:color="auto"/>
            </w:tcBorders>
            <w:shd w:val="clear" w:color="auto" w:fill="D9D9D9"/>
            <w:vAlign w:val="center"/>
          </w:tcPr>
          <w:p w14:paraId="67EF58F4" w14:textId="77777777" w:rsidR="001762EE" w:rsidRPr="00C06FE3" w:rsidRDefault="001762EE" w:rsidP="00233C6E">
            <w:pPr>
              <w:spacing w:before="40" w:after="40"/>
              <w:jc w:val="center"/>
              <w:rPr>
                <w:b/>
                <w:i/>
                <w:sz w:val="22"/>
                <w:szCs w:val="22"/>
              </w:rPr>
            </w:pPr>
            <w:r w:rsidRPr="00C06FE3">
              <w:rPr>
                <w:b/>
                <w:i/>
                <w:sz w:val="22"/>
                <w:szCs w:val="22"/>
              </w:rPr>
              <w:t>Score</w:t>
            </w:r>
          </w:p>
        </w:tc>
        <w:tc>
          <w:tcPr>
            <w:tcW w:w="5576" w:type="dxa"/>
            <w:tcBorders>
              <w:top w:val="double" w:sz="4" w:space="0" w:color="auto"/>
            </w:tcBorders>
            <w:shd w:val="clear" w:color="auto" w:fill="D9D9D9"/>
            <w:vAlign w:val="center"/>
          </w:tcPr>
          <w:p w14:paraId="64348638" w14:textId="77777777" w:rsidR="001762EE" w:rsidRPr="00C06FE3" w:rsidRDefault="001762EE" w:rsidP="00233C6E">
            <w:pPr>
              <w:spacing w:before="40" w:after="40"/>
              <w:jc w:val="center"/>
              <w:rPr>
                <w:b/>
                <w:i/>
                <w:sz w:val="22"/>
                <w:szCs w:val="22"/>
              </w:rPr>
            </w:pPr>
            <w:r w:rsidRPr="00C06FE3">
              <w:rPr>
                <w:b/>
                <w:i/>
                <w:sz w:val="22"/>
                <w:szCs w:val="22"/>
              </w:rPr>
              <w:t>Brief Explanation</w:t>
            </w:r>
          </w:p>
        </w:tc>
      </w:tr>
      <w:tr w:rsidR="00C805B5" w:rsidRPr="005A497D" w14:paraId="2B521F40" w14:textId="77777777" w:rsidTr="00C805B5">
        <w:tc>
          <w:tcPr>
            <w:tcW w:w="2880" w:type="dxa"/>
            <w:tcBorders>
              <w:top w:val="double" w:sz="4" w:space="0" w:color="auto"/>
              <w:bottom w:val="single" w:sz="4" w:space="0" w:color="auto"/>
            </w:tcBorders>
          </w:tcPr>
          <w:p w14:paraId="09A2FC4C" w14:textId="23FCBF6C" w:rsidR="001762EE" w:rsidRPr="005A497D" w:rsidRDefault="001762EE" w:rsidP="00AF3F83">
            <w:pPr>
              <w:spacing w:before="40" w:after="40"/>
              <w:rPr>
                <w:sz w:val="22"/>
                <w:szCs w:val="22"/>
              </w:rPr>
            </w:pPr>
            <w:r w:rsidRPr="005A497D">
              <w:rPr>
                <w:b/>
                <w:bCs/>
                <w:sz w:val="22"/>
                <w:szCs w:val="22"/>
              </w:rPr>
              <w:t>PI-2</w:t>
            </w:r>
            <w:r>
              <w:rPr>
                <w:b/>
                <w:bCs/>
                <w:sz w:val="22"/>
                <w:szCs w:val="22"/>
              </w:rPr>
              <w:t>4</w:t>
            </w:r>
            <w:r w:rsidRPr="005A497D">
              <w:rPr>
                <w:b/>
                <w:bCs/>
                <w:sz w:val="22"/>
                <w:szCs w:val="22"/>
              </w:rPr>
              <w:t xml:space="preserve"> </w:t>
            </w:r>
            <w:r>
              <w:rPr>
                <w:b/>
                <w:bCs/>
                <w:sz w:val="22"/>
                <w:szCs w:val="22"/>
              </w:rPr>
              <w:t>P</w:t>
            </w:r>
            <w:r w:rsidRPr="005A497D">
              <w:rPr>
                <w:b/>
                <w:bCs/>
                <w:sz w:val="22"/>
                <w:szCs w:val="22"/>
              </w:rPr>
              <w:t>rocurement</w:t>
            </w:r>
          </w:p>
        </w:tc>
        <w:tc>
          <w:tcPr>
            <w:tcW w:w="900" w:type="dxa"/>
            <w:tcBorders>
              <w:top w:val="double" w:sz="4" w:space="0" w:color="auto"/>
              <w:bottom w:val="single" w:sz="4" w:space="0" w:color="auto"/>
            </w:tcBorders>
          </w:tcPr>
          <w:p w14:paraId="4CB5B0B9" w14:textId="77777777" w:rsidR="001762EE" w:rsidRPr="005A497D" w:rsidRDefault="001762EE" w:rsidP="00233C6E">
            <w:pPr>
              <w:spacing w:before="40" w:after="40"/>
              <w:jc w:val="center"/>
              <w:rPr>
                <w:b/>
                <w:sz w:val="22"/>
                <w:szCs w:val="22"/>
              </w:rPr>
            </w:pPr>
            <w:r>
              <w:rPr>
                <w:b/>
                <w:sz w:val="22"/>
                <w:szCs w:val="22"/>
              </w:rPr>
              <w:t>C+</w:t>
            </w:r>
          </w:p>
        </w:tc>
        <w:tc>
          <w:tcPr>
            <w:tcW w:w="5576" w:type="dxa"/>
            <w:tcBorders>
              <w:top w:val="double" w:sz="4" w:space="0" w:color="auto"/>
              <w:bottom w:val="single" w:sz="4" w:space="0" w:color="auto"/>
            </w:tcBorders>
          </w:tcPr>
          <w:p w14:paraId="71497D20" w14:textId="77777777" w:rsidR="001762EE" w:rsidRPr="005A497D" w:rsidRDefault="001762EE" w:rsidP="00233C6E">
            <w:pPr>
              <w:spacing w:before="40" w:after="40"/>
              <w:rPr>
                <w:sz w:val="22"/>
                <w:szCs w:val="22"/>
              </w:rPr>
            </w:pPr>
            <w:r w:rsidRPr="005A497D">
              <w:rPr>
                <w:sz w:val="22"/>
                <w:szCs w:val="22"/>
              </w:rPr>
              <w:t>Overall rating based on M2 methodology.</w:t>
            </w:r>
          </w:p>
        </w:tc>
      </w:tr>
      <w:tr w:rsidR="00C805B5" w:rsidRPr="005A497D" w14:paraId="048CC1B6" w14:textId="77777777" w:rsidTr="00CA0D85">
        <w:trPr>
          <w:trHeight w:val="1592"/>
        </w:trPr>
        <w:tc>
          <w:tcPr>
            <w:tcW w:w="2880" w:type="dxa"/>
            <w:tcBorders>
              <w:top w:val="single" w:sz="4" w:space="0" w:color="auto"/>
              <w:bottom w:val="single" w:sz="4" w:space="0" w:color="auto"/>
            </w:tcBorders>
          </w:tcPr>
          <w:p w14:paraId="0885A003" w14:textId="53D49B64" w:rsidR="001762EE" w:rsidRPr="005A497D" w:rsidRDefault="001762EE" w:rsidP="00233C6E">
            <w:pPr>
              <w:pStyle w:val="Default"/>
              <w:rPr>
                <w:color w:val="auto"/>
                <w:sz w:val="22"/>
                <w:szCs w:val="22"/>
              </w:rPr>
            </w:pPr>
            <w:r>
              <w:rPr>
                <w:color w:val="auto"/>
                <w:sz w:val="22"/>
                <w:szCs w:val="22"/>
              </w:rPr>
              <w:t>24.1</w:t>
            </w:r>
            <w:r w:rsidRPr="005A497D">
              <w:rPr>
                <w:color w:val="auto"/>
                <w:sz w:val="22"/>
                <w:szCs w:val="22"/>
              </w:rPr>
              <w:t xml:space="preserve"> Procurement monitoring</w:t>
            </w:r>
          </w:p>
        </w:tc>
        <w:tc>
          <w:tcPr>
            <w:tcW w:w="900" w:type="dxa"/>
            <w:tcBorders>
              <w:top w:val="single" w:sz="4" w:space="0" w:color="auto"/>
              <w:bottom w:val="single" w:sz="4" w:space="0" w:color="auto"/>
            </w:tcBorders>
          </w:tcPr>
          <w:p w14:paraId="09584AB1" w14:textId="77777777" w:rsidR="001762EE" w:rsidRPr="005A497D" w:rsidRDefault="001762EE" w:rsidP="00233C6E">
            <w:pPr>
              <w:spacing w:before="40" w:after="40"/>
              <w:jc w:val="center"/>
              <w:rPr>
                <w:sz w:val="22"/>
                <w:szCs w:val="22"/>
              </w:rPr>
            </w:pPr>
            <w:r>
              <w:rPr>
                <w:sz w:val="22"/>
                <w:szCs w:val="22"/>
              </w:rPr>
              <w:t>B</w:t>
            </w:r>
          </w:p>
        </w:tc>
        <w:tc>
          <w:tcPr>
            <w:tcW w:w="5576" w:type="dxa"/>
            <w:tcBorders>
              <w:top w:val="single" w:sz="4" w:space="0" w:color="auto"/>
              <w:bottom w:val="single" w:sz="4" w:space="0" w:color="auto"/>
            </w:tcBorders>
          </w:tcPr>
          <w:p w14:paraId="1B36133D" w14:textId="19078041" w:rsidR="001762EE" w:rsidRPr="005A497D" w:rsidRDefault="001762EE">
            <w:pPr>
              <w:spacing w:before="40" w:after="40"/>
              <w:rPr>
                <w:sz w:val="22"/>
                <w:szCs w:val="22"/>
              </w:rPr>
            </w:pPr>
            <w:r w:rsidRPr="005A497D">
              <w:rPr>
                <w:sz w:val="22"/>
                <w:szCs w:val="22"/>
              </w:rPr>
              <w:t xml:space="preserve">The procurement monitoring system </w:t>
            </w:r>
            <w:r>
              <w:rPr>
                <w:sz w:val="22"/>
                <w:szCs w:val="22"/>
              </w:rPr>
              <w:t xml:space="preserve">of 15 national government agencies maintains data for contracts on what has been procured, value of procurement and who has been awarded contracts.  The data are accurate and complete for most (about 80% by value) of the contracts procured using different methods for goods, services and works. </w:t>
            </w:r>
          </w:p>
        </w:tc>
      </w:tr>
      <w:tr w:rsidR="00C805B5" w:rsidRPr="005A497D" w14:paraId="759204E6" w14:textId="77777777" w:rsidTr="00C805B5">
        <w:tc>
          <w:tcPr>
            <w:tcW w:w="2880" w:type="dxa"/>
            <w:tcBorders>
              <w:top w:val="single" w:sz="4" w:space="0" w:color="auto"/>
              <w:bottom w:val="single" w:sz="4" w:space="0" w:color="auto"/>
            </w:tcBorders>
          </w:tcPr>
          <w:p w14:paraId="26F01F96" w14:textId="1E5A1B81" w:rsidR="001762EE" w:rsidRPr="005A497D" w:rsidRDefault="001762EE" w:rsidP="00357078">
            <w:pPr>
              <w:pStyle w:val="Default"/>
              <w:rPr>
                <w:color w:val="auto"/>
                <w:sz w:val="22"/>
                <w:szCs w:val="22"/>
              </w:rPr>
            </w:pPr>
            <w:r>
              <w:rPr>
                <w:color w:val="auto"/>
                <w:sz w:val="22"/>
                <w:szCs w:val="22"/>
              </w:rPr>
              <w:t>24.2</w:t>
            </w:r>
            <w:r w:rsidRPr="005A497D">
              <w:rPr>
                <w:color w:val="auto"/>
                <w:sz w:val="22"/>
                <w:szCs w:val="22"/>
              </w:rPr>
              <w:t xml:space="preserve"> </w:t>
            </w:r>
            <w:r>
              <w:rPr>
                <w:color w:val="auto"/>
                <w:sz w:val="22"/>
                <w:szCs w:val="22"/>
              </w:rPr>
              <w:t>P</w:t>
            </w:r>
            <w:r w:rsidRPr="005A497D">
              <w:rPr>
                <w:color w:val="auto"/>
                <w:sz w:val="22"/>
                <w:szCs w:val="22"/>
              </w:rPr>
              <w:t>rocurement methods</w:t>
            </w:r>
          </w:p>
        </w:tc>
        <w:tc>
          <w:tcPr>
            <w:tcW w:w="900" w:type="dxa"/>
            <w:tcBorders>
              <w:top w:val="single" w:sz="4" w:space="0" w:color="auto"/>
              <w:bottom w:val="single" w:sz="4" w:space="0" w:color="auto"/>
            </w:tcBorders>
          </w:tcPr>
          <w:p w14:paraId="64F8875F" w14:textId="77777777" w:rsidR="001762EE" w:rsidRPr="005A497D" w:rsidRDefault="001762EE" w:rsidP="00233C6E">
            <w:pPr>
              <w:spacing w:before="40" w:after="40"/>
              <w:jc w:val="center"/>
              <w:rPr>
                <w:sz w:val="22"/>
                <w:szCs w:val="22"/>
              </w:rPr>
            </w:pPr>
            <w:r>
              <w:rPr>
                <w:sz w:val="22"/>
                <w:szCs w:val="22"/>
              </w:rPr>
              <w:t>B</w:t>
            </w:r>
          </w:p>
        </w:tc>
        <w:tc>
          <w:tcPr>
            <w:tcW w:w="5576" w:type="dxa"/>
            <w:tcBorders>
              <w:top w:val="single" w:sz="4" w:space="0" w:color="auto"/>
              <w:bottom w:val="single" w:sz="4" w:space="0" w:color="auto"/>
            </w:tcBorders>
          </w:tcPr>
          <w:p w14:paraId="2D6E2519" w14:textId="3C8F8ACB" w:rsidR="001762EE" w:rsidRPr="005A497D" w:rsidRDefault="001762EE" w:rsidP="003176F9">
            <w:pPr>
              <w:spacing w:before="40" w:after="40"/>
              <w:rPr>
                <w:sz w:val="22"/>
                <w:szCs w:val="22"/>
              </w:rPr>
            </w:pPr>
            <w:r w:rsidRPr="005A497D">
              <w:rPr>
                <w:sz w:val="22"/>
                <w:szCs w:val="22"/>
              </w:rPr>
              <w:t xml:space="preserve">The total value of contracts awarded through competitive methods in </w:t>
            </w:r>
            <w:r>
              <w:rPr>
                <w:sz w:val="22"/>
                <w:szCs w:val="22"/>
              </w:rPr>
              <w:t xml:space="preserve">2014 was PhP 35.4 billion for central government agencies and PhP 26.2 billion or 74% was done through competitive bidding.  </w:t>
            </w:r>
          </w:p>
        </w:tc>
      </w:tr>
      <w:tr w:rsidR="00C805B5" w:rsidRPr="005A497D" w14:paraId="643D4868" w14:textId="77777777" w:rsidTr="00CA0D85">
        <w:trPr>
          <w:trHeight w:val="1322"/>
        </w:trPr>
        <w:tc>
          <w:tcPr>
            <w:tcW w:w="2880" w:type="dxa"/>
            <w:tcBorders>
              <w:top w:val="single" w:sz="4" w:space="0" w:color="auto"/>
              <w:bottom w:val="single" w:sz="4" w:space="0" w:color="auto"/>
            </w:tcBorders>
          </w:tcPr>
          <w:p w14:paraId="7DD2DD11" w14:textId="01DDE4FB" w:rsidR="001762EE" w:rsidRPr="005A497D" w:rsidRDefault="001762EE" w:rsidP="00357078">
            <w:pPr>
              <w:pStyle w:val="Default"/>
              <w:rPr>
                <w:color w:val="auto"/>
                <w:sz w:val="22"/>
                <w:szCs w:val="22"/>
              </w:rPr>
            </w:pPr>
            <w:r>
              <w:rPr>
                <w:color w:val="auto"/>
                <w:sz w:val="22"/>
                <w:szCs w:val="22"/>
              </w:rPr>
              <w:t>24.3</w:t>
            </w:r>
            <w:r w:rsidRPr="005A497D">
              <w:rPr>
                <w:color w:val="auto"/>
                <w:sz w:val="22"/>
                <w:szCs w:val="22"/>
              </w:rPr>
              <w:t xml:space="preserve"> Public access to procurement information</w:t>
            </w:r>
          </w:p>
        </w:tc>
        <w:tc>
          <w:tcPr>
            <w:tcW w:w="900" w:type="dxa"/>
            <w:tcBorders>
              <w:top w:val="single" w:sz="4" w:space="0" w:color="auto"/>
              <w:bottom w:val="single" w:sz="4" w:space="0" w:color="auto"/>
            </w:tcBorders>
          </w:tcPr>
          <w:p w14:paraId="1D77DC93" w14:textId="77777777" w:rsidR="001762EE" w:rsidRPr="005A497D" w:rsidRDefault="001762EE" w:rsidP="00233C6E">
            <w:pPr>
              <w:spacing w:before="40" w:after="40"/>
              <w:jc w:val="center"/>
              <w:rPr>
                <w:sz w:val="22"/>
                <w:szCs w:val="22"/>
              </w:rPr>
            </w:pPr>
            <w:r>
              <w:rPr>
                <w:sz w:val="22"/>
                <w:szCs w:val="22"/>
              </w:rPr>
              <w:t>B</w:t>
            </w:r>
          </w:p>
        </w:tc>
        <w:tc>
          <w:tcPr>
            <w:tcW w:w="5576" w:type="dxa"/>
            <w:tcBorders>
              <w:top w:val="single" w:sz="4" w:space="0" w:color="auto"/>
              <w:bottom w:val="single" w:sz="4" w:space="0" w:color="auto"/>
            </w:tcBorders>
          </w:tcPr>
          <w:p w14:paraId="1A55AF93" w14:textId="3489F0F0" w:rsidR="001762EE" w:rsidRPr="005A497D" w:rsidRDefault="00CA0D85" w:rsidP="005108BC">
            <w:pPr>
              <w:spacing w:before="40" w:after="40"/>
              <w:rPr>
                <w:sz w:val="22"/>
                <w:szCs w:val="22"/>
              </w:rPr>
            </w:pPr>
            <w:r>
              <w:rPr>
                <w:sz w:val="22"/>
                <w:szCs w:val="22"/>
              </w:rPr>
              <w:t>5</w:t>
            </w:r>
            <w:r w:rsidR="001762EE">
              <w:rPr>
                <w:sz w:val="22"/>
                <w:szCs w:val="22"/>
              </w:rPr>
              <w:t xml:space="preserve"> of the 6 </w:t>
            </w:r>
            <w:r w:rsidR="001762EE" w:rsidRPr="005A497D">
              <w:rPr>
                <w:sz w:val="22"/>
                <w:szCs w:val="22"/>
              </w:rPr>
              <w:t xml:space="preserve">key procurement information elements are complete and </w:t>
            </w:r>
            <w:r w:rsidR="001762EE">
              <w:rPr>
                <w:sz w:val="22"/>
                <w:szCs w:val="22"/>
              </w:rPr>
              <w:t>reliable for national government agencies representing 75%</w:t>
            </w:r>
            <w:r w:rsidR="001762EE" w:rsidRPr="005A497D">
              <w:rPr>
                <w:sz w:val="22"/>
                <w:szCs w:val="22"/>
              </w:rPr>
              <w:t xml:space="preserve"> of procurement operations (by value) and are made available to the public</w:t>
            </w:r>
            <w:r w:rsidR="001762EE">
              <w:rPr>
                <w:sz w:val="22"/>
                <w:szCs w:val="22"/>
              </w:rPr>
              <w:t xml:space="preserve"> in a timely manner</w:t>
            </w:r>
            <w:r w:rsidR="001762EE" w:rsidRPr="005A497D">
              <w:rPr>
                <w:sz w:val="22"/>
                <w:szCs w:val="22"/>
              </w:rPr>
              <w:t xml:space="preserve"> through appropriate means.</w:t>
            </w:r>
          </w:p>
        </w:tc>
      </w:tr>
      <w:tr w:rsidR="00C805B5" w:rsidRPr="005A497D" w14:paraId="01790075" w14:textId="77777777" w:rsidTr="00C805B5">
        <w:tc>
          <w:tcPr>
            <w:tcW w:w="2880" w:type="dxa"/>
            <w:tcBorders>
              <w:top w:val="single" w:sz="4" w:space="0" w:color="auto"/>
              <w:bottom w:val="double" w:sz="4" w:space="0" w:color="auto"/>
            </w:tcBorders>
          </w:tcPr>
          <w:p w14:paraId="1E0FABDA" w14:textId="4098A019" w:rsidR="001762EE" w:rsidRPr="005A497D" w:rsidRDefault="001762EE" w:rsidP="00357078">
            <w:pPr>
              <w:pStyle w:val="Default"/>
              <w:rPr>
                <w:color w:val="auto"/>
                <w:sz w:val="22"/>
                <w:szCs w:val="22"/>
              </w:rPr>
            </w:pPr>
            <w:r>
              <w:rPr>
                <w:color w:val="auto"/>
                <w:sz w:val="22"/>
                <w:szCs w:val="22"/>
              </w:rPr>
              <w:t>24.4</w:t>
            </w:r>
            <w:r w:rsidRPr="005A497D">
              <w:rPr>
                <w:color w:val="auto"/>
                <w:sz w:val="22"/>
                <w:szCs w:val="22"/>
              </w:rPr>
              <w:t xml:space="preserve"> </w:t>
            </w:r>
            <w:r>
              <w:rPr>
                <w:color w:val="auto"/>
                <w:sz w:val="22"/>
                <w:szCs w:val="22"/>
              </w:rPr>
              <w:t>P</w:t>
            </w:r>
            <w:r w:rsidRPr="005A497D">
              <w:rPr>
                <w:color w:val="auto"/>
                <w:sz w:val="22"/>
                <w:szCs w:val="22"/>
              </w:rPr>
              <w:t>rocurement complaint</w:t>
            </w:r>
            <w:r>
              <w:rPr>
                <w:color w:val="auto"/>
                <w:sz w:val="22"/>
                <w:szCs w:val="22"/>
              </w:rPr>
              <w:t>s management</w:t>
            </w:r>
          </w:p>
        </w:tc>
        <w:tc>
          <w:tcPr>
            <w:tcW w:w="900" w:type="dxa"/>
            <w:tcBorders>
              <w:top w:val="single" w:sz="4" w:space="0" w:color="auto"/>
              <w:bottom w:val="double" w:sz="4" w:space="0" w:color="auto"/>
            </w:tcBorders>
          </w:tcPr>
          <w:p w14:paraId="5A409D84" w14:textId="77777777" w:rsidR="001762EE" w:rsidRPr="005A497D" w:rsidRDefault="001762EE" w:rsidP="00233C6E">
            <w:pPr>
              <w:spacing w:before="40" w:after="40"/>
              <w:jc w:val="center"/>
              <w:rPr>
                <w:sz w:val="22"/>
                <w:szCs w:val="22"/>
              </w:rPr>
            </w:pPr>
            <w:r w:rsidRPr="005A497D">
              <w:rPr>
                <w:sz w:val="22"/>
                <w:szCs w:val="22"/>
              </w:rPr>
              <w:t>D</w:t>
            </w:r>
          </w:p>
        </w:tc>
        <w:tc>
          <w:tcPr>
            <w:tcW w:w="5576" w:type="dxa"/>
            <w:tcBorders>
              <w:top w:val="single" w:sz="4" w:space="0" w:color="auto"/>
              <w:bottom w:val="double" w:sz="4" w:space="0" w:color="auto"/>
            </w:tcBorders>
          </w:tcPr>
          <w:p w14:paraId="7BE7AA30" w14:textId="50400FBC" w:rsidR="001762EE" w:rsidRPr="005A497D" w:rsidRDefault="001762EE" w:rsidP="005108BC">
            <w:pPr>
              <w:spacing w:before="40" w:after="40"/>
              <w:rPr>
                <w:sz w:val="22"/>
                <w:szCs w:val="22"/>
              </w:rPr>
            </w:pPr>
            <w:r w:rsidRPr="005A497D">
              <w:rPr>
                <w:sz w:val="22"/>
                <w:szCs w:val="22"/>
              </w:rPr>
              <w:t>There is no independent administrative procurement complaints system provided for under GPRA.</w:t>
            </w:r>
          </w:p>
        </w:tc>
      </w:tr>
    </w:tbl>
    <w:p w14:paraId="1A13364A" w14:textId="77777777" w:rsidR="001762EE" w:rsidRPr="005A497D" w:rsidRDefault="001762EE" w:rsidP="00AF3F83">
      <w:pPr>
        <w:pStyle w:val="FreeFormAAAA"/>
        <w:jc w:val="both"/>
        <w:rPr>
          <w:sz w:val="24"/>
          <w:szCs w:val="24"/>
          <w:lang w:val="en-US"/>
        </w:rPr>
      </w:pPr>
    </w:p>
    <w:p w14:paraId="6E1667AF" w14:textId="2EC82FDF" w:rsidR="001762EE" w:rsidRPr="0025475E" w:rsidRDefault="001762EE" w:rsidP="00AF3F83">
      <w:pPr>
        <w:pStyle w:val="NormalWeb"/>
        <w:autoSpaceDE w:val="0"/>
        <w:autoSpaceDN w:val="0"/>
        <w:adjustRightInd w:val="0"/>
        <w:spacing w:before="0" w:beforeAutospacing="0" w:after="0" w:afterAutospacing="0"/>
        <w:jc w:val="both"/>
        <w:rPr>
          <w:b/>
          <w:u w:val="single"/>
        </w:rPr>
      </w:pPr>
      <w:r w:rsidRPr="0025475E">
        <w:rPr>
          <w:b/>
          <w:i/>
        </w:rPr>
        <w:t>Dimension 24.1 Procurement monitoring</w:t>
      </w:r>
    </w:p>
    <w:p w14:paraId="12D3087F" w14:textId="77777777" w:rsidR="001762EE" w:rsidRPr="005A497D" w:rsidRDefault="001762EE" w:rsidP="00AF3F83">
      <w:pPr>
        <w:pStyle w:val="NormalWeb"/>
        <w:autoSpaceDE w:val="0"/>
        <w:autoSpaceDN w:val="0"/>
        <w:adjustRightInd w:val="0"/>
        <w:spacing w:before="0" w:beforeAutospacing="0" w:after="0" w:afterAutospacing="0"/>
        <w:jc w:val="both"/>
        <w:rPr>
          <w:u w:val="single"/>
        </w:rPr>
      </w:pPr>
    </w:p>
    <w:p w14:paraId="6C948FC2" w14:textId="5107AEB2" w:rsidR="001762EE" w:rsidRDefault="001762EE" w:rsidP="005A03CD">
      <w:pPr>
        <w:pStyle w:val="NormalWeb"/>
        <w:numPr>
          <w:ilvl w:val="0"/>
          <w:numId w:val="6"/>
        </w:numPr>
        <w:autoSpaceDE w:val="0"/>
        <w:autoSpaceDN w:val="0"/>
        <w:adjustRightInd w:val="0"/>
        <w:ind w:left="0" w:firstLine="0"/>
        <w:contextualSpacing/>
        <w:jc w:val="both"/>
      </w:pPr>
      <w:r>
        <w:t>The PEFA assessment covered 15 national government agencies that awarded contracts in 2014 in the amount of PhP 35.4 billion, comprising goods, works, and services using different procurement methods. The records for these contracts are maintained for each step of the process from pre-procurement conference; advertisement; bid submission; bid evaluation; notice to the awardee; and contract preparation, finalization, and signing.</w:t>
      </w:r>
    </w:p>
    <w:p w14:paraId="44F999CC" w14:textId="77777777" w:rsidR="001762EE" w:rsidRDefault="001762EE" w:rsidP="00357078">
      <w:pPr>
        <w:pStyle w:val="NormalWeb"/>
        <w:autoSpaceDE w:val="0"/>
        <w:autoSpaceDN w:val="0"/>
        <w:adjustRightInd w:val="0"/>
        <w:contextualSpacing/>
        <w:jc w:val="both"/>
      </w:pPr>
    </w:p>
    <w:p w14:paraId="1A5BEC5B" w14:textId="660624B3" w:rsidR="001762EE" w:rsidRDefault="001762EE" w:rsidP="005A03CD">
      <w:pPr>
        <w:pStyle w:val="NormalWeb"/>
        <w:numPr>
          <w:ilvl w:val="0"/>
          <w:numId w:val="6"/>
        </w:numPr>
        <w:autoSpaceDE w:val="0"/>
        <w:autoSpaceDN w:val="0"/>
        <w:adjustRightInd w:val="0"/>
        <w:ind w:left="0" w:firstLine="0"/>
        <w:contextualSpacing/>
        <w:jc w:val="both"/>
      </w:pPr>
      <w:r>
        <w:t xml:space="preserve">Documents are filed and maintained by the Procurement Unit of each national government agency. Relevant data are captured in a procurement monitoring report that is periodically submitted, together with the approved procurement plan to the Government Procurement Policy Board, as mandated by the implementing rules and regulations of the </w:t>
      </w:r>
      <w:r w:rsidRPr="0025475E">
        <w:t>Government Procurement Reform Act</w:t>
      </w:r>
      <w:r>
        <w:t xml:space="preserve"> (GPRA).   </w:t>
      </w:r>
    </w:p>
    <w:p w14:paraId="56BE79AB" w14:textId="77777777" w:rsidR="001762EE" w:rsidRPr="005A497D" w:rsidRDefault="001762EE" w:rsidP="00357078">
      <w:pPr>
        <w:pStyle w:val="NormalWeb"/>
        <w:autoSpaceDE w:val="0"/>
        <w:autoSpaceDN w:val="0"/>
        <w:adjustRightInd w:val="0"/>
        <w:contextualSpacing/>
        <w:jc w:val="both"/>
      </w:pPr>
    </w:p>
    <w:p w14:paraId="538721AB" w14:textId="01E38ECC"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GPPB</w:t>
      </w:r>
      <w:r>
        <w:t>-</w:t>
      </w:r>
      <w:r w:rsidRPr="005A497D">
        <w:t xml:space="preserve">issued Agency Procurement Compliance and Performance Indicator (APCPI) system is the standard for monitoring and </w:t>
      </w:r>
      <w:r>
        <w:t xml:space="preserve">the </w:t>
      </w:r>
      <w:r w:rsidRPr="005A497D">
        <w:t>annual performance measurement of procuring entities’ procurement</w:t>
      </w:r>
      <w:r>
        <w:t xml:space="preserve"> systems</w:t>
      </w:r>
      <w:r w:rsidRPr="005A497D">
        <w:t xml:space="preserve"> (GPPB Resolution No. 2012-026, July 2012). The APCPI </w:t>
      </w:r>
      <w:r>
        <w:t xml:space="preserve">system </w:t>
      </w:r>
      <w:r w:rsidRPr="005A497D">
        <w:t xml:space="preserve">has been rolled out to 18 </w:t>
      </w:r>
      <w:r>
        <w:t>national government agencies</w:t>
      </w:r>
      <w:r w:rsidRPr="005A497D">
        <w:t xml:space="preserve"> and some GOCCs and </w:t>
      </w:r>
      <w:r>
        <w:t>local government units</w:t>
      </w:r>
      <w:r w:rsidRPr="005A497D">
        <w:t xml:space="preserve">. The Philippine Government Electronic Procurement System (PhilGEPS) publishes invitation to bids and contract awards of all procuring entities. </w:t>
      </w:r>
      <w:r>
        <w:t>The score for Dimension 24.1 is assessed at “B”.</w:t>
      </w:r>
    </w:p>
    <w:p w14:paraId="02238952" w14:textId="77777777" w:rsidR="001762EE" w:rsidRDefault="001762EE" w:rsidP="00AF3F83">
      <w:pPr>
        <w:pStyle w:val="NormalWeb"/>
        <w:autoSpaceDE w:val="0"/>
        <w:autoSpaceDN w:val="0"/>
        <w:adjustRightInd w:val="0"/>
        <w:spacing w:before="0" w:beforeAutospacing="0" w:after="0" w:afterAutospacing="0"/>
        <w:contextualSpacing/>
        <w:jc w:val="both"/>
      </w:pPr>
    </w:p>
    <w:p w14:paraId="5013964C" w14:textId="77777777" w:rsidR="00EC5DE8" w:rsidRPr="005A497D" w:rsidRDefault="00EC5DE8" w:rsidP="00AF3F83">
      <w:pPr>
        <w:pStyle w:val="NormalWeb"/>
        <w:autoSpaceDE w:val="0"/>
        <w:autoSpaceDN w:val="0"/>
        <w:adjustRightInd w:val="0"/>
        <w:spacing w:before="0" w:beforeAutospacing="0" w:after="0" w:afterAutospacing="0"/>
        <w:contextualSpacing/>
        <w:jc w:val="both"/>
      </w:pPr>
    </w:p>
    <w:p w14:paraId="2857CD5B" w14:textId="6CB83D1C" w:rsidR="001762EE" w:rsidRPr="0025475E" w:rsidRDefault="001762EE" w:rsidP="00AF3F83">
      <w:pPr>
        <w:pStyle w:val="NormalWeb"/>
        <w:autoSpaceDE w:val="0"/>
        <w:autoSpaceDN w:val="0"/>
        <w:adjustRightInd w:val="0"/>
        <w:spacing w:before="0" w:beforeAutospacing="0" w:after="0" w:afterAutospacing="0"/>
        <w:jc w:val="both"/>
        <w:rPr>
          <w:b/>
          <w:u w:val="single"/>
        </w:rPr>
      </w:pPr>
      <w:r w:rsidRPr="0025475E">
        <w:rPr>
          <w:b/>
          <w:i/>
        </w:rPr>
        <w:t>Dimension 24.2 Procurement methods</w:t>
      </w:r>
    </w:p>
    <w:p w14:paraId="2B6C2646" w14:textId="77777777" w:rsidR="001762EE" w:rsidRPr="005A497D" w:rsidRDefault="001762EE" w:rsidP="00AF3F83">
      <w:pPr>
        <w:pStyle w:val="NormalWeb"/>
        <w:autoSpaceDE w:val="0"/>
        <w:autoSpaceDN w:val="0"/>
        <w:adjustRightInd w:val="0"/>
        <w:spacing w:before="0" w:beforeAutospacing="0" w:after="0" w:afterAutospacing="0"/>
        <w:jc w:val="both"/>
        <w:rPr>
          <w:u w:val="single"/>
        </w:rPr>
      </w:pPr>
    </w:p>
    <w:p w14:paraId="4B6DE93D" w14:textId="3856A1CE"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This dimension analyzes the percentage of total value of contracts awarded with and without competition. A good procurement system uses competitive method as the default mode. In 2014, the 15 national government agencies awarded contracts worth PhP 35.4 billion using different procurement methods. Out of this amount, PhP 26.2 billion (or 74 percent of the total value of contracts) was procured through competitive method. Score for Dimension 24.2 is thus assessed as “B”.</w:t>
      </w:r>
    </w:p>
    <w:p w14:paraId="52999716" w14:textId="77777777" w:rsidR="001762EE" w:rsidRDefault="001762EE" w:rsidP="00AF3F83">
      <w:pPr>
        <w:pStyle w:val="NormalWeb"/>
        <w:autoSpaceDE w:val="0"/>
        <w:autoSpaceDN w:val="0"/>
        <w:adjustRightInd w:val="0"/>
        <w:spacing w:before="0" w:beforeAutospacing="0" w:after="0" w:afterAutospacing="0"/>
        <w:contextualSpacing/>
        <w:jc w:val="both"/>
      </w:pPr>
    </w:p>
    <w:p w14:paraId="17C0874F" w14:textId="77777777" w:rsidR="00EC5DE8" w:rsidRPr="005A497D" w:rsidRDefault="00EC5DE8" w:rsidP="00AF3F83">
      <w:pPr>
        <w:pStyle w:val="NormalWeb"/>
        <w:autoSpaceDE w:val="0"/>
        <w:autoSpaceDN w:val="0"/>
        <w:adjustRightInd w:val="0"/>
        <w:spacing w:before="0" w:beforeAutospacing="0" w:after="0" w:afterAutospacing="0"/>
        <w:contextualSpacing/>
        <w:jc w:val="both"/>
      </w:pPr>
    </w:p>
    <w:p w14:paraId="6945FD3C" w14:textId="620A0889" w:rsidR="001762EE" w:rsidRPr="0025475E" w:rsidRDefault="001762EE" w:rsidP="00AF3F83">
      <w:pPr>
        <w:pStyle w:val="NormalWeb"/>
        <w:autoSpaceDE w:val="0"/>
        <w:autoSpaceDN w:val="0"/>
        <w:adjustRightInd w:val="0"/>
        <w:spacing w:before="0" w:beforeAutospacing="0" w:after="0" w:afterAutospacing="0"/>
        <w:jc w:val="both"/>
        <w:rPr>
          <w:b/>
          <w:u w:val="single"/>
        </w:rPr>
      </w:pPr>
      <w:r w:rsidRPr="0025475E">
        <w:rPr>
          <w:b/>
          <w:i/>
        </w:rPr>
        <w:t>Dimension 24.3 Public access to procurement information</w:t>
      </w:r>
    </w:p>
    <w:p w14:paraId="36CBCC0A" w14:textId="77777777" w:rsidR="001762EE" w:rsidRPr="005A497D" w:rsidRDefault="001762EE" w:rsidP="00AF3F83">
      <w:pPr>
        <w:pStyle w:val="NormalWeb"/>
        <w:autoSpaceDE w:val="0"/>
        <w:autoSpaceDN w:val="0"/>
        <w:adjustRightInd w:val="0"/>
        <w:spacing w:before="0" w:beforeAutospacing="0" w:after="0" w:afterAutospacing="0"/>
        <w:jc w:val="both"/>
        <w:rPr>
          <w:u w:val="single"/>
        </w:rPr>
      </w:pPr>
    </w:p>
    <w:p w14:paraId="3D10C342" w14:textId="0D7182A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At least f</w:t>
      </w:r>
      <w:r w:rsidR="00EC5DE8">
        <w:t>ive</w:t>
      </w:r>
      <w:r w:rsidRPr="005A497D">
        <w:t xml:space="preserve"> of the </w:t>
      </w:r>
      <w:r>
        <w:t xml:space="preserve">six </w:t>
      </w:r>
      <w:r w:rsidRPr="005A497D">
        <w:t>key procurement information elements are complete and r</w:t>
      </w:r>
      <w:r>
        <w:t>eliable for national government agencies representing most (75 percent or better)</w:t>
      </w:r>
      <w:r w:rsidRPr="005A497D">
        <w:t xml:space="preserve"> of procurement operations (by value) and made available to the public through appropriate means. The </w:t>
      </w:r>
      <w:r>
        <w:t xml:space="preserve">Philippine public procurement </w:t>
      </w:r>
      <w:r w:rsidRPr="005A497D">
        <w:t xml:space="preserve">system makes available to the public </w:t>
      </w:r>
      <w:r>
        <w:t xml:space="preserve">(a) </w:t>
      </w:r>
      <w:r w:rsidRPr="005A497D">
        <w:t>the legal and regulatory framework</w:t>
      </w:r>
      <w:r>
        <w:t xml:space="preserve"> as published on GPPB website (www.gppb.gov.ph)</w:t>
      </w:r>
      <w:r w:rsidRPr="005A497D">
        <w:t xml:space="preserve">; </w:t>
      </w:r>
      <w:r>
        <w:t xml:space="preserve">(b) the government procurement plans in each NGA website; (c) </w:t>
      </w:r>
      <w:r w:rsidRPr="005A497D">
        <w:t>the bidding opportunities</w:t>
      </w:r>
      <w:r>
        <w:t xml:space="preserve"> in PhilGEPS (www.philgeps.gov.ph</w:t>
      </w:r>
      <w:r w:rsidR="00EC5DE8">
        <w:t>)</w:t>
      </w:r>
      <w:r w:rsidR="00EC5DE8" w:rsidRPr="005A497D">
        <w:t xml:space="preserve">; </w:t>
      </w:r>
      <w:r w:rsidR="00EC5DE8">
        <w:t xml:space="preserve">(d) </w:t>
      </w:r>
      <w:r w:rsidR="00EC5DE8" w:rsidRPr="005A497D">
        <w:t>contract awards with purpose, contractor</w:t>
      </w:r>
      <w:r w:rsidR="00EC5DE8">
        <w:t>,</w:t>
      </w:r>
      <w:r w:rsidR="00EC5DE8" w:rsidRPr="005A497D">
        <w:t xml:space="preserve"> and value</w:t>
      </w:r>
      <w:r w:rsidR="00EC5DE8">
        <w:t xml:space="preserve"> in PhilGEPS on each </w:t>
      </w:r>
      <w:r w:rsidR="00EC5DE8" w:rsidRPr="005323C0">
        <w:t>NGA</w:t>
      </w:r>
      <w:r w:rsidR="00EC5DE8">
        <w:t xml:space="preserve"> website; and (e) </w:t>
      </w:r>
      <w:r w:rsidR="00EC5DE8" w:rsidRPr="005E1F21">
        <w:t>data on resolution of complaints in GPPB w</w:t>
      </w:r>
      <w:r w:rsidR="00EC5DE8">
        <w:t>ebsite</w:t>
      </w:r>
      <w:r w:rsidR="00EC5DE8" w:rsidRPr="005A497D">
        <w:t xml:space="preserve">. It is not publishing yet the data on </w:t>
      </w:r>
      <w:r w:rsidR="00EC5DE8">
        <w:t>annual procurement statistics</w:t>
      </w:r>
      <w:r w:rsidR="00EC5DE8" w:rsidRPr="005A497D">
        <w:t>.</w:t>
      </w:r>
      <w:r w:rsidR="00EC5DE8">
        <w:t xml:space="preserve"> Score for Dimension 24.3 is</w:t>
      </w:r>
      <w:r>
        <w:t xml:space="preserve"> assessed at “B”.</w:t>
      </w:r>
    </w:p>
    <w:p w14:paraId="079C71A5" w14:textId="77777777" w:rsidR="00EC5DE8" w:rsidRDefault="00EC5DE8" w:rsidP="00AF3F83">
      <w:pPr>
        <w:pStyle w:val="NormalWeb"/>
        <w:autoSpaceDE w:val="0"/>
        <w:autoSpaceDN w:val="0"/>
        <w:adjustRightInd w:val="0"/>
        <w:spacing w:before="0" w:beforeAutospacing="0" w:after="0" w:afterAutospacing="0"/>
        <w:jc w:val="both"/>
        <w:rPr>
          <w:b/>
          <w:i/>
        </w:rPr>
      </w:pPr>
    </w:p>
    <w:p w14:paraId="22719E08" w14:textId="45E86688" w:rsidR="001762EE" w:rsidRPr="0025475E" w:rsidRDefault="001762EE" w:rsidP="00AF3F83">
      <w:pPr>
        <w:pStyle w:val="NormalWeb"/>
        <w:autoSpaceDE w:val="0"/>
        <w:autoSpaceDN w:val="0"/>
        <w:adjustRightInd w:val="0"/>
        <w:spacing w:before="0" w:beforeAutospacing="0" w:after="0" w:afterAutospacing="0"/>
        <w:jc w:val="both"/>
        <w:rPr>
          <w:b/>
          <w:u w:val="single"/>
        </w:rPr>
      </w:pPr>
      <w:r w:rsidRPr="0025475E">
        <w:rPr>
          <w:b/>
          <w:i/>
        </w:rPr>
        <w:t>Dimension 24.4 Procurement complaints management</w:t>
      </w:r>
    </w:p>
    <w:p w14:paraId="476914EA" w14:textId="77777777" w:rsidR="001762EE" w:rsidRPr="005A497D" w:rsidRDefault="001762EE" w:rsidP="00AF3F83">
      <w:pPr>
        <w:pStyle w:val="NormalWeb"/>
        <w:autoSpaceDE w:val="0"/>
        <w:autoSpaceDN w:val="0"/>
        <w:adjustRightInd w:val="0"/>
        <w:spacing w:before="0" w:beforeAutospacing="0" w:after="0" w:afterAutospacing="0"/>
        <w:jc w:val="both"/>
        <w:rPr>
          <w:u w:val="single"/>
        </w:rPr>
      </w:pPr>
    </w:p>
    <w:p w14:paraId="7A0271E7" w14:textId="38A61EBE"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While the </w:t>
      </w:r>
      <w:r w:rsidR="00024F47" w:rsidRPr="0025475E">
        <w:t>Government Procurement Reform Act</w:t>
      </w:r>
      <w:r>
        <w:t xml:space="preserve"> provides a protest mechanism, there is no provision for an independent </w:t>
      </w:r>
      <w:r w:rsidRPr="005A497D">
        <w:t>administrative procurement</w:t>
      </w:r>
      <w:r>
        <w:t xml:space="preserve"> </w:t>
      </w:r>
      <w:r w:rsidRPr="005A497D">
        <w:t xml:space="preserve">complaints </w:t>
      </w:r>
      <w:r>
        <w:t xml:space="preserve">body. Moreover, the protest mechanism requires payment of fees that may discourage aggrieved parties. </w:t>
      </w:r>
      <w:r w:rsidRPr="005A497D">
        <w:t>S</w:t>
      </w:r>
      <w:r>
        <w:t>cores for Dimension 24.4 is assessed at “D”.</w:t>
      </w:r>
    </w:p>
    <w:p w14:paraId="4A07EECC" w14:textId="7D57E84F" w:rsidR="001762EE" w:rsidRDefault="001762EE" w:rsidP="00411651">
      <w:pPr>
        <w:pStyle w:val="Heading3"/>
      </w:pPr>
      <w:bookmarkStart w:id="253" w:name="_Toc454811716"/>
      <w:bookmarkStart w:id="254" w:name="_Toc454888860"/>
      <w:r w:rsidRPr="005A497D">
        <w:t>PI-2</w:t>
      </w:r>
      <w:r>
        <w:t>5</w:t>
      </w:r>
      <w:r w:rsidRPr="005A497D">
        <w:t xml:space="preserve"> </w:t>
      </w:r>
      <w:r>
        <w:t>I</w:t>
      </w:r>
      <w:r w:rsidRPr="005A497D">
        <w:t xml:space="preserve">nternal controls </w:t>
      </w:r>
      <w:r>
        <w:t xml:space="preserve">on </w:t>
      </w:r>
      <w:r w:rsidRPr="005A497D">
        <w:t>non</w:t>
      </w:r>
      <w:r>
        <w:t>-</w:t>
      </w:r>
      <w:r w:rsidRPr="005A497D">
        <w:t>salary expenditure</w:t>
      </w:r>
      <w:bookmarkEnd w:id="253"/>
      <w:bookmarkEnd w:id="254"/>
    </w:p>
    <w:p w14:paraId="33C059A1" w14:textId="77777777" w:rsidR="001762EE" w:rsidRPr="004206A0" w:rsidRDefault="001762EE" w:rsidP="004206A0"/>
    <w:p w14:paraId="2D60DFED" w14:textId="1A9992F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This indicator </w:t>
      </w:r>
      <w:r>
        <w:t xml:space="preserve">measures the effectiveness of general internal controls for non-salary expenditures. Specific expenditure controls on public service salaries are considered in PI-23. </w:t>
      </w:r>
    </w:p>
    <w:p w14:paraId="6BABEAD6" w14:textId="77777777" w:rsidR="0096547C" w:rsidRPr="005A497D" w:rsidRDefault="0096547C" w:rsidP="00DE3FD5">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330"/>
        <w:gridCol w:w="1260"/>
        <w:gridCol w:w="4766"/>
      </w:tblGrid>
      <w:tr w:rsidR="00C805B5" w:rsidRPr="005A497D" w14:paraId="05E95C48" w14:textId="77777777" w:rsidTr="00C805B5">
        <w:trPr>
          <w:trHeight w:val="397"/>
        </w:trPr>
        <w:tc>
          <w:tcPr>
            <w:tcW w:w="3330" w:type="dxa"/>
            <w:tcBorders>
              <w:top w:val="double" w:sz="4" w:space="0" w:color="auto"/>
            </w:tcBorders>
            <w:shd w:val="clear" w:color="auto" w:fill="D9D9D9"/>
            <w:vAlign w:val="center"/>
          </w:tcPr>
          <w:p w14:paraId="2F96309F" w14:textId="77777777" w:rsidR="001762EE" w:rsidRPr="0025475E" w:rsidRDefault="001762EE" w:rsidP="00882C4F">
            <w:pPr>
              <w:spacing w:before="40" w:after="40"/>
              <w:jc w:val="center"/>
              <w:rPr>
                <w:b/>
                <w:i/>
                <w:sz w:val="22"/>
                <w:szCs w:val="22"/>
              </w:rPr>
            </w:pPr>
            <w:r w:rsidRPr="0025475E">
              <w:rPr>
                <w:b/>
                <w:i/>
                <w:sz w:val="22"/>
                <w:szCs w:val="22"/>
              </w:rPr>
              <w:t>Indicator / Dimension</w:t>
            </w:r>
          </w:p>
        </w:tc>
        <w:tc>
          <w:tcPr>
            <w:tcW w:w="1260" w:type="dxa"/>
            <w:tcBorders>
              <w:top w:val="double" w:sz="4" w:space="0" w:color="auto"/>
            </w:tcBorders>
            <w:shd w:val="clear" w:color="auto" w:fill="D9D9D9"/>
            <w:vAlign w:val="center"/>
          </w:tcPr>
          <w:p w14:paraId="2FD40806" w14:textId="77777777" w:rsidR="001762EE" w:rsidRPr="0025475E" w:rsidRDefault="001762EE" w:rsidP="00882C4F">
            <w:pPr>
              <w:spacing w:before="40" w:after="40"/>
              <w:jc w:val="center"/>
              <w:rPr>
                <w:b/>
                <w:i/>
                <w:sz w:val="22"/>
                <w:szCs w:val="22"/>
              </w:rPr>
            </w:pPr>
            <w:r w:rsidRPr="0025475E">
              <w:rPr>
                <w:b/>
                <w:i/>
                <w:sz w:val="22"/>
                <w:szCs w:val="22"/>
              </w:rPr>
              <w:t>Score</w:t>
            </w:r>
          </w:p>
        </w:tc>
        <w:tc>
          <w:tcPr>
            <w:tcW w:w="4766" w:type="dxa"/>
            <w:tcBorders>
              <w:top w:val="double" w:sz="4" w:space="0" w:color="auto"/>
            </w:tcBorders>
            <w:shd w:val="clear" w:color="auto" w:fill="D9D9D9"/>
            <w:vAlign w:val="center"/>
          </w:tcPr>
          <w:p w14:paraId="744493DC" w14:textId="2C605F77" w:rsidR="001762EE" w:rsidRPr="0025475E" w:rsidRDefault="001762EE" w:rsidP="005108BC">
            <w:pPr>
              <w:spacing w:before="40" w:after="40"/>
              <w:jc w:val="center"/>
              <w:rPr>
                <w:b/>
                <w:i/>
                <w:sz w:val="22"/>
                <w:szCs w:val="22"/>
              </w:rPr>
            </w:pPr>
            <w:r w:rsidRPr="0025475E">
              <w:rPr>
                <w:b/>
                <w:i/>
                <w:sz w:val="22"/>
                <w:szCs w:val="22"/>
              </w:rPr>
              <w:t xml:space="preserve">Brief </w:t>
            </w:r>
            <w:r>
              <w:rPr>
                <w:b/>
                <w:i/>
                <w:sz w:val="22"/>
                <w:szCs w:val="22"/>
              </w:rPr>
              <w:t>e</w:t>
            </w:r>
            <w:r w:rsidRPr="0025475E">
              <w:rPr>
                <w:b/>
                <w:i/>
                <w:sz w:val="22"/>
                <w:szCs w:val="22"/>
              </w:rPr>
              <w:t>xplanation</w:t>
            </w:r>
          </w:p>
        </w:tc>
      </w:tr>
      <w:tr w:rsidR="00C805B5" w:rsidRPr="005A497D" w14:paraId="548D3014" w14:textId="77777777" w:rsidTr="00C805B5">
        <w:tc>
          <w:tcPr>
            <w:tcW w:w="3330" w:type="dxa"/>
            <w:tcBorders>
              <w:top w:val="double" w:sz="4" w:space="0" w:color="auto"/>
              <w:bottom w:val="single" w:sz="4" w:space="0" w:color="auto"/>
            </w:tcBorders>
          </w:tcPr>
          <w:p w14:paraId="6485E549" w14:textId="471C46BB" w:rsidR="001762EE" w:rsidRPr="005A497D" w:rsidRDefault="001762EE" w:rsidP="006B2222">
            <w:pPr>
              <w:spacing w:before="40" w:after="40"/>
              <w:rPr>
                <w:sz w:val="22"/>
                <w:szCs w:val="22"/>
              </w:rPr>
            </w:pPr>
            <w:r w:rsidRPr="005A497D">
              <w:rPr>
                <w:b/>
                <w:bCs/>
                <w:sz w:val="22"/>
                <w:szCs w:val="22"/>
              </w:rPr>
              <w:t>PI-2</w:t>
            </w:r>
            <w:r>
              <w:rPr>
                <w:b/>
                <w:bCs/>
                <w:sz w:val="22"/>
                <w:szCs w:val="22"/>
              </w:rPr>
              <w:t>5</w:t>
            </w:r>
            <w:r w:rsidRPr="005A497D">
              <w:rPr>
                <w:b/>
                <w:bCs/>
                <w:sz w:val="22"/>
                <w:szCs w:val="22"/>
              </w:rPr>
              <w:t xml:space="preserve"> </w:t>
            </w:r>
            <w:r>
              <w:rPr>
                <w:b/>
                <w:bCs/>
                <w:sz w:val="22"/>
                <w:szCs w:val="22"/>
              </w:rPr>
              <w:t>I</w:t>
            </w:r>
            <w:r w:rsidRPr="005A497D">
              <w:rPr>
                <w:b/>
                <w:bCs/>
                <w:sz w:val="22"/>
                <w:szCs w:val="22"/>
              </w:rPr>
              <w:t xml:space="preserve">nternal controls </w:t>
            </w:r>
            <w:r>
              <w:rPr>
                <w:b/>
                <w:bCs/>
                <w:sz w:val="22"/>
                <w:szCs w:val="22"/>
              </w:rPr>
              <w:t xml:space="preserve">on </w:t>
            </w:r>
            <w:r w:rsidRPr="005A497D">
              <w:rPr>
                <w:b/>
                <w:bCs/>
                <w:sz w:val="22"/>
                <w:szCs w:val="22"/>
              </w:rPr>
              <w:t>non</w:t>
            </w:r>
            <w:r>
              <w:rPr>
                <w:b/>
                <w:bCs/>
                <w:sz w:val="22"/>
                <w:szCs w:val="22"/>
              </w:rPr>
              <w:t>-</w:t>
            </w:r>
            <w:r w:rsidRPr="005A497D">
              <w:rPr>
                <w:b/>
                <w:bCs/>
                <w:sz w:val="22"/>
                <w:szCs w:val="22"/>
              </w:rPr>
              <w:t>salary expenditure</w:t>
            </w:r>
          </w:p>
        </w:tc>
        <w:tc>
          <w:tcPr>
            <w:tcW w:w="1260" w:type="dxa"/>
            <w:tcBorders>
              <w:top w:val="double" w:sz="4" w:space="0" w:color="auto"/>
              <w:bottom w:val="single" w:sz="4" w:space="0" w:color="auto"/>
            </w:tcBorders>
          </w:tcPr>
          <w:p w14:paraId="7FBA0505" w14:textId="08DFD89D" w:rsidR="001762EE" w:rsidRPr="005A497D" w:rsidRDefault="001762EE" w:rsidP="00882C4F">
            <w:pPr>
              <w:spacing w:before="40" w:after="40"/>
              <w:jc w:val="center"/>
              <w:rPr>
                <w:b/>
                <w:sz w:val="22"/>
                <w:szCs w:val="22"/>
              </w:rPr>
            </w:pPr>
            <w:r>
              <w:rPr>
                <w:b/>
                <w:sz w:val="22"/>
                <w:szCs w:val="22"/>
              </w:rPr>
              <w:t>B+</w:t>
            </w:r>
          </w:p>
        </w:tc>
        <w:tc>
          <w:tcPr>
            <w:tcW w:w="4766" w:type="dxa"/>
            <w:tcBorders>
              <w:top w:val="double" w:sz="4" w:space="0" w:color="auto"/>
              <w:bottom w:val="single" w:sz="4" w:space="0" w:color="auto"/>
            </w:tcBorders>
          </w:tcPr>
          <w:p w14:paraId="1E5F996A" w14:textId="77777777" w:rsidR="001762EE" w:rsidRPr="005A497D" w:rsidRDefault="001762EE" w:rsidP="00882C4F">
            <w:pPr>
              <w:spacing w:before="40" w:after="40"/>
              <w:rPr>
                <w:sz w:val="22"/>
                <w:szCs w:val="22"/>
              </w:rPr>
            </w:pPr>
            <w:r w:rsidRPr="005A497D">
              <w:rPr>
                <w:sz w:val="22"/>
                <w:szCs w:val="22"/>
              </w:rPr>
              <w:t>Overall rating based on M2 methodology.</w:t>
            </w:r>
          </w:p>
        </w:tc>
      </w:tr>
      <w:tr w:rsidR="00C805B5" w:rsidRPr="005A497D" w14:paraId="3418FF86" w14:textId="77777777" w:rsidTr="00EC5DE8">
        <w:trPr>
          <w:trHeight w:val="539"/>
        </w:trPr>
        <w:tc>
          <w:tcPr>
            <w:tcW w:w="3330" w:type="dxa"/>
            <w:tcBorders>
              <w:top w:val="single" w:sz="4" w:space="0" w:color="auto"/>
              <w:bottom w:val="single" w:sz="4" w:space="0" w:color="auto"/>
            </w:tcBorders>
          </w:tcPr>
          <w:p w14:paraId="477A4E6D" w14:textId="75D34601" w:rsidR="001762EE" w:rsidRPr="005A497D" w:rsidRDefault="001762EE" w:rsidP="00A54133">
            <w:pPr>
              <w:pStyle w:val="BodyB"/>
              <w:rPr>
                <w:rFonts w:ascii="Times New Roman" w:hAnsi="Times New Roman"/>
                <w:sz w:val="22"/>
              </w:rPr>
            </w:pPr>
            <w:r>
              <w:rPr>
                <w:rFonts w:ascii="Times New Roman" w:hAnsi="Times New Roman"/>
                <w:sz w:val="22"/>
              </w:rPr>
              <w:t>25.1</w:t>
            </w:r>
            <w:r w:rsidRPr="005A497D">
              <w:rPr>
                <w:rFonts w:ascii="Times New Roman" w:hAnsi="Times New Roman"/>
                <w:sz w:val="22"/>
              </w:rPr>
              <w:t xml:space="preserve"> Segregation of duties</w:t>
            </w:r>
          </w:p>
        </w:tc>
        <w:tc>
          <w:tcPr>
            <w:tcW w:w="1260" w:type="dxa"/>
            <w:tcBorders>
              <w:top w:val="single" w:sz="4" w:space="0" w:color="auto"/>
              <w:bottom w:val="single" w:sz="4" w:space="0" w:color="auto"/>
            </w:tcBorders>
          </w:tcPr>
          <w:p w14:paraId="3A1F794D" w14:textId="0E85BC41" w:rsidR="001762EE" w:rsidRPr="005A497D" w:rsidRDefault="001762EE" w:rsidP="00A54133">
            <w:pPr>
              <w:pStyle w:val="BodyB"/>
              <w:jc w:val="center"/>
              <w:rPr>
                <w:rFonts w:ascii="Times New Roman" w:hAnsi="Times New Roman"/>
                <w:sz w:val="22"/>
              </w:rPr>
            </w:pPr>
            <w:r>
              <w:rPr>
                <w:rFonts w:ascii="Times New Roman" w:hAnsi="Times New Roman"/>
                <w:sz w:val="22"/>
              </w:rPr>
              <w:t>A</w:t>
            </w:r>
          </w:p>
        </w:tc>
        <w:tc>
          <w:tcPr>
            <w:tcW w:w="4766" w:type="dxa"/>
            <w:tcBorders>
              <w:top w:val="single" w:sz="4" w:space="0" w:color="auto"/>
              <w:bottom w:val="single" w:sz="4" w:space="0" w:color="auto"/>
            </w:tcBorders>
          </w:tcPr>
          <w:p w14:paraId="647D404F" w14:textId="3B93CC73" w:rsidR="001762EE" w:rsidRPr="005A497D" w:rsidRDefault="001762EE" w:rsidP="008D574F">
            <w:pPr>
              <w:pStyle w:val="BodyB"/>
              <w:rPr>
                <w:rFonts w:ascii="Times New Roman" w:hAnsi="Times New Roman"/>
                <w:sz w:val="22"/>
              </w:rPr>
            </w:pPr>
            <w:r w:rsidRPr="005A497D">
              <w:rPr>
                <w:rFonts w:ascii="Times New Roman" w:hAnsi="Times New Roman"/>
                <w:sz w:val="22"/>
              </w:rPr>
              <w:t xml:space="preserve">Segregation of duties </w:t>
            </w:r>
            <w:r>
              <w:rPr>
                <w:rFonts w:ascii="Times New Roman" w:hAnsi="Times New Roman"/>
                <w:sz w:val="22"/>
              </w:rPr>
              <w:t xml:space="preserve">is prescribed </w:t>
            </w:r>
            <w:r w:rsidRPr="005A497D">
              <w:rPr>
                <w:rFonts w:ascii="Times New Roman" w:hAnsi="Times New Roman"/>
                <w:sz w:val="22"/>
              </w:rPr>
              <w:t xml:space="preserve">throughout the process. </w:t>
            </w:r>
          </w:p>
        </w:tc>
      </w:tr>
      <w:tr w:rsidR="00C805B5" w:rsidRPr="005A497D" w14:paraId="2560772A" w14:textId="77777777" w:rsidTr="00EC5DE8">
        <w:trPr>
          <w:trHeight w:val="1304"/>
        </w:trPr>
        <w:tc>
          <w:tcPr>
            <w:tcW w:w="3330" w:type="dxa"/>
            <w:tcBorders>
              <w:top w:val="single" w:sz="4" w:space="0" w:color="auto"/>
              <w:bottom w:val="single" w:sz="4" w:space="0" w:color="auto"/>
            </w:tcBorders>
          </w:tcPr>
          <w:p w14:paraId="3E0F95F1" w14:textId="18686415" w:rsidR="001762EE" w:rsidRPr="005A497D" w:rsidRDefault="001762EE" w:rsidP="00A54133">
            <w:pPr>
              <w:pStyle w:val="BodyB"/>
              <w:rPr>
                <w:rFonts w:ascii="Times New Roman" w:hAnsi="Times New Roman"/>
                <w:sz w:val="22"/>
              </w:rPr>
            </w:pPr>
            <w:r>
              <w:rPr>
                <w:rFonts w:ascii="Times New Roman" w:hAnsi="Times New Roman"/>
                <w:sz w:val="22"/>
              </w:rPr>
              <w:t>25.2</w:t>
            </w:r>
            <w:r w:rsidRPr="005A497D">
              <w:rPr>
                <w:rFonts w:ascii="Times New Roman" w:hAnsi="Times New Roman"/>
                <w:sz w:val="22"/>
              </w:rPr>
              <w:t xml:space="preserve"> Effectiveness of expenditure commitment controls</w:t>
            </w:r>
          </w:p>
        </w:tc>
        <w:tc>
          <w:tcPr>
            <w:tcW w:w="1260" w:type="dxa"/>
            <w:tcBorders>
              <w:top w:val="single" w:sz="4" w:space="0" w:color="auto"/>
              <w:bottom w:val="single" w:sz="4" w:space="0" w:color="auto"/>
            </w:tcBorders>
          </w:tcPr>
          <w:p w14:paraId="76F8055B" w14:textId="30173284" w:rsidR="001762EE" w:rsidRPr="005A497D" w:rsidRDefault="001762EE" w:rsidP="00A54133">
            <w:pPr>
              <w:pStyle w:val="BodyB"/>
              <w:jc w:val="center"/>
              <w:rPr>
                <w:rFonts w:ascii="Times New Roman" w:hAnsi="Times New Roman"/>
                <w:sz w:val="22"/>
              </w:rPr>
            </w:pPr>
            <w:r>
              <w:rPr>
                <w:rFonts w:ascii="Times New Roman" w:hAnsi="Times New Roman"/>
                <w:sz w:val="22"/>
              </w:rPr>
              <w:t>B</w:t>
            </w:r>
          </w:p>
        </w:tc>
        <w:tc>
          <w:tcPr>
            <w:tcW w:w="4766" w:type="dxa"/>
            <w:tcBorders>
              <w:top w:val="single" w:sz="4" w:space="0" w:color="auto"/>
              <w:bottom w:val="single" w:sz="4" w:space="0" w:color="auto"/>
            </w:tcBorders>
          </w:tcPr>
          <w:p w14:paraId="23F266DA" w14:textId="77777777" w:rsidR="001762EE" w:rsidRPr="005A497D" w:rsidRDefault="001762EE" w:rsidP="00A54133">
            <w:pPr>
              <w:pStyle w:val="BodyB"/>
              <w:rPr>
                <w:rFonts w:ascii="Times New Roman" w:hAnsi="Times New Roman"/>
                <w:sz w:val="22"/>
              </w:rPr>
            </w:pPr>
            <w:r w:rsidRPr="005A497D">
              <w:rPr>
                <w:rFonts w:ascii="Times New Roman" w:hAnsi="Times New Roman"/>
                <w:sz w:val="22"/>
              </w:rPr>
              <w:t>Controls exist for limiting commitments to budget allocations and cash allocations. Effectiveness is limited by continuing appropriations and weak systems for recording and reporting commitments and expenditures by year of budget allocation.</w:t>
            </w:r>
          </w:p>
        </w:tc>
      </w:tr>
      <w:tr w:rsidR="00C805B5" w:rsidRPr="005A497D" w14:paraId="1B3C0E48" w14:textId="77777777" w:rsidTr="00C805B5">
        <w:trPr>
          <w:trHeight w:val="1880"/>
        </w:trPr>
        <w:tc>
          <w:tcPr>
            <w:tcW w:w="3330" w:type="dxa"/>
            <w:tcBorders>
              <w:top w:val="single" w:sz="4" w:space="0" w:color="auto"/>
              <w:bottom w:val="double" w:sz="4" w:space="0" w:color="auto"/>
            </w:tcBorders>
          </w:tcPr>
          <w:p w14:paraId="00C8420E" w14:textId="24B03581" w:rsidR="001762EE" w:rsidRPr="005A497D" w:rsidRDefault="001762EE" w:rsidP="00914B8C">
            <w:pPr>
              <w:pStyle w:val="BodyB"/>
              <w:rPr>
                <w:rFonts w:ascii="Times New Roman" w:hAnsi="Times New Roman"/>
                <w:sz w:val="22"/>
              </w:rPr>
            </w:pPr>
            <w:r>
              <w:rPr>
                <w:rFonts w:ascii="Times New Roman" w:hAnsi="Times New Roman"/>
                <w:sz w:val="22"/>
              </w:rPr>
              <w:t>25.3</w:t>
            </w:r>
            <w:r w:rsidRPr="005A497D">
              <w:rPr>
                <w:rFonts w:ascii="Times New Roman" w:hAnsi="Times New Roman"/>
                <w:sz w:val="22"/>
              </w:rPr>
              <w:t xml:space="preserve"> Compliance with </w:t>
            </w:r>
            <w:r>
              <w:rPr>
                <w:rFonts w:ascii="Times New Roman" w:hAnsi="Times New Roman"/>
                <w:sz w:val="22"/>
              </w:rPr>
              <w:t xml:space="preserve">payment rules and procedures </w:t>
            </w:r>
          </w:p>
        </w:tc>
        <w:tc>
          <w:tcPr>
            <w:tcW w:w="1260" w:type="dxa"/>
            <w:tcBorders>
              <w:top w:val="single" w:sz="4" w:space="0" w:color="auto"/>
              <w:bottom w:val="double" w:sz="4" w:space="0" w:color="auto"/>
            </w:tcBorders>
          </w:tcPr>
          <w:p w14:paraId="1D9AC49E" w14:textId="04F9CA86" w:rsidR="001762EE" w:rsidRPr="005A497D" w:rsidRDefault="001762EE" w:rsidP="002A0729">
            <w:pPr>
              <w:pStyle w:val="BodyB"/>
              <w:tabs>
                <w:tab w:val="left" w:pos="420"/>
              </w:tabs>
              <w:jc w:val="center"/>
              <w:rPr>
                <w:rFonts w:ascii="Times New Roman" w:hAnsi="Times New Roman"/>
                <w:sz w:val="22"/>
              </w:rPr>
            </w:pPr>
            <w:r>
              <w:rPr>
                <w:rFonts w:ascii="Times New Roman" w:hAnsi="Times New Roman"/>
                <w:sz w:val="22"/>
              </w:rPr>
              <w:t>B</w:t>
            </w:r>
          </w:p>
        </w:tc>
        <w:tc>
          <w:tcPr>
            <w:tcW w:w="4766" w:type="dxa"/>
            <w:tcBorders>
              <w:top w:val="single" w:sz="4" w:space="0" w:color="auto"/>
              <w:bottom w:val="double" w:sz="4" w:space="0" w:color="auto"/>
            </w:tcBorders>
          </w:tcPr>
          <w:p w14:paraId="55759759" w14:textId="080EFD17" w:rsidR="001762EE" w:rsidRPr="005A497D" w:rsidRDefault="001762EE" w:rsidP="00381BB6">
            <w:pPr>
              <w:pStyle w:val="BodyB"/>
              <w:rPr>
                <w:rFonts w:ascii="Times New Roman" w:hAnsi="Times New Roman"/>
                <w:sz w:val="22"/>
              </w:rPr>
            </w:pPr>
            <w:r>
              <w:rPr>
                <w:rFonts w:ascii="Times New Roman" w:hAnsi="Times New Roman"/>
                <w:sz w:val="22"/>
              </w:rPr>
              <w:t>CoA</w:t>
            </w:r>
            <w:r w:rsidRPr="00F6098F">
              <w:rPr>
                <w:rFonts w:ascii="Times New Roman" w:hAnsi="Times New Roman"/>
                <w:sz w:val="22"/>
              </w:rPr>
              <w:t xml:space="preserve"> audit reports raise observations on instances of non-compliance and </w:t>
            </w:r>
            <w:r>
              <w:rPr>
                <w:rFonts w:ascii="Times New Roman" w:hAnsi="Times New Roman"/>
                <w:sz w:val="22"/>
              </w:rPr>
              <w:t xml:space="preserve">most departments are issued a modified </w:t>
            </w:r>
            <w:r w:rsidRPr="00F6098F">
              <w:rPr>
                <w:rFonts w:ascii="Times New Roman" w:hAnsi="Times New Roman"/>
                <w:sz w:val="22"/>
              </w:rPr>
              <w:t xml:space="preserve">opinion. However, most payments comply with regular payment procedures and </w:t>
            </w:r>
            <w:r>
              <w:rPr>
                <w:rFonts w:ascii="Times New Roman" w:hAnsi="Times New Roman"/>
                <w:sz w:val="22"/>
              </w:rPr>
              <w:t>the instances of non-compliance are not the main reason for qualified opinions in a majority of cases</w:t>
            </w:r>
            <w:r w:rsidRPr="00F6098F">
              <w:rPr>
                <w:rFonts w:ascii="Times New Roman" w:hAnsi="Times New Roman"/>
                <w:sz w:val="22"/>
              </w:rPr>
              <w:t>.</w:t>
            </w:r>
          </w:p>
        </w:tc>
      </w:tr>
    </w:tbl>
    <w:p w14:paraId="69FCB353" w14:textId="77777777" w:rsidR="001762EE" w:rsidRPr="005A497D" w:rsidRDefault="001762EE" w:rsidP="00DE3FD5">
      <w:pPr>
        <w:pStyle w:val="NormalWeb"/>
        <w:autoSpaceDE w:val="0"/>
        <w:autoSpaceDN w:val="0"/>
        <w:adjustRightInd w:val="0"/>
        <w:spacing w:before="0" w:beforeAutospacing="0" w:after="0" w:afterAutospacing="0"/>
        <w:contextualSpacing/>
        <w:jc w:val="both"/>
      </w:pPr>
    </w:p>
    <w:p w14:paraId="1E7868D2" w14:textId="2AD6F8B5" w:rsidR="001762EE" w:rsidRPr="0025475E" w:rsidRDefault="001762EE" w:rsidP="00924CF2">
      <w:pPr>
        <w:pStyle w:val="NormalWeb"/>
        <w:autoSpaceDE w:val="0"/>
        <w:autoSpaceDN w:val="0"/>
        <w:adjustRightInd w:val="0"/>
        <w:contextualSpacing/>
        <w:jc w:val="both"/>
        <w:rPr>
          <w:b/>
          <w:i/>
        </w:rPr>
      </w:pPr>
      <w:r w:rsidRPr="0025475E">
        <w:rPr>
          <w:b/>
          <w:i/>
        </w:rPr>
        <w:t>Dimension 25.1 Segregation of duties</w:t>
      </w:r>
    </w:p>
    <w:p w14:paraId="57FB8919" w14:textId="77777777" w:rsidR="001762EE" w:rsidRPr="004206A0" w:rsidRDefault="001762EE" w:rsidP="00924CF2">
      <w:pPr>
        <w:pStyle w:val="NormalWeb"/>
        <w:autoSpaceDE w:val="0"/>
        <w:autoSpaceDN w:val="0"/>
        <w:adjustRightInd w:val="0"/>
        <w:contextualSpacing/>
        <w:jc w:val="both"/>
      </w:pPr>
    </w:p>
    <w:p w14:paraId="74C5F3FD" w14:textId="77777777" w:rsidR="001762EE" w:rsidRDefault="001762EE" w:rsidP="00C26CB5">
      <w:pPr>
        <w:pStyle w:val="NormalWeb"/>
        <w:numPr>
          <w:ilvl w:val="0"/>
          <w:numId w:val="6"/>
        </w:numPr>
        <w:autoSpaceDE w:val="0"/>
        <w:autoSpaceDN w:val="0"/>
        <w:adjustRightInd w:val="0"/>
        <w:spacing w:before="0" w:beforeAutospacing="0" w:after="0" w:afterAutospacing="0"/>
        <w:ind w:left="0" w:firstLine="0"/>
        <w:contextualSpacing/>
        <w:jc w:val="both"/>
      </w:pPr>
      <w:r w:rsidRPr="005A497D">
        <w:t>The NGICS provides that key duties and responsibilities need to be divided or segregated among different people to reduce the risk of error or fraud. This includes separating the assignment of responsibilities for processing, reviewing, recording, custody</w:t>
      </w:r>
      <w:r>
        <w:t>,</w:t>
      </w:r>
      <w:r w:rsidRPr="005A497D">
        <w:t xml:space="preserve"> and approval/authorization of certain transactions. The organization of </w:t>
      </w:r>
      <w:r>
        <w:t>national government agencies</w:t>
      </w:r>
      <w:r w:rsidRPr="005A497D">
        <w:t xml:space="preserve"> ensures that duties are delegated and any conflicting responsibilities are segregated. The Accounting Division in charge of the recording and keeping the books is usually under the Financial Management Service</w:t>
      </w:r>
      <w:r>
        <w:t>,</w:t>
      </w:r>
      <w:r w:rsidRPr="005A497D">
        <w:t xml:space="preserve"> separate from the Administrative Service </w:t>
      </w:r>
      <w:r>
        <w:t>that</w:t>
      </w:r>
      <w:r w:rsidRPr="005A497D">
        <w:t xml:space="preserve"> normally handles the cashiering function. Procurement is also a separate function that works alongside the Bids and Awards Committee. </w:t>
      </w:r>
    </w:p>
    <w:p w14:paraId="7301EFAD" w14:textId="77777777" w:rsidR="001762EE" w:rsidRDefault="001762EE" w:rsidP="00A177AB">
      <w:pPr>
        <w:pStyle w:val="NormalWeb"/>
        <w:autoSpaceDE w:val="0"/>
        <w:autoSpaceDN w:val="0"/>
        <w:adjustRightInd w:val="0"/>
        <w:spacing w:before="0" w:beforeAutospacing="0" w:after="0" w:afterAutospacing="0"/>
        <w:contextualSpacing/>
        <w:jc w:val="both"/>
      </w:pPr>
    </w:p>
    <w:p w14:paraId="1895C09A" w14:textId="69CC6E07" w:rsidR="001762EE" w:rsidRDefault="001762EE" w:rsidP="00C26CB5">
      <w:pPr>
        <w:pStyle w:val="NormalWeb"/>
        <w:numPr>
          <w:ilvl w:val="0"/>
          <w:numId w:val="6"/>
        </w:numPr>
        <w:autoSpaceDE w:val="0"/>
        <w:autoSpaceDN w:val="0"/>
        <w:adjustRightInd w:val="0"/>
        <w:spacing w:before="0" w:beforeAutospacing="0" w:after="0" w:afterAutospacing="0"/>
        <w:ind w:left="0" w:firstLine="0"/>
        <w:contextualSpacing/>
        <w:jc w:val="both"/>
      </w:pPr>
      <w:r w:rsidRPr="00E34718">
        <w:t xml:space="preserve">The implementation of </w:t>
      </w:r>
      <w:r>
        <w:t>r</w:t>
      </w:r>
      <w:r w:rsidRPr="00E34718">
        <w:t>eforms in budgeting, cash/treasury management, accounting (e.g.</w:t>
      </w:r>
      <w:r>
        <w:t>,</w:t>
      </w:r>
      <w:r w:rsidRPr="00E34718">
        <w:t xml:space="preserve"> adoption of </w:t>
      </w:r>
      <w:r>
        <w:t>Philippine Public Sector Accounting Standards or PPSAS</w:t>
      </w:r>
      <w:r w:rsidRPr="00E34718">
        <w:t xml:space="preserve"> and </w:t>
      </w:r>
      <w:r>
        <w:t>the revised chart of accounts</w:t>
      </w:r>
      <w:r w:rsidRPr="00E34718">
        <w:t>)</w:t>
      </w:r>
      <w:r>
        <w:t>,</w:t>
      </w:r>
      <w:r w:rsidRPr="00E34718">
        <w:t xml:space="preserve"> and auditing necessitated the updating of rules, regulations, guidelines</w:t>
      </w:r>
      <w:r>
        <w:t>,</w:t>
      </w:r>
      <w:r w:rsidRPr="00E34718">
        <w:t xml:space="preserve"> and manuals.  Hence, </w:t>
      </w:r>
      <w:r>
        <w:t>the Commission on Audit</w:t>
      </w:r>
      <w:r w:rsidRPr="00E34718">
        <w:t xml:space="preserve"> developed and prescribed the Government Accounting Manual for National Government Agencies through C</w:t>
      </w:r>
      <w:r>
        <w:t>o</w:t>
      </w:r>
      <w:r w:rsidRPr="00E34718">
        <w:t xml:space="preserve">A Circular No. 2015-007 dated October 22, 2015.  The </w:t>
      </w:r>
      <w:r>
        <w:t>Manual</w:t>
      </w:r>
      <w:r w:rsidRPr="00E34718">
        <w:t xml:space="preserve">, which took effect on January 1, 2016, replaces the NGAS Manual, </w:t>
      </w:r>
      <w:r>
        <w:t>which</w:t>
      </w:r>
      <w:r w:rsidRPr="00E34718">
        <w:t xml:space="preserve"> is no longer in harmony with existing financial management processes.  The </w:t>
      </w:r>
      <w:r>
        <w:t>Government Accounting Manual</w:t>
      </w:r>
      <w:r w:rsidRPr="00E34718">
        <w:t xml:space="preserve"> for NGAs presents the basic accounting policies and principles in accordance with the PPSAS adopted through </w:t>
      </w:r>
      <w:r>
        <w:t>CoA</w:t>
      </w:r>
      <w:r w:rsidRPr="00E34718">
        <w:t xml:space="preserve"> Resolution No. 2014-003</w:t>
      </w:r>
      <w:r>
        <w:t>,</w:t>
      </w:r>
      <w:r w:rsidRPr="00E34718">
        <w:t xml:space="preserve"> dated January 24, 2014</w:t>
      </w:r>
      <w:r>
        <w:t>;</w:t>
      </w:r>
      <w:r w:rsidRPr="00E34718">
        <w:t xml:space="preserve"> other pertinent laws, rules</w:t>
      </w:r>
      <w:r>
        <w:t>,</w:t>
      </w:r>
      <w:r w:rsidRPr="00E34718">
        <w:t xml:space="preserve"> and regulations</w:t>
      </w:r>
      <w:r>
        <w:t>;</w:t>
      </w:r>
      <w:r w:rsidRPr="00E34718">
        <w:t xml:space="preserve"> the </w:t>
      </w:r>
      <w:r>
        <w:t>revised chart of accounts</w:t>
      </w:r>
      <w:r w:rsidRPr="00E34718">
        <w:t xml:space="preserve"> prescribed under </w:t>
      </w:r>
      <w:r>
        <w:t>CoA</w:t>
      </w:r>
      <w:r w:rsidRPr="00E34718">
        <w:t xml:space="preserve"> Circular No. 2013-002</w:t>
      </w:r>
      <w:r>
        <w:t>,</w:t>
      </w:r>
      <w:r w:rsidRPr="00E34718">
        <w:t xml:space="preserve"> dated January 30, 2013, as amended</w:t>
      </w:r>
      <w:r>
        <w:t>;</w:t>
      </w:r>
      <w:r w:rsidRPr="00E34718">
        <w:t xml:space="preserve"> accounting procedures, books, registries, records, form</w:t>
      </w:r>
      <w:r w:rsidRPr="00E34718">
        <w:rPr>
          <w:color w:val="000000"/>
        </w:rPr>
        <w:t xml:space="preserve">s, </w:t>
      </w:r>
      <w:r w:rsidRPr="00E34718">
        <w:t>reports</w:t>
      </w:r>
      <w:r w:rsidRPr="00E34718">
        <w:rPr>
          <w:color w:val="000000"/>
        </w:rPr>
        <w:t xml:space="preserve">, and </w:t>
      </w:r>
      <w:r w:rsidRPr="00E34718">
        <w:t xml:space="preserve">financial statements; and illustrative accounting entries. Delineation of responsibilities over government transactions and the detailed activities to be performed by each area of responsibility are detailed in Volume I of both </w:t>
      </w:r>
      <w:r>
        <w:t xml:space="preserve">the </w:t>
      </w:r>
      <w:r w:rsidRPr="00E34718">
        <w:t xml:space="preserve">NGAS Manual and </w:t>
      </w:r>
      <w:r>
        <w:t>Government Account Manual for NGAs. Score for Dimension 25.1 is thus assessed as “A”.</w:t>
      </w:r>
    </w:p>
    <w:p w14:paraId="3D5D16A4" w14:textId="0D1E652F" w:rsidR="0096547C" w:rsidRDefault="001762EE" w:rsidP="00E17DF6">
      <w:pPr>
        <w:pStyle w:val="NormalWeb"/>
        <w:autoSpaceDE w:val="0"/>
        <w:autoSpaceDN w:val="0"/>
        <w:adjustRightInd w:val="0"/>
        <w:spacing w:before="0" w:beforeAutospacing="0" w:after="0" w:afterAutospacing="0"/>
        <w:contextualSpacing/>
        <w:jc w:val="both"/>
        <w:rPr>
          <w:b/>
          <w:i/>
        </w:rPr>
      </w:pPr>
      <w:r w:rsidRPr="005A497D">
        <w:t xml:space="preserve"> </w:t>
      </w:r>
    </w:p>
    <w:p w14:paraId="67EA5424" w14:textId="426C8059" w:rsidR="001762EE" w:rsidRPr="0025475E" w:rsidRDefault="001762EE" w:rsidP="00924CF2">
      <w:pPr>
        <w:pStyle w:val="NormalWeb"/>
        <w:autoSpaceDE w:val="0"/>
        <w:autoSpaceDN w:val="0"/>
        <w:adjustRightInd w:val="0"/>
        <w:contextualSpacing/>
        <w:jc w:val="both"/>
        <w:rPr>
          <w:b/>
          <w:i/>
        </w:rPr>
      </w:pPr>
      <w:r w:rsidRPr="0025475E">
        <w:rPr>
          <w:b/>
          <w:i/>
        </w:rPr>
        <w:t>Dimension 25.2 Effectiveness of expenditure commitment controls</w:t>
      </w:r>
    </w:p>
    <w:p w14:paraId="70A44433" w14:textId="77777777" w:rsidR="001762EE" w:rsidRPr="004206A0" w:rsidRDefault="001762EE" w:rsidP="00924CF2">
      <w:pPr>
        <w:pStyle w:val="NormalWeb"/>
        <w:autoSpaceDE w:val="0"/>
        <w:autoSpaceDN w:val="0"/>
        <w:adjustRightInd w:val="0"/>
        <w:contextualSpacing/>
        <w:jc w:val="both"/>
      </w:pPr>
    </w:p>
    <w:p w14:paraId="23AAD5F3" w14:textId="3B0F2E5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Procedures for incurring expenditure commitments consist of a series of prior approvals and clearances from </w:t>
      </w:r>
      <w:r>
        <w:t>the Department of Budget and Management</w:t>
      </w:r>
      <w:r w:rsidRPr="005A497D">
        <w:t xml:space="preserve">. In 2014, </w:t>
      </w:r>
      <w:r>
        <w:t>the Department of Budget and Management</w:t>
      </w:r>
      <w:r w:rsidRPr="005A497D">
        <w:t xml:space="preserve"> initiated the use of </w:t>
      </w:r>
      <w:r>
        <w:t>the General Appropriations Act</w:t>
      </w:r>
      <w:r w:rsidRPr="005A497D">
        <w:t xml:space="preserve"> as a release document</w:t>
      </w:r>
      <w:r>
        <w:t>,</w:t>
      </w:r>
      <w:r w:rsidRPr="005A497D">
        <w:t xml:space="preserve"> which means that the budgets – except for those included in the negative list – are considered released when the </w:t>
      </w:r>
      <w:r>
        <w:t>General Appropriations Act</w:t>
      </w:r>
      <w:r w:rsidRPr="005A497D">
        <w:t xml:space="preserve"> </w:t>
      </w:r>
      <w:r>
        <w:t>is enacted</w:t>
      </w:r>
      <w:r w:rsidRPr="005A497D">
        <w:t xml:space="preserve">. Disbursement </w:t>
      </w:r>
      <w:r>
        <w:t>a</w:t>
      </w:r>
      <w:r w:rsidRPr="005A497D">
        <w:t xml:space="preserve">uthorities (i.e., </w:t>
      </w:r>
      <w:r>
        <w:t>notice of cash allocation</w:t>
      </w:r>
      <w:r w:rsidRPr="005A497D">
        <w:t>, non-cash availment authority</w:t>
      </w:r>
      <w:r>
        <w:t>,</w:t>
      </w:r>
      <w:r w:rsidRPr="005A497D">
        <w:t xml:space="preserve"> and cash disbursement ceiling) are still issued, as the case may be, to settle the obligations of agencies. The scheme intends to speed up budgetary releases as agencies can immediately initiate procurement processes. </w:t>
      </w:r>
      <w:r>
        <w:t>The Special Allotment Release Order</w:t>
      </w:r>
      <w:r w:rsidRPr="005A497D">
        <w:t xml:space="preserve"> is applicable to those in the negative list only.</w:t>
      </w:r>
    </w:p>
    <w:p w14:paraId="6BDEA231" w14:textId="77777777" w:rsidR="001762EE" w:rsidRPr="005A497D" w:rsidRDefault="001762EE" w:rsidP="00A54133">
      <w:pPr>
        <w:pStyle w:val="NormalWeb"/>
        <w:autoSpaceDE w:val="0"/>
        <w:autoSpaceDN w:val="0"/>
        <w:adjustRightInd w:val="0"/>
        <w:spacing w:before="0" w:beforeAutospacing="0" w:after="0" w:afterAutospacing="0"/>
        <w:contextualSpacing/>
        <w:jc w:val="both"/>
      </w:pPr>
    </w:p>
    <w:p w14:paraId="5701269D" w14:textId="125D323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51E7D">
        <w:t>T</w:t>
      </w:r>
      <w:r w:rsidRPr="00E34718">
        <w:t>here are controls in place to ensure that expenditures are within the allotments</w:t>
      </w:r>
      <w:r>
        <w:t>,</w:t>
      </w:r>
      <w:r w:rsidRPr="00E34718">
        <w:t xml:space="preserve"> and allotments are within the appropriations.  For instance, budget divisions/units are required to approve obligation requests, maintain registries</w:t>
      </w:r>
      <w:r>
        <w:t>,</w:t>
      </w:r>
      <w:r w:rsidRPr="00E34718">
        <w:t xml:space="preserve"> and submit financial accountability reports to track releases of allotments, commitments</w:t>
      </w:r>
      <w:r>
        <w:t xml:space="preserve">, and </w:t>
      </w:r>
      <w:r w:rsidRPr="00E34718">
        <w:t xml:space="preserve">obligations. </w:t>
      </w:r>
      <w:r w:rsidRPr="00C55604">
        <w:t>N</w:t>
      </w:r>
      <w:r w:rsidRPr="00E34718">
        <w:rPr>
          <w:lang w:val="en-PH"/>
        </w:rPr>
        <w:t xml:space="preserve">o contract involving the expenditure of public funds by any government agency shall be entered into or authorized unless the </w:t>
      </w:r>
      <w:r>
        <w:rPr>
          <w:lang w:val="en-PH"/>
        </w:rPr>
        <w:t>concerned agency</w:t>
      </w:r>
      <w:r w:rsidRPr="00E34718">
        <w:rPr>
          <w:lang w:val="en-PH"/>
        </w:rPr>
        <w:t xml:space="preserve"> accounting official has certified that duly appropriated funds</w:t>
      </w:r>
      <w:r>
        <w:rPr>
          <w:lang w:val="en-PH"/>
        </w:rPr>
        <w:t xml:space="preserve"> are available</w:t>
      </w:r>
      <w:r w:rsidRPr="00E34718">
        <w:rPr>
          <w:lang w:val="en-PH"/>
        </w:rPr>
        <w:t xml:space="preserve"> to cover the proposed contract for the current fiscal year</w:t>
      </w:r>
      <w:r w:rsidR="006B36BE">
        <w:rPr>
          <w:sz w:val="22"/>
          <w:szCs w:val="22"/>
          <w:lang w:val="en-PH"/>
        </w:rPr>
        <w:t xml:space="preserve">. </w:t>
      </w:r>
      <w:r w:rsidRPr="000C15CF">
        <w:t>T</w:t>
      </w:r>
      <w:r>
        <w:t>hus</w:t>
      </w:r>
      <w:r w:rsidRPr="005A497D">
        <w:t xml:space="preserve"> </w:t>
      </w:r>
      <w:r>
        <w:t>the</w:t>
      </w:r>
      <w:r w:rsidRPr="005A497D">
        <w:t xml:space="preserve"> score</w:t>
      </w:r>
      <w:r>
        <w:t xml:space="preserve"> for Dimension 25.2</w:t>
      </w:r>
      <w:r w:rsidRPr="005A497D">
        <w:t xml:space="preserve"> is assessed at “</w:t>
      </w:r>
      <w:r>
        <w:t>B</w:t>
      </w:r>
      <w:r w:rsidRPr="005A497D">
        <w:t>”.</w:t>
      </w:r>
    </w:p>
    <w:p w14:paraId="623335C4" w14:textId="77777777" w:rsidR="001762EE" w:rsidRPr="005A497D" w:rsidRDefault="001762EE" w:rsidP="00924CF2">
      <w:pPr>
        <w:pStyle w:val="NormalWeb"/>
        <w:autoSpaceDE w:val="0"/>
        <w:autoSpaceDN w:val="0"/>
        <w:adjustRightInd w:val="0"/>
        <w:spacing w:before="0" w:beforeAutospacing="0" w:after="0" w:afterAutospacing="0"/>
        <w:contextualSpacing/>
        <w:jc w:val="both"/>
      </w:pPr>
    </w:p>
    <w:p w14:paraId="61A28D26" w14:textId="15C6B7EC" w:rsidR="001762EE" w:rsidRPr="0025475E" w:rsidRDefault="001762EE" w:rsidP="00924CF2">
      <w:pPr>
        <w:pStyle w:val="NormalWeb"/>
        <w:autoSpaceDE w:val="0"/>
        <w:autoSpaceDN w:val="0"/>
        <w:adjustRightInd w:val="0"/>
        <w:contextualSpacing/>
        <w:jc w:val="both"/>
        <w:rPr>
          <w:b/>
          <w:i/>
        </w:rPr>
      </w:pPr>
      <w:r w:rsidRPr="0025475E">
        <w:rPr>
          <w:b/>
          <w:i/>
        </w:rPr>
        <w:t xml:space="preserve">Dimension 25.3 Compliance with payment rules and procedures </w:t>
      </w:r>
    </w:p>
    <w:p w14:paraId="73C531A3" w14:textId="77777777" w:rsidR="001762EE" w:rsidRPr="004206A0" w:rsidRDefault="001762EE" w:rsidP="00924CF2">
      <w:pPr>
        <w:pStyle w:val="NormalWeb"/>
        <w:autoSpaceDE w:val="0"/>
        <w:autoSpaceDN w:val="0"/>
        <w:adjustRightInd w:val="0"/>
        <w:contextualSpacing/>
        <w:jc w:val="both"/>
      </w:pPr>
    </w:p>
    <w:p w14:paraId="340DC8B1" w14:textId="45AA93E4" w:rsidR="001762EE" w:rsidRPr="005A497D" w:rsidRDefault="008129AE" w:rsidP="005A03CD">
      <w:pPr>
        <w:pStyle w:val="NormalWeb"/>
        <w:numPr>
          <w:ilvl w:val="0"/>
          <w:numId w:val="6"/>
        </w:numPr>
        <w:autoSpaceDE w:val="0"/>
        <w:autoSpaceDN w:val="0"/>
        <w:adjustRightInd w:val="0"/>
        <w:spacing w:before="0" w:beforeAutospacing="0" w:after="0" w:afterAutospacing="0"/>
        <w:ind w:left="0" w:firstLine="0"/>
        <w:contextualSpacing/>
        <w:jc w:val="both"/>
      </w:pPr>
      <w:r>
        <w:t>Both t</w:t>
      </w:r>
      <w:r w:rsidR="001762EE" w:rsidRPr="005A497D">
        <w:t>he NGAS Manual</w:t>
      </w:r>
      <w:r w:rsidR="001762EE">
        <w:t>,</w:t>
      </w:r>
      <w:r w:rsidR="001762EE" w:rsidRPr="005A497D">
        <w:t xml:space="preserve"> Volume 1</w:t>
      </w:r>
      <w:r w:rsidR="001762EE">
        <w:t>,</w:t>
      </w:r>
      <w:r w:rsidR="001762EE" w:rsidRPr="005A497D">
        <w:t xml:space="preserve"> </w:t>
      </w:r>
      <w:r>
        <w:t xml:space="preserve">and Government Accounting Manual for NGAs </w:t>
      </w:r>
      <w:r w:rsidR="001762EE" w:rsidRPr="005A497D">
        <w:t xml:space="preserve">outline procedures for disbursement, </w:t>
      </w:r>
      <w:r w:rsidR="001762EE">
        <w:t>either</w:t>
      </w:r>
      <w:r w:rsidR="001762EE" w:rsidRPr="005A497D">
        <w:t xml:space="preserve"> by cash or by check. The payment process includes sufficient</w:t>
      </w:r>
      <w:r w:rsidR="001762EE">
        <w:t>ly strong</w:t>
      </w:r>
      <w:r w:rsidR="001762EE" w:rsidRPr="005A497D">
        <w:t xml:space="preserve"> internal controls. </w:t>
      </w:r>
      <w:r w:rsidR="001762EE">
        <w:t>The CoA</w:t>
      </w:r>
      <w:r w:rsidR="001762EE" w:rsidRPr="005A497D">
        <w:t xml:space="preserve"> audit reports raise observations on instances of non-compliance and </w:t>
      </w:r>
      <w:r w:rsidR="001762EE">
        <w:t xml:space="preserve">most audit opinions are modified (i.e., qualified or adverse). However, most payments comply with regular payment procedures, and in a majority of cases the instances of non-compliance are not the main causes of the qualified opinions. </w:t>
      </w:r>
      <w:r w:rsidR="001762EE" w:rsidRPr="005A497D">
        <w:t>The score</w:t>
      </w:r>
      <w:r w:rsidR="001762EE">
        <w:t xml:space="preserve"> for Dimension 25.3</w:t>
      </w:r>
      <w:r w:rsidR="001762EE" w:rsidRPr="005A497D">
        <w:t xml:space="preserve"> is assessed at “</w:t>
      </w:r>
      <w:r w:rsidR="001762EE">
        <w:t>B</w:t>
      </w:r>
      <w:r w:rsidR="001762EE" w:rsidRPr="005A497D">
        <w:t>”.</w:t>
      </w:r>
    </w:p>
    <w:p w14:paraId="0FD8F8A2" w14:textId="77777777" w:rsidR="001762EE" w:rsidRPr="005A497D" w:rsidRDefault="001762EE" w:rsidP="001F539B">
      <w:pPr>
        <w:pStyle w:val="Default"/>
        <w:rPr>
          <w:bCs/>
        </w:rPr>
      </w:pPr>
    </w:p>
    <w:p w14:paraId="11C71986" w14:textId="39A5621A" w:rsidR="001762EE" w:rsidRDefault="001762EE" w:rsidP="00411651">
      <w:pPr>
        <w:pStyle w:val="Heading3"/>
      </w:pPr>
      <w:bookmarkStart w:id="255" w:name="_Toc454811717"/>
      <w:bookmarkStart w:id="256" w:name="_Toc454888861"/>
      <w:r w:rsidRPr="005A497D">
        <w:t>PI-2</w:t>
      </w:r>
      <w:r>
        <w:t>6</w:t>
      </w:r>
      <w:r w:rsidRPr="005A497D">
        <w:t xml:space="preserve"> </w:t>
      </w:r>
      <w:r>
        <w:t>I</w:t>
      </w:r>
      <w:r w:rsidRPr="005A497D">
        <w:t>nternal audit</w:t>
      </w:r>
      <w:bookmarkEnd w:id="255"/>
      <w:bookmarkEnd w:id="256"/>
    </w:p>
    <w:p w14:paraId="63E662BE" w14:textId="77777777" w:rsidR="001762EE" w:rsidRPr="004206A0" w:rsidRDefault="001762EE" w:rsidP="004206A0"/>
    <w:p w14:paraId="1E2AE5C6" w14:textId="2AC0BFA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assesses the standards and procedures applied in internal audit. </w:t>
      </w:r>
    </w:p>
    <w:p w14:paraId="6EBDAA54" w14:textId="77777777" w:rsidR="001762EE" w:rsidRPr="005A497D" w:rsidRDefault="001762EE" w:rsidP="00BE68F0">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150"/>
        <w:gridCol w:w="1080"/>
        <w:gridCol w:w="5126"/>
      </w:tblGrid>
      <w:tr w:rsidR="00C805B5" w:rsidRPr="00C06FE3" w14:paraId="44970126" w14:textId="77777777" w:rsidTr="00C805B5">
        <w:trPr>
          <w:trHeight w:val="397"/>
          <w:tblHeader/>
        </w:trPr>
        <w:tc>
          <w:tcPr>
            <w:tcW w:w="3150" w:type="dxa"/>
            <w:tcBorders>
              <w:top w:val="double" w:sz="4" w:space="0" w:color="auto"/>
            </w:tcBorders>
            <w:shd w:val="clear" w:color="auto" w:fill="D9D9D9"/>
            <w:vAlign w:val="center"/>
          </w:tcPr>
          <w:p w14:paraId="7D3C4AB4" w14:textId="77777777" w:rsidR="001762EE" w:rsidRPr="00C06FE3" w:rsidRDefault="001762EE" w:rsidP="00283AE6">
            <w:pPr>
              <w:spacing w:before="40" w:after="40"/>
              <w:jc w:val="center"/>
              <w:rPr>
                <w:b/>
                <w:i/>
                <w:sz w:val="22"/>
                <w:szCs w:val="22"/>
              </w:rPr>
            </w:pPr>
            <w:r w:rsidRPr="00C06FE3">
              <w:rPr>
                <w:b/>
                <w:i/>
                <w:sz w:val="22"/>
                <w:szCs w:val="22"/>
              </w:rPr>
              <w:t>Indicator / Dimension</w:t>
            </w:r>
          </w:p>
        </w:tc>
        <w:tc>
          <w:tcPr>
            <w:tcW w:w="1080" w:type="dxa"/>
            <w:tcBorders>
              <w:top w:val="double" w:sz="4" w:space="0" w:color="auto"/>
            </w:tcBorders>
            <w:shd w:val="clear" w:color="auto" w:fill="D9D9D9"/>
            <w:vAlign w:val="center"/>
          </w:tcPr>
          <w:p w14:paraId="0D0AD4B4" w14:textId="77777777" w:rsidR="001762EE" w:rsidRPr="00C06FE3" w:rsidRDefault="001762EE" w:rsidP="00283AE6">
            <w:pPr>
              <w:spacing w:before="40" w:after="40"/>
              <w:jc w:val="center"/>
              <w:rPr>
                <w:b/>
                <w:i/>
                <w:sz w:val="22"/>
                <w:szCs w:val="22"/>
              </w:rPr>
            </w:pPr>
            <w:r w:rsidRPr="00C06FE3">
              <w:rPr>
                <w:b/>
                <w:i/>
                <w:sz w:val="22"/>
                <w:szCs w:val="22"/>
              </w:rPr>
              <w:t>Score</w:t>
            </w:r>
          </w:p>
        </w:tc>
        <w:tc>
          <w:tcPr>
            <w:tcW w:w="5126" w:type="dxa"/>
            <w:tcBorders>
              <w:top w:val="double" w:sz="4" w:space="0" w:color="auto"/>
            </w:tcBorders>
            <w:shd w:val="clear" w:color="auto" w:fill="D9D9D9"/>
            <w:vAlign w:val="center"/>
          </w:tcPr>
          <w:p w14:paraId="738EB3DC" w14:textId="77777777" w:rsidR="001762EE" w:rsidRPr="00C06FE3" w:rsidRDefault="001762EE" w:rsidP="00283AE6">
            <w:pPr>
              <w:spacing w:before="40" w:after="40"/>
              <w:jc w:val="center"/>
              <w:rPr>
                <w:b/>
                <w:i/>
                <w:sz w:val="22"/>
                <w:szCs w:val="22"/>
              </w:rPr>
            </w:pPr>
            <w:r w:rsidRPr="00C06FE3">
              <w:rPr>
                <w:b/>
                <w:i/>
                <w:sz w:val="22"/>
                <w:szCs w:val="22"/>
              </w:rPr>
              <w:t>Brief Explanation</w:t>
            </w:r>
          </w:p>
        </w:tc>
      </w:tr>
      <w:tr w:rsidR="00C805B5" w:rsidRPr="005A497D" w14:paraId="0DD58EF0" w14:textId="77777777" w:rsidTr="00C805B5">
        <w:tc>
          <w:tcPr>
            <w:tcW w:w="3150" w:type="dxa"/>
            <w:tcBorders>
              <w:top w:val="double" w:sz="4" w:space="0" w:color="auto"/>
              <w:bottom w:val="single" w:sz="4" w:space="0" w:color="auto"/>
            </w:tcBorders>
          </w:tcPr>
          <w:p w14:paraId="7013DCF4" w14:textId="192534AC" w:rsidR="001762EE" w:rsidRPr="005A497D" w:rsidRDefault="001762EE" w:rsidP="006B2222">
            <w:pPr>
              <w:spacing w:before="40" w:after="40"/>
              <w:rPr>
                <w:sz w:val="22"/>
                <w:szCs w:val="22"/>
              </w:rPr>
            </w:pPr>
            <w:r w:rsidRPr="005A497D">
              <w:rPr>
                <w:b/>
                <w:bCs/>
                <w:sz w:val="22"/>
                <w:szCs w:val="22"/>
              </w:rPr>
              <w:t>PI-2</w:t>
            </w:r>
            <w:r>
              <w:rPr>
                <w:b/>
                <w:bCs/>
                <w:sz w:val="22"/>
                <w:szCs w:val="22"/>
              </w:rPr>
              <w:t>6</w:t>
            </w:r>
            <w:r w:rsidRPr="005A497D">
              <w:rPr>
                <w:b/>
                <w:bCs/>
                <w:sz w:val="22"/>
                <w:szCs w:val="22"/>
              </w:rPr>
              <w:t xml:space="preserve"> </w:t>
            </w:r>
            <w:r>
              <w:rPr>
                <w:b/>
                <w:bCs/>
                <w:sz w:val="22"/>
                <w:szCs w:val="22"/>
              </w:rPr>
              <w:t>I</w:t>
            </w:r>
            <w:r w:rsidRPr="005A497D">
              <w:rPr>
                <w:b/>
                <w:bCs/>
                <w:sz w:val="22"/>
                <w:szCs w:val="22"/>
              </w:rPr>
              <w:t>nternal audit</w:t>
            </w:r>
          </w:p>
        </w:tc>
        <w:tc>
          <w:tcPr>
            <w:tcW w:w="1080" w:type="dxa"/>
            <w:tcBorders>
              <w:top w:val="double" w:sz="4" w:space="0" w:color="auto"/>
              <w:bottom w:val="single" w:sz="4" w:space="0" w:color="auto"/>
            </w:tcBorders>
          </w:tcPr>
          <w:p w14:paraId="451067CA" w14:textId="77777777" w:rsidR="001762EE" w:rsidRPr="005A497D" w:rsidRDefault="001762EE" w:rsidP="00340F7B">
            <w:pPr>
              <w:spacing w:before="40" w:after="40"/>
              <w:jc w:val="center"/>
              <w:rPr>
                <w:b/>
                <w:sz w:val="22"/>
                <w:szCs w:val="22"/>
              </w:rPr>
            </w:pPr>
            <w:r w:rsidRPr="005A497D">
              <w:rPr>
                <w:b/>
                <w:sz w:val="22"/>
                <w:szCs w:val="22"/>
              </w:rPr>
              <w:t>C+</w:t>
            </w:r>
          </w:p>
        </w:tc>
        <w:tc>
          <w:tcPr>
            <w:tcW w:w="5126" w:type="dxa"/>
            <w:tcBorders>
              <w:top w:val="double" w:sz="4" w:space="0" w:color="auto"/>
              <w:bottom w:val="single" w:sz="4" w:space="0" w:color="auto"/>
            </w:tcBorders>
          </w:tcPr>
          <w:p w14:paraId="216A80A2" w14:textId="77777777" w:rsidR="001762EE" w:rsidRPr="005A497D" w:rsidRDefault="001762EE" w:rsidP="00283AE6">
            <w:pPr>
              <w:spacing w:before="40" w:after="40"/>
              <w:rPr>
                <w:sz w:val="22"/>
                <w:szCs w:val="22"/>
              </w:rPr>
            </w:pPr>
            <w:r w:rsidRPr="005A497D">
              <w:rPr>
                <w:sz w:val="22"/>
                <w:szCs w:val="22"/>
              </w:rPr>
              <w:t>Overall rating based on M1 methodology.</w:t>
            </w:r>
          </w:p>
        </w:tc>
      </w:tr>
      <w:tr w:rsidR="00C805B5" w:rsidRPr="005A497D" w14:paraId="431C53C0" w14:textId="77777777" w:rsidTr="00EC5DE8">
        <w:trPr>
          <w:trHeight w:val="854"/>
        </w:trPr>
        <w:tc>
          <w:tcPr>
            <w:tcW w:w="3150" w:type="dxa"/>
            <w:tcBorders>
              <w:top w:val="single" w:sz="4" w:space="0" w:color="auto"/>
              <w:bottom w:val="single" w:sz="4" w:space="0" w:color="auto"/>
            </w:tcBorders>
          </w:tcPr>
          <w:p w14:paraId="54D9369F" w14:textId="75E9BD02" w:rsidR="001762EE" w:rsidRPr="005A497D" w:rsidRDefault="001762EE" w:rsidP="00F02A1E">
            <w:pPr>
              <w:pStyle w:val="Default"/>
              <w:rPr>
                <w:sz w:val="22"/>
                <w:szCs w:val="22"/>
              </w:rPr>
            </w:pPr>
            <w:r>
              <w:rPr>
                <w:sz w:val="22"/>
                <w:szCs w:val="22"/>
              </w:rPr>
              <w:t>26.1</w:t>
            </w:r>
            <w:r w:rsidRPr="005A497D">
              <w:rPr>
                <w:sz w:val="22"/>
                <w:szCs w:val="22"/>
              </w:rPr>
              <w:t xml:space="preserve"> Coverage of internal audit</w:t>
            </w:r>
          </w:p>
        </w:tc>
        <w:tc>
          <w:tcPr>
            <w:tcW w:w="1080" w:type="dxa"/>
            <w:tcBorders>
              <w:top w:val="single" w:sz="4" w:space="0" w:color="auto"/>
              <w:bottom w:val="single" w:sz="4" w:space="0" w:color="auto"/>
            </w:tcBorders>
          </w:tcPr>
          <w:p w14:paraId="2C115CC3" w14:textId="5853136F" w:rsidR="001762EE" w:rsidRPr="005A497D" w:rsidRDefault="001762EE" w:rsidP="00340F7B">
            <w:pPr>
              <w:jc w:val="center"/>
              <w:rPr>
                <w:sz w:val="22"/>
                <w:szCs w:val="22"/>
              </w:rPr>
            </w:pPr>
            <w:r>
              <w:rPr>
                <w:sz w:val="22"/>
                <w:szCs w:val="22"/>
              </w:rPr>
              <w:t>A</w:t>
            </w:r>
          </w:p>
        </w:tc>
        <w:tc>
          <w:tcPr>
            <w:tcW w:w="5126" w:type="dxa"/>
            <w:tcBorders>
              <w:top w:val="single" w:sz="4" w:space="0" w:color="auto"/>
              <w:bottom w:val="single" w:sz="4" w:space="0" w:color="auto"/>
            </w:tcBorders>
          </w:tcPr>
          <w:p w14:paraId="31206701" w14:textId="6888627A" w:rsidR="001762EE" w:rsidRPr="005A497D" w:rsidRDefault="001762EE" w:rsidP="00DE5F9D">
            <w:pPr>
              <w:rPr>
                <w:sz w:val="22"/>
                <w:szCs w:val="22"/>
              </w:rPr>
            </w:pPr>
            <w:r w:rsidRPr="005A497D">
              <w:rPr>
                <w:sz w:val="22"/>
                <w:szCs w:val="22"/>
              </w:rPr>
              <w:t xml:space="preserve">Internal Audit Service or Internal Audit Unit </w:t>
            </w:r>
            <w:r>
              <w:rPr>
                <w:sz w:val="22"/>
                <w:szCs w:val="22"/>
              </w:rPr>
              <w:t>has</w:t>
            </w:r>
            <w:r w:rsidRPr="005A497D">
              <w:rPr>
                <w:sz w:val="22"/>
                <w:szCs w:val="22"/>
              </w:rPr>
              <w:t xml:space="preserve"> been established in all </w:t>
            </w:r>
            <w:r>
              <w:rPr>
                <w:sz w:val="22"/>
                <w:szCs w:val="22"/>
              </w:rPr>
              <w:t>national</w:t>
            </w:r>
            <w:r w:rsidRPr="005A497D">
              <w:rPr>
                <w:sz w:val="22"/>
                <w:szCs w:val="22"/>
              </w:rPr>
              <w:t xml:space="preserve"> government </w:t>
            </w:r>
            <w:r>
              <w:rPr>
                <w:sz w:val="22"/>
                <w:szCs w:val="22"/>
              </w:rPr>
              <w:t xml:space="preserve">agencies covering </w:t>
            </w:r>
            <w:r w:rsidRPr="005A497D">
              <w:rPr>
                <w:sz w:val="22"/>
                <w:szCs w:val="22"/>
              </w:rPr>
              <w:t xml:space="preserve">revenue and expenditure. </w:t>
            </w:r>
          </w:p>
        </w:tc>
      </w:tr>
      <w:tr w:rsidR="00C805B5" w:rsidRPr="005A497D" w14:paraId="1F826DA8" w14:textId="77777777" w:rsidTr="00EC5DE8">
        <w:trPr>
          <w:trHeight w:val="1151"/>
        </w:trPr>
        <w:tc>
          <w:tcPr>
            <w:tcW w:w="3150" w:type="dxa"/>
            <w:tcBorders>
              <w:top w:val="single" w:sz="4" w:space="0" w:color="auto"/>
              <w:bottom w:val="single" w:sz="4" w:space="0" w:color="auto"/>
            </w:tcBorders>
          </w:tcPr>
          <w:p w14:paraId="30C5C40B" w14:textId="1CD33846" w:rsidR="001762EE" w:rsidRPr="005A497D" w:rsidRDefault="001762EE" w:rsidP="00EA34E7">
            <w:pPr>
              <w:pStyle w:val="Default"/>
              <w:rPr>
                <w:sz w:val="22"/>
                <w:szCs w:val="22"/>
              </w:rPr>
            </w:pPr>
            <w:r>
              <w:rPr>
                <w:sz w:val="22"/>
                <w:szCs w:val="22"/>
              </w:rPr>
              <w:t>26.2</w:t>
            </w:r>
            <w:r w:rsidRPr="005A497D">
              <w:rPr>
                <w:sz w:val="22"/>
                <w:szCs w:val="22"/>
              </w:rPr>
              <w:t xml:space="preserve"> </w:t>
            </w:r>
            <w:r>
              <w:rPr>
                <w:sz w:val="22"/>
                <w:szCs w:val="22"/>
              </w:rPr>
              <w:t>Nature of audits and standards applied</w:t>
            </w:r>
          </w:p>
        </w:tc>
        <w:tc>
          <w:tcPr>
            <w:tcW w:w="1080" w:type="dxa"/>
            <w:tcBorders>
              <w:top w:val="single" w:sz="4" w:space="0" w:color="auto"/>
              <w:bottom w:val="single" w:sz="4" w:space="0" w:color="auto"/>
            </w:tcBorders>
          </w:tcPr>
          <w:p w14:paraId="2DFEA4ED" w14:textId="65BC9295" w:rsidR="001762EE" w:rsidRPr="005A497D" w:rsidRDefault="001762EE" w:rsidP="00340F7B">
            <w:pPr>
              <w:jc w:val="center"/>
              <w:rPr>
                <w:sz w:val="22"/>
                <w:szCs w:val="22"/>
              </w:rPr>
            </w:pPr>
            <w:r>
              <w:rPr>
                <w:sz w:val="22"/>
                <w:szCs w:val="22"/>
              </w:rPr>
              <w:t>B</w:t>
            </w:r>
          </w:p>
        </w:tc>
        <w:tc>
          <w:tcPr>
            <w:tcW w:w="5126" w:type="dxa"/>
            <w:tcBorders>
              <w:top w:val="single" w:sz="4" w:space="0" w:color="auto"/>
              <w:bottom w:val="single" w:sz="4" w:space="0" w:color="auto"/>
            </w:tcBorders>
          </w:tcPr>
          <w:p w14:paraId="1D09E427" w14:textId="3BF87CD4" w:rsidR="001762EE" w:rsidRPr="005A497D" w:rsidRDefault="00036E2B" w:rsidP="00A47F94">
            <w:pPr>
              <w:rPr>
                <w:sz w:val="22"/>
                <w:szCs w:val="22"/>
              </w:rPr>
            </w:pPr>
            <w:r>
              <w:rPr>
                <w:sz w:val="22"/>
                <w:szCs w:val="22"/>
              </w:rPr>
              <w:t>Under</w:t>
            </w:r>
            <w:r w:rsidR="001762EE">
              <w:rPr>
                <w:sz w:val="22"/>
                <w:szCs w:val="22"/>
              </w:rPr>
              <w:t xml:space="preserve"> t</w:t>
            </w:r>
            <w:r w:rsidR="001762EE" w:rsidRPr="005A497D">
              <w:rPr>
                <w:sz w:val="22"/>
                <w:szCs w:val="22"/>
              </w:rPr>
              <w:t>he Philippine Government Internal Audit Manual</w:t>
            </w:r>
            <w:r w:rsidR="001762EE">
              <w:rPr>
                <w:sz w:val="22"/>
                <w:szCs w:val="22"/>
              </w:rPr>
              <w:t>,</w:t>
            </w:r>
            <w:r w:rsidR="001762EE" w:rsidRPr="005A497D">
              <w:rPr>
                <w:sz w:val="22"/>
                <w:szCs w:val="22"/>
              </w:rPr>
              <w:t xml:space="preserve"> </w:t>
            </w:r>
            <w:r w:rsidR="001762EE">
              <w:rPr>
                <w:sz w:val="22"/>
                <w:szCs w:val="22"/>
              </w:rPr>
              <w:t xml:space="preserve">the internal audit function </w:t>
            </w:r>
            <w:r w:rsidR="001762EE" w:rsidRPr="005A497D">
              <w:rPr>
                <w:sz w:val="22"/>
                <w:szCs w:val="22"/>
              </w:rPr>
              <w:t>conducts compliance, operations</w:t>
            </w:r>
            <w:r w:rsidR="001762EE">
              <w:rPr>
                <w:sz w:val="22"/>
                <w:szCs w:val="22"/>
              </w:rPr>
              <w:t>,</w:t>
            </w:r>
            <w:r w:rsidR="001762EE" w:rsidRPr="005A497D">
              <w:rPr>
                <w:sz w:val="22"/>
                <w:szCs w:val="22"/>
              </w:rPr>
              <w:t xml:space="preserve"> and management audit</w:t>
            </w:r>
            <w:r w:rsidR="001762EE">
              <w:rPr>
                <w:sz w:val="22"/>
                <w:szCs w:val="22"/>
              </w:rPr>
              <w:t>. However, quality assurance process is not yet in place.</w:t>
            </w:r>
          </w:p>
        </w:tc>
      </w:tr>
      <w:tr w:rsidR="00C805B5" w:rsidRPr="005A497D" w14:paraId="64DD197B" w14:textId="77777777" w:rsidTr="00EC5DE8">
        <w:trPr>
          <w:trHeight w:val="890"/>
        </w:trPr>
        <w:tc>
          <w:tcPr>
            <w:tcW w:w="3150" w:type="dxa"/>
            <w:tcBorders>
              <w:top w:val="single" w:sz="4" w:space="0" w:color="auto"/>
              <w:bottom w:val="single" w:sz="4" w:space="0" w:color="auto"/>
            </w:tcBorders>
          </w:tcPr>
          <w:p w14:paraId="69B5966D" w14:textId="533D7FD2" w:rsidR="001762EE" w:rsidRPr="005A497D" w:rsidRDefault="001762EE" w:rsidP="004206A0">
            <w:pPr>
              <w:pStyle w:val="Default"/>
              <w:rPr>
                <w:sz w:val="22"/>
                <w:szCs w:val="22"/>
              </w:rPr>
            </w:pPr>
            <w:r>
              <w:rPr>
                <w:sz w:val="22"/>
                <w:szCs w:val="22"/>
              </w:rPr>
              <w:t>26.3</w:t>
            </w:r>
            <w:r w:rsidRPr="005A497D">
              <w:rPr>
                <w:sz w:val="22"/>
                <w:szCs w:val="22"/>
              </w:rPr>
              <w:t xml:space="preserve"> Implementation of </w:t>
            </w:r>
            <w:r w:rsidR="00036E2B">
              <w:rPr>
                <w:sz w:val="22"/>
                <w:szCs w:val="22"/>
              </w:rPr>
              <w:t xml:space="preserve">internal </w:t>
            </w:r>
            <w:r w:rsidRPr="005A497D">
              <w:rPr>
                <w:sz w:val="22"/>
                <w:szCs w:val="22"/>
              </w:rPr>
              <w:t xml:space="preserve">audits and </w:t>
            </w:r>
            <w:r>
              <w:rPr>
                <w:sz w:val="22"/>
                <w:szCs w:val="22"/>
              </w:rPr>
              <w:t>reporting</w:t>
            </w:r>
          </w:p>
        </w:tc>
        <w:tc>
          <w:tcPr>
            <w:tcW w:w="1080" w:type="dxa"/>
            <w:tcBorders>
              <w:top w:val="single" w:sz="4" w:space="0" w:color="auto"/>
              <w:bottom w:val="single" w:sz="4" w:space="0" w:color="auto"/>
            </w:tcBorders>
          </w:tcPr>
          <w:p w14:paraId="7658CFFA" w14:textId="3D388D22" w:rsidR="001762EE" w:rsidRPr="005A497D" w:rsidRDefault="001762EE" w:rsidP="00EA34E7">
            <w:pPr>
              <w:jc w:val="center"/>
              <w:rPr>
                <w:sz w:val="22"/>
                <w:szCs w:val="22"/>
              </w:rPr>
            </w:pPr>
            <w:r w:rsidRPr="005A497D">
              <w:rPr>
                <w:sz w:val="22"/>
                <w:szCs w:val="22"/>
              </w:rPr>
              <w:t xml:space="preserve">C </w:t>
            </w:r>
          </w:p>
        </w:tc>
        <w:tc>
          <w:tcPr>
            <w:tcW w:w="5126" w:type="dxa"/>
            <w:tcBorders>
              <w:top w:val="single" w:sz="4" w:space="0" w:color="auto"/>
              <w:bottom w:val="single" w:sz="4" w:space="0" w:color="auto"/>
            </w:tcBorders>
          </w:tcPr>
          <w:p w14:paraId="482F97BD" w14:textId="09D47932" w:rsidR="001762EE" w:rsidRPr="005A497D" w:rsidRDefault="001762EE" w:rsidP="00B423CD">
            <w:pPr>
              <w:rPr>
                <w:sz w:val="22"/>
                <w:szCs w:val="22"/>
              </w:rPr>
            </w:pPr>
            <w:r w:rsidRPr="005A497D">
              <w:rPr>
                <w:sz w:val="22"/>
                <w:szCs w:val="22"/>
              </w:rPr>
              <w:t xml:space="preserve">Audit programs are largely completed, but with delays. The report is submitted to the Secretary of the department but not to DBM or </w:t>
            </w:r>
            <w:r>
              <w:rPr>
                <w:sz w:val="22"/>
                <w:szCs w:val="22"/>
              </w:rPr>
              <w:t>CoA</w:t>
            </w:r>
            <w:r w:rsidRPr="005A497D">
              <w:rPr>
                <w:sz w:val="22"/>
                <w:szCs w:val="22"/>
              </w:rPr>
              <w:t>.</w:t>
            </w:r>
            <w:r>
              <w:rPr>
                <w:sz w:val="22"/>
                <w:szCs w:val="22"/>
              </w:rPr>
              <w:t xml:space="preserve"> </w:t>
            </w:r>
          </w:p>
        </w:tc>
      </w:tr>
      <w:tr w:rsidR="00C805B5" w:rsidRPr="005A497D" w14:paraId="4D95D6C2" w14:textId="77777777" w:rsidTr="00EC5DE8">
        <w:trPr>
          <w:trHeight w:val="1880"/>
        </w:trPr>
        <w:tc>
          <w:tcPr>
            <w:tcW w:w="3150" w:type="dxa"/>
            <w:tcBorders>
              <w:top w:val="single" w:sz="4" w:space="0" w:color="auto"/>
              <w:bottom w:val="double" w:sz="4" w:space="0" w:color="auto"/>
            </w:tcBorders>
          </w:tcPr>
          <w:p w14:paraId="11276C23" w14:textId="36E5F818" w:rsidR="001762EE" w:rsidRPr="005A497D" w:rsidRDefault="001762EE" w:rsidP="00EA34E7">
            <w:pPr>
              <w:pStyle w:val="Default"/>
              <w:rPr>
                <w:sz w:val="22"/>
                <w:szCs w:val="22"/>
              </w:rPr>
            </w:pPr>
            <w:r>
              <w:rPr>
                <w:sz w:val="22"/>
                <w:szCs w:val="22"/>
              </w:rPr>
              <w:t>26.4</w:t>
            </w:r>
            <w:r w:rsidRPr="005A497D">
              <w:rPr>
                <w:sz w:val="22"/>
                <w:szCs w:val="22"/>
              </w:rPr>
              <w:t xml:space="preserve"> </w:t>
            </w:r>
            <w:r>
              <w:rPr>
                <w:sz w:val="22"/>
                <w:szCs w:val="22"/>
              </w:rPr>
              <w:t xml:space="preserve">Response to internal audits </w:t>
            </w:r>
          </w:p>
        </w:tc>
        <w:tc>
          <w:tcPr>
            <w:tcW w:w="1080" w:type="dxa"/>
            <w:tcBorders>
              <w:top w:val="single" w:sz="4" w:space="0" w:color="auto"/>
              <w:bottom w:val="double" w:sz="4" w:space="0" w:color="auto"/>
            </w:tcBorders>
          </w:tcPr>
          <w:p w14:paraId="306C3622" w14:textId="77777777" w:rsidR="001762EE" w:rsidRPr="005A497D" w:rsidRDefault="001762EE" w:rsidP="00340F7B">
            <w:pPr>
              <w:jc w:val="center"/>
              <w:rPr>
                <w:sz w:val="22"/>
                <w:szCs w:val="22"/>
              </w:rPr>
            </w:pPr>
            <w:r w:rsidRPr="005A497D">
              <w:rPr>
                <w:sz w:val="22"/>
                <w:szCs w:val="22"/>
              </w:rPr>
              <w:t>B</w:t>
            </w:r>
          </w:p>
        </w:tc>
        <w:tc>
          <w:tcPr>
            <w:tcW w:w="5126" w:type="dxa"/>
            <w:tcBorders>
              <w:top w:val="single" w:sz="4" w:space="0" w:color="auto"/>
              <w:bottom w:val="double" w:sz="4" w:space="0" w:color="auto"/>
            </w:tcBorders>
          </w:tcPr>
          <w:p w14:paraId="426591C4" w14:textId="51C6BACD" w:rsidR="001762EE" w:rsidRPr="005A497D" w:rsidRDefault="001762EE" w:rsidP="005108BC">
            <w:pPr>
              <w:rPr>
                <w:sz w:val="22"/>
                <w:szCs w:val="22"/>
              </w:rPr>
            </w:pPr>
            <w:r w:rsidRPr="005A497D">
              <w:rPr>
                <w:sz w:val="22"/>
                <w:szCs w:val="22"/>
              </w:rPr>
              <w:t xml:space="preserve">In every internal audit report issued, </w:t>
            </w:r>
            <w:r>
              <w:rPr>
                <w:sz w:val="22"/>
                <w:szCs w:val="22"/>
              </w:rPr>
              <w:t>Internal Audit Service and Internal Audit Unit</w:t>
            </w:r>
            <w:r w:rsidRPr="005A497D">
              <w:rPr>
                <w:sz w:val="22"/>
                <w:szCs w:val="22"/>
              </w:rPr>
              <w:t xml:space="preserve"> provide recommendations that are presented to the </w:t>
            </w:r>
            <w:r>
              <w:rPr>
                <w:sz w:val="22"/>
                <w:szCs w:val="22"/>
              </w:rPr>
              <w:t>h</w:t>
            </w:r>
            <w:r w:rsidRPr="005A497D">
              <w:rPr>
                <w:sz w:val="22"/>
                <w:szCs w:val="22"/>
              </w:rPr>
              <w:t>ead of the audited unit. Management response is solicited to indicate corresponding action plan</w:t>
            </w:r>
            <w:r>
              <w:rPr>
                <w:sz w:val="22"/>
                <w:szCs w:val="22"/>
              </w:rPr>
              <w:t>,</w:t>
            </w:r>
            <w:r w:rsidRPr="005A497D">
              <w:rPr>
                <w:sz w:val="22"/>
                <w:szCs w:val="22"/>
              </w:rPr>
              <w:t xml:space="preserve"> and a formal respons</w:t>
            </w:r>
            <w:r>
              <w:rPr>
                <w:sz w:val="22"/>
                <w:szCs w:val="22"/>
              </w:rPr>
              <w:t>e is received in most instances within 12 months.</w:t>
            </w:r>
          </w:p>
        </w:tc>
      </w:tr>
    </w:tbl>
    <w:p w14:paraId="085CA00E" w14:textId="77777777" w:rsidR="001762EE" w:rsidRPr="005A497D" w:rsidRDefault="001762EE" w:rsidP="00BE68F0">
      <w:pPr>
        <w:pStyle w:val="FreeFormAAAA"/>
        <w:jc w:val="both"/>
        <w:rPr>
          <w:sz w:val="24"/>
          <w:szCs w:val="24"/>
          <w:lang w:val="en-US"/>
        </w:rPr>
      </w:pPr>
    </w:p>
    <w:p w14:paraId="6474E8D0" w14:textId="4C225C73" w:rsidR="001762EE" w:rsidRPr="0025475E" w:rsidRDefault="001762EE" w:rsidP="00BE68F0">
      <w:pPr>
        <w:pStyle w:val="FreeFormAAAA"/>
        <w:jc w:val="both"/>
        <w:rPr>
          <w:b/>
          <w:i/>
          <w:sz w:val="24"/>
          <w:szCs w:val="24"/>
          <w:lang w:val="en-US"/>
        </w:rPr>
      </w:pPr>
      <w:r w:rsidRPr="0025475E">
        <w:rPr>
          <w:b/>
          <w:i/>
          <w:sz w:val="24"/>
          <w:szCs w:val="24"/>
          <w:lang w:val="en-US"/>
        </w:rPr>
        <w:t xml:space="preserve">Dimension 26.1 Coverage of internal audit </w:t>
      </w:r>
    </w:p>
    <w:p w14:paraId="09C6119E" w14:textId="77777777" w:rsidR="001762EE" w:rsidRPr="004206A0" w:rsidRDefault="001762EE" w:rsidP="00BE68F0">
      <w:pPr>
        <w:pStyle w:val="FreeFormAAAA"/>
        <w:jc w:val="both"/>
        <w:rPr>
          <w:sz w:val="24"/>
          <w:szCs w:val="24"/>
          <w:lang w:val="en-US"/>
        </w:rPr>
      </w:pPr>
    </w:p>
    <w:p w14:paraId="74146873" w14:textId="46D9932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The institutionalization of the internal audit function is based on Philippine laws and statutes, the most recent of which is the DBM Circular Letter No. 2008-05 dated April 14, 2008</w:t>
      </w:r>
      <w:r>
        <w:t>,</w:t>
      </w:r>
      <w:r w:rsidRPr="005A497D">
        <w:t xml:space="preserve"> which provides guidelines in the organization of the Internal Audit Service or Internal Audit Unit</w:t>
      </w:r>
      <w:r>
        <w:t xml:space="preserve">, </w:t>
      </w:r>
      <w:r w:rsidRPr="005A497D">
        <w:t xml:space="preserve">clarifying its functions and specifying the rank and salary grade of the head of the </w:t>
      </w:r>
      <w:r>
        <w:t>Internal Audit Service and Units</w:t>
      </w:r>
      <w:r w:rsidRPr="005A497D">
        <w:t xml:space="preserve">. The </w:t>
      </w:r>
      <w:r>
        <w:t>h</w:t>
      </w:r>
      <w:r w:rsidRPr="005A497D">
        <w:t xml:space="preserve">ead of the </w:t>
      </w:r>
      <w:r>
        <w:t xml:space="preserve">Internal Audit Service </w:t>
      </w:r>
      <w:r w:rsidR="00036E2B">
        <w:t xml:space="preserve">or </w:t>
      </w:r>
      <w:r>
        <w:t>Internal Audit Unit</w:t>
      </w:r>
      <w:r w:rsidRPr="005A497D">
        <w:t xml:space="preserve"> reports directly to the </w:t>
      </w:r>
      <w:r>
        <w:t>h</w:t>
      </w:r>
      <w:r w:rsidRPr="005A497D">
        <w:t xml:space="preserve">ead of the </w:t>
      </w:r>
      <w:r>
        <w:t>a</w:t>
      </w:r>
      <w:r w:rsidRPr="005A497D">
        <w:t xml:space="preserve">gency or the </w:t>
      </w:r>
      <w:r>
        <w:t>s</w:t>
      </w:r>
      <w:r w:rsidRPr="005A497D">
        <w:t xml:space="preserve">ecretary. </w:t>
      </w:r>
    </w:p>
    <w:p w14:paraId="4DF7EB67" w14:textId="77777777" w:rsidR="001762EE" w:rsidRPr="005A497D" w:rsidRDefault="001762EE" w:rsidP="00A54133">
      <w:pPr>
        <w:pStyle w:val="NormalWeb"/>
        <w:autoSpaceDE w:val="0"/>
        <w:autoSpaceDN w:val="0"/>
        <w:adjustRightInd w:val="0"/>
        <w:spacing w:before="0" w:beforeAutospacing="0" w:after="0" w:afterAutospacing="0"/>
        <w:contextualSpacing/>
        <w:jc w:val="both"/>
      </w:pPr>
    </w:p>
    <w:p w14:paraId="3B0EB05A" w14:textId="23F00E1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Internal Audit Service </w:t>
      </w:r>
      <w:r w:rsidR="00036E2B">
        <w:t xml:space="preserve">or </w:t>
      </w:r>
      <w:r>
        <w:t>Internal Audit Unit</w:t>
      </w:r>
      <w:r w:rsidRPr="005A497D">
        <w:t xml:space="preserve"> have been formally established in </w:t>
      </w:r>
      <w:r>
        <w:t>all</w:t>
      </w:r>
      <w:r w:rsidRPr="005A497D">
        <w:t xml:space="preserve"> </w:t>
      </w:r>
      <w:r>
        <w:t>national government agencies.</w:t>
      </w:r>
      <w:r w:rsidRPr="00DE5F9D">
        <w:t xml:space="preserve"> </w:t>
      </w:r>
      <w:r>
        <w:t>Since internal audit is operational for all central government entities, the s</w:t>
      </w:r>
      <w:r w:rsidRPr="005A497D">
        <w:t>core</w:t>
      </w:r>
      <w:r>
        <w:t xml:space="preserve"> for Dimension 26.1</w:t>
      </w:r>
      <w:r w:rsidRPr="005A497D">
        <w:t xml:space="preserve"> is assessed as “</w:t>
      </w:r>
      <w:r>
        <w:t>A</w:t>
      </w:r>
      <w:r w:rsidRPr="005A497D">
        <w:t>”.</w:t>
      </w:r>
    </w:p>
    <w:p w14:paraId="3D902FAF" w14:textId="77777777" w:rsidR="001762EE" w:rsidRPr="005A497D" w:rsidRDefault="001762EE" w:rsidP="00184987">
      <w:pPr>
        <w:pStyle w:val="NormalWeb"/>
        <w:autoSpaceDE w:val="0"/>
        <w:autoSpaceDN w:val="0"/>
        <w:adjustRightInd w:val="0"/>
        <w:spacing w:before="0" w:beforeAutospacing="0" w:after="0" w:afterAutospacing="0"/>
        <w:contextualSpacing/>
        <w:jc w:val="both"/>
      </w:pPr>
    </w:p>
    <w:p w14:paraId="5F820EE2" w14:textId="33503081" w:rsidR="001762EE" w:rsidRPr="0025475E" w:rsidRDefault="001762EE" w:rsidP="00184987">
      <w:pPr>
        <w:pStyle w:val="FreeFormAAAA"/>
        <w:jc w:val="both"/>
        <w:rPr>
          <w:b/>
          <w:i/>
          <w:sz w:val="24"/>
          <w:szCs w:val="24"/>
          <w:lang w:val="en-US"/>
        </w:rPr>
      </w:pPr>
      <w:r w:rsidRPr="0025475E">
        <w:rPr>
          <w:b/>
          <w:i/>
          <w:sz w:val="24"/>
          <w:szCs w:val="24"/>
          <w:lang w:val="en-US"/>
        </w:rPr>
        <w:t>Dimension 26.2 Nature of audits and standards applied</w:t>
      </w:r>
    </w:p>
    <w:p w14:paraId="3D8B35FB" w14:textId="77777777" w:rsidR="001762EE" w:rsidRPr="00B423CD" w:rsidRDefault="001762EE" w:rsidP="00184987">
      <w:pPr>
        <w:pStyle w:val="FreeFormAAAA"/>
        <w:jc w:val="both"/>
        <w:rPr>
          <w:sz w:val="24"/>
          <w:szCs w:val="24"/>
          <w:lang w:val="en-US"/>
        </w:rPr>
      </w:pPr>
    </w:p>
    <w:p w14:paraId="3FD26031" w14:textId="4B59AC60"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accordance with the Administrative Code of 1987, and as emphasized in the NGICS, the functions of the </w:t>
      </w:r>
      <w:r>
        <w:t xml:space="preserve">Internal Audit Service </w:t>
      </w:r>
      <w:r w:rsidR="00036E2B">
        <w:t xml:space="preserve">or </w:t>
      </w:r>
      <w:r>
        <w:t>Internal Audit Unit</w:t>
      </w:r>
      <w:r w:rsidRPr="005A497D">
        <w:t xml:space="preserve"> include</w:t>
      </w:r>
      <w:r>
        <w:t xml:space="preserve"> the following</w:t>
      </w:r>
      <w:r w:rsidRPr="005A497D">
        <w:t>:</w:t>
      </w:r>
    </w:p>
    <w:p w14:paraId="04C10EB9" w14:textId="77777777" w:rsidR="001762EE" w:rsidRPr="005A497D" w:rsidRDefault="001762EE" w:rsidP="00EA34E7">
      <w:pPr>
        <w:pStyle w:val="NormalWeb"/>
        <w:autoSpaceDE w:val="0"/>
        <w:autoSpaceDN w:val="0"/>
        <w:adjustRightInd w:val="0"/>
        <w:spacing w:before="0" w:beforeAutospacing="0" w:after="0" w:afterAutospacing="0"/>
        <w:contextualSpacing/>
        <w:jc w:val="both"/>
      </w:pPr>
    </w:p>
    <w:p w14:paraId="7D5E774A" w14:textId="54F993E4" w:rsidR="001762EE" w:rsidRPr="005A497D" w:rsidRDefault="001762EE" w:rsidP="0025475E">
      <w:pPr>
        <w:pStyle w:val="FreeFormAAAAB"/>
        <w:numPr>
          <w:ilvl w:val="0"/>
          <w:numId w:val="47"/>
        </w:numPr>
        <w:jc w:val="both"/>
        <w:rPr>
          <w:sz w:val="24"/>
        </w:rPr>
      </w:pPr>
      <w:r w:rsidRPr="005A497D">
        <w:rPr>
          <w:sz w:val="24"/>
        </w:rPr>
        <w:t>Advise the Department Secretary</w:t>
      </w:r>
      <w:r>
        <w:rPr>
          <w:sz w:val="24"/>
        </w:rPr>
        <w:t xml:space="preserve"> and </w:t>
      </w:r>
      <w:r w:rsidRPr="005A497D">
        <w:rPr>
          <w:sz w:val="24"/>
        </w:rPr>
        <w:t>Head of Agency</w:t>
      </w:r>
      <w:r>
        <w:rPr>
          <w:sz w:val="24"/>
        </w:rPr>
        <w:t>,</w:t>
      </w:r>
      <w:r w:rsidRPr="005A497D">
        <w:rPr>
          <w:sz w:val="24"/>
        </w:rPr>
        <w:t xml:space="preserve"> or the </w:t>
      </w:r>
      <w:r>
        <w:rPr>
          <w:sz w:val="24"/>
        </w:rPr>
        <w:t>g</w:t>
      </w:r>
      <w:r w:rsidRPr="005A497D">
        <w:rPr>
          <w:sz w:val="24"/>
        </w:rPr>
        <w:t xml:space="preserve">overning </w:t>
      </w:r>
      <w:r>
        <w:rPr>
          <w:sz w:val="24"/>
        </w:rPr>
        <w:t>b</w:t>
      </w:r>
      <w:r w:rsidRPr="005A497D">
        <w:rPr>
          <w:sz w:val="24"/>
        </w:rPr>
        <w:t>ody through the Audit Committee in the case of GOCCs</w:t>
      </w:r>
      <w:r>
        <w:rPr>
          <w:sz w:val="24"/>
        </w:rPr>
        <w:t xml:space="preserve"> and government financial institution</w:t>
      </w:r>
      <w:r w:rsidRPr="005A497D">
        <w:rPr>
          <w:sz w:val="24"/>
        </w:rPr>
        <w:t>s, on all matters relating to management control and operations audits;</w:t>
      </w:r>
    </w:p>
    <w:p w14:paraId="2C1358E8" w14:textId="08421E9F" w:rsidR="001762EE" w:rsidRPr="005A497D" w:rsidRDefault="001762EE" w:rsidP="0025475E">
      <w:pPr>
        <w:pStyle w:val="FreeFormAAAAB"/>
        <w:numPr>
          <w:ilvl w:val="0"/>
          <w:numId w:val="47"/>
        </w:numPr>
        <w:jc w:val="both"/>
        <w:rPr>
          <w:sz w:val="24"/>
        </w:rPr>
      </w:pPr>
      <w:r w:rsidRPr="005A497D">
        <w:rPr>
          <w:sz w:val="24"/>
        </w:rPr>
        <w:t xml:space="preserve">Conduct </w:t>
      </w:r>
      <w:r>
        <w:rPr>
          <w:sz w:val="24"/>
        </w:rPr>
        <w:t>with d</w:t>
      </w:r>
      <w:r w:rsidRPr="005A497D">
        <w:rPr>
          <w:sz w:val="24"/>
        </w:rPr>
        <w:t>epartment</w:t>
      </w:r>
      <w:r>
        <w:rPr>
          <w:sz w:val="24"/>
        </w:rPr>
        <w:t>, a</w:t>
      </w:r>
      <w:r w:rsidRPr="005A497D">
        <w:rPr>
          <w:sz w:val="24"/>
        </w:rPr>
        <w:t>gency</w:t>
      </w:r>
      <w:r>
        <w:rPr>
          <w:sz w:val="24"/>
        </w:rPr>
        <w:t xml:space="preserve">, </w:t>
      </w:r>
      <w:r w:rsidRPr="005A497D">
        <w:rPr>
          <w:sz w:val="24"/>
        </w:rPr>
        <w:t>GOCC</w:t>
      </w:r>
      <w:r>
        <w:rPr>
          <w:sz w:val="24"/>
        </w:rPr>
        <w:t>, and government financial institutions the</w:t>
      </w:r>
      <w:r w:rsidRPr="005A497D">
        <w:rPr>
          <w:sz w:val="24"/>
        </w:rPr>
        <w:t xml:space="preserve"> management and operations audits of functions, programs, projects, activities with outputs, and determine the degree of compliance with their mandate, policies, government regulations, established objectives systems and procedures /processes and contractual obligations;</w:t>
      </w:r>
    </w:p>
    <w:p w14:paraId="7D467C0B" w14:textId="77777777" w:rsidR="001762EE" w:rsidRPr="005A497D" w:rsidRDefault="001762EE" w:rsidP="0025475E">
      <w:pPr>
        <w:pStyle w:val="FreeFormAAAAB"/>
        <w:numPr>
          <w:ilvl w:val="0"/>
          <w:numId w:val="47"/>
        </w:numPr>
        <w:jc w:val="both"/>
        <w:rPr>
          <w:sz w:val="24"/>
        </w:rPr>
      </w:pPr>
      <w:r w:rsidRPr="005A497D">
        <w:rPr>
          <w:sz w:val="24"/>
        </w:rPr>
        <w:t>Review and appraise systems and procedures, organizational structures, asset management practices, financial and management records, reports and performance standards of the department proper, bureaus and regional offices;</w:t>
      </w:r>
    </w:p>
    <w:p w14:paraId="1411A1F1" w14:textId="77777777" w:rsidR="001762EE" w:rsidRPr="005A497D" w:rsidRDefault="001762EE" w:rsidP="0025475E">
      <w:pPr>
        <w:pStyle w:val="FreeFormAAAAB"/>
        <w:numPr>
          <w:ilvl w:val="0"/>
          <w:numId w:val="47"/>
        </w:numPr>
        <w:jc w:val="both"/>
        <w:rPr>
          <w:sz w:val="24"/>
        </w:rPr>
      </w:pPr>
      <w:r w:rsidRPr="005A497D">
        <w:rPr>
          <w:sz w:val="24"/>
        </w:rPr>
        <w:t>Analyze and evaluate management deficiencies and assist top management by recommending realistic courses of action; and</w:t>
      </w:r>
    </w:p>
    <w:p w14:paraId="037E5C6B" w14:textId="1203B8A2" w:rsidR="001762EE" w:rsidRPr="005A497D" w:rsidRDefault="001762EE" w:rsidP="0025475E">
      <w:pPr>
        <w:pStyle w:val="FreeFormAAAAB"/>
        <w:numPr>
          <w:ilvl w:val="0"/>
          <w:numId w:val="47"/>
        </w:numPr>
        <w:jc w:val="both"/>
        <w:rPr>
          <w:sz w:val="24"/>
        </w:rPr>
      </w:pPr>
      <w:r w:rsidRPr="005A497D">
        <w:rPr>
          <w:sz w:val="24"/>
        </w:rPr>
        <w:t xml:space="preserve">Perform such other related duties and responsibilities as may be assigned or delegated by the </w:t>
      </w:r>
      <w:r>
        <w:rPr>
          <w:sz w:val="24"/>
        </w:rPr>
        <w:t>s</w:t>
      </w:r>
      <w:r w:rsidRPr="005A497D">
        <w:rPr>
          <w:sz w:val="24"/>
        </w:rPr>
        <w:t xml:space="preserve">ecretary or the </w:t>
      </w:r>
      <w:r>
        <w:rPr>
          <w:sz w:val="24"/>
        </w:rPr>
        <w:t>g</w:t>
      </w:r>
      <w:r w:rsidRPr="005A497D">
        <w:rPr>
          <w:sz w:val="24"/>
        </w:rPr>
        <w:t xml:space="preserve">overning </w:t>
      </w:r>
      <w:r>
        <w:rPr>
          <w:sz w:val="24"/>
        </w:rPr>
        <w:t>b</w:t>
      </w:r>
      <w:r w:rsidRPr="005A497D">
        <w:rPr>
          <w:sz w:val="24"/>
        </w:rPr>
        <w:t>oard or as may be required by law.</w:t>
      </w:r>
    </w:p>
    <w:p w14:paraId="21AC1B63" w14:textId="77777777" w:rsidR="001762EE" w:rsidRPr="005A497D" w:rsidRDefault="001762EE" w:rsidP="00EA34E7">
      <w:pPr>
        <w:pStyle w:val="NormalWeb2"/>
        <w:spacing w:before="0" w:after="0"/>
        <w:jc w:val="both"/>
      </w:pPr>
    </w:p>
    <w:p w14:paraId="62A36660" w14:textId="59BFF91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Through Circular Letter No. 2011-5</w:t>
      </w:r>
      <w:r>
        <w:t>,</w:t>
      </w:r>
      <w:r w:rsidRPr="005A497D">
        <w:t xml:space="preserve"> dated May 19, 2011, </w:t>
      </w:r>
      <w:r>
        <w:t>the Department of Budget and Management</w:t>
      </w:r>
      <w:r w:rsidRPr="005A497D">
        <w:t xml:space="preserve"> issued the </w:t>
      </w:r>
      <w:r>
        <w:t>Philippine Government Internal Audit Manual,</w:t>
      </w:r>
      <w:r w:rsidRPr="005A497D">
        <w:t xml:space="preserve"> which contains guidelines that outline basic concepts and principles of internal audit</w:t>
      </w:r>
      <w:r>
        <w:t xml:space="preserve">; </w:t>
      </w:r>
      <w:r w:rsidRPr="005A497D">
        <w:t>policies and standards that will guide government agencies in organizing, managing, and conducting an effective internal audit</w:t>
      </w:r>
      <w:r>
        <w:t>;</w:t>
      </w:r>
      <w:r w:rsidRPr="005A497D">
        <w:t xml:space="preserve"> and practices that provide user-friendly tools, techniques, and approaches in appraising the internal control systems against strategic objectives and in conducting management and operations audits.</w:t>
      </w:r>
    </w:p>
    <w:p w14:paraId="319B60AB" w14:textId="77777777" w:rsidR="001762EE" w:rsidRPr="005A497D" w:rsidRDefault="001762EE" w:rsidP="00EA34E7">
      <w:pPr>
        <w:pStyle w:val="NormalWeb"/>
        <w:autoSpaceDE w:val="0"/>
        <w:autoSpaceDN w:val="0"/>
        <w:adjustRightInd w:val="0"/>
        <w:spacing w:before="0" w:beforeAutospacing="0" w:after="0" w:afterAutospacing="0"/>
        <w:contextualSpacing/>
        <w:jc w:val="both"/>
      </w:pPr>
    </w:p>
    <w:p w14:paraId="11058C62" w14:textId="4A36A9CE"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According to </w:t>
      </w:r>
      <w:r>
        <w:t>the Philippine Government Internal Audit Manual</w:t>
      </w:r>
      <w:r w:rsidRPr="005A497D">
        <w:t xml:space="preserve">, </w:t>
      </w:r>
      <w:r>
        <w:t xml:space="preserve">the Internal Audit Service </w:t>
      </w:r>
      <w:r w:rsidR="00036E2B">
        <w:t xml:space="preserve">or </w:t>
      </w:r>
      <w:r>
        <w:t>Internal Audit Unit</w:t>
      </w:r>
      <w:r w:rsidRPr="005A497D">
        <w:t xml:space="preserve"> performs three types of audit: compliance, management, and operations. In most agencies, it is organized to have two divisions </w:t>
      </w:r>
      <w:r w:rsidRPr="005A497D">
        <w:rPr>
          <w:u w:color="000000"/>
        </w:rPr>
        <w:t xml:space="preserve">– </w:t>
      </w:r>
      <w:r w:rsidRPr="005A497D">
        <w:t xml:space="preserve">management audit and operations audit. Annual audit programs are prepared and recommendations for improvement in internal controls are provided. Formal quality assurance function within </w:t>
      </w:r>
      <w:r>
        <w:t>I</w:t>
      </w:r>
      <w:r w:rsidRPr="005A497D">
        <w:t xml:space="preserve">nternal </w:t>
      </w:r>
      <w:r>
        <w:t>A</w:t>
      </w:r>
      <w:r w:rsidRPr="005A497D">
        <w:t xml:space="preserve">udit </w:t>
      </w:r>
      <w:r>
        <w:t>U</w:t>
      </w:r>
      <w:r w:rsidRPr="005A497D">
        <w:t>nits is not currently in place. Score</w:t>
      </w:r>
      <w:r>
        <w:t xml:space="preserve"> for Dimension 26.2</w:t>
      </w:r>
      <w:r w:rsidRPr="005A497D">
        <w:t xml:space="preserve"> is assessed at “B”.</w:t>
      </w:r>
      <w:r w:rsidRPr="005A497D" w:rsidDel="00EA34E7">
        <w:t xml:space="preserve"> </w:t>
      </w:r>
    </w:p>
    <w:p w14:paraId="41773B6F" w14:textId="77777777" w:rsidR="001762EE" w:rsidRDefault="001762EE" w:rsidP="00EA34E7">
      <w:pPr>
        <w:pStyle w:val="FreeFormAAAA"/>
        <w:jc w:val="both"/>
      </w:pPr>
    </w:p>
    <w:p w14:paraId="49C13950" w14:textId="15C361E5" w:rsidR="001762EE" w:rsidRPr="0025475E" w:rsidRDefault="001762EE" w:rsidP="00EA34E7">
      <w:pPr>
        <w:pStyle w:val="FreeFormAAAA"/>
        <w:jc w:val="both"/>
        <w:rPr>
          <w:b/>
          <w:i/>
          <w:sz w:val="24"/>
          <w:szCs w:val="24"/>
          <w:lang w:val="en-US"/>
        </w:rPr>
      </w:pPr>
      <w:r w:rsidRPr="0025475E">
        <w:rPr>
          <w:b/>
          <w:i/>
          <w:sz w:val="24"/>
          <w:szCs w:val="24"/>
          <w:lang w:val="en-US"/>
        </w:rPr>
        <w:t>Dimension 26.3 Implementation of internal audits and reporting</w:t>
      </w:r>
    </w:p>
    <w:p w14:paraId="6CC8F1B4" w14:textId="77777777" w:rsidR="001762EE" w:rsidRPr="00B423CD" w:rsidRDefault="001762EE" w:rsidP="00EA34E7">
      <w:pPr>
        <w:pStyle w:val="FreeFormAAAA"/>
        <w:jc w:val="both"/>
        <w:rPr>
          <w:sz w:val="24"/>
          <w:szCs w:val="24"/>
          <w:lang w:val="en-US"/>
        </w:rPr>
      </w:pPr>
    </w:p>
    <w:p w14:paraId="14C08AA1" w14:textId="5D3C9E12" w:rsidR="001762EE" w:rsidRPr="00B423CD" w:rsidRDefault="001762EE" w:rsidP="00EA34E7">
      <w:pPr>
        <w:pStyle w:val="FreeFormAAAA"/>
        <w:jc w:val="both"/>
        <w:rPr>
          <w:sz w:val="24"/>
          <w:szCs w:val="24"/>
          <w:lang w:val="en-US"/>
        </w:rPr>
      </w:pPr>
      <w:r w:rsidRPr="00B423CD">
        <w:rPr>
          <w:sz w:val="24"/>
          <w:szCs w:val="24"/>
          <w:lang w:val="en-US"/>
        </w:rPr>
        <w:t>3.197.</w:t>
      </w:r>
      <w:r w:rsidRPr="00B423CD">
        <w:rPr>
          <w:sz w:val="24"/>
          <w:szCs w:val="24"/>
          <w:lang w:val="en-US"/>
        </w:rPr>
        <w:tab/>
        <w:t xml:space="preserve">Each </w:t>
      </w:r>
      <w:r>
        <w:rPr>
          <w:sz w:val="24"/>
          <w:szCs w:val="24"/>
          <w:lang w:val="en-US"/>
        </w:rPr>
        <w:t>a</w:t>
      </w:r>
      <w:r w:rsidRPr="00B423CD">
        <w:rPr>
          <w:sz w:val="24"/>
          <w:szCs w:val="24"/>
          <w:lang w:val="en-US"/>
        </w:rPr>
        <w:t xml:space="preserve">gency’s </w:t>
      </w:r>
      <w:r>
        <w:rPr>
          <w:sz w:val="24"/>
          <w:szCs w:val="24"/>
          <w:lang w:val="en-US"/>
        </w:rPr>
        <w:t>Internal Audit Service or Internal Audit Unit</w:t>
      </w:r>
      <w:r w:rsidRPr="00B423CD">
        <w:rPr>
          <w:sz w:val="24"/>
          <w:szCs w:val="24"/>
          <w:lang w:val="en-US"/>
        </w:rPr>
        <w:t xml:space="preserve"> prepares and executes an annual audit program. </w:t>
      </w:r>
      <w:r>
        <w:rPr>
          <w:sz w:val="24"/>
          <w:szCs w:val="24"/>
          <w:lang w:val="en-US"/>
        </w:rPr>
        <w:t>The a</w:t>
      </w:r>
      <w:r w:rsidRPr="00B423CD">
        <w:rPr>
          <w:sz w:val="24"/>
          <w:szCs w:val="24"/>
          <w:lang w:val="en-US"/>
        </w:rPr>
        <w:t>ssessment conside</w:t>
      </w:r>
      <w:r>
        <w:rPr>
          <w:sz w:val="24"/>
          <w:szCs w:val="24"/>
          <w:lang w:val="en-US"/>
        </w:rPr>
        <w:t>red a sample of large agencies, including</w:t>
      </w:r>
      <w:r w:rsidRPr="00B423CD">
        <w:rPr>
          <w:sz w:val="24"/>
          <w:szCs w:val="24"/>
          <w:lang w:val="en-US"/>
        </w:rPr>
        <w:t xml:space="preserve"> DPWH, DSWD, DepEd, </w:t>
      </w:r>
      <w:r>
        <w:rPr>
          <w:sz w:val="24"/>
          <w:szCs w:val="24"/>
          <w:lang w:val="en-US"/>
        </w:rPr>
        <w:t>DoA,</w:t>
      </w:r>
      <w:r w:rsidRPr="00B423CD">
        <w:rPr>
          <w:sz w:val="24"/>
          <w:szCs w:val="24"/>
          <w:lang w:val="en-US"/>
        </w:rPr>
        <w:t xml:space="preserve"> and DoF.</w:t>
      </w:r>
    </w:p>
    <w:p w14:paraId="399310CA" w14:textId="77777777" w:rsidR="001762EE" w:rsidRPr="00B423CD" w:rsidRDefault="001762EE" w:rsidP="00EA34E7">
      <w:pPr>
        <w:pStyle w:val="FreeFormAAAA"/>
        <w:jc w:val="both"/>
        <w:rPr>
          <w:sz w:val="24"/>
          <w:szCs w:val="24"/>
          <w:lang w:val="en-US"/>
        </w:rPr>
      </w:pPr>
    </w:p>
    <w:p w14:paraId="386F23C0" w14:textId="36F14021" w:rsidR="001762EE" w:rsidRPr="00B423CD" w:rsidRDefault="001762EE" w:rsidP="00EA34E7">
      <w:pPr>
        <w:pStyle w:val="FreeFormAAAA"/>
        <w:jc w:val="both"/>
        <w:rPr>
          <w:sz w:val="24"/>
          <w:szCs w:val="24"/>
          <w:lang w:val="en-US"/>
        </w:rPr>
      </w:pPr>
      <w:r w:rsidRPr="00B423CD">
        <w:rPr>
          <w:sz w:val="24"/>
          <w:szCs w:val="24"/>
          <w:lang w:val="en-US"/>
        </w:rPr>
        <w:t>3.198.</w:t>
      </w:r>
      <w:r w:rsidRPr="00B423CD">
        <w:rPr>
          <w:sz w:val="24"/>
          <w:szCs w:val="24"/>
          <w:lang w:val="en-US"/>
        </w:rPr>
        <w:tab/>
      </w:r>
      <w:r>
        <w:rPr>
          <w:sz w:val="24"/>
          <w:szCs w:val="24"/>
          <w:lang w:val="en-US"/>
        </w:rPr>
        <w:t>Audit programs are usually completed, but t</w:t>
      </w:r>
      <w:r w:rsidRPr="00B423CD">
        <w:rPr>
          <w:sz w:val="24"/>
          <w:szCs w:val="24"/>
          <w:lang w:val="en-US"/>
        </w:rPr>
        <w:t>here are delays in completion</w:t>
      </w:r>
      <w:r>
        <w:rPr>
          <w:sz w:val="24"/>
          <w:szCs w:val="24"/>
          <w:lang w:val="en-US"/>
        </w:rPr>
        <w:t xml:space="preserve"> </w:t>
      </w:r>
      <w:r w:rsidRPr="00B423CD">
        <w:rPr>
          <w:sz w:val="24"/>
          <w:szCs w:val="24"/>
          <w:lang w:val="en-US"/>
        </w:rPr>
        <w:t xml:space="preserve">often attributed to shortage of staff. </w:t>
      </w:r>
      <w:r>
        <w:rPr>
          <w:sz w:val="24"/>
          <w:szCs w:val="24"/>
          <w:lang w:val="en-US"/>
        </w:rPr>
        <w:t>M</w:t>
      </w:r>
      <w:r w:rsidRPr="00B423CD">
        <w:rPr>
          <w:sz w:val="24"/>
          <w:szCs w:val="24"/>
          <w:lang w:val="en-US"/>
        </w:rPr>
        <w:t xml:space="preserve">ost units are able to complete and submit reports, but not as per planned timelines. These reports are submitted to the </w:t>
      </w:r>
      <w:r>
        <w:rPr>
          <w:sz w:val="24"/>
          <w:szCs w:val="24"/>
          <w:lang w:val="en-US"/>
        </w:rPr>
        <w:t>s</w:t>
      </w:r>
      <w:r w:rsidRPr="00B423CD">
        <w:rPr>
          <w:sz w:val="24"/>
          <w:szCs w:val="24"/>
          <w:lang w:val="en-US"/>
        </w:rPr>
        <w:t xml:space="preserve">ecretary of the department. Reports are not submitted to </w:t>
      </w:r>
      <w:r>
        <w:rPr>
          <w:sz w:val="24"/>
          <w:szCs w:val="24"/>
          <w:lang w:val="en-US"/>
        </w:rPr>
        <w:t>the Department of Budget and Management</w:t>
      </w:r>
      <w:r w:rsidRPr="00B423CD">
        <w:rPr>
          <w:sz w:val="24"/>
          <w:szCs w:val="24"/>
          <w:lang w:val="en-US"/>
        </w:rPr>
        <w:t xml:space="preserve"> or </w:t>
      </w:r>
      <w:r>
        <w:rPr>
          <w:sz w:val="24"/>
          <w:szCs w:val="24"/>
          <w:lang w:val="en-US"/>
        </w:rPr>
        <w:t>Commission on Audit and a central (i.e., single) database of the reports is currently not present</w:t>
      </w:r>
      <w:r w:rsidRPr="00B423CD">
        <w:rPr>
          <w:sz w:val="24"/>
          <w:szCs w:val="24"/>
          <w:lang w:val="en-US"/>
        </w:rPr>
        <w:t xml:space="preserve">. </w:t>
      </w:r>
      <w:r w:rsidR="007E7384">
        <w:rPr>
          <w:sz w:val="24"/>
          <w:szCs w:val="24"/>
          <w:lang w:val="en-US"/>
        </w:rPr>
        <w:t xml:space="preserve">Data on performance of the units i.e. full completion of approved audit plan, was consolidated by the Department of Budget and Management. This showed that majority of the audit plans are completed but delays are common. </w:t>
      </w:r>
      <w:r w:rsidRPr="00B423CD">
        <w:rPr>
          <w:sz w:val="24"/>
          <w:szCs w:val="24"/>
          <w:lang w:val="en-US"/>
        </w:rPr>
        <w:t>Score</w:t>
      </w:r>
      <w:r>
        <w:rPr>
          <w:sz w:val="24"/>
          <w:szCs w:val="24"/>
          <w:lang w:val="en-US"/>
        </w:rPr>
        <w:t xml:space="preserve"> for Dimension 26.3</w:t>
      </w:r>
      <w:r w:rsidRPr="00B423CD">
        <w:rPr>
          <w:sz w:val="24"/>
          <w:szCs w:val="24"/>
          <w:lang w:val="en-US"/>
        </w:rPr>
        <w:t xml:space="preserve"> is assessed at “C” due to </w:t>
      </w:r>
      <w:r>
        <w:rPr>
          <w:sz w:val="24"/>
          <w:szCs w:val="24"/>
          <w:lang w:val="en-US"/>
        </w:rPr>
        <w:t xml:space="preserve">delays and </w:t>
      </w:r>
      <w:r w:rsidRPr="00B423CD">
        <w:rPr>
          <w:sz w:val="24"/>
          <w:szCs w:val="24"/>
          <w:lang w:val="en-US"/>
        </w:rPr>
        <w:t>limited distribution of reports.</w:t>
      </w:r>
    </w:p>
    <w:p w14:paraId="27D746B7" w14:textId="77777777" w:rsidR="001762EE" w:rsidRDefault="001762EE" w:rsidP="00EA34E7">
      <w:pPr>
        <w:pStyle w:val="FreeFormAAAA"/>
        <w:jc w:val="both"/>
        <w:rPr>
          <w:sz w:val="24"/>
          <w:szCs w:val="24"/>
          <w:u w:val="single"/>
          <w:lang w:val="en-US"/>
        </w:rPr>
      </w:pPr>
    </w:p>
    <w:p w14:paraId="02A62072" w14:textId="2BB43954" w:rsidR="001762EE" w:rsidRPr="0025475E" w:rsidRDefault="001762EE" w:rsidP="00EA34E7">
      <w:pPr>
        <w:pStyle w:val="FreeFormAAAA"/>
        <w:jc w:val="both"/>
        <w:rPr>
          <w:b/>
          <w:i/>
          <w:sz w:val="24"/>
          <w:szCs w:val="24"/>
          <w:lang w:val="en-US"/>
        </w:rPr>
      </w:pPr>
      <w:r w:rsidRPr="0025475E">
        <w:rPr>
          <w:b/>
          <w:i/>
          <w:sz w:val="24"/>
          <w:szCs w:val="24"/>
          <w:lang w:val="en-US"/>
        </w:rPr>
        <w:t>Dimension 26.4 Response to internal audits</w:t>
      </w:r>
    </w:p>
    <w:p w14:paraId="15AD4C98" w14:textId="3A376C90" w:rsidR="001762EE" w:rsidRPr="00B423CD" w:rsidRDefault="001762EE" w:rsidP="00EA34E7">
      <w:pPr>
        <w:pStyle w:val="FreeFormAAAA"/>
        <w:jc w:val="both"/>
        <w:rPr>
          <w:i/>
          <w:sz w:val="24"/>
          <w:szCs w:val="24"/>
          <w:lang w:val="en-US"/>
        </w:rPr>
      </w:pPr>
      <w:r w:rsidRPr="00B423CD">
        <w:rPr>
          <w:i/>
          <w:sz w:val="24"/>
          <w:szCs w:val="24"/>
          <w:lang w:val="en-US"/>
        </w:rPr>
        <w:t xml:space="preserve"> </w:t>
      </w:r>
    </w:p>
    <w:p w14:paraId="346017F8" w14:textId="2E1D0FE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 every final internal audit report issued, </w:t>
      </w:r>
      <w:r>
        <w:t xml:space="preserve">Internal Audit Service </w:t>
      </w:r>
      <w:r w:rsidR="00036E2B">
        <w:t xml:space="preserve">or </w:t>
      </w:r>
      <w:r>
        <w:t>Internal Audit Unit</w:t>
      </w:r>
      <w:r w:rsidRPr="005A497D">
        <w:t xml:space="preserve">s provide recommendations that are presented to the </w:t>
      </w:r>
      <w:r>
        <w:t>h</w:t>
      </w:r>
      <w:r w:rsidRPr="005A497D">
        <w:t xml:space="preserve">ead of the audited unit and the </w:t>
      </w:r>
      <w:r>
        <w:t>d</w:t>
      </w:r>
      <w:r w:rsidRPr="005A497D">
        <w:t xml:space="preserve">epartment </w:t>
      </w:r>
      <w:r>
        <w:t>s</w:t>
      </w:r>
      <w:r w:rsidRPr="005A497D">
        <w:t>ecretary. Management response is solicited to indicate the corresponding action plan that will be undertaken.</w:t>
      </w:r>
    </w:p>
    <w:p w14:paraId="65845A23" w14:textId="77777777" w:rsidR="001762EE" w:rsidRPr="005A497D" w:rsidRDefault="001762EE" w:rsidP="00ED1269">
      <w:pPr>
        <w:pStyle w:val="NormalWeb"/>
        <w:autoSpaceDE w:val="0"/>
        <w:autoSpaceDN w:val="0"/>
        <w:adjustRightInd w:val="0"/>
        <w:spacing w:before="0" w:beforeAutospacing="0" w:after="0" w:afterAutospacing="0"/>
        <w:contextualSpacing/>
        <w:jc w:val="both"/>
      </w:pPr>
    </w:p>
    <w:p w14:paraId="2182D0C6" w14:textId="7225040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w:t>
      </w:r>
      <w:r w:rsidRPr="005A497D">
        <w:t>DPWH</w:t>
      </w:r>
      <w:r>
        <w:t xml:space="preserve"> Internal Audit Service</w:t>
      </w:r>
      <w:r w:rsidRPr="005A497D">
        <w:t xml:space="preserve"> has developed a system in the conduct of audit follow-up </w:t>
      </w:r>
      <w:r>
        <w:t>that</w:t>
      </w:r>
      <w:r w:rsidRPr="005A497D">
        <w:t xml:space="preserve"> is being used to determine the degree of compliance of the audited unit to the recommendations. In DOTC, a clear process with timelines is prescribed for management response on the recommendations. </w:t>
      </w:r>
      <w:r>
        <w:t>The head of the audited unit submits a</w:t>
      </w:r>
      <w:r w:rsidRPr="005A497D">
        <w:t xml:space="preserve"> signed</w:t>
      </w:r>
      <w:r>
        <w:t>,</w:t>
      </w:r>
      <w:r w:rsidRPr="005A497D">
        <w:t xml:space="preserve"> written response </w:t>
      </w:r>
      <w:r>
        <w:t>within twelve months</w:t>
      </w:r>
      <w:r w:rsidRPr="005A497D">
        <w:t>. Similar processes are in place in other departments. Score</w:t>
      </w:r>
      <w:r>
        <w:t xml:space="preserve"> for Dimension 26.4</w:t>
      </w:r>
      <w:r w:rsidRPr="005A497D">
        <w:t xml:space="preserve"> is assessed at “B”.</w:t>
      </w:r>
    </w:p>
    <w:p w14:paraId="32901086" w14:textId="77777777" w:rsidR="001762EE" w:rsidRPr="005A497D" w:rsidRDefault="001762EE" w:rsidP="00184987">
      <w:pPr>
        <w:pStyle w:val="NormalWeb"/>
        <w:autoSpaceDE w:val="0"/>
        <w:autoSpaceDN w:val="0"/>
        <w:adjustRightInd w:val="0"/>
        <w:spacing w:before="0" w:beforeAutospacing="0" w:after="0" w:afterAutospacing="0"/>
        <w:contextualSpacing/>
        <w:jc w:val="both"/>
      </w:pPr>
    </w:p>
    <w:p w14:paraId="3FEECD05" w14:textId="02541BD9" w:rsidR="001762EE" w:rsidRPr="0025475E" w:rsidRDefault="001762EE" w:rsidP="00B81677">
      <w:pPr>
        <w:pStyle w:val="Heading2"/>
        <w:jc w:val="both"/>
        <w:rPr>
          <w:rFonts w:ascii="Times New Roman" w:hAnsi="Times New Roman"/>
          <w:sz w:val="28"/>
          <w:szCs w:val="28"/>
        </w:rPr>
      </w:pPr>
      <w:bookmarkStart w:id="257" w:name="_Toc454811718"/>
      <w:bookmarkStart w:id="258" w:name="_Toc454888862"/>
      <w:r w:rsidRPr="0025475E">
        <w:rPr>
          <w:rFonts w:ascii="Times New Roman" w:hAnsi="Times New Roman"/>
          <w:sz w:val="28"/>
          <w:szCs w:val="28"/>
        </w:rPr>
        <w:t>Pillar VI. Accounting and Reporting</w:t>
      </w:r>
      <w:bookmarkEnd w:id="257"/>
      <w:bookmarkEnd w:id="258"/>
    </w:p>
    <w:p w14:paraId="473BFC2D" w14:textId="77777777" w:rsidR="001762EE" w:rsidRPr="005A497D" w:rsidRDefault="001762EE" w:rsidP="001F539B">
      <w:pPr>
        <w:pStyle w:val="NormalWeb"/>
        <w:autoSpaceDE w:val="0"/>
        <w:autoSpaceDN w:val="0"/>
        <w:adjustRightInd w:val="0"/>
        <w:spacing w:before="0" w:beforeAutospacing="0" w:after="0" w:afterAutospacing="0"/>
        <w:contextualSpacing/>
        <w:jc w:val="both"/>
      </w:pPr>
    </w:p>
    <w:p w14:paraId="63462F80" w14:textId="1871F826" w:rsidR="001762EE" w:rsidRDefault="001762EE" w:rsidP="00411651">
      <w:pPr>
        <w:pStyle w:val="Heading3"/>
      </w:pPr>
      <w:bookmarkStart w:id="259" w:name="_Toc454811719"/>
      <w:bookmarkStart w:id="260" w:name="_Toc454888863"/>
      <w:r w:rsidRPr="005A497D">
        <w:t>PI-2</w:t>
      </w:r>
      <w:r>
        <w:t>7</w:t>
      </w:r>
      <w:r w:rsidRPr="005A497D">
        <w:t xml:space="preserve"> </w:t>
      </w:r>
      <w:r>
        <w:t>F</w:t>
      </w:r>
      <w:r w:rsidRPr="005A497D">
        <w:t>inancial data integrity</w:t>
      </w:r>
      <w:bookmarkEnd w:id="259"/>
      <w:bookmarkEnd w:id="260"/>
    </w:p>
    <w:p w14:paraId="79C29461" w14:textId="77777777" w:rsidR="001762EE" w:rsidRPr="00B423CD" w:rsidRDefault="001762EE" w:rsidP="00B423CD"/>
    <w:p w14:paraId="16992396" w14:textId="27260CB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assesses the extent to which treasury bank accounts, suspense accounts, and advance accounts are regularly reconciled and how the processes in place support the integrity of financial data. </w:t>
      </w:r>
    </w:p>
    <w:p w14:paraId="0BF6DC0E" w14:textId="77777777" w:rsidR="001762EE" w:rsidRPr="005A497D" w:rsidRDefault="001762EE" w:rsidP="00450DAA">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240"/>
        <w:gridCol w:w="1080"/>
        <w:gridCol w:w="5036"/>
      </w:tblGrid>
      <w:tr w:rsidR="00C805B5" w:rsidRPr="005A497D" w14:paraId="0140E856" w14:textId="77777777" w:rsidTr="00C805B5">
        <w:trPr>
          <w:trHeight w:val="397"/>
        </w:trPr>
        <w:tc>
          <w:tcPr>
            <w:tcW w:w="3240" w:type="dxa"/>
            <w:tcBorders>
              <w:top w:val="double" w:sz="4" w:space="0" w:color="auto"/>
            </w:tcBorders>
            <w:shd w:val="clear" w:color="auto" w:fill="D9D9D9"/>
            <w:vAlign w:val="center"/>
          </w:tcPr>
          <w:p w14:paraId="1864BF28" w14:textId="77777777" w:rsidR="001762EE" w:rsidRPr="0025475E" w:rsidRDefault="001762EE" w:rsidP="00283AE6">
            <w:pPr>
              <w:spacing w:before="40" w:after="40"/>
              <w:jc w:val="center"/>
              <w:rPr>
                <w:b/>
                <w:i/>
                <w:sz w:val="22"/>
                <w:szCs w:val="22"/>
              </w:rPr>
            </w:pPr>
            <w:r w:rsidRPr="0025475E">
              <w:rPr>
                <w:b/>
                <w:i/>
                <w:sz w:val="22"/>
                <w:szCs w:val="22"/>
              </w:rPr>
              <w:t>Indicator / Dimension</w:t>
            </w:r>
          </w:p>
        </w:tc>
        <w:tc>
          <w:tcPr>
            <w:tcW w:w="1080" w:type="dxa"/>
            <w:tcBorders>
              <w:top w:val="double" w:sz="4" w:space="0" w:color="auto"/>
            </w:tcBorders>
            <w:shd w:val="clear" w:color="auto" w:fill="D9D9D9"/>
            <w:vAlign w:val="center"/>
          </w:tcPr>
          <w:p w14:paraId="6C06329A" w14:textId="77777777" w:rsidR="001762EE" w:rsidRPr="0025475E" w:rsidRDefault="001762EE" w:rsidP="00283AE6">
            <w:pPr>
              <w:spacing w:before="40" w:after="40"/>
              <w:jc w:val="center"/>
              <w:rPr>
                <w:b/>
                <w:i/>
                <w:sz w:val="22"/>
                <w:szCs w:val="22"/>
              </w:rPr>
            </w:pPr>
            <w:r w:rsidRPr="0025475E">
              <w:rPr>
                <w:b/>
                <w:i/>
                <w:sz w:val="22"/>
                <w:szCs w:val="22"/>
              </w:rPr>
              <w:t>Score</w:t>
            </w:r>
          </w:p>
        </w:tc>
        <w:tc>
          <w:tcPr>
            <w:tcW w:w="5036" w:type="dxa"/>
            <w:tcBorders>
              <w:top w:val="double" w:sz="4" w:space="0" w:color="auto"/>
            </w:tcBorders>
            <w:shd w:val="clear" w:color="auto" w:fill="D9D9D9"/>
            <w:vAlign w:val="center"/>
          </w:tcPr>
          <w:p w14:paraId="44D02C51" w14:textId="349DAC76" w:rsidR="001762EE" w:rsidRPr="0025475E" w:rsidRDefault="001762EE" w:rsidP="005108BC">
            <w:pPr>
              <w:spacing w:before="40" w:after="40"/>
              <w:jc w:val="center"/>
              <w:rPr>
                <w:b/>
                <w:i/>
                <w:sz w:val="22"/>
                <w:szCs w:val="22"/>
              </w:rPr>
            </w:pPr>
            <w:r w:rsidRPr="0025475E">
              <w:rPr>
                <w:b/>
                <w:i/>
                <w:sz w:val="22"/>
                <w:szCs w:val="22"/>
              </w:rPr>
              <w:t xml:space="preserve">Brief </w:t>
            </w:r>
            <w:r>
              <w:rPr>
                <w:b/>
                <w:i/>
                <w:sz w:val="22"/>
                <w:szCs w:val="22"/>
              </w:rPr>
              <w:t>e</w:t>
            </w:r>
            <w:r w:rsidRPr="0025475E">
              <w:rPr>
                <w:b/>
                <w:i/>
                <w:sz w:val="22"/>
                <w:szCs w:val="22"/>
              </w:rPr>
              <w:t>xplanation</w:t>
            </w:r>
          </w:p>
        </w:tc>
      </w:tr>
      <w:tr w:rsidR="00C805B5" w:rsidRPr="005A497D" w14:paraId="1CE545EF" w14:textId="77777777" w:rsidTr="00C805B5">
        <w:tc>
          <w:tcPr>
            <w:tcW w:w="3240" w:type="dxa"/>
            <w:tcBorders>
              <w:top w:val="double" w:sz="4" w:space="0" w:color="auto"/>
              <w:bottom w:val="single" w:sz="4" w:space="0" w:color="auto"/>
            </w:tcBorders>
          </w:tcPr>
          <w:p w14:paraId="321DD49B" w14:textId="21DC101C" w:rsidR="001762EE" w:rsidRPr="005A497D" w:rsidRDefault="001762EE" w:rsidP="006B2222">
            <w:pPr>
              <w:spacing w:before="40" w:after="40"/>
              <w:rPr>
                <w:sz w:val="22"/>
                <w:szCs w:val="22"/>
              </w:rPr>
            </w:pPr>
            <w:r w:rsidRPr="005A497D">
              <w:rPr>
                <w:b/>
                <w:bCs/>
                <w:sz w:val="22"/>
                <w:szCs w:val="22"/>
              </w:rPr>
              <w:t>PI-2</w:t>
            </w:r>
            <w:r>
              <w:rPr>
                <w:b/>
                <w:bCs/>
                <w:sz w:val="22"/>
                <w:szCs w:val="22"/>
              </w:rPr>
              <w:t>7</w:t>
            </w:r>
            <w:r w:rsidRPr="005A497D">
              <w:rPr>
                <w:b/>
                <w:bCs/>
                <w:sz w:val="22"/>
                <w:szCs w:val="22"/>
              </w:rPr>
              <w:t xml:space="preserve"> </w:t>
            </w:r>
            <w:r>
              <w:rPr>
                <w:b/>
                <w:bCs/>
                <w:sz w:val="22"/>
                <w:szCs w:val="22"/>
              </w:rPr>
              <w:t>F</w:t>
            </w:r>
            <w:r w:rsidRPr="005A497D">
              <w:rPr>
                <w:b/>
                <w:bCs/>
                <w:sz w:val="22"/>
                <w:szCs w:val="22"/>
              </w:rPr>
              <w:t>inancial data integrity</w:t>
            </w:r>
          </w:p>
        </w:tc>
        <w:tc>
          <w:tcPr>
            <w:tcW w:w="1080" w:type="dxa"/>
            <w:tcBorders>
              <w:top w:val="double" w:sz="4" w:space="0" w:color="auto"/>
              <w:bottom w:val="single" w:sz="4" w:space="0" w:color="auto"/>
            </w:tcBorders>
          </w:tcPr>
          <w:p w14:paraId="3D71FBFA" w14:textId="18776C8C" w:rsidR="001762EE" w:rsidRPr="005A497D" w:rsidRDefault="001762EE" w:rsidP="00283AE6">
            <w:pPr>
              <w:spacing w:before="40" w:after="40"/>
              <w:jc w:val="center"/>
              <w:rPr>
                <w:b/>
                <w:sz w:val="22"/>
                <w:szCs w:val="22"/>
              </w:rPr>
            </w:pPr>
            <w:r>
              <w:rPr>
                <w:b/>
                <w:sz w:val="22"/>
                <w:szCs w:val="22"/>
              </w:rPr>
              <w:t>C</w:t>
            </w:r>
            <w:r w:rsidRPr="005A497D">
              <w:rPr>
                <w:b/>
                <w:sz w:val="22"/>
                <w:szCs w:val="22"/>
              </w:rPr>
              <w:t>+</w:t>
            </w:r>
          </w:p>
        </w:tc>
        <w:tc>
          <w:tcPr>
            <w:tcW w:w="5036" w:type="dxa"/>
            <w:tcBorders>
              <w:top w:val="double" w:sz="4" w:space="0" w:color="auto"/>
              <w:bottom w:val="single" w:sz="4" w:space="0" w:color="auto"/>
            </w:tcBorders>
          </w:tcPr>
          <w:p w14:paraId="58DC779A" w14:textId="77777777" w:rsidR="001762EE" w:rsidRPr="005A497D" w:rsidRDefault="001762EE" w:rsidP="005C79FA">
            <w:pPr>
              <w:spacing w:before="40" w:after="40"/>
              <w:rPr>
                <w:sz w:val="22"/>
                <w:szCs w:val="22"/>
              </w:rPr>
            </w:pPr>
            <w:r w:rsidRPr="005A497D">
              <w:rPr>
                <w:sz w:val="22"/>
                <w:szCs w:val="22"/>
              </w:rPr>
              <w:t>Overall rating based on M2 methodology.</w:t>
            </w:r>
          </w:p>
        </w:tc>
      </w:tr>
      <w:tr w:rsidR="00C805B5" w:rsidRPr="005A497D" w14:paraId="52DABC55" w14:textId="77777777" w:rsidTr="00C805B5">
        <w:tc>
          <w:tcPr>
            <w:tcW w:w="3240" w:type="dxa"/>
            <w:tcBorders>
              <w:top w:val="single" w:sz="4" w:space="0" w:color="auto"/>
              <w:bottom w:val="single" w:sz="4" w:space="0" w:color="auto"/>
            </w:tcBorders>
          </w:tcPr>
          <w:p w14:paraId="22B8A663" w14:textId="1AB41D9A" w:rsidR="001762EE" w:rsidRPr="005A497D" w:rsidRDefault="001762EE" w:rsidP="006B2222">
            <w:pPr>
              <w:pStyle w:val="Default"/>
              <w:rPr>
                <w:sz w:val="22"/>
                <w:szCs w:val="22"/>
              </w:rPr>
            </w:pPr>
            <w:r>
              <w:rPr>
                <w:sz w:val="22"/>
                <w:szCs w:val="22"/>
              </w:rPr>
              <w:t>27.1</w:t>
            </w:r>
            <w:r w:rsidRPr="005A497D">
              <w:rPr>
                <w:sz w:val="22"/>
                <w:szCs w:val="22"/>
              </w:rPr>
              <w:t xml:space="preserve"> </w:t>
            </w:r>
            <w:r>
              <w:rPr>
                <w:sz w:val="22"/>
                <w:szCs w:val="22"/>
              </w:rPr>
              <w:t>B</w:t>
            </w:r>
            <w:r w:rsidRPr="005A497D">
              <w:rPr>
                <w:sz w:val="22"/>
                <w:szCs w:val="22"/>
              </w:rPr>
              <w:t xml:space="preserve">ank </w:t>
            </w:r>
            <w:r>
              <w:rPr>
                <w:sz w:val="22"/>
                <w:szCs w:val="22"/>
              </w:rPr>
              <w:t xml:space="preserve">account </w:t>
            </w:r>
            <w:r w:rsidRPr="005A497D">
              <w:rPr>
                <w:sz w:val="22"/>
                <w:szCs w:val="22"/>
              </w:rPr>
              <w:t>reconciliation</w:t>
            </w:r>
          </w:p>
        </w:tc>
        <w:tc>
          <w:tcPr>
            <w:tcW w:w="1080" w:type="dxa"/>
            <w:tcBorders>
              <w:top w:val="single" w:sz="4" w:space="0" w:color="auto"/>
              <w:bottom w:val="single" w:sz="4" w:space="0" w:color="auto"/>
            </w:tcBorders>
          </w:tcPr>
          <w:p w14:paraId="20D3DF29" w14:textId="77777777" w:rsidR="001762EE" w:rsidRPr="005A497D" w:rsidRDefault="001762EE" w:rsidP="00ED4E0C">
            <w:pPr>
              <w:jc w:val="center"/>
              <w:rPr>
                <w:sz w:val="22"/>
                <w:szCs w:val="22"/>
              </w:rPr>
            </w:pPr>
            <w:r w:rsidRPr="005A497D">
              <w:rPr>
                <w:sz w:val="22"/>
                <w:szCs w:val="22"/>
              </w:rPr>
              <w:t>D</w:t>
            </w:r>
          </w:p>
        </w:tc>
        <w:tc>
          <w:tcPr>
            <w:tcW w:w="5036" w:type="dxa"/>
            <w:tcBorders>
              <w:top w:val="single" w:sz="4" w:space="0" w:color="auto"/>
              <w:bottom w:val="single" w:sz="4" w:space="0" w:color="auto"/>
            </w:tcBorders>
          </w:tcPr>
          <w:p w14:paraId="7B24EE66" w14:textId="04E79717" w:rsidR="001762EE" w:rsidRPr="005A497D" w:rsidRDefault="001762EE" w:rsidP="00DA3417">
            <w:pPr>
              <w:pStyle w:val="BodyB"/>
              <w:spacing w:before="40" w:after="40"/>
              <w:rPr>
                <w:rFonts w:ascii="Times New Roman" w:hAnsi="Times New Roman"/>
                <w:sz w:val="22"/>
                <w:szCs w:val="22"/>
              </w:rPr>
            </w:pPr>
            <w:r w:rsidRPr="005A497D">
              <w:rPr>
                <w:rFonts w:ascii="Times New Roman" w:hAnsi="Times New Roman"/>
                <w:sz w:val="22"/>
                <w:szCs w:val="22"/>
              </w:rPr>
              <w:t xml:space="preserve">While monthly Bank Reconciliation Statements are prescribed per law, issues of non-preparation / delayed submission and/or non-recording of reconciling items are substantial as per </w:t>
            </w:r>
            <w:r>
              <w:rPr>
                <w:rFonts w:ascii="Times New Roman" w:hAnsi="Times New Roman"/>
                <w:sz w:val="22"/>
                <w:szCs w:val="22"/>
              </w:rPr>
              <w:t>CoA</w:t>
            </w:r>
            <w:r w:rsidRPr="005A497D">
              <w:rPr>
                <w:rFonts w:ascii="Times New Roman" w:hAnsi="Times New Roman"/>
                <w:sz w:val="22"/>
                <w:szCs w:val="22"/>
              </w:rPr>
              <w:t xml:space="preserve"> audit reports which cite unreliable cash balances. </w:t>
            </w:r>
          </w:p>
        </w:tc>
      </w:tr>
      <w:tr w:rsidR="00C805B5" w:rsidRPr="005A497D" w14:paraId="7E9D3230" w14:textId="77777777" w:rsidTr="00EC5DE8">
        <w:trPr>
          <w:trHeight w:val="620"/>
        </w:trPr>
        <w:tc>
          <w:tcPr>
            <w:tcW w:w="3240" w:type="dxa"/>
            <w:tcBorders>
              <w:top w:val="single" w:sz="4" w:space="0" w:color="auto"/>
              <w:bottom w:val="single" w:sz="4" w:space="0" w:color="auto"/>
            </w:tcBorders>
          </w:tcPr>
          <w:p w14:paraId="2C77FDB2" w14:textId="5CBEB6C8" w:rsidR="001762EE" w:rsidRPr="005A497D" w:rsidRDefault="001762EE" w:rsidP="006B2222">
            <w:pPr>
              <w:pStyle w:val="Default"/>
              <w:rPr>
                <w:sz w:val="22"/>
                <w:szCs w:val="22"/>
              </w:rPr>
            </w:pPr>
            <w:r>
              <w:rPr>
                <w:sz w:val="22"/>
                <w:szCs w:val="22"/>
              </w:rPr>
              <w:t>27.2</w:t>
            </w:r>
            <w:r w:rsidRPr="005A497D">
              <w:rPr>
                <w:sz w:val="22"/>
                <w:szCs w:val="22"/>
              </w:rPr>
              <w:t xml:space="preserve"> </w:t>
            </w:r>
            <w:r>
              <w:rPr>
                <w:sz w:val="22"/>
                <w:szCs w:val="22"/>
              </w:rPr>
              <w:t>S</w:t>
            </w:r>
            <w:r w:rsidRPr="005A497D">
              <w:rPr>
                <w:sz w:val="22"/>
                <w:szCs w:val="22"/>
              </w:rPr>
              <w:t>uspense accounts</w:t>
            </w:r>
          </w:p>
        </w:tc>
        <w:tc>
          <w:tcPr>
            <w:tcW w:w="1080" w:type="dxa"/>
            <w:tcBorders>
              <w:top w:val="single" w:sz="4" w:space="0" w:color="auto"/>
              <w:bottom w:val="single" w:sz="4" w:space="0" w:color="auto"/>
            </w:tcBorders>
          </w:tcPr>
          <w:p w14:paraId="124C4FF6" w14:textId="3C2F82F9" w:rsidR="001762EE" w:rsidRPr="005A497D" w:rsidRDefault="001762EE" w:rsidP="00ED4E0C">
            <w:pPr>
              <w:jc w:val="center"/>
              <w:rPr>
                <w:sz w:val="22"/>
                <w:szCs w:val="22"/>
              </w:rPr>
            </w:pPr>
            <w:r>
              <w:rPr>
                <w:sz w:val="22"/>
                <w:szCs w:val="22"/>
              </w:rPr>
              <w:t>A</w:t>
            </w:r>
          </w:p>
        </w:tc>
        <w:tc>
          <w:tcPr>
            <w:tcW w:w="5036" w:type="dxa"/>
            <w:tcBorders>
              <w:top w:val="single" w:sz="4" w:space="0" w:color="auto"/>
              <w:bottom w:val="single" w:sz="4" w:space="0" w:color="auto"/>
            </w:tcBorders>
          </w:tcPr>
          <w:p w14:paraId="14A44FFC" w14:textId="7AEB4DDB" w:rsidR="001762EE" w:rsidRPr="00DC7B2A" w:rsidRDefault="001762EE" w:rsidP="00DA3417">
            <w:pPr>
              <w:rPr>
                <w:sz w:val="22"/>
                <w:szCs w:val="22"/>
              </w:rPr>
            </w:pPr>
            <w:r w:rsidRPr="00DC7B2A">
              <w:rPr>
                <w:sz w:val="22"/>
                <w:szCs w:val="22"/>
              </w:rPr>
              <w:t>The revised chart of accounts does not provide for any suspense account.</w:t>
            </w:r>
          </w:p>
        </w:tc>
      </w:tr>
      <w:tr w:rsidR="00C805B5" w:rsidRPr="005A497D" w14:paraId="4F110494" w14:textId="77777777" w:rsidTr="00EC5DE8">
        <w:trPr>
          <w:trHeight w:val="1070"/>
        </w:trPr>
        <w:tc>
          <w:tcPr>
            <w:tcW w:w="3240" w:type="dxa"/>
            <w:tcBorders>
              <w:top w:val="single" w:sz="4" w:space="0" w:color="auto"/>
              <w:bottom w:val="single" w:sz="4" w:space="0" w:color="auto"/>
            </w:tcBorders>
          </w:tcPr>
          <w:p w14:paraId="6F9B4BC1" w14:textId="3E9E76AB" w:rsidR="001762EE" w:rsidRPr="005A497D" w:rsidRDefault="001762EE" w:rsidP="006B2222">
            <w:pPr>
              <w:pStyle w:val="Default"/>
              <w:rPr>
                <w:sz w:val="22"/>
                <w:szCs w:val="22"/>
              </w:rPr>
            </w:pPr>
            <w:r>
              <w:rPr>
                <w:sz w:val="22"/>
                <w:szCs w:val="22"/>
              </w:rPr>
              <w:t>27.3</w:t>
            </w:r>
            <w:r w:rsidRPr="005A497D">
              <w:rPr>
                <w:sz w:val="22"/>
                <w:szCs w:val="22"/>
              </w:rPr>
              <w:t xml:space="preserve"> </w:t>
            </w:r>
            <w:r>
              <w:rPr>
                <w:sz w:val="22"/>
                <w:szCs w:val="22"/>
              </w:rPr>
              <w:t>A</w:t>
            </w:r>
            <w:r w:rsidRPr="005A497D">
              <w:rPr>
                <w:sz w:val="22"/>
                <w:szCs w:val="22"/>
              </w:rPr>
              <w:t>dvance accounts</w:t>
            </w:r>
          </w:p>
        </w:tc>
        <w:tc>
          <w:tcPr>
            <w:tcW w:w="1080" w:type="dxa"/>
            <w:tcBorders>
              <w:top w:val="single" w:sz="4" w:space="0" w:color="auto"/>
              <w:bottom w:val="single" w:sz="4" w:space="0" w:color="auto"/>
            </w:tcBorders>
          </w:tcPr>
          <w:p w14:paraId="33B60FBE" w14:textId="77777777" w:rsidR="001762EE" w:rsidRPr="005A497D" w:rsidRDefault="001762EE" w:rsidP="00ED4E0C">
            <w:pPr>
              <w:jc w:val="center"/>
              <w:rPr>
                <w:sz w:val="22"/>
                <w:szCs w:val="22"/>
              </w:rPr>
            </w:pPr>
            <w:r w:rsidRPr="005A497D">
              <w:rPr>
                <w:sz w:val="22"/>
                <w:szCs w:val="22"/>
              </w:rPr>
              <w:t>C</w:t>
            </w:r>
          </w:p>
        </w:tc>
        <w:tc>
          <w:tcPr>
            <w:tcW w:w="5036" w:type="dxa"/>
            <w:tcBorders>
              <w:top w:val="single" w:sz="4" w:space="0" w:color="auto"/>
              <w:bottom w:val="single" w:sz="4" w:space="0" w:color="auto"/>
            </w:tcBorders>
          </w:tcPr>
          <w:p w14:paraId="6A86C3C3" w14:textId="77777777" w:rsidR="001762EE" w:rsidRPr="005A497D" w:rsidRDefault="001762EE" w:rsidP="00DA3417">
            <w:pPr>
              <w:rPr>
                <w:sz w:val="22"/>
                <w:szCs w:val="22"/>
              </w:rPr>
            </w:pPr>
            <w:r w:rsidRPr="005A497D">
              <w:rPr>
                <w:sz w:val="22"/>
                <w:szCs w:val="22"/>
              </w:rPr>
              <w:t>Advances are reconciled in that break-up of outstanding amounts is available. Despite repeated efforts, significant advances remain outstanding long after the prescribed periods for settlement.</w:t>
            </w:r>
          </w:p>
        </w:tc>
      </w:tr>
      <w:tr w:rsidR="00C805B5" w:rsidRPr="005A497D" w14:paraId="23761D39" w14:textId="77777777" w:rsidTr="00EC5DE8">
        <w:trPr>
          <w:trHeight w:val="1160"/>
        </w:trPr>
        <w:tc>
          <w:tcPr>
            <w:tcW w:w="3240" w:type="dxa"/>
            <w:tcBorders>
              <w:top w:val="single" w:sz="4" w:space="0" w:color="auto"/>
              <w:bottom w:val="double" w:sz="4" w:space="0" w:color="auto"/>
            </w:tcBorders>
          </w:tcPr>
          <w:p w14:paraId="5AE97B74" w14:textId="602E8417" w:rsidR="001762EE" w:rsidRPr="005A497D" w:rsidRDefault="001762EE" w:rsidP="006B2222">
            <w:pPr>
              <w:pStyle w:val="Default"/>
              <w:rPr>
                <w:sz w:val="22"/>
                <w:szCs w:val="22"/>
              </w:rPr>
            </w:pPr>
            <w:r>
              <w:rPr>
                <w:sz w:val="22"/>
                <w:szCs w:val="22"/>
              </w:rPr>
              <w:t>27.4</w:t>
            </w:r>
            <w:r w:rsidRPr="005A497D">
              <w:rPr>
                <w:sz w:val="22"/>
                <w:szCs w:val="22"/>
              </w:rPr>
              <w:t xml:space="preserve"> </w:t>
            </w:r>
            <w:r>
              <w:rPr>
                <w:sz w:val="22"/>
                <w:szCs w:val="22"/>
              </w:rPr>
              <w:t>F</w:t>
            </w:r>
            <w:r w:rsidRPr="005A497D">
              <w:rPr>
                <w:sz w:val="22"/>
                <w:szCs w:val="22"/>
              </w:rPr>
              <w:t>inancial data integrity</w:t>
            </w:r>
            <w:r>
              <w:rPr>
                <w:sz w:val="22"/>
                <w:szCs w:val="22"/>
              </w:rPr>
              <w:t xml:space="preserve"> processes</w:t>
            </w:r>
          </w:p>
        </w:tc>
        <w:tc>
          <w:tcPr>
            <w:tcW w:w="1080" w:type="dxa"/>
            <w:tcBorders>
              <w:top w:val="single" w:sz="4" w:space="0" w:color="auto"/>
              <w:bottom w:val="double" w:sz="4" w:space="0" w:color="auto"/>
            </w:tcBorders>
          </w:tcPr>
          <w:p w14:paraId="4A31FB3D" w14:textId="77777777" w:rsidR="001762EE" w:rsidRPr="005A497D" w:rsidRDefault="001762EE" w:rsidP="00ED4E0C">
            <w:pPr>
              <w:jc w:val="center"/>
              <w:rPr>
                <w:sz w:val="22"/>
                <w:szCs w:val="22"/>
              </w:rPr>
            </w:pPr>
            <w:r w:rsidRPr="005A497D">
              <w:rPr>
                <w:sz w:val="22"/>
                <w:szCs w:val="22"/>
              </w:rPr>
              <w:t>C</w:t>
            </w:r>
          </w:p>
        </w:tc>
        <w:tc>
          <w:tcPr>
            <w:tcW w:w="5036" w:type="dxa"/>
            <w:tcBorders>
              <w:top w:val="single" w:sz="4" w:space="0" w:color="auto"/>
              <w:bottom w:val="double" w:sz="4" w:space="0" w:color="auto"/>
            </w:tcBorders>
          </w:tcPr>
          <w:p w14:paraId="7A8034CA" w14:textId="439C09F9" w:rsidR="001762EE" w:rsidRPr="005A497D" w:rsidRDefault="001762EE" w:rsidP="005108BC">
            <w:pPr>
              <w:rPr>
                <w:sz w:val="22"/>
                <w:szCs w:val="22"/>
              </w:rPr>
            </w:pPr>
            <w:r w:rsidRPr="005A497D">
              <w:rPr>
                <w:sz w:val="22"/>
                <w:szCs w:val="22"/>
              </w:rPr>
              <w:t xml:space="preserve">While access to records is restricted, often without audit trail, the quality and reliability of financial reporting process is low due to use of spreadsheet </w:t>
            </w:r>
            <w:r>
              <w:rPr>
                <w:sz w:val="22"/>
                <w:szCs w:val="22"/>
              </w:rPr>
              <w:t>that</w:t>
            </w:r>
            <w:r w:rsidRPr="005A497D">
              <w:rPr>
                <w:sz w:val="22"/>
                <w:szCs w:val="22"/>
              </w:rPr>
              <w:t xml:space="preserve"> lacks controls for assuring financial data integrity. </w:t>
            </w:r>
          </w:p>
        </w:tc>
      </w:tr>
    </w:tbl>
    <w:p w14:paraId="054BE6A8" w14:textId="77777777" w:rsidR="001762EE" w:rsidRPr="005A497D" w:rsidRDefault="001762EE" w:rsidP="00450DAA">
      <w:pPr>
        <w:pStyle w:val="FreeFormAAAA"/>
        <w:jc w:val="both"/>
        <w:rPr>
          <w:sz w:val="24"/>
          <w:szCs w:val="24"/>
          <w:lang w:val="en-US"/>
        </w:rPr>
      </w:pPr>
    </w:p>
    <w:p w14:paraId="4BDC716E" w14:textId="33868CBC" w:rsidR="001762EE" w:rsidRPr="0025475E" w:rsidRDefault="001762EE" w:rsidP="000656B0">
      <w:pPr>
        <w:pStyle w:val="FreeFormAAAAA"/>
        <w:jc w:val="both"/>
        <w:rPr>
          <w:b/>
          <w:i/>
          <w:sz w:val="24"/>
          <w:szCs w:val="24"/>
          <w:lang w:val="en-US"/>
        </w:rPr>
      </w:pPr>
      <w:r w:rsidRPr="0025475E">
        <w:rPr>
          <w:b/>
          <w:i/>
          <w:sz w:val="24"/>
          <w:szCs w:val="24"/>
          <w:lang w:val="en-US"/>
        </w:rPr>
        <w:t>Dimension 27.1 Bank account reconciliation</w:t>
      </w:r>
    </w:p>
    <w:p w14:paraId="64E13F84" w14:textId="77777777" w:rsidR="001762EE" w:rsidRPr="0049083B" w:rsidRDefault="001762EE" w:rsidP="000656B0">
      <w:pPr>
        <w:pStyle w:val="FreeFormAAAAA"/>
        <w:jc w:val="both"/>
        <w:rPr>
          <w:sz w:val="24"/>
          <w:szCs w:val="24"/>
          <w:lang w:val="en-US"/>
        </w:rPr>
      </w:pPr>
    </w:p>
    <w:p w14:paraId="62F85DDA" w14:textId="54376D4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Timely comparison between all government bank account transaction data and government cashbooks should be undertaken on a regular basis, the results reported</w:t>
      </w:r>
      <w:r>
        <w:t>,</w:t>
      </w:r>
      <w:r w:rsidRPr="005A497D">
        <w:t xml:space="preserve"> and actions taken to reconcile any differences. Such reconciliation is fundamental to the integrity of the accounting records and financial statements.</w:t>
      </w:r>
    </w:p>
    <w:p w14:paraId="6D356CAD" w14:textId="77777777" w:rsidR="001762EE" w:rsidRPr="005A497D" w:rsidRDefault="001762EE" w:rsidP="00ED1269">
      <w:pPr>
        <w:pStyle w:val="NormalWeb"/>
        <w:autoSpaceDE w:val="0"/>
        <w:autoSpaceDN w:val="0"/>
        <w:adjustRightInd w:val="0"/>
        <w:spacing w:before="0" w:beforeAutospacing="0" w:after="0" w:afterAutospacing="0"/>
        <w:contextualSpacing/>
        <w:jc w:val="both"/>
      </w:pPr>
    </w:p>
    <w:p w14:paraId="35972C0C" w14:textId="614A253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Monthly bank reconciliation is required under Section 74 of Presidential Decree 1445 as well as </w:t>
      </w:r>
      <w:r>
        <w:t>CoA</w:t>
      </w:r>
      <w:r w:rsidRPr="005A497D">
        <w:t xml:space="preserve"> Circular No. 92-125A</w:t>
      </w:r>
      <w:r>
        <w:t>,</w:t>
      </w:r>
      <w:r w:rsidRPr="005A497D">
        <w:t xml:space="preserve"> dated March 4, 1992. </w:t>
      </w:r>
      <w:r w:rsidR="0060267E">
        <w:t xml:space="preserve">Several agencies are preparing the bank reconciliations but with delays. </w:t>
      </w:r>
      <w:r>
        <w:t>CoA</w:t>
      </w:r>
      <w:r w:rsidRPr="005A497D">
        <w:t xml:space="preserve">’s 2013 audit of </w:t>
      </w:r>
      <w:r>
        <w:t xml:space="preserve">Bureau of </w:t>
      </w:r>
      <w:r w:rsidR="00036E2B">
        <w:t xml:space="preserve">the </w:t>
      </w:r>
      <w:r>
        <w:t>Treasury</w:t>
      </w:r>
      <w:r w:rsidRPr="005A497D">
        <w:t xml:space="preserve"> reported unreliable cash balance resulting from unreconciled cash sub-accounts and non-confirmation by banks of the balance. Common Audit Observations and Recommendations from the </w:t>
      </w:r>
      <w:r>
        <w:t>annual audit reports</w:t>
      </w:r>
      <w:r w:rsidRPr="005A497D">
        <w:t xml:space="preserve"> for </w:t>
      </w:r>
      <w:r>
        <w:t>national government agencies</w:t>
      </w:r>
      <w:r w:rsidRPr="005A497D">
        <w:t xml:space="preserve"> for 2013 included the following issues related to bank reconciliations: </w:t>
      </w:r>
      <w:r>
        <w:t>(</w:t>
      </w:r>
      <w:r w:rsidRPr="005A497D">
        <w:t xml:space="preserve">a) non-preparation; </w:t>
      </w:r>
      <w:r>
        <w:t>(</w:t>
      </w:r>
      <w:r w:rsidRPr="005A497D">
        <w:t xml:space="preserve">b) delayed submission; and </w:t>
      </w:r>
      <w:r>
        <w:t>(</w:t>
      </w:r>
      <w:r w:rsidRPr="005A497D">
        <w:t>c) non-recording of the reconciling items. Deficiencies are considered substantial</w:t>
      </w:r>
      <w:r>
        <w:t>.</w:t>
      </w:r>
      <w:r w:rsidRPr="005A497D">
        <w:t xml:space="preserve"> </w:t>
      </w:r>
      <w:r>
        <w:t>The</w:t>
      </w:r>
      <w:r w:rsidRPr="005A497D">
        <w:t xml:space="preserve"> score</w:t>
      </w:r>
      <w:r>
        <w:t xml:space="preserve"> for Dimension 27.1</w:t>
      </w:r>
      <w:r w:rsidRPr="005A497D">
        <w:t xml:space="preserve"> is assessed at “D”.</w:t>
      </w:r>
    </w:p>
    <w:p w14:paraId="0381A44D" w14:textId="77777777" w:rsidR="001762EE" w:rsidRPr="005A497D" w:rsidRDefault="001762EE" w:rsidP="005003F8">
      <w:pPr>
        <w:pStyle w:val="NormalWeb"/>
        <w:autoSpaceDE w:val="0"/>
        <w:autoSpaceDN w:val="0"/>
        <w:adjustRightInd w:val="0"/>
        <w:spacing w:before="0" w:beforeAutospacing="0" w:after="0" w:afterAutospacing="0"/>
        <w:contextualSpacing/>
        <w:jc w:val="both"/>
      </w:pPr>
    </w:p>
    <w:p w14:paraId="1F88CC95" w14:textId="4A7ED12F" w:rsidR="001762EE" w:rsidRPr="0025475E" w:rsidRDefault="001762EE" w:rsidP="005003F8">
      <w:pPr>
        <w:pStyle w:val="NormalWeb"/>
        <w:autoSpaceDE w:val="0"/>
        <w:autoSpaceDN w:val="0"/>
        <w:adjustRightInd w:val="0"/>
        <w:spacing w:before="0" w:beforeAutospacing="0" w:after="0" w:afterAutospacing="0"/>
        <w:contextualSpacing/>
        <w:jc w:val="both"/>
        <w:rPr>
          <w:b/>
          <w:i/>
        </w:rPr>
      </w:pPr>
      <w:r w:rsidRPr="0025475E">
        <w:rPr>
          <w:b/>
          <w:i/>
        </w:rPr>
        <w:t>Dimension 27.2 Suspense accounts</w:t>
      </w:r>
    </w:p>
    <w:p w14:paraId="51F552A3" w14:textId="77777777" w:rsidR="001762EE" w:rsidRPr="0049083B" w:rsidRDefault="001762EE" w:rsidP="005003F8">
      <w:pPr>
        <w:pStyle w:val="NormalWeb"/>
        <w:autoSpaceDE w:val="0"/>
        <w:autoSpaceDN w:val="0"/>
        <w:adjustRightInd w:val="0"/>
        <w:spacing w:before="0" w:beforeAutospacing="0" w:after="0" w:afterAutospacing="0"/>
        <w:contextualSpacing/>
        <w:jc w:val="both"/>
      </w:pPr>
    </w:p>
    <w:p w14:paraId="5E1D22DB" w14:textId="23D9C19C"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Suspense accounts refer to unclassified debits and credits awaiting proper identification for classification. The revised chart of accounts does not provide for any suspense account. </w:t>
      </w:r>
      <w:r>
        <w:t xml:space="preserve">There is no need for reconciliation because the revised chart of accounts does provide for recording of any suspense account. </w:t>
      </w:r>
      <w:r w:rsidRPr="005A497D">
        <w:t>Score</w:t>
      </w:r>
      <w:r>
        <w:t xml:space="preserve"> for Dimension 27.2</w:t>
      </w:r>
      <w:r w:rsidRPr="005A497D">
        <w:t xml:space="preserve"> is assessed at “</w:t>
      </w:r>
      <w:r>
        <w:t>A</w:t>
      </w:r>
      <w:r w:rsidRPr="005A497D">
        <w:t>”.</w:t>
      </w:r>
    </w:p>
    <w:p w14:paraId="1ECF0447" w14:textId="77777777" w:rsidR="001762EE" w:rsidRPr="005A497D" w:rsidRDefault="001762EE" w:rsidP="005003F8">
      <w:pPr>
        <w:pStyle w:val="NormalWeb"/>
        <w:autoSpaceDE w:val="0"/>
        <w:autoSpaceDN w:val="0"/>
        <w:adjustRightInd w:val="0"/>
        <w:spacing w:before="0" w:beforeAutospacing="0" w:after="0" w:afterAutospacing="0"/>
        <w:contextualSpacing/>
        <w:jc w:val="both"/>
      </w:pPr>
    </w:p>
    <w:p w14:paraId="06E3CDAC" w14:textId="735D0173" w:rsidR="001762EE" w:rsidRPr="0025475E" w:rsidRDefault="001762EE" w:rsidP="005003F8">
      <w:pPr>
        <w:pStyle w:val="FreeFormAAAAA"/>
        <w:jc w:val="both"/>
        <w:rPr>
          <w:b/>
          <w:i/>
          <w:sz w:val="24"/>
          <w:szCs w:val="24"/>
          <w:lang w:val="en-US"/>
        </w:rPr>
      </w:pPr>
      <w:r w:rsidRPr="0025475E">
        <w:rPr>
          <w:b/>
          <w:i/>
          <w:sz w:val="24"/>
          <w:szCs w:val="24"/>
          <w:lang w:val="en-US"/>
        </w:rPr>
        <w:t>Dimension 27.3 Advance accounts</w:t>
      </w:r>
    </w:p>
    <w:p w14:paraId="1C293290" w14:textId="77777777" w:rsidR="001762EE" w:rsidRPr="00233C6E" w:rsidRDefault="001762EE" w:rsidP="005003F8">
      <w:pPr>
        <w:pStyle w:val="FreeFormAAAAA"/>
        <w:jc w:val="both"/>
        <w:rPr>
          <w:sz w:val="24"/>
          <w:szCs w:val="24"/>
          <w:lang w:val="en-US"/>
        </w:rPr>
      </w:pPr>
    </w:p>
    <w:p w14:paraId="6C55E399" w14:textId="61FF455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Under existing regulations, cash advances must</w:t>
      </w:r>
      <w:r>
        <w:t xml:space="preserve"> </w:t>
      </w:r>
      <w:r w:rsidRPr="005A497D">
        <w:t xml:space="preserve">be liquidated within the prescribed periods depending upon the nature and purpose of the advance </w:t>
      </w:r>
      <w:r>
        <w:t>(</w:t>
      </w:r>
      <w:r w:rsidRPr="005A497D">
        <w:t>e.g., for salaries and wages</w:t>
      </w:r>
      <w:r>
        <w:t>)</w:t>
      </w:r>
      <w:r w:rsidRPr="005A497D">
        <w:t xml:space="preserve">; petty and field operating expenses; </w:t>
      </w:r>
      <w:r>
        <w:t xml:space="preserve">and </w:t>
      </w:r>
      <w:r w:rsidRPr="005A497D">
        <w:t>local and foreign travel. Included among operating expenses are cash advances for the payment of honoraria and similar payments to officials and employees; operating expenditures for special projects and activities like anniversary celebration</w:t>
      </w:r>
      <w:r>
        <w:t>s</w:t>
      </w:r>
      <w:r w:rsidRPr="005A497D">
        <w:t>; and special purpose and time</w:t>
      </w:r>
      <w:r>
        <w:t>-</w:t>
      </w:r>
      <w:r w:rsidRPr="005A497D">
        <w:t>bound activity like cultural and athletic activities. These must be liquidated within 20 days from accomplishment of the purpose.</w:t>
      </w:r>
    </w:p>
    <w:p w14:paraId="3609538D" w14:textId="77777777" w:rsidR="001762EE" w:rsidRPr="005A497D" w:rsidRDefault="001762EE" w:rsidP="00ED1269">
      <w:pPr>
        <w:pStyle w:val="NormalWeb"/>
        <w:autoSpaceDE w:val="0"/>
        <w:autoSpaceDN w:val="0"/>
        <w:adjustRightInd w:val="0"/>
        <w:spacing w:before="0" w:beforeAutospacing="0" w:after="0" w:afterAutospacing="0"/>
        <w:contextualSpacing/>
        <w:jc w:val="both"/>
      </w:pPr>
    </w:p>
    <w:p w14:paraId="1ED72283" w14:textId="6E9E718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Commission on Audit</w:t>
      </w:r>
      <w:r w:rsidRPr="005A497D">
        <w:t>, through Circular No. 2012-004</w:t>
      </w:r>
      <w:r>
        <w:t>,</w:t>
      </w:r>
      <w:r w:rsidRPr="005A497D">
        <w:t xml:space="preserve"> dated November 28, 2012, demanded for immediate liquidation and settlement of all outstanding cash advances as of December 31, 2011. Despite such demand, </w:t>
      </w:r>
      <w:r>
        <w:t xml:space="preserve">the </w:t>
      </w:r>
      <w:r w:rsidRPr="005A497D">
        <w:t xml:space="preserve">audit of </w:t>
      </w:r>
      <w:r>
        <w:t>national government agencies</w:t>
      </w:r>
      <w:r w:rsidRPr="005A497D">
        <w:t xml:space="preserve"> revealed that there remained significant balances of unliquidated cash advances. Listing of these advances is available with concerned agencies.</w:t>
      </w:r>
    </w:p>
    <w:p w14:paraId="3E53D0B5" w14:textId="77777777" w:rsidR="001762EE" w:rsidRPr="005A497D" w:rsidRDefault="001762EE" w:rsidP="00ED1269">
      <w:pPr>
        <w:pStyle w:val="NormalWeb"/>
        <w:autoSpaceDE w:val="0"/>
        <w:autoSpaceDN w:val="0"/>
        <w:adjustRightInd w:val="0"/>
        <w:spacing w:before="0" w:beforeAutospacing="0" w:after="0" w:afterAutospacing="0"/>
        <w:contextualSpacing/>
        <w:jc w:val="both"/>
      </w:pPr>
    </w:p>
    <w:p w14:paraId="307A96C8" w14:textId="4685D706"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Based on </w:t>
      </w:r>
      <w:r>
        <w:t>CoA</w:t>
      </w:r>
      <w:r w:rsidRPr="005A497D">
        <w:t xml:space="preserve"> Annual Financial Report for 201</w:t>
      </w:r>
      <w:r>
        <w:t>4</w:t>
      </w:r>
      <w:r w:rsidRPr="005A497D">
        <w:t xml:space="preserve">, </w:t>
      </w:r>
      <w:r>
        <w:t xml:space="preserve">only PhP 13.49 billion out of the total cash advance of PhP 31.43 billion granted during FY2014 or 43 percent had been liquidated; therefore, the unliquidated balance at year-end totaled PhP 17.94 billion or 57 percent. Further, out of the PhP 35.29 billion cash advance granted in prior years, only PhP 6.90 billion or 20 percent had been liquidated in FY2014. Therefore, there had been an unliquidated balance from prior years totaling PhP 28.38 billion or 80 percent of the outstanding balance. </w:t>
      </w:r>
      <w:r w:rsidR="006B4A40">
        <w:t>While c</w:t>
      </w:r>
      <w:r>
        <w:t xml:space="preserve">ash advances </w:t>
      </w:r>
      <w:r w:rsidRPr="005A497D">
        <w:t>were not liquidated within the prescribed period</w:t>
      </w:r>
      <w:r>
        <w:t xml:space="preserve">, </w:t>
      </w:r>
      <w:r w:rsidR="006B4A40">
        <w:t>a reconciliation of these accounts is prepared annually with full details, within two months of the end of the fiscal year. T</w:t>
      </w:r>
      <w:r>
        <w:t>he s</w:t>
      </w:r>
      <w:r w:rsidRPr="005A497D">
        <w:t>core</w:t>
      </w:r>
      <w:r>
        <w:t xml:space="preserve"> for Dimension 27.3</w:t>
      </w:r>
      <w:r w:rsidRPr="005A497D">
        <w:t xml:space="preserve"> is </w:t>
      </w:r>
      <w:r w:rsidR="006B4A40">
        <w:t xml:space="preserve">thus </w:t>
      </w:r>
      <w:r w:rsidRPr="005A497D">
        <w:t>assessed at “C”.</w:t>
      </w:r>
    </w:p>
    <w:p w14:paraId="69F74721" w14:textId="77777777" w:rsidR="001762EE" w:rsidRPr="005A497D" w:rsidRDefault="001762EE" w:rsidP="005003F8">
      <w:pPr>
        <w:pStyle w:val="NormalWeb"/>
        <w:autoSpaceDE w:val="0"/>
        <w:autoSpaceDN w:val="0"/>
        <w:adjustRightInd w:val="0"/>
        <w:spacing w:before="0" w:beforeAutospacing="0" w:after="0" w:afterAutospacing="0"/>
        <w:contextualSpacing/>
        <w:jc w:val="both"/>
      </w:pPr>
    </w:p>
    <w:p w14:paraId="4E7099F9" w14:textId="6FAF9B8C" w:rsidR="001762EE" w:rsidRPr="0025475E" w:rsidRDefault="001762EE" w:rsidP="005003F8">
      <w:pPr>
        <w:pStyle w:val="FreeFormAAAAA"/>
        <w:jc w:val="both"/>
        <w:rPr>
          <w:b/>
          <w:i/>
          <w:sz w:val="24"/>
          <w:szCs w:val="24"/>
          <w:lang w:val="en-US"/>
        </w:rPr>
      </w:pPr>
      <w:r w:rsidRPr="0025475E">
        <w:rPr>
          <w:b/>
          <w:i/>
          <w:sz w:val="24"/>
          <w:szCs w:val="24"/>
          <w:lang w:val="en-US"/>
        </w:rPr>
        <w:t>Dimension 27.4 Financial data integrity processes</w:t>
      </w:r>
    </w:p>
    <w:p w14:paraId="73857F33" w14:textId="77777777" w:rsidR="001762EE" w:rsidRPr="00233C6E" w:rsidRDefault="001762EE" w:rsidP="005003F8">
      <w:pPr>
        <w:pStyle w:val="FreeFormAAAAA"/>
        <w:jc w:val="both"/>
        <w:rPr>
          <w:sz w:val="24"/>
          <w:szCs w:val="24"/>
          <w:lang w:val="en-US"/>
        </w:rPr>
      </w:pPr>
    </w:p>
    <w:p w14:paraId="73E4C130" w14:textId="455A8AAD" w:rsidR="001762EE" w:rsidRPr="00325783" w:rsidRDefault="001762EE" w:rsidP="00325783">
      <w:pPr>
        <w:pStyle w:val="NormalWeb"/>
        <w:numPr>
          <w:ilvl w:val="0"/>
          <w:numId w:val="6"/>
        </w:numPr>
        <w:autoSpaceDE w:val="0"/>
        <w:autoSpaceDN w:val="0"/>
        <w:adjustRightInd w:val="0"/>
        <w:spacing w:before="0" w:beforeAutospacing="0" w:after="0" w:afterAutospacing="0"/>
        <w:ind w:left="0" w:firstLine="0"/>
        <w:contextualSpacing/>
        <w:jc w:val="both"/>
      </w:pPr>
      <w:r w:rsidRPr="00325783">
        <w:t xml:space="preserve">The </w:t>
      </w:r>
      <w:r w:rsidRPr="000D0E8D">
        <w:rPr>
          <w:i/>
        </w:rPr>
        <w:t>e</w:t>
      </w:r>
      <w:r w:rsidRPr="00325783">
        <w:t xml:space="preserve">NGAS, a </w:t>
      </w:r>
      <w:r w:rsidRPr="00F36772">
        <w:t xml:space="preserve">CoA-crafted computerized system, was rolled out to national government agencies in 2003. It specifically addresses the computerization of the government’s accounting system and automatic generation of required financial statements and reports. Embedded in </w:t>
      </w:r>
      <w:r w:rsidRPr="000D0E8D">
        <w:rPr>
          <w:i/>
        </w:rPr>
        <w:t>e</w:t>
      </w:r>
      <w:r w:rsidRPr="00F36772">
        <w:t xml:space="preserve">NGAS are access controls and an audit trail. The Commission on Audit commenced the rollout for </w:t>
      </w:r>
      <w:r w:rsidRPr="000D0E8D">
        <w:rPr>
          <w:i/>
        </w:rPr>
        <w:t>e</w:t>
      </w:r>
      <w:r w:rsidRPr="00F36772">
        <w:t xml:space="preserve">NGAS, Version 1.2.0, in </w:t>
      </w:r>
      <w:r w:rsidR="00EC5DE8">
        <w:t>200</w:t>
      </w:r>
      <w:r w:rsidR="001311D2">
        <w:t>3</w:t>
      </w:r>
      <w:r w:rsidRPr="00325783">
        <w:t xml:space="preserve">, with </w:t>
      </w:r>
      <w:r w:rsidRPr="00F36772">
        <w:t xml:space="preserve">CoA Central Office as the pilot agency. The Commission, in an effort to resolve implementation issues/concerns in the system reported by users, came up with version 1.2.2 of the </w:t>
      </w:r>
      <w:r w:rsidRPr="000D0E8D">
        <w:rPr>
          <w:i/>
        </w:rPr>
        <w:t>e</w:t>
      </w:r>
      <w:r w:rsidRPr="00F36772">
        <w:t xml:space="preserve">NGAS.  Thus, through CoA Resolution No. 2010-010, dated November 15, 2010, the Commission on Audit resumed the rollout of </w:t>
      </w:r>
      <w:r w:rsidRPr="000D0E8D">
        <w:rPr>
          <w:i/>
        </w:rPr>
        <w:t>e</w:t>
      </w:r>
      <w:r w:rsidRPr="00F36772">
        <w:t xml:space="preserve">NGAS. </w:t>
      </w:r>
      <w:r w:rsidRPr="00EC5DE8">
        <w:t xml:space="preserve">As of November 2012, </w:t>
      </w:r>
      <w:r w:rsidRPr="000D0E8D">
        <w:rPr>
          <w:i/>
        </w:rPr>
        <w:t>e</w:t>
      </w:r>
      <w:r w:rsidRPr="00EC5DE8">
        <w:t xml:space="preserve">NGAS was rolled out in 406 agencies, of which 206 are DPWH (central, regional, and district) offices. However, the system rolled out to 389 offices was version 1.2.1. Only 17 offices received version 1.2.2. The </w:t>
      </w:r>
      <w:r w:rsidRPr="000D0E8D">
        <w:rPr>
          <w:i/>
        </w:rPr>
        <w:t>e</w:t>
      </w:r>
      <w:r w:rsidRPr="00EC5DE8">
        <w:t xml:space="preserve">NGAS version 1.2.1 </w:t>
      </w:r>
      <w:r w:rsidR="001311D2">
        <w:t xml:space="preserve">includes </w:t>
      </w:r>
      <w:r w:rsidR="001610D9">
        <w:t xml:space="preserve">some </w:t>
      </w:r>
      <w:r w:rsidR="001610D9" w:rsidRPr="00EC5DE8">
        <w:t>features</w:t>
      </w:r>
      <w:r w:rsidRPr="00EC5DE8">
        <w:t xml:space="preserve"> for consolidation</w:t>
      </w:r>
      <w:r w:rsidR="001311D2">
        <w:t xml:space="preserve"> but these could not be operationalized</w:t>
      </w:r>
      <w:r w:rsidRPr="00EC5DE8">
        <w:t>.</w:t>
      </w:r>
      <w:r w:rsidRPr="00EC5DE8">
        <w:rPr>
          <w:rFonts w:ascii="Calibri" w:hAnsi="Calibri"/>
          <w:sz w:val="22"/>
          <w:szCs w:val="22"/>
        </w:rPr>
        <w:t xml:space="preserve"> </w:t>
      </w:r>
      <w:r w:rsidRPr="00325783">
        <w:t>Consolidation of data at regional and then central offices, essential for submitting required financial reports for department</w:t>
      </w:r>
      <w:r w:rsidRPr="00F36772">
        <w:t xml:space="preserve">s or agencies, is done on spreadsheets. Additionally, the agencies lacking </w:t>
      </w:r>
      <w:r w:rsidRPr="000D0E8D">
        <w:rPr>
          <w:i/>
        </w:rPr>
        <w:t>e</w:t>
      </w:r>
      <w:r w:rsidRPr="00F36772">
        <w:t xml:space="preserve">NGAS are using manual record-keeping with appropriate segregation of duties and restrictions but still resort to spreadsheet for preparing financial reports. As reported by </w:t>
      </w:r>
      <w:r w:rsidR="001E2358">
        <w:t>CoA</w:t>
      </w:r>
      <w:r w:rsidRPr="00F36772">
        <w:t xml:space="preserve">, an enhanced version of </w:t>
      </w:r>
      <w:r w:rsidRPr="000D0E8D">
        <w:rPr>
          <w:i/>
        </w:rPr>
        <w:t>e</w:t>
      </w:r>
      <w:r w:rsidRPr="00F36772">
        <w:t xml:space="preserve">NGAS (v 2.0.0) was implemented starting September 2014. As of December 31, 2015, </w:t>
      </w:r>
      <w:r w:rsidR="001E2358">
        <w:t xml:space="preserve">training has been provided to 210 offices of </w:t>
      </w:r>
      <w:r w:rsidRPr="00F36772">
        <w:t xml:space="preserve">national government agencies. </w:t>
      </w:r>
    </w:p>
    <w:p w14:paraId="4F4EDCBC" w14:textId="77777777" w:rsidR="001762EE" w:rsidRPr="005A497D" w:rsidRDefault="001762EE" w:rsidP="00ED1269">
      <w:pPr>
        <w:pStyle w:val="NormalWeb"/>
        <w:autoSpaceDE w:val="0"/>
        <w:autoSpaceDN w:val="0"/>
        <w:adjustRightInd w:val="0"/>
        <w:spacing w:before="0" w:beforeAutospacing="0" w:after="0" w:afterAutospacing="0"/>
        <w:contextualSpacing/>
        <w:jc w:val="both"/>
      </w:pPr>
    </w:p>
    <w:p w14:paraId="31D21346" w14:textId="4000F944"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Audit opinions from </w:t>
      </w:r>
      <w:r>
        <w:t>the Commission on Audit</w:t>
      </w:r>
      <w:r w:rsidRPr="005A497D">
        <w:t xml:space="preserve"> are seldom unqualified as </w:t>
      </w:r>
      <w:r>
        <w:t>shown</w:t>
      </w:r>
      <w:r w:rsidRPr="005A497D">
        <w:t xml:space="preserve"> in </w:t>
      </w:r>
      <w:r>
        <w:t>T</w:t>
      </w:r>
      <w:r w:rsidRPr="005A497D">
        <w:t xml:space="preserve">ables </w:t>
      </w:r>
      <w:r>
        <w:t>3.27 and 3.28</w:t>
      </w:r>
      <w:r w:rsidRPr="005A497D">
        <w:t xml:space="preserve">. </w:t>
      </w:r>
      <w:r w:rsidRPr="00E25642">
        <w:rPr>
          <w:u w:color="000000"/>
        </w:rPr>
        <w:t>As indicated in the audit report</w:t>
      </w:r>
      <w:r w:rsidRPr="0056615F">
        <w:rPr>
          <w:u w:color="000000"/>
        </w:rPr>
        <w:t xml:space="preserve">s, </w:t>
      </w:r>
      <w:r w:rsidRPr="000E0691">
        <w:rPr>
          <w:u w:color="000000"/>
        </w:rPr>
        <w:t xml:space="preserve">reasons for modified opinions </w:t>
      </w:r>
      <w:r w:rsidRPr="00E25642">
        <w:rPr>
          <w:u w:color="000000"/>
        </w:rPr>
        <w:t>are due to misstatements/inaccuracies in the financial statements</w:t>
      </w:r>
      <w:r>
        <w:rPr>
          <w:u w:color="000000"/>
        </w:rPr>
        <w:t>.</w:t>
      </w:r>
      <w:r w:rsidRPr="005A497D">
        <w:t xml:space="preserve"> The score</w:t>
      </w:r>
      <w:r>
        <w:t xml:space="preserve"> for Dimension 27.4</w:t>
      </w:r>
      <w:r w:rsidRPr="005A497D">
        <w:t xml:space="preserve"> is assessed at “C” </w:t>
      </w:r>
      <w:r>
        <w:t xml:space="preserve">because, although </w:t>
      </w:r>
      <w:r w:rsidRPr="005A497D">
        <w:t xml:space="preserve">access to basic records is restricted, </w:t>
      </w:r>
      <w:r>
        <w:t>changes in spreadsheets used for consolidating financial reports are</w:t>
      </w:r>
      <w:r w:rsidRPr="005A497D">
        <w:t xml:space="preserve"> without an audit trail </w:t>
      </w:r>
      <w:r>
        <w:t xml:space="preserve">and </w:t>
      </w:r>
      <w:r w:rsidRPr="005A497D">
        <w:t xml:space="preserve">quality of data in financial reports </w:t>
      </w:r>
      <w:r>
        <w:t>may</w:t>
      </w:r>
      <w:r w:rsidRPr="005A497D">
        <w:t xml:space="preserve"> not </w:t>
      </w:r>
      <w:r>
        <w:t xml:space="preserve">be </w:t>
      </w:r>
      <w:r w:rsidRPr="005A497D">
        <w:t>considered reliable.</w:t>
      </w:r>
    </w:p>
    <w:p w14:paraId="2F6E5D0A" w14:textId="77777777" w:rsidR="001762EE" w:rsidRPr="00233C6E" w:rsidRDefault="001762EE" w:rsidP="00233C6E">
      <w:pPr>
        <w:pStyle w:val="NormalWeb"/>
        <w:autoSpaceDE w:val="0"/>
        <w:autoSpaceDN w:val="0"/>
        <w:adjustRightInd w:val="0"/>
        <w:spacing w:before="0" w:beforeAutospacing="0" w:after="0" w:afterAutospacing="0"/>
        <w:contextualSpacing/>
        <w:jc w:val="both"/>
      </w:pPr>
    </w:p>
    <w:p w14:paraId="633A4157" w14:textId="7F316360" w:rsidR="001762EE" w:rsidRPr="005A497D" w:rsidRDefault="001762EE" w:rsidP="001112A1">
      <w:pPr>
        <w:pStyle w:val="PEFATable"/>
        <w:spacing w:after="40"/>
        <w:jc w:val="both"/>
        <w:rPr>
          <w:sz w:val="24"/>
          <w:szCs w:val="24"/>
        </w:rPr>
      </w:pPr>
      <w:bookmarkStart w:id="261" w:name="_Toc454889263"/>
      <w:r w:rsidRPr="005A497D">
        <w:rPr>
          <w:sz w:val="24"/>
          <w:szCs w:val="24"/>
        </w:rPr>
        <w:t>Table 3.</w:t>
      </w:r>
      <w:r w:rsidR="00A85C58">
        <w:rPr>
          <w:sz w:val="24"/>
          <w:szCs w:val="24"/>
        </w:rPr>
        <w:t>21</w:t>
      </w:r>
      <w:r w:rsidRPr="005A497D">
        <w:rPr>
          <w:sz w:val="24"/>
          <w:szCs w:val="24"/>
        </w:rPr>
        <w:t>: Tally of Audit Opinions</w:t>
      </w:r>
      <w:bookmarkEnd w:id="261"/>
    </w:p>
    <w:tbl>
      <w:tblPr>
        <w:tblW w:w="9368" w:type="dxa"/>
        <w:tblInd w:w="3"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shd w:val="clear" w:color="auto" w:fill="FFFFFF"/>
        <w:tblLayout w:type="fixed"/>
        <w:tblLook w:val="0000" w:firstRow="0" w:lastRow="0" w:firstColumn="0" w:lastColumn="0" w:noHBand="0" w:noVBand="0"/>
      </w:tblPr>
      <w:tblGrid>
        <w:gridCol w:w="2901"/>
        <w:gridCol w:w="1616"/>
        <w:gridCol w:w="1617"/>
        <w:gridCol w:w="1617"/>
        <w:gridCol w:w="1617"/>
      </w:tblGrid>
      <w:tr w:rsidR="001762EE" w:rsidRPr="005A497D" w14:paraId="3B46F351" w14:textId="77777777" w:rsidTr="009E788D">
        <w:trPr>
          <w:cantSplit/>
          <w:trHeight w:val="397"/>
          <w:tblHeader/>
        </w:trPr>
        <w:tc>
          <w:tcPr>
            <w:tcW w:w="2901" w:type="dxa"/>
            <w:tcBorders>
              <w:top w:val="double" w:sz="4" w:space="0" w:color="auto"/>
              <w:bottom w:val="double" w:sz="4" w:space="0" w:color="auto"/>
            </w:tcBorders>
            <w:shd w:val="clear" w:color="auto" w:fill="D9D9D9" w:themeFill="background1" w:themeFillShade="D9"/>
            <w:tcMar>
              <w:top w:w="0" w:type="dxa"/>
              <w:left w:w="0" w:type="dxa"/>
              <w:bottom w:w="0" w:type="dxa"/>
              <w:right w:w="0" w:type="dxa"/>
            </w:tcMar>
            <w:vAlign w:val="center"/>
          </w:tcPr>
          <w:p w14:paraId="4CE9896F" w14:textId="77777777" w:rsidR="001762EE" w:rsidRPr="00E17DF6" w:rsidRDefault="001762EE" w:rsidP="00DA3417">
            <w:pPr>
              <w:pStyle w:val="FreeFormAAA"/>
              <w:jc w:val="center"/>
              <w:rPr>
                <w:rFonts w:ascii="Times New Roman" w:hAnsi="Times New Roman"/>
                <w:b/>
                <w:sz w:val="22"/>
                <w:szCs w:val="22"/>
              </w:rPr>
            </w:pPr>
            <w:r w:rsidRPr="00E17DF6">
              <w:rPr>
                <w:rFonts w:ascii="Times New Roman" w:hAnsi="Times New Roman"/>
                <w:b/>
                <w:sz w:val="22"/>
                <w:szCs w:val="22"/>
              </w:rPr>
              <w:t>Type of Audit Opinion</w:t>
            </w:r>
          </w:p>
        </w:tc>
        <w:tc>
          <w:tcPr>
            <w:tcW w:w="1616" w:type="dxa"/>
            <w:tcBorders>
              <w:top w:val="double" w:sz="4" w:space="0" w:color="auto"/>
              <w:bottom w:val="double" w:sz="4" w:space="0" w:color="auto"/>
            </w:tcBorders>
            <w:shd w:val="clear" w:color="auto" w:fill="D9D9D9" w:themeFill="background1" w:themeFillShade="D9"/>
            <w:tcMar>
              <w:top w:w="0" w:type="dxa"/>
              <w:left w:w="0" w:type="dxa"/>
              <w:bottom w:w="0" w:type="dxa"/>
              <w:right w:w="0" w:type="dxa"/>
            </w:tcMar>
            <w:vAlign w:val="center"/>
          </w:tcPr>
          <w:p w14:paraId="364A5791" w14:textId="77777777" w:rsidR="001762EE" w:rsidRPr="00E17DF6" w:rsidRDefault="001762EE" w:rsidP="00DA3417">
            <w:pPr>
              <w:pStyle w:val="FreeFormAAA"/>
              <w:jc w:val="center"/>
              <w:rPr>
                <w:rFonts w:ascii="Times New Roman" w:hAnsi="Times New Roman"/>
                <w:b/>
                <w:sz w:val="22"/>
                <w:szCs w:val="22"/>
              </w:rPr>
            </w:pPr>
            <w:r w:rsidRPr="00E17DF6">
              <w:rPr>
                <w:rFonts w:ascii="Times New Roman" w:hAnsi="Times New Roman"/>
                <w:b/>
                <w:sz w:val="22"/>
                <w:szCs w:val="22"/>
              </w:rPr>
              <w:t>2014</w:t>
            </w:r>
          </w:p>
        </w:tc>
        <w:tc>
          <w:tcPr>
            <w:tcW w:w="1617" w:type="dxa"/>
            <w:tcBorders>
              <w:top w:val="double" w:sz="4" w:space="0" w:color="auto"/>
              <w:bottom w:val="double" w:sz="4" w:space="0" w:color="auto"/>
            </w:tcBorders>
            <w:shd w:val="clear" w:color="auto" w:fill="D9D9D9" w:themeFill="background1" w:themeFillShade="D9"/>
            <w:tcMar>
              <w:top w:w="0" w:type="dxa"/>
              <w:left w:w="0" w:type="dxa"/>
              <w:bottom w:w="0" w:type="dxa"/>
              <w:right w:w="0" w:type="dxa"/>
            </w:tcMar>
            <w:vAlign w:val="center"/>
          </w:tcPr>
          <w:p w14:paraId="5D0E3343" w14:textId="77777777" w:rsidR="001762EE" w:rsidRPr="00E17DF6" w:rsidRDefault="001762EE" w:rsidP="00DA3417">
            <w:pPr>
              <w:pStyle w:val="FreeFormAAA"/>
              <w:jc w:val="center"/>
              <w:rPr>
                <w:rFonts w:ascii="Times New Roman" w:hAnsi="Times New Roman"/>
                <w:b/>
                <w:sz w:val="22"/>
                <w:szCs w:val="22"/>
              </w:rPr>
            </w:pPr>
            <w:r w:rsidRPr="00E17DF6">
              <w:rPr>
                <w:rFonts w:ascii="Times New Roman" w:hAnsi="Times New Roman"/>
                <w:b/>
                <w:sz w:val="22"/>
                <w:szCs w:val="22"/>
              </w:rPr>
              <w:t>2013</w:t>
            </w:r>
          </w:p>
        </w:tc>
        <w:tc>
          <w:tcPr>
            <w:tcW w:w="1617" w:type="dxa"/>
            <w:tcBorders>
              <w:top w:val="double" w:sz="4" w:space="0" w:color="auto"/>
              <w:bottom w:val="double" w:sz="4" w:space="0" w:color="auto"/>
            </w:tcBorders>
            <w:shd w:val="clear" w:color="auto" w:fill="D9D9D9" w:themeFill="background1" w:themeFillShade="D9"/>
            <w:tcMar>
              <w:top w:w="0" w:type="dxa"/>
              <w:left w:w="0" w:type="dxa"/>
              <w:bottom w:w="0" w:type="dxa"/>
              <w:right w:w="0" w:type="dxa"/>
            </w:tcMar>
            <w:vAlign w:val="center"/>
          </w:tcPr>
          <w:p w14:paraId="04D1662A" w14:textId="77777777" w:rsidR="001762EE" w:rsidRPr="00E17DF6" w:rsidRDefault="001762EE" w:rsidP="00DA3417">
            <w:pPr>
              <w:pStyle w:val="FreeFormAAA"/>
              <w:jc w:val="center"/>
              <w:rPr>
                <w:rFonts w:ascii="Times New Roman" w:hAnsi="Times New Roman"/>
                <w:b/>
                <w:sz w:val="22"/>
                <w:szCs w:val="22"/>
              </w:rPr>
            </w:pPr>
            <w:r w:rsidRPr="00E17DF6">
              <w:rPr>
                <w:rFonts w:ascii="Times New Roman" w:hAnsi="Times New Roman"/>
                <w:b/>
                <w:sz w:val="22"/>
                <w:szCs w:val="22"/>
              </w:rPr>
              <w:t>2012</w:t>
            </w:r>
          </w:p>
        </w:tc>
        <w:tc>
          <w:tcPr>
            <w:tcW w:w="1617" w:type="dxa"/>
            <w:tcBorders>
              <w:top w:val="double" w:sz="4" w:space="0" w:color="auto"/>
              <w:bottom w:val="double" w:sz="4" w:space="0" w:color="auto"/>
            </w:tcBorders>
            <w:shd w:val="clear" w:color="auto" w:fill="D9D9D9" w:themeFill="background1" w:themeFillShade="D9"/>
            <w:tcMar>
              <w:top w:w="0" w:type="dxa"/>
              <w:left w:w="0" w:type="dxa"/>
              <w:bottom w:w="0" w:type="dxa"/>
              <w:right w:w="0" w:type="dxa"/>
            </w:tcMar>
            <w:vAlign w:val="center"/>
          </w:tcPr>
          <w:p w14:paraId="7048FE0C" w14:textId="77777777" w:rsidR="001762EE" w:rsidRPr="00E17DF6" w:rsidRDefault="001762EE" w:rsidP="00DA3417">
            <w:pPr>
              <w:pStyle w:val="FreeFormAAA"/>
              <w:jc w:val="center"/>
              <w:rPr>
                <w:rFonts w:ascii="Times New Roman" w:hAnsi="Times New Roman"/>
                <w:b/>
                <w:sz w:val="22"/>
                <w:szCs w:val="22"/>
              </w:rPr>
            </w:pPr>
            <w:r w:rsidRPr="00E17DF6">
              <w:rPr>
                <w:rFonts w:ascii="Times New Roman" w:hAnsi="Times New Roman"/>
                <w:b/>
                <w:sz w:val="22"/>
                <w:szCs w:val="22"/>
              </w:rPr>
              <w:t>2011</w:t>
            </w:r>
          </w:p>
        </w:tc>
      </w:tr>
      <w:tr w:rsidR="001762EE" w:rsidRPr="005A497D" w14:paraId="2DA85DCA" w14:textId="77777777" w:rsidTr="009E788D">
        <w:trPr>
          <w:cantSplit/>
          <w:trHeight w:val="283"/>
        </w:trPr>
        <w:tc>
          <w:tcPr>
            <w:tcW w:w="2901" w:type="dxa"/>
            <w:tcBorders>
              <w:top w:val="double" w:sz="4" w:space="0" w:color="auto"/>
            </w:tcBorders>
            <w:shd w:val="clear" w:color="auto" w:fill="FFFFFF"/>
            <w:tcMar>
              <w:top w:w="0" w:type="dxa"/>
              <w:left w:w="0" w:type="dxa"/>
              <w:bottom w:w="0" w:type="dxa"/>
              <w:right w:w="0" w:type="dxa"/>
            </w:tcMar>
            <w:vAlign w:val="center"/>
          </w:tcPr>
          <w:p w14:paraId="2BF14611" w14:textId="77777777" w:rsidR="001762EE" w:rsidRPr="0025475E" w:rsidRDefault="001762EE" w:rsidP="00350319">
            <w:pPr>
              <w:pStyle w:val="FreeFormAAA"/>
              <w:rPr>
                <w:rFonts w:ascii="Times New Roman" w:hAnsi="Times New Roman"/>
                <w:sz w:val="20"/>
              </w:rPr>
            </w:pPr>
            <w:r w:rsidRPr="0025475E">
              <w:rPr>
                <w:rFonts w:ascii="Times New Roman" w:hAnsi="Times New Roman"/>
                <w:sz w:val="20"/>
              </w:rPr>
              <w:t>Unqualified</w:t>
            </w:r>
          </w:p>
        </w:tc>
        <w:tc>
          <w:tcPr>
            <w:tcW w:w="1616" w:type="dxa"/>
            <w:tcBorders>
              <w:top w:val="double" w:sz="4" w:space="0" w:color="auto"/>
            </w:tcBorders>
            <w:shd w:val="clear" w:color="auto" w:fill="FFFFFF"/>
            <w:tcMar>
              <w:top w:w="0" w:type="dxa"/>
              <w:left w:w="0" w:type="dxa"/>
              <w:bottom w:w="0" w:type="dxa"/>
              <w:right w:w="0" w:type="dxa"/>
            </w:tcMar>
            <w:vAlign w:val="center"/>
          </w:tcPr>
          <w:p w14:paraId="6219B345" w14:textId="5733F5BD"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2</w:t>
            </w:r>
          </w:p>
        </w:tc>
        <w:tc>
          <w:tcPr>
            <w:tcW w:w="1617" w:type="dxa"/>
            <w:tcBorders>
              <w:top w:val="double" w:sz="4" w:space="0" w:color="auto"/>
            </w:tcBorders>
            <w:shd w:val="clear" w:color="auto" w:fill="FFFFFF"/>
            <w:tcMar>
              <w:top w:w="0" w:type="dxa"/>
              <w:left w:w="0" w:type="dxa"/>
              <w:bottom w:w="0" w:type="dxa"/>
              <w:right w:w="0" w:type="dxa"/>
            </w:tcMar>
            <w:vAlign w:val="center"/>
          </w:tcPr>
          <w:p w14:paraId="0EFF47A5"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3</w:t>
            </w:r>
          </w:p>
        </w:tc>
        <w:tc>
          <w:tcPr>
            <w:tcW w:w="1617" w:type="dxa"/>
            <w:tcBorders>
              <w:top w:val="double" w:sz="4" w:space="0" w:color="auto"/>
            </w:tcBorders>
            <w:shd w:val="clear" w:color="auto" w:fill="FFFFFF"/>
            <w:tcMar>
              <w:top w:w="0" w:type="dxa"/>
              <w:left w:w="0" w:type="dxa"/>
              <w:bottom w:w="0" w:type="dxa"/>
              <w:right w:w="0" w:type="dxa"/>
            </w:tcMar>
            <w:vAlign w:val="center"/>
          </w:tcPr>
          <w:p w14:paraId="726C35CB"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2</w:t>
            </w:r>
          </w:p>
        </w:tc>
        <w:tc>
          <w:tcPr>
            <w:tcW w:w="1617" w:type="dxa"/>
            <w:tcBorders>
              <w:top w:val="double" w:sz="4" w:space="0" w:color="auto"/>
            </w:tcBorders>
            <w:shd w:val="clear" w:color="auto" w:fill="FFFFFF"/>
            <w:tcMar>
              <w:top w:w="0" w:type="dxa"/>
              <w:left w:w="0" w:type="dxa"/>
              <w:bottom w:w="0" w:type="dxa"/>
              <w:right w:w="0" w:type="dxa"/>
            </w:tcMar>
            <w:vAlign w:val="center"/>
          </w:tcPr>
          <w:p w14:paraId="3C589712"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2</w:t>
            </w:r>
          </w:p>
        </w:tc>
      </w:tr>
      <w:tr w:rsidR="001762EE" w:rsidRPr="005A497D" w14:paraId="6C48DCF2" w14:textId="77777777" w:rsidTr="009E788D">
        <w:trPr>
          <w:cantSplit/>
          <w:trHeight w:val="283"/>
        </w:trPr>
        <w:tc>
          <w:tcPr>
            <w:tcW w:w="2901" w:type="dxa"/>
            <w:shd w:val="clear" w:color="auto" w:fill="FFFFFF"/>
            <w:tcMar>
              <w:top w:w="0" w:type="dxa"/>
              <w:left w:w="0" w:type="dxa"/>
              <w:bottom w:w="0" w:type="dxa"/>
              <w:right w:w="0" w:type="dxa"/>
            </w:tcMar>
            <w:vAlign w:val="center"/>
          </w:tcPr>
          <w:p w14:paraId="2F22D677" w14:textId="77777777" w:rsidR="001762EE" w:rsidRPr="0025475E" w:rsidRDefault="001762EE" w:rsidP="00350319">
            <w:pPr>
              <w:pStyle w:val="FreeFormAAA"/>
              <w:rPr>
                <w:rFonts w:ascii="Times New Roman" w:hAnsi="Times New Roman"/>
                <w:sz w:val="20"/>
              </w:rPr>
            </w:pPr>
            <w:r w:rsidRPr="0025475E">
              <w:rPr>
                <w:rFonts w:ascii="Times New Roman" w:hAnsi="Times New Roman"/>
                <w:sz w:val="20"/>
              </w:rPr>
              <w:t>Qualified</w:t>
            </w:r>
          </w:p>
        </w:tc>
        <w:tc>
          <w:tcPr>
            <w:tcW w:w="1616" w:type="dxa"/>
            <w:shd w:val="clear" w:color="auto" w:fill="FFFFFF"/>
            <w:tcMar>
              <w:top w:w="0" w:type="dxa"/>
              <w:left w:w="0" w:type="dxa"/>
              <w:bottom w:w="0" w:type="dxa"/>
              <w:right w:w="0" w:type="dxa"/>
            </w:tcMar>
            <w:vAlign w:val="center"/>
          </w:tcPr>
          <w:p w14:paraId="668A6307" w14:textId="37FB0EA0"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19</w:t>
            </w:r>
          </w:p>
        </w:tc>
        <w:tc>
          <w:tcPr>
            <w:tcW w:w="1617" w:type="dxa"/>
            <w:shd w:val="clear" w:color="auto" w:fill="FFFFFF"/>
            <w:tcMar>
              <w:top w:w="0" w:type="dxa"/>
              <w:left w:w="0" w:type="dxa"/>
              <w:bottom w:w="0" w:type="dxa"/>
              <w:right w:w="0" w:type="dxa"/>
            </w:tcMar>
            <w:vAlign w:val="center"/>
          </w:tcPr>
          <w:p w14:paraId="6605EE8A"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17</w:t>
            </w:r>
          </w:p>
        </w:tc>
        <w:tc>
          <w:tcPr>
            <w:tcW w:w="1617" w:type="dxa"/>
            <w:shd w:val="clear" w:color="auto" w:fill="FFFFFF"/>
            <w:tcMar>
              <w:top w:w="0" w:type="dxa"/>
              <w:left w:w="0" w:type="dxa"/>
              <w:bottom w:w="0" w:type="dxa"/>
              <w:right w:w="0" w:type="dxa"/>
            </w:tcMar>
            <w:vAlign w:val="center"/>
          </w:tcPr>
          <w:p w14:paraId="0C9D0CA9"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15</w:t>
            </w:r>
          </w:p>
        </w:tc>
        <w:tc>
          <w:tcPr>
            <w:tcW w:w="1617" w:type="dxa"/>
            <w:shd w:val="clear" w:color="auto" w:fill="FFFFFF"/>
            <w:tcMar>
              <w:top w:w="0" w:type="dxa"/>
              <w:left w:w="0" w:type="dxa"/>
              <w:bottom w:w="0" w:type="dxa"/>
              <w:right w:w="0" w:type="dxa"/>
            </w:tcMar>
            <w:vAlign w:val="center"/>
          </w:tcPr>
          <w:p w14:paraId="7FFB71C7"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18</w:t>
            </w:r>
          </w:p>
        </w:tc>
      </w:tr>
      <w:tr w:rsidR="001762EE" w:rsidRPr="005A497D" w14:paraId="3BC8A0AC" w14:textId="77777777" w:rsidTr="009E788D">
        <w:trPr>
          <w:cantSplit/>
          <w:trHeight w:val="283"/>
        </w:trPr>
        <w:tc>
          <w:tcPr>
            <w:tcW w:w="2901" w:type="dxa"/>
            <w:shd w:val="clear" w:color="auto" w:fill="FFFFFF"/>
            <w:tcMar>
              <w:top w:w="0" w:type="dxa"/>
              <w:left w:w="0" w:type="dxa"/>
              <w:bottom w:w="0" w:type="dxa"/>
              <w:right w:w="0" w:type="dxa"/>
            </w:tcMar>
            <w:vAlign w:val="center"/>
          </w:tcPr>
          <w:p w14:paraId="42512148" w14:textId="77777777" w:rsidR="001762EE" w:rsidRPr="0025475E" w:rsidRDefault="001762EE" w:rsidP="00350319">
            <w:pPr>
              <w:pStyle w:val="FreeFormAAA"/>
              <w:rPr>
                <w:rFonts w:ascii="Times New Roman" w:hAnsi="Times New Roman"/>
                <w:sz w:val="20"/>
              </w:rPr>
            </w:pPr>
            <w:r w:rsidRPr="0025475E">
              <w:rPr>
                <w:rFonts w:ascii="Times New Roman" w:hAnsi="Times New Roman"/>
                <w:sz w:val="20"/>
              </w:rPr>
              <w:t>Adverse</w:t>
            </w:r>
          </w:p>
        </w:tc>
        <w:tc>
          <w:tcPr>
            <w:tcW w:w="1616" w:type="dxa"/>
            <w:shd w:val="clear" w:color="auto" w:fill="FFFFFF"/>
            <w:tcMar>
              <w:top w:w="0" w:type="dxa"/>
              <w:left w:w="0" w:type="dxa"/>
              <w:bottom w:w="0" w:type="dxa"/>
              <w:right w:w="0" w:type="dxa"/>
            </w:tcMar>
            <w:vAlign w:val="center"/>
          </w:tcPr>
          <w:p w14:paraId="3D769A41" w14:textId="2C5311AF"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4</w:t>
            </w:r>
          </w:p>
        </w:tc>
        <w:tc>
          <w:tcPr>
            <w:tcW w:w="1617" w:type="dxa"/>
            <w:shd w:val="clear" w:color="auto" w:fill="FFFFFF"/>
            <w:tcMar>
              <w:top w:w="0" w:type="dxa"/>
              <w:left w:w="0" w:type="dxa"/>
              <w:bottom w:w="0" w:type="dxa"/>
              <w:right w:w="0" w:type="dxa"/>
            </w:tcMar>
            <w:vAlign w:val="center"/>
          </w:tcPr>
          <w:p w14:paraId="0A0873F4"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8</w:t>
            </w:r>
          </w:p>
        </w:tc>
        <w:tc>
          <w:tcPr>
            <w:tcW w:w="1617" w:type="dxa"/>
            <w:shd w:val="clear" w:color="auto" w:fill="FFFFFF"/>
            <w:tcMar>
              <w:top w:w="0" w:type="dxa"/>
              <w:left w:w="0" w:type="dxa"/>
              <w:bottom w:w="0" w:type="dxa"/>
              <w:right w:w="0" w:type="dxa"/>
            </w:tcMar>
            <w:vAlign w:val="center"/>
          </w:tcPr>
          <w:p w14:paraId="0154FDEF"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12</w:t>
            </w:r>
          </w:p>
        </w:tc>
        <w:tc>
          <w:tcPr>
            <w:tcW w:w="1617" w:type="dxa"/>
            <w:shd w:val="clear" w:color="auto" w:fill="FFFFFF"/>
            <w:tcMar>
              <w:top w:w="0" w:type="dxa"/>
              <w:left w:w="0" w:type="dxa"/>
              <w:bottom w:w="0" w:type="dxa"/>
              <w:right w:w="0" w:type="dxa"/>
            </w:tcMar>
            <w:vAlign w:val="center"/>
          </w:tcPr>
          <w:p w14:paraId="349E6655"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7</w:t>
            </w:r>
          </w:p>
        </w:tc>
      </w:tr>
      <w:tr w:rsidR="001762EE" w:rsidRPr="005A497D" w14:paraId="2B78C867" w14:textId="77777777" w:rsidTr="009E788D">
        <w:trPr>
          <w:cantSplit/>
          <w:trHeight w:val="283"/>
        </w:trPr>
        <w:tc>
          <w:tcPr>
            <w:tcW w:w="2901" w:type="dxa"/>
            <w:shd w:val="clear" w:color="auto" w:fill="FFFFFF"/>
            <w:tcMar>
              <w:top w:w="0" w:type="dxa"/>
              <w:left w:w="0" w:type="dxa"/>
              <w:bottom w:w="0" w:type="dxa"/>
              <w:right w:w="0" w:type="dxa"/>
            </w:tcMar>
            <w:vAlign w:val="center"/>
          </w:tcPr>
          <w:p w14:paraId="1AC8CB01" w14:textId="77777777" w:rsidR="001762EE" w:rsidRPr="0025475E" w:rsidRDefault="001762EE" w:rsidP="00350319">
            <w:pPr>
              <w:pStyle w:val="FreeFormAAA"/>
              <w:rPr>
                <w:rFonts w:ascii="Times New Roman" w:hAnsi="Times New Roman"/>
                <w:sz w:val="20"/>
              </w:rPr>
            </w:pPr>
            <w:r w:rsidRPr="0025475E">
              <w:rPr>
                <w:rFonts w:ascii="Times New Roman" w:hAnsi="Times New Roman"/>
                <w:sz w:val="20"/>
              </w:rPr>
              <w:t>Disclaimer</w:t>
            </w:r>
          </w:p>
        </w:tc>
        <w:tc>
          <w:tcPr>
            <w:tcW w:w="1616" w:type="dxa"/>
            <w:shd w:val="clear" w:color="auto" w:fill="FFFFFF"/>
            <w:tcMar>
              <w:top w:w="0" w:type="dxa"/>
              <w:left w:w="0" w:type="dxa"/>
              <w:bottom w:w="0" w:type="dxa"/>
              <w:right w:w="0" w:type="dxa"/>
            </w:tcMar>
            <w:vAlign w:val="center"/>
          </w:tcPr>
          <w:p w14:paraId="24209F5C" w14:textId="0B7FBD29"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w:t>
            </w:r>
          </w:p>
        </w:tc>
        <w:tc>
          <w:tcPr>
            <w:tcW w:w="1617" w:type="dxa"/>
            <w:shd w:val="clear" w:color="auto" w:fill="FFFFFF"/>
            <w:tcMar>
              <w:top w:w="0" w:type="dxa"/>
              <w:left w:w="0" w:type="dxa"/>
              <w:bottom w:w="0" w:type="dxa"/>
              <w:right w:w="0" w:type="dxa"/>
            </w:tcMar>
            <w:vAlign w:val="center"/>
          </w:tcPr>
          <w:p w14:paraId="128E5687"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1</w:t>
            </w:r>
          </w:p>
        </w:tc>
        <w:tc>
          <w:tcPr>
            <w:tcW w:w="1617" w:type="dxa"/>
            <w:shd w:val="clear" w:color="auto" w:fill="FFFFFF"/>
            <w:tcMar>
              <w:top w:w="0" w:type="dxa"/>
              <w:left w:w="0" w:type="dxa"/>
              <w:bottom w:w="0" w:type="dxa"/>
              <w:right w:w="0" w:type="dxa"/>
            </w:tcMar>
            <w:vAlign w:val="center"/>
          </w:tcPr>
          <w:p w14:paraId="799A452B" w14:textId="1BD60831"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w:t>
            </w:r>
          </w:p>
        </w:tc>
        <w:tc>
          <w:tcPr>
            <w:tcW w:w="1617" w:type="dxa"/>
            <w:shd w:val="clear" w:color="auto" w:fill="FFFFFF"/>
            <w:tcMar>
              <w:top w:w="0" w:type="dxa"/>
              <w:left w:w="0" w:type="dxa"/>
              <w:bottom w:w="0" w:type="dxa"/>
              <w:right w:w="0" w:type="dxa"/>
            </w:tcMar>
            <w:vAlign w:val="center"/>
          </w:tcPr>
          <w:p w14:paraId="2E5C7171" w14:textId="77777777"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2</w:t>
            </w:r>
          </w:p>
        </w:tc>
      </w:tr>
      <w:tr w:rsidR="001762EE" w:rsidRPr="005A497D" w14:paraId="5D460FB5" w14:textId="77777777" w:rsidTr="009E788D">
        <w:trPr>
          <w:cantSplit/>
          <w:trHeight w:val="283"/>
        </w:trPr>
        <w:tc>
          <w:tcPr>
            <w:tcW w:w="2901" w:type="dxa"/>
            <w:shd w:val="clear" w:color="auto" w:fill="FFFFFF"/>
            <w:tcMar>
              <w:top w:w="0" w:type="dxa"/>
              <w:left w:w="0" w:type="dxa"/>
              <w:bottom w:w="0" w:type="dxa"/>
              <w:right w:w="0" w:type="dxa"/>
            </w:tcMar>
            <w:vAlign w:val="center"/>
          </w:tcPr>
          <w:p w14:paraId="53ACF4C7" w14:textId="59E61F2A" w:rsidR="001762EE" w:rsidRPr="0025475E" w:rsidRDefault="001762EE" w:rsidP="00350319">
            <w:pPr>
              <w:pStyle w:val="FreeFormAAA"/>
              <w:rPr>
                <w:rFonts w:ascii="Times New Roman" w:hAnsi="Times New Roman"/>
                <w:sz w:val="20"/>
              </w:rPr>
            </w:pPr>
            <w:r w:rsidRPr="0025475E">
              <w:rPr>
                <w:rFonts w:ascii="Times New Roman" w:hAnsi="Times New Roman"/>
                <w:sz w:val="20"/>
              </w:rPr>
              <w:t xml:space="preserve">No </w:t>
            </w:r>
            <w:r w:rsidR="001E2358">
              <w:rPr>
                <w:rFonts w:ascii="Times New Roman" w:hAnsi="Times New Roman"/>
                <w:sz w:val="20"/>
              </w:rPr>
              <w:t xml:space="preserve">annual </w:t>
            </w:r>
            <w:r w:rsidRPr="0025475E">
              <w:rPr>
                <w:rFonts w:ascii="Times New Roman" w:hAnsi="Times New Roman"/>
                <w:sz w:val="20"/>
              </w:rPr>
              <w:t>audit report, only ML</w:t>
            </w:r>
          </w:p>
        </w:tc>
        <w:tc>
          <w:tcPr>
            <w:tcW w:w="1616" w:type="dxa"/>
            <w:shd w:val="clear" w:color="auto" w:fill="FFFFFF"/>
            <w:tcMar>
              <w:top w:w="0" w:type="dxa"/>
              <w:left w:w="0" w:type="dxa"/>
              <w:bottom w:w="0" w:type="dxa"/>
              <w:right w:w="0" w:type="dxa"/>
            </w:tcMar>
            <w:vAlign w:val="center"/>
          </w:tcPr>
          <w:p w14:paraId="2D375C92" w14:textId="49AA43EE"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4</w:t>
            </w:r>
          </w:p>
        </w:tc>
        <w:tc>
          <w:tcPr>
            <w:tcW w:w="1617" w:type="dxa"/>
            <w:shd w:val="clear" w:color="auto" w:fill="FFFFFF"/>
            <w:tcMar>
              <w:top w:w="0" w:type="dxa"/>
              <w:left w:w="0" w:type="dxa"/>
              <w:bottom w:w="0" w:type="dxa"/>
              <w:right w:w="0" w:type="dxa"/>
            </w:tcMar>
            <w:vAlign w:val="center"/>
          </w:tcPr>
          <w:p w14:paraId="3FE7248E" w14:textId="13F2210B"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w:t>
            </w:r>
          </w:p>
        </w:tc>
        <w:tc>
          <w:tcPr>
            <w:tcW w:w="1617" w:type="dxa"/>
            <w:shd w:val="clear" w:color="auto" w:fill="FFFFFF"/>
            <w:tcMar>
              <w:top w:w="0" w:type="dxa"/>
              <w:left w:w="0" w:type="dxa"/>
              <w:bottom w:w="0" w:type="dxa"/>
              <w:right w:w="0" w:type="dxa"/>
            </w:tcMar>
            <w:vAlign w:val="center"/>
          </w:tcPr>
          <w:p w14:paraId="21723B6C" w14:textId="42CD52C4"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w:t>
            </w:r>
          </w:p>
        </w:tc>
        <w:tc>
          <w:tcPr>
            <w:tcW w:w="1617" w:type="dxa"/>
            <w:shd w:val="clear" w:color="auto" w:fill="FFFFFF"/>
            <w:tcMar>
              <w:top w:w="0" w:type="dxa"/>
              <w:left w:w="0" w:type="dxa"/>
              <w:bottom w:w="0" w:type="dxa"/>
              <w:right w:w="0" w:type="dxa"/>
            </w:tcMar>
            <w:vAlign w:val="center"/>
          </w:tcPr>
          <w:p w14:paraId="365E5DED" w14:textId="7438D310" w:rsidR="001762EE" w:rsidRPr="0025475E" w:rsidRDefault="001762EE" w:rsidP="00350319">
            <w:pPr>
              <w:pStyle w:val="FreeFormAAA"/>
              <w:jc w:val="center"/>
              <w:rPr>
                <w:rFonts w:ascii="Times New Roman" w:hAnsi="Times New Roman"/>
                <w:sz w:val="20"/>
              </w:rPr>
            </w:pPr>
            <w:r w:rsidRPr="0025475E">
              <w:rPr>
                <w:rFonts w:ascii="Times New Roman" w:hAnsi="Times New Roman"/>
                <w:sz w:val="20"/>
              </w:rPr>
              <w:t>-</w:t>
            </w:r>
          </w:p>
        </w:tc>
      </w:tr>
      <w:tr w:rsidR="001762EE" w:rsidRPr="005A497D" w14:paraId="36DF25CD" w14:textId="77777777" w:rsidTr="009E788D">
        <w:trPr>
          <w:cantSplit/>
          <w:trHeight w:val="283"/>
        </w:trPr>
        <w:tc>
          <w:tcPr>
            <w:tcW w:w="2901" w:type="dxa"/>
            <w:shd w:val="clear" w:color="auto" w:fill="FFFFFF"/>
            <w:tcMar>
              <w:top w:w="0" w:type="dxa"/>
              <w:left w:w="0" w:type="dxa"/>
              <w:bottom w:w="0" w:type="dxa"/>
              <w:right w:w="0" w:type="dxa"/>
            </w:tcMar>
            <w:vAlign w:val="center"/>
          </w:tcPr>
          <w:p w14:paraId="63D57EF3" w14:textId="77777777" w:rsidR="001762EE" w:rsidRPr="0025475E" w:rsidRDefault="001762EE" w:rsidP="00350319">
            <w:pPr>
              <w:pStyle w:val="FreeFormAAA"/>
              <w:rPr>
                <w:rFonts w:ascii="Times New Roman" w:hAnsi="Times New Roman"/>
                <w:b/>
                <w:sz w:val="20"/>
              </w:rPr>
            </w:pPr>
            <w:r w:rsidRPr="0025475E">
              <w:rPr>
                <w:rFonts w:ascii="Times New Roman" w:hAnsi="Times New Roman"/>
                <w:b/>
                <w:sz w:val="20"/>
              </w:rPr>
              <w:t>TOTAL</w:t>
            </w:r>
          </w:p>
        </w:tc>
        <w:tc>
          <w:tcPr>
            <w:tcW w:w="1616" w:type="dxa"/>
            <w:shd w:val="clear" w:color="auto" w:fill="FFFFFF"/>
            <w:tcMar>
              <w:top w:w="0" w:type="dxa"/>
              <w:left w:w="0" w:type="dxa"/>
              <w:bottom w:w="0" w:type="dxa"/>
              <w:right w:w="0" w:type="dxa"/>
            </w:tcMar>
            <w:vAlign w:val="center"/>
          </w:tcPr>
          <w:p w14:paraId="10741535" w14:textId="384A7591" w:rsidR="001762EE" w:rsidRPr="0025475E" w:rsidRDefault="001762EE" w:rsidP="00350319">
            <w:pPr>
              <w:pStyle w:val="FreeFormAAA"/>
              <w:jc w:val="center"/>
              <w:rPr>
                <w:rFonts w:ascii="Times New Roman" w:hAnsi="Times New Roman"/>
                <w:b/>
                <w:sz w:val="20"/>
              </w:rPr>
            </w:pPr>
            <w:r w:rsidRPr="0025475E">
              <w:rPr>
                <w:rFonts w:ascii="Times New Roman" w:hAnsi="Times New Roman"/>
                <w:b/>
                <w:sz w:val="20"/>
              </w:rPr>
              <w:t>29</w:t>
            </w:r>
          </w:p>
        </w:tc>
        <w:tc>
          <w:tcPr>
            <w:tcW w:w="1617" w:type="dxa"/>
            <w:shd w:val="clear" w:color="auto" w:fill="FFFFFF"/>
            <w:tcMar>
              <w:top w:w="0" w:type="dxa"/>
              <w:left w:w="0" w:type="dxa"/>
              <w:bottom w:w="0" w:type="dxa"/>
              <w:right w:w="0" w:type="dxa"/>
            </w:tcMar>
            <w:vAlign w:val="center"/>
          </w:tcPr>
          <w:p w14:paraId="505E5F6E" w14:textId="77777777" w:rsidR="001762EE" w:rsidRPr="0025475E" w:rsidRDefault="001762EE" w:rsidP="00350319">
            <w:pPr>
              <w:pStyle w:val="FreeFormAAA"/>
              <w:jc w:val="center"/>
              <w:rPr>
                <w:rFonts w:ascii="Times New Roman" w:hAnsi="Times New Roman"/>
                <w:b/>
                <w:sz w:val="20"/>
              </w:rPr>
            </w:pPr>
            <w:r w:rsidRPr="0025475E">
              <w:rPr>
                <w:rFonts w:ascii="Times New Roman" w:hAnsi="Times New Roman"/>
                <w:b/>
                <w:sz w:val="20"/>
              </w:rPr>
              <w:t>29</w:t>
            </w:r>
          </w:p>
        </w:tc>
        <w:tc>
          <w:tcPr>
            <w:tcW w:w="1617" w:type="dxa"/>
            <w:shd w:val="clear" w:color="auto" w:fill="FFFFFF"/>
            <w:tcMar>
              <w:top w:w="0" w:type="dxa"/>
              <w:left w:w="0" w:type="dxa"/>
              <w:bottom w:w="0" w:type="dxa"/>
              <w:right w:w="0" w:type="dxa"/>
            </w:tcMar>
            <w:vAlign w:val="center"/>
          </w:tcPr>
          <w:p w14:paraId="4F7FDC3F" w14:textId="77777777" w:rsidR="001762EE" w:rsidRPr="0025475E" w:rsidRDefault="001762EE" w:rsidP="00350319">
            <w:pPr>
              <w:pStyle w:val="FreeFormAAA"/>
              <w:jc w:val="center"/>
              <w:rPr>
                <w:rFonts w:ascii="Times New Roman" w:hAnsi="Times New Roman"/>
                <w:b/>
                <w:sz w:val="20"/>
              </w:rPr>
            </w:pPr>
            <w:r w:rsidRPr="0025475E">
              <w:rPr>
                <w:rFonts w:ascii="Times New Roman" w:hAnsi="Times New Roman"/>
                <w:b/>
                <w:sz w:val="20"/>
              </w:rPr>
              <w:t>29</w:t>
            </w:r>
          </w:p>
        </w:tc>
        <w:tc>
          <w:tcPr>
            <w:tcW w:w="1617" w:type="dxa"/>
            <w:shd w:val="clear" w:color="auto" w:fill="FFFFFF"/>
            <w:tcMar>
              <w:top w:w="0" w:type="dxa"/>
              <w:left w:w="0" w:type="dxa"/>
              <w:bottom w:w="0" w:type="dxa"/>
              <w:right w:w="0" w:type="dxa"/>
            </w:tcMar>
            <w:vAlign w:val="center"/>
          </w:tcPr>
          <w:p w14:paraId="77313C31" w14:textId="77777777" w:rsidR="001762EE" w:rsidRPr="0025475E" w:rsidRDefault="001762EE" w:rsidP="00350319">
            <w:pPr>
              <w:pStyle w:val="FreeFormAAA"/>
              <w:jc w:val="center"/>
              <w:rPr>
                <w:rFonts w:ascii="Times New Roman" w:hAnsi="Times New Roman"/>
                <w:b/>
                <w:sz w:val="20"/>
              </w:rPr>
            </w:pPr>
            <w:r w:rsidRPr="0025475E">
              <w:rPr>
                <w:rFonts w:ascii="Times New Roman" w:hAnsi="Times New Roman"/>
                <w:b/>
                <w:sz w:val="20"/>
              </w:rPr>
              <w:t>29</w:t>
            </w:r>
          </w:p>
        </w:tc>
      </w:tr>
    </w:tbl>
    <w:p w14:paraId="29BA0902" w14:textId="45D8A0CC" w:rsidR="001762EE" w:rsidRPr="00E17DF6" w:rsidRDefault="001762EE" w:rsidP="00ED1269">
      <w:pPr>
        <w:pStyle w:val="FreeForm"/>
        <w:rPr>
          <w:i/>
          <w:color w:val="auto"/>
          <w:sz w:val="18"/>
          <w:lang w:val="en-US"/>
        </w:rPr>
      </w:pPr>
      <w:r w:rsidRPr="00E17DF6">
        <w:rPr>
          <w:i/>
          <w:color w:val="auto"/>
          <w:sz w:val="18"/>
          <w:lang w:val="en-US"/>
        </w:rPr>
        <w:t>Source: CoA</w:t>
      </w:r>
    </w:p>
    <w:p w14:paraId="52BA0D90" w14:textId="143A047E" w:rsidR="001762EE" w:rsidRPr="00E17DF6" w:rsidRDefault="001762EE" w:rsidP="00ED1269">
      <w:pPr>
        <w:pStyle w:val="FreeForm"/>
        <w:rPr>
          <w:i/>
          <w:color w:val="auto"/>
          <w:sz w:val="18"/>
          <w:lang w:val="en-US"/>
        </w:rPr>
      </w:pPr>
      <w:r w:rsidRPr="00E17DF6">
        <w:rPr>
          <w:i/>
          <w:color w:val="auto"/>
          <w:sz w:val="18"/>
          <w:lang w:val="en-US"/>
        </w:rPr>
        <w:t>Note: Data as of February 24, 2016</w:t>
      </w:r>
    </w:p>
    <w:p w14:paraId="46A71E16" w14:textId="77777777" w:rsidR="001762EE" w:rsidRPr="001756A5" w:rsidRDefault="001762EE" w:rsidP="00ED1269">
      <w:pPr>
        <w:pStyle w:val="FreeForm"/>
        <w:rPr>
          <w:color w:val="06007D"/>
          <w:lang w:val="en-US"/>
        </w:rPr>
      </w:pPr>
    </w:p>
    <w:p w14:paraId="60F85BE7" w14:textId="49552379" w:rsidR="001762EE" w:rsidRPr="005A497D" w:rsidRDefault="001762EE" w:rsidP="001112A1">
      <w:pPr>
        <w:pStyle w:val="PEFATable"/>
        <w:spacing w:after="40"/>
        <w:jc w:val="both"/>
        <w:rPr>
          <w:sz w:val="24"/>
          <w:szCs w:val="24"/>
        </w:rPr>
      </w:pPr>
      <w:bookmarkStart w:id="262" w:name="_Toc454889264"/>
      <w:r w:rsidRPr="005A497D">
        <w:rPr>
          <w:sz w:val="24"/>
          <w:szCs w:val="24"/>
        </w:rPr>
        <w:t>Table 3.</w:t>
      </w:r>
      <w:r w:rsidR="00A85C58">
        <w:rPr>
          <w:sz w:val="24"/>
          <w:szCs w:val="24"/>
        </w:rPr>
        <w:t>22</w:t>
      </w:r>
      <w:r w:rsidRPr="005A497D">
        <w:rPr>
          <w:sz w:val="24"/>
          <w:szCs w:val="24"/>
        </w:rPr>
        <w:t xml:space="preserve">: </w:t>
      </w:r>
      <w:r>
        <w:rPr>
          <w:sz w:val="24"/>
          <w:szCs w:val="24"/>
        </w:rPr>
        <w:t>CoA</w:t>
      </w:r>
      <w:r w:rsidRPr="005A497D">
        <w:rPr>
          <w:sz w:val="24"/>
          <w:szCs w:val="24"/>
        </w:rPr>
        <w:t xml:space="preserve"> Audit Opinions rendered to Selected Departments and Agencies</w:t>
      </w:r>
      <w:bookmarkEnd w:id="262"/>
      <w:r w:rsidRPr="005A497D">
        <w:rPr>
          <w:sz w:val="24"/>
          <w:szCs w:val="24"/>
        </w:rPr>
        <w:t xml:space="preserve"> </w:t>
      </w:r>
    </w:p>
    <w:tbl>
      <w:tblPr>
        <w:tblW w:w="9446" w:type="dxa"/>
        <w:tblInd w:w="18"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shd w:val="clear" w:color="auto" w:fill="FFFFFF"/>
        <w:tblLayout w:type="fixed"/>
        <w:tblLook w:val="0000" w:firstRow="0" w:lastRow="0" w:firstColumn="0" w:lastColumn="0" w:noHBand="0" w:noVBand="0"/>
      </w:tblPr>
      <w:tblGrid>
        <w:gridCol w:w="450"/>
        <w:gridCol w:w="1767"/>
        <w:gridCol w:w="708"/>
        <w:gridCol w:w="1272"/>
        <w:gridCol w:w="630"/>
        <w:gridCol w:w="1170"/>
        <w:gridCol w:w="630"/>
        <w:gridCol w:w="1118"/>
        <w:gridCol w:w="592"/>
        <w:gridCol w:w="1109"/>
      </w:tblGrid>
      <w:tr w:rsidR="001762EE" w:rsidRPr="00E90249" w14:paraId="77A31BEB" w14:textId="77777777" w:rsidTr="003B302C">
        <w:trPr>
          <w:cantSplit/>
          <w:trHeight w:val="373"/>
          <w:tblHeader/>
        </w:trPr>
        <w:tc>
          <w:tcPr>
            <w:tcW w:w="450" w:type="dxa"/>
            <w:tcBorders>
              <w:top w:val="double" w:sz="4" w:space="0" w:color="auto"/>
              <w:bottom w:val="double" w:sz="4" w:space="0" w:color="auto"/>
            </w:tcBorders>
            <w:shd w:val="clear" w:color="auto" w:fill="D9D9D9" w:themeFill="background1" w:themeFillShade="D9"/>
            <w:vAlign w:val="center"/>
          </w:tcPr>
          <w:p w14:paraId="32EAA661" w14:textId="77777777" w:rsidR="001762EE" w:rsidRPr="0025475E" w:rsidRDefault="001762EE" w:rsidP="00EB28AC">
            <w:pPr>
              <w:pStyle w:val="FreeFormAAAA"/>
              <w:jc w:val="center"/>
              <w:rPr>
                <w:b/>
                <w:sz w:val="18"/>
                <w:szCs w:val="18"/>
                <w:lang w:val="en-US"/>
              </w:rPr>
            </w:pPr>
          </w:p>
        </w:tc>
        <w:tc>
          <w:tcPr>
            <w:tcW w:w="1767" w:type="dxa"/>
            <w:tcBorders>
              <w:top w:val="double" w:sz="4" w:space="0" w:color="auto"/>
              <w:bottom w:val="double" w:sz="4" w:space="0" w:color="auto"/>
            </w:tcBorders>
            <w:shd w:val="clear" w:color="auto" w:fill="D9D9D9" w:themeFill="background1" w:themeFillShade="D9"/>
            <w:vAlign w:val="center"/>
          </w:tcPr>
          <w:p w14:paraId="6EFD9B92" w14:textId="77777777" w:rsidR="001762EE" w:rsidRPr="00E17DF6" w:rsidRDefault="001762EE" w:rsidP="00DA3417">
            <w:pPr>
              <w:pStyle w:val="FreeFormAAAA"/>
              <w:jc w:val="center"/>
              <w:rPr>
                <w:b/>
                <w:sz w:val="18"/>
                <w:szCs w:val="18"/>
                <w:lang w:val="en-US"/>
              </w:rPr>
            </w:pPr>
            <w:r w:rsidRPr="00E17DF6">
              <w:rPr>
                <w:b/>
                <w:sz w:val="18"/>
                <w:szCs w:val="18"/>
                <w:lang w:val="en-US"/>
              </w:rPr>
              <w:t>Agency</w:t>
            </w:r>
          </w:p>
        </w:tc>
        <w:tc>
          <w:tcPr>
            <w:tcW w:w="708" w:type="dxa"/>
            <w:tcBorders>
              <w:top w:val="double" w:sz="4" w:space="0" w:color="auto"/>
              <w:bottom w:val="double" w:sz="4" w:space="0" w:color="auto"/>
            </w:tcBorders>
            <w:shd w:val="clear" w:color="auto" w:fill="D9D9D9" w:themeFill="background1" w:themeFillShade="D9"/>
            <w:vAlign w:val="center"/>
          </w:tcPr>
          <w:p w14:paraId="1246230F" w14:textId="77777777" w:rsidR="001762EE" w:rsidRPr="00E17DF6" w:rsidRDefault="001762EE" w:rsidP="00DA3417">
            <w:pPr>
              <w:pStyle w:val="FreeFormAAAA"/>
              <w:jc w:val="center"/>
              <w:rPr>
                <w:b/>
                <w:sz w:val="18"/>
                <w:szCs w:val="18"/>
                <w:lang w:val="en-US"/>
              </w:rPr>
            </w:pPr>
            <w:r w:rsidRPr="00E17DF6">
              <w:rPr>
                <w:b/>
                <w:sz w:val="18"/>
                <w:szCs w:val="18"/>
                <w:lang w:val="en-US"/>
              </w:rPr>
              <w:t>2014</w:t>
            </w:r>
          </w:p>
        </w:tc>
        <w:tc>
          <w:tcPr>
            <w:tcW w:w="1272" w:type="dxa"/>
            <w:tcBorders>
              <w:top w:val="double" w:sz="4" w:space="0" w:color="auto"/>
              <w:bottom w:val="double" w:sz="4" w:space="0" w:color="auto"/>
            </w:tcBorders>
            <w:shd w:val="clear" w:color="auto" w:fill="D9D9D9" w:themeFill="background1" w:themeFillShade="D9"/>
            <w:vAlign w:val="center"/>
          </w:tcPr>
          <w:p w14:paraId="27BBA309" w14:textId="0244593B" w:rsidR="001762EE" w:rsidRPr="00E17DF6" w:rsidRDefault="001762EE" w:rsidP="005108BC">
            <w:pPr>
              <w:pStyle w:val="FreeFormAAAA"/>
              <w:jc w:val="center"/>
              <w:rPr>
                <w:b/>
                <w:sz w:val="18"/>
                <w:szCs w:val="18"/>
                <w:lang w:val="en-US"/>
              </w:rPr>
            </w:pPr>
            <w:r w:rsidRPr="00E17DF6">
              <w:rPr>
                <w:b/>
                <w:sz w:val="18"/>
                <w:szCs w:val="18"/>
                <w:lang w:val="en-US"/>
              </w:rPr>
              <w:t>Issue date</w:t>
            </w:r>
          </w:p>
        </w:tc>
        <w:tc>
          <w:tcPr>
            <w:tcW w:w="630" w:type="dxa"/>
            <w:tcBorders>
              <w:top w:val="double" w:sz="4" w:space="0" w:color="auto"/>
              <w:bottom w:val="double" w:sz="4" w:space="0" w:color="auto"/>
            </w:tcBorders>
            <w:shd w:val="clear" w:color="auto" w:fill="D9D9D9" w:themeFill="background1" w:themeFillShade="D9"/>
            <w:vAlign w:val="center"/>
          </w:tcPr>
          <w:p w14:paraId="646A46AA" w14:textId="77777777" w:rsidR="001762EE" w:rsidRPr="00E17DF6" w:rsidRDefault="001762EE" w:rsidP="00DA3417">
            <w:pPr>
              <w:pStyle w:val="FreeFormAAAA"/>
              <w:jc w:val="center"/>
              <w:rPr>
                <w:b/>
                <w:sz w:val="18"/>
                <w:szCs w:val="18"/>
                <w:lang w:val="en-US"/>
              </w:rPr>
            </w:pPr>
            <w:r w:rsidRPr="00E17DF6">
              <w:rPr>
                <w:b/>
                <w:sz w:val="18"/>
                <w:szCs w:val="18"/>
                <w:lang w:val="en-US"/>
              </w:rPr>
              <w:t>2013</w:t>
            </w:r>
          </w:p>
        </w:tc>
        <w:tc>
          <w:tcPr>
            <w:tcW w:w="1170" w:type="dxa"/>
            <w:tcBorders>
              <w:top w:val="double" w:sz="4" w:space="0" w:color="auto"/>
              <w:bottom w:val="double" w:sz="4" w:space="0" w:color="auto"/>
            </w:tcBorders>
            <w:shd w:val="clear" w:color="auto" w:fill="D9D9D9" w:themeFill="background1" w:themeFillShade="D9"/>
            <w:vAlign w:val="center"/>
          </w:tcPr>
          <w:p w14:paraId="5C25E303" w14:textId="131FDE57" w:rsidR="001762EE" w:rsidRPr="00E17DF6" w:rsidRDefault="001762EE" w:rsidP="005108BC">
            <w:pPr>
              <w:pStyle w:val="FreeFormAAAA"/>
              <w:jc w:val="center"/>
              <w:rPr>
                <w:b/>
                <w:sz w:val="18"/>
                <w:szCs w:val="18"/>
                <w:lang w:val="en-US"/>
              </w:rPr>
            </w:pPr>
            <w:r w:rsidRPr="00E17DF6">
              <w:rPr>
                <w:b/>
                <w:sz w:val="18"/>
                <w:szCs w:val="18"/>
                <w:lang w:val="en-US"/>
              </w:rPr>
              <w:t>Issue date</w:t>
            </w:r>
          </w:p>
        </w:tc>
        <w:tc>
          <w:tcPr>
            <w:tcW w:w="630" w:type="dxa"/>
            <w:tcBorders>
              <w:top w:val="double" w:sz="4" w:space="0" w:color="auto"/>
              <w:bottom w:val="double" w:sz="4" w:space="0" w:color="auto"/>
            </w:tcBorders>
            <w:shd w:val="clear" w:color="auto" w:fill="D9D9D9" w:themeFill="background1" w:themeFillShade="D9"/>
            <w:vAlign w:val="center"/>
          </w:tcPr>
          <w:p w14:paraId="3482E293" w14:textId="77777777" w:rsidR="001762EE" w:rsidRPr="00E17DF6" w:rsidRDefault="001762EE" w:rsidP="00DA3417">
            <w:pPr>
              <w:pStyle w:val="FreeFormAAAA"/>
              <w:jc w:val="center"/>
              <w:rPr>
                <w:b/>
                <w:sz w:val="18"/>
                <w:szCs w:val="18"/>
                <w:lang w:val="en-US"/>
              </w:rPr>
            </w:pPr>
            <w:r w:rsidRPr="00E17DF6">
              <w:rPr>
                <w:b/>
                <w:sz w:val="18"/>
                <w:szCs w:val="18"/>
                <w:lang w:val="en-US"/>
              </w:rPr>
              <w:t>2012</w:t>
            </w:r>
          </w:p>
        </w:tc>
        <w:tc>
          <w:tcPr>
            <w:tcW w:w="1118" w:type="dxa"/>
            <w:tcBorders>
              <w:top w:val="double" w:sz="4" w:space="0" w:color="auto"/>
              <w:bottom w:val="double" w:sz="4" w:space="0" w:color="auto"/>
            </w:tcBorders>
            <w:shd w:val="clear" w:color="auto" w:fill="D9D9D9" w:themeFill="background1" w:themeFillShade="D9"/>
            <w:vAlign w:val="center"/>
          </w:tcPr>
          <w:p w14:paraId="1C3AFE3E" w14:textId="48A16209" w:rsidR="001762EE" w:rsidRPr="00E17DF6" w:rsidRDefault="001762EE" w:rsidP="005108BC">
            <w:pPr>
              <w:pStyle w:val="FreeFormAAAA"/>
              <w:jc w:val="center"/>
              <w:rPr>
                <w:b/>
                <w:sz w:val="18"/>
                <w:szCs w:val="18"/>
                <w:lang w:val="en-US"/>
              </w:rPr>
            </w:pPr>
            <w:r w:rsidRPr="00E17DF6">
              <w:rPr>
                <w:b/>
                <w:sz w:val="18"/>
                <w:szCs w:val="18"/>
                <w:lang w:val="en-US"/>
              </w:rPr>
              <w:t>Issue date</w:t>
            </w:r>
          </w:p>
        </w:tc>
        <w:tc>
          <w:tcPr>
            <w:tcW w:w="592" w:type="dxa"/>
            <w:tcBorders>
              <w:top w:val="double" w:sz="4" w:space="0" w:color="auto"/>
              <w:bottom w:val="double" w:sz="4" w:space="0" w:color="auto"/>
            </w:tcBorders>
            <w:shd w:val="clear" w:color="auto" w:fill="D9D9D9" w:themeFill="background1" w:themeFillShade="D9"/>
            <w:vAlign w:val="center"/>
          </w:tcPr>
          <w:p w14:paraId="1E384606" w14:textId="77777777" w:rsidR="001762EE" w:rsidRPr="00E17DF6" w:rsidRDefault="001762EE" w:rsidP="00DA3417">
            <w:pPr>
              <w:pStyle w:val="FreeFormAAAA"/>
              <w:jc w:val="center"/>
              <w:rPr>
                <w:b/>
                <w:sz w:val="18"/>
                <w:szCs w:val="18"/>
                <w:lang w:val="en-US"/>
              </w:rPr>
            </w:pPr>
            <w:r w:rsidRPr="00E17DF6">
              <w:rPr>
                <w:b/>
                <w:sz w:val="18"/>
                <w:szCs w:val="18"/>
                <w:lang w:val="en-US"/>
              </w:rPr>
              <w:t>2011</w:t>
            </w:r>
          </w:p>
        </w:tc>
        <w:tc>
          <w:tcPr>
            <w:tcW w:w="1109" w:type="dxa"/>
            <w:tcBorders>
              <w:top w:val="double" w:sz="4" w:space="0" w:color="auto"/>
              <w:bottom w:val="double" w:sz="4" w:space="0" w:color="auto"/>
            </w:tcBorders>
            <w:shd w:val="clear" w:color="auto" w:fill="D9D9D9" w:themeFill="background1" w:themeFillShade="D9"/>
            <w:vAlign w:val="center"/>
          </w:tcPr>
          <w:p w14:paraId="6FE3222D" w14:textId="723AC71D" w:rsidR="001762EE" w:rsidRPr="00E17DF6" w:rsidRDefault="001762EE" w:rsidP="005108BC">
            <w:pPr>
              <w:pStyle w:val="FreeFormAAAA"/>
              <w:jc w:val="center"/>
              <w:rPr>
                <w:b/>
                <w:sz w:val="18"/>
                <w:szCs w:val="18"/>
                <w:lang w:val="en-US"/>
              </w:rPr>
            </w:pPr>
            <w:r w:rsidRPr="00E17DF6">
              <w:rPr>
                <w:b/>
                <w:sz w:val="18"/>
                <w:szCs w:val="18"/>
                <w:lang w:val="en-US"/>
              </w:rPr>
              <w:t>Issue date</w:t>
            </w:r>
          </w:p>
        </w:tc>
      </w:tr>
      <w:tr w:rsidR="001762EE" w:rsidRPr="00E90249" w14:paraId="6A2F5E7B" w14:textId="77777777" w:rsidTr="003B302C">
        <w:trPr>
          <w:cantSplit/>
          <w:trHeight w:val="501"/>
        </w:trPr>
        <w:tc>
          <w:tcPr>
            <w:tcW w:w="450" w:type="dxa"/>
            <w:tcBorders>
              <w:top w:val="double" w:sz="4" w:space="0" w:color="auto"/>
            </w:tcBorders>
            <w:shd w:val="clear" w:color="auto" w:fill="FFFFFF"/>
            <w:vAlign w:val="center"/>
          </w:tcPr>
          <w:p w14:paraId="47730513" w14:textId="77777777" w:rsidR="001762EE" w:rsidRPr="003D30F7" w:rsidRDefault="001762EE" w:rsidP="00350319">
            <w:pPr>
              <w:pStyle w:val="FreeFormAAAA"/>
              <w:jc w:val="center"/>
              <w:rPr>
                <w:sz w:val="18"/>
                <w:szCs w:val="18"/>
                <w:lang w:val="en-US"/>
              </w:rPr>
            </w:pPr>
            <w:r w:rsidRPr="003D30F7">
              <w:rPr>
                <w:sz w:val="18"/>
                <w:szCs w:val="18"/>
                <w:lang w:val="en-US"/>
              </w:rPr>
              <w:t>1</w:t>
            </w:r>
          </w:p>
        </w:tc>
        <w:tc>
          <w:tcPr>
            <w:tcW w:w="1767" w:type="dxa"/>
            <w:tcBorders>
              <w:top w:val="double" w:sz="4" w:space="0" w:color="auto"/>
            </w:tcBorders>
            <w:shd w:val="clear" w:color="auto" w:fill="FFFFFF"/>
            <w:vAlign w:val="center"/>
          </w:tcPr>
          <w:p w14:paraId="229689BD" w14:textId="13EDAC9C" w:rsidR="001762EE" w:rsidRPr="00773338" w:rsidRDefault="001762EE" w:rsidP="00350319">
            <w:pPr>
              <w:pStyle w:val="FreeFormAAAA"/>
              <w:rPr>
                <w:sz w:val="18"/>
                <w:szCs w:val="18"/>
                <w:lang w:val="en-US"/>
              </w:rPr>
            </w:pPr>
            <w:r w:rsidRPr="00773338">
              <w:rPr>
                <w:sz w:val="18"/>
                <w:szCs w:val="18"/>
                <w:lang w:val="en-US"/>
              </w:rPr>
              <w:t>Department of Agrarian Reform</w:t>
            </w:r>
          </w:p>
        </w:tc>
        <w:tc>
          <w:tcPr>
            <w:tcW w:w="708" w:type="dxa"/>
            <w:tcBorders>
              <w:top w:val="double" w:sz="4" w:space="0" w:color="auto"/>
            </w:tcBorders>
            <w:shd w:val="clear" w:color="auto" w:fill="FFFFFF"/>
            <w:vAlign w:val="center"/>
          </w:tcPr>
          <w:p w14:paraId="042ED75A" w14:textId="6BDF00B1"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tcBorders>
              <w:top w:val="double" w:sz="4" w:space="0" w:color="auto"/>
            </w:tcBorders>
            <w:shd w:val="clear" w:color="auto" w:fill="FFFFFF"/>
            <w:vAlign w:val="center"/>
          </w:tcPr>
          <w:p w14:paraId="14085A4F" w14:textId="652A79D7" w:rsidR="001762EE" w:rsidRPr="0025475E" w:rsidRDefault="001762EE" w:rsidP="00350319">
            <w:pPr>
              <w:pStyle w:val="FreeFormAAAA"/>
              <w:jc w:val="center"/>
              <w:rPr>
                <w:sz w:val="18"/>
                <w:szCs w:val="18"/>
                <w:lang w:val="en-US"/>
              </w:rPr>
            </w:pPr>
            <w:r w:rsidRPr="0025475E">
              <w:rPr>
                <w:sz w:val="18"/>
                <w:szCs w:val="18"/>
                <w:lang w:val="en-US"/>
              </w:rPr>
              <w:t>Oct 30, 2015</w:t>
            </w:r>
          </w:p>
        </w:tc>
        <w:tc>
          <w:tcPr>
            <w:tcW w:w="630" w:type="dxa"/>
            <w:tcBorders>
              <w:top w:val="double" w:sz="4" w:space="0" w:color="auto"/>
            </w:tcBorders>
            <w:shd w:val="clear" w:color="auto" w:fill="FFFFFF"/>
            <w:vAlign w:val="center"/>
          </w:tcPr>
          <w:p w14:paraId="1F7D4E89" w14:textId="46460663" w:rsidR="001762EE" w:rsidRPr="005108BC" w:rsidRDefault="001762EE" w:rsidP="00350319">
            <w:pPr>
              <w:pStyle w:val="FreeFormAAAA"/>
              <w:jc w:val="center"/>
              <w:rPr>
                <w:sz w:val="18"/>
                <w:szCs w:val="18"/>
                <w:lang w:val="en-US"/>
              </w:rPr>
            </w:pPr>
            <w:r w:rsidRPr="005108BC">
              <w:rPr>
                <w:sz w:val="18"/>
                <w:szCs w:val="18"/>
                <w:lang w:val="en-US"/>
              </w:rPr>
              <w:t>A</w:t>
            </w:r>
          </w:p>
        </w:tc>
        <w:tc>
          <w:tcPr>
            <w:tcW w:w="1170" w:type="dxa"/>
            <w:tcBorders>
              <w:top w:val="double" w:sz="4" w:space="0" w:color="auto"/>
            </w:tcBorders>
            <w:shd w:val="clear" w:color="auto" w:fill="FFFFFF"/>
            <w:vAlign w:val="center"/>
          </w:tcPr>
          <w:p w14:paraId="253A9C56" w14:textId="77777777" w:rsidR="001762EE" w:rsidRPr="003D30F7" w:rsidRDefault="001762EE" w:rsidP="00350319">
            <w:pPr>
              <w:pStyle w:val="FreeFormAAAA"/>
              <w:jc w:val="center"/>
              <w:rPr>
                <w:sz w:val="18"/>
                <w:szCs w:val="18"/>
                <w:lang w:val="en-US"/>
              </w:rPr>
            </w:pPr>
            <w:r w:rsidRPr="003D30F7">
              <w:rPr>
                <w:sz w:val="18"/>
                <w:szCs w:val="18"/>
                <w:lang w:val="en-US"/>
              </w:rPr>
              <w:t>Oct 28, 2014</w:t>
            </w:r>
          </w:p>
        </w:tc>
        <w:tc>
          <w:tcPr>
            <w:tcW w:w="630" w:type="dxa"/>
            <w:tcBorders>
              <w:top w:val="double" w:sz="4" w:space="0" w:color="auto"/>
            </w:tcBorders>
            <w:shd w:val="clear" w:color="auto" w:fill="FFFFFF"/>
            <w:vAlign w:val="center"/>
          </w:tcPr>
          <w:p w14:paraId="548C5C6B" w14:textId="03E9FD50" w:rsidR="001762EE" w:rsidRPr="00773338" w:rsidRDefault="001762EE" w:rsidP="00350319">
            <w:pPr>
              <w:pStyle w:val="FreeFormAAAA"/>
              <w:jc w:val="center"/>
              <w:rPr>
                <w:sz w:val="18"/>
                <w:szCs w:val="18"/>
                <w:lang w:val="en-US"/>
              </w:rPr>
            </w:pPr>
            <w:r w:rsidRPr="00773338">
              <w:rPr>
                <w:sz w:val="18"/>
                <w:szCs w:val="18"/>
                <w:lang w:val="en-US"/>
              </w:rPr>
              <w:t>A</w:t>
            </w:r>
          </w:p>
        </w:tc>
        <w:tc>
          <w:tcPr>
            <w:tcW w:w="1118" w:type="dxa"/>
            <w:tcBorders>
              <w:top w:val="double" w:sz="4" w:space="0" w:color="auto"/>
            </w:tcBorders>
            <w:shd w:val="clear" w:color="auto" w:fill="FFFFFF"/>
            <w:vAlign w:val="center"/>
          </w:tcPr>
          <w:p w14:paraId="27C25229" w14:textId="77777777" w:rsidR="001762EE" w:rsidRPr="00083BC1" w:rsidRDefault="001762EE" w:rsidP="00350319">
            <w:pPr>
              <w:pStyle w:val="FreeFormAAAA"/>
              <w:jc w:val="center"/>
              <w:rPr>
                <w:sz w:val="18"/>
                <w:szCs w:val="18"/>
                <w:lang w:val="en-US"/>
              </w:rPr>
            </w:pPr>
            <w:r w:rsidRPr="00083BC1">
              <w:rPr>
                <w:sz w:val="18"/>
                <w:szCs w:val="18"/>
                <w:lang w:val="en-US"/>
              </w:rPr>
              <w:t>Aug 29, 2013</w:t>
            </w:r>
          </w:p>
        </w:tc>
        <w:tc>
          <w:tcPr>
            <w:tcW w:w="592" w:type="dxa"/>
            <w:tcBorders>
              <w:top w:val="double" w:sz="4" w:space="0" w:color="auto"/>
            </w:tcBorders>
            <w:shd w:val="clear" w:color="auto" w:fill="FFFFFF"/>
            <w:vAlign w:val="center"/>
          </w:tcPr>
          <w:p w14:paraId="64D6A7D7" w14:textId="25C0F6D1" w:rsidR="001762EE" w:rsidRPr="00240C37" w:rsidRDefault="001762EE" w:rsidP="00350319">
            <w:pPr>
              <w:pStyle w:val="FreeFormAAAA"/>
              <w:jc w:val="center"/>
              <w:rPr>
                <w:sz w:val="18"/>
                <w:szCs w:val="18"/>
                <w:lang w:val="en-US"/>
              </w:rPr>
            </w:pPr>
            <w:r w:rsidRPr="00240C37">
              <w:rPr>
                <w:sz w:val="18"/>
                <w:szCs w:val="18"/>
                <w:lang w:val="en-US"/>
              </w:rPr>
              <w:t>A</w:t>
            </w:r>
          </w:p>
        </w:tc>
        <w:tc>
          <w:tcPr>
            <w:tcW w:w="1109" w:type="dxa"/>
            <w:tcBorders>
              <w:top w:val="double" w:sz="4" w:space="0" w:color="auto"/>
            </w:tcBorders>
            <w:shd w:val="clear" w:color="auto" w:fill="FFFFFF"/>
            <w:vAlign w:val="center"/>
          </w:tcPr>
          <w:p w14:paraId="19F1BEBF" w14:textId="77777777" w:rsidR="001762EE" w:rsidRPr="00BC13BA" w:rsidRDefault="001762EE" w:rsidP="00350319">
            <w:pPr>
              <w:pStyle w:val="FreeFormAAAA"/>
              <w:ind w:left="-57" w:right="-57"/>
              <w:jc w:val="center"/>
              <w:rPr>
                <w:sz w:val="18"/>
                <w:szCs w:val="18"/>
                <w:lang w:val="en-US"/>
              </w:rPr>
            </w:pPr>
            <w:r w:rsidRPr="00BC13BA">
              <w:rPr>
                <w:sz w:val="18"/>
                <w:szCs w:val="18"/>
                <w:lang w:val="en-US"/>
              </w:rPr>
              <w:t>Nov 13, 2012</w:t>
            </w:r>
          </w:p>
        </w:tc>
      </w:tr>
      <w:tr w:rsidR="001762EE" w:rsidRPr="00E90249" w14:paraId="691D3544" w14:textId="77777777" w:rsidTr="003B302C">
        <w:trPr>
          <w:cantSplit/>
          <w:trHeight w:val="400"/>
        </w:trPr>
        <w:tc>
          <w:tcPr>
            <w:tcW w:w="450" w:type="dxa"/>
            <w:shd w:val="clear" w:color="auto" w:fill="FFFFFF"/>
            <w:vAlign w:val="center"/>
          </w:tcPr>
          <w:p w14:paraId="36487E42" w14:textId="77777777" w:rsidR="001762EE" w:rsidRPr="005108BC" w:rsidRDefault="001762EE" w:rsidP="00350319">
            <w:pPr>
              <w:pStyle w:val="FreeFormAAAA"/>
              <w:jc w:val="center"/>
              <w:rPr>
                <w:sz w:val="18"/>
                <w:szCs w:val="18"/>
                <w:lang w:val="en-US"/>
              </w:rPr>
            </w:pPr>
            <w:r w:rsidRPr="005108BC">
              <w:rPr>
                <w:sz w:val="18"/>
                <w:szCs w:val="18"/>
                <w:lang w:val="en-US"/>
              </w:rPr>
              <w:t>2</w:t>
            </w:r>
          </w:p>
        </w:tc>
        <w:tc>
          <w:tcPr>
            <w:tcW w:w="1767" w:type="dxa"/>
            <w:shd w:val="clear" w:color="auto" w:fill="FFFFFF"/>
            <w:vAlign w:val="center"/>
          </w:tcPr>
          <w:p w14:paraId="16208132" w14:textId="45F41A00" w:rsidR="001762EE" w:rsidRPr="003D30F7" w:rsidRDefault="001762EE" w:rsidP="00350319">
            <w:pPr>
              <w:pStyle w:val="FreeFormAAAA"/>
              <w:rPr>
                <w:sz w:val="18"/>
                <w:szCs w:val="18"/>
                <w:lang w:val="en-US"/>
              </w:rPr>
            </w:pPr>
            <w:r w:rsidRPr="003D30F7">
              <w:rPr>
                <w:sz w:val="18"/>
                <w:szCs w:val="18"/>
                <w:lang w:val="en-US"/>
              </w:rPr>
              <w:t>Department of Agriculture</w:t>
            </w:r>
          </w:p>
        </w:tc>
        <w:tc>
          <w:tcPr>
            <w:tcW w:w="708" w:type="dxa"/>
            <w:shd w:val="clear" w:color="auto" w:fill="FFFFFF"/>
            <w:vAlign w:val="center"/>
          </w:tcPr>
          <w:p w14:paraId="78091F1F" w14:textId="29910A8B" w:rsidR="001762EE" w:rsidRPr="0025475E" w:rsidRDefault="001762EE" w:rsidP="00350319">
            <w:pPr>
              <w:pStyle w:val="FreeFormAAAA"/>
              <w:jc w:val="center"/>
              <w:rPr>
                <w:sz w:val="18"/>
                <w:szCs w:val="18"/>
                <w:lang w:val="en-US"/>
              </w:rPr>
            </w:pPr>
            <w:r w:rsidRPr="0025475E">
              <w:rPr>
                <w:sz w:val="18"/>
                <w:szCs w:val="18"/>
                <w:lang w:val="en-US"/>
              </w:rPr>
              <w:t>A</w:t>
            </w:r>
          </w:p>
        </w:tc>
        <w:tc>
          <w:tcPr>
            <w:tcW w:w="1272" w:type="dxa"/>
            <w:shd w:val="clear" w:color="auto" w:fill="FFFFFF"/>
            <w:vAlign w:val="center"/>
          </w:tcPr>
          <w:p w14:paraId="10FBDECD" w14:textId="3C4E3D61" w:rsidR="001762EE" w:rsidRPr="0025475E" w:rsidRDefault="001762EE" w:rsidP="00350319">
            <w:pPr>
              <w:pStyle w:val="FreeFormAAAA"/>
              <w:jc w:val="center"/>
              <w:rPr>
                <w:sz w:val="18"/>
                <w:szCs w:val="18"/>
                <w:lang w:val="en-US"/>
              </w:rPr>
            </w:pPr>
            <w:r w:rsidRPr="0025475E">
              <w:rPr>
                <w:sz w:val="18"/>
                <w:szCs w:val="18"/>
                <w:lang w:val="en-US"/>
              </w:rPr>
              <w:t>July 6, 2015</w:t>
            </w:r>
          </w:p>
        </w:tc>
        <w:tc>
          <w:tcPr>
            <w:tcW w:w="630" w:type="dxa"/>
            <w:shd w:val="clear" w:color="auto" w:fill="FFFFFF"/>
            <w:vAlign w:val="center"/>
          </w:tcPr>
          <w:p w14:paraId="299F1FBD" w14:textId="67D3EE12" w:rsidR="001762EE" w:rsidRPr="005108BC" w:rsidRDefault="001762EE" w:rsidP="00350319">
            <w:pPr>
              <w:pStyle w:val="FreeFormAAAA"/>
              <w:jc w:val="center"/>
              <w:rPr>
                <w:sz w:val="18"/>
                <w:szCs w:val="18"/>
                <w:lang w:val="en-US"/>
              </w:rPr>
            </w:pPr>
            <w:r w:rsidRPr="005108BC">
              <w:rPr>
                <w:sz w:val="18"/>
                <w:szCs w:val="18"/>
                <w:lang w:val="en-US"/>
              </w:rPr>
              <w:t>A</w:t>
            </w:r>
          </w:p>
        </w:tc>
        <w:tc>
          <w:tcPr>
            <w:tcW w:w="1170" w:type="dxa"/>
            <w:shd w:val="clear" w:color="auto" w:fill="FFFFFF"/>
            <w:vAlign w:val="center"/>
          </w:tcPr>
          <w:p w14:paraId="58915127" w14:textId="77777777" w:rsidR="001762EE" w:rsidRPr="003D30F7" w:rsidRDefault="001762EE" w:rsidP="00350319">
            <w:pPr>
              <w:pStyle w:val="FreeFormAAAA"/>
              <w:jc w:val="center"/>
              <w:rPr>
                <w:sz w:val="18"/>
                <w:szCs w:val="18"/>
                <w:lang w:val="en-US"/>
              </w:rPr>
            </w:pPr>
            <w:r w:rsidRPr="003D30F7">
              <w:rPr>
                <w:sz w:val="18"/>
                <w:szCs w:val="18"/>
                <w:lang w:val="en-US"/>
              </w:rPr>
              <w:t>Oct 20, 2014</w:t>
            </w:r>
          </w:p>
        </w:tc>
        <w:tc>
          <w:tcPr>
            <w:tcW w:w="630" w:type="dxa"/>
            <w:shd w:val="clear" w:color="auto" w:fill="FFFFFF"/>
            <w:vAlign w:val="center"/>
          </w:tcPr>
          <w:p w14:paraId="59E3278C" w14:textId="42A79EB5" w:rsidR="001762EE" w:rsidRPr="00773338" w:rsidRDefault="001762EE" w:rsidP="00350319">
            <w:pPr>
              <w:pStyle w:val="FreeFormAAAA"/>
              <w:jc w:val="center"/>
              <w:rPr>
                <w:sz w:val="18"/>
                <w:szCs w:val="18"/>
                <w:lang w:val="en-US"/>
              </w:rPr>
            </w:pPr>
            <w:r w:rsidRPr="00773338">
              <w:rPr>
                <w:sz w:val="18"/>
                <w:szCs w:val="18"/>
                <w:lang w:val="en-US"/>
              </w:rPr>
              <w:t>A</w:t>
            </w:r>
          </w:p>
        </w:tc>
        <w:tc>
          <w:tcPr>
            <w:tcW w:w="1118" w:type="dxa"/>
            <w:shd w:val="clear" w:color="auto" w:fill="FFFFFF"/>
            <w:vAlign w:val="center"/>
          </w:tcPr>
          <w:p w14:paraId="7A7112A7" w14:textId="77777777" w:rsidR="001762EE" w:rsidRPr="00083BC1" w:rsidRDefault="001762EE" w:rsidP="00350319">
            <w:pPr>
              <w:pStyle w:val="FreeFormAAAA"/>
              <w:jc w:val="center"/>
              <w:rPr>
                <w:sz w:val="18"/>
                <w:szCs w:val="18"/>
                <w:lang w:val="en-US"/>
              </w:rPr>
            </w:pPr>
            <w:r w:rsidRPr="00083BC1">
              <w:rPr>
                <w:sz w:val="18"/>
                <w:szCs w:val="18"/>
                <w:lang w:val="en-US"/>
              </w:rPr>
              <w:t>Sep 18, 2013</w:t>
            </w:r>
          </w:p>
        </w:tc>
        <w:tc>
          <w:tcPr>
            <w:tcW w:w="592" w:type="dxa"/>
            <w:shd w:val="clear" w:color="auto" w:fill="FFFFFF"/>
            <w:vAlign w:val="center"/>
          </w:tcPr>
          <w:p w14:paraId="5EE586FA" w14:textId="11F7F9C8" w:rsidR="001762EE" w:rsidRPr="00240C37" w:rsidRDefault="001762EE" w:rsidP="00350319">
            <w:pPr>
              <w:pStyle w:val="FreeFormAAAA"/>
              <w:jc w:val="center"/>
              <w:rPr>
                <w:sz w:val="18"/>
                <w:szCs w:val="18"/>
                <w:lang w:val="en-US"/>
              </w:rPr>
            </w:pPr>
            <w:r w:rsidRPr="00240C37">
              <w:rPr>
                <w:sz w:val="18"/>
                <w:szCs w:val="18"/>
                <w:lang w:val="en-US"/>
              </w:rPr>
              <w:t>A</w:t>
            </w:r>
          </w:p>
        </w:tc>
        <w:tc>
          <w:tcPr>
            <w:tcW w:w="1109" w:type="dxa"/>
            <w:shd w:val="clear" w:color="auto" w:fill="FFFFFF"/>
            <w:vAlign w:val="center"/>
          </w:tcPr>
          <w:p w14:paraId="26781DD5" w14:textId="77777777" w:rsidR="001762EE" w:rsidRPr="00BC13BA" w:rsidRDefault="001762EE" w:rsidP="00350319">
            <w:pPr>
              <w:pStyle w:val="FreeFormAAAA"/>
              <w:ind w:left="-57" w:right="-57"/>
              <w:jc w:val="center"/>
              <w:rPr>
                <w:sz w:val="18"/>
                <w:szCs w:val="18"/>
                <w:lang w:val="en-US"/>
              </w:rPr>
            </w:pPr>
            <w:r w:rsidRPr="00BC13BA">
              <w:rPr>
                <w:sz w:val="18"/>
                <w:szCs w:val="18"/>
                <w:lang w:val="en-US"/>
              </w:rPr>
              <w:t>Nov 14, 2012</w:t>
            </w:r>
          </w:p>
        </w:tc>
      </w:tr>
      <w:tr w:rsidR="001762EE" w:rsidRPr="00E90249" w14:paraId="0FD6DE1F" w14:textId="77777777" w:rsidTr="003B302C">
        <w:trPr>
          <w:cantSplit/>
          <w:trHeight w:val="751"/>
        </w:trPr>
        <w:tc>
          <w:tcPr>
            <w:tcW w:w="450" w:type="dxa"/>
            <w:shd w:val="clear" w:color="auto" w:fill="FFFFFF"/>
            <w:vAlign w:val="center"/>
          </w:tcPr>
          <w:p w14:paraId="20915715" w14:textId="77777777" w:rsidR="001762EE" w:rsidRPr="005108BC" w:rsidRDefault="001762EE" w:rsidP="00350319">
            <w:pPr>
              <w:pStyle w:val="FreeFormAAAA"/>
              <w:jc w:val="center"/>
              <w:rPr>
                <w:sz w:val="18"/>
                <w:szCs w:val="18"/>
                <w:lang w:val="en-US"/>
              </w:rPr>
            </w:pPr>
            <w:r w:rsidRPr="005108BC">
              <w:rPr>
                <w:sz w:val="18"/>
                <w:szCs w:val="18"/>
                <w:lang w:val="en-US"/>
              </w:rPr>
              <w:t>3</w:t>
            </w:r>
          </w:p>
        </w:tc>
        <w:tc>
          <w:tcPr>
            <w:tcW w:w="1767" w:type="dxa"/>
            <w:shd w:val="clear" w:color="auto" w:fill="FFFFFF"/>
            <w:vAlign w:val="center"/>
          </w:tcPr>
          <w:p w14:paraId="02C69141" w14:textId="5FE87449" w:rsidR="001762EE" w:rsidRPr="003D30F7" w:rsidRDefault="001762EE" w:rsidP="00350319">
            <w:pPr>
              <w:pStyle w:val="FreeFormAAAA"/>
              <w:rPr>
                <w:sz w:val="18"/>
                <w:szCs w:val="18"/>
                <w:lang w:val="en-US"/>
              </w:rPr>
            </w:pPr>
            <w:r w:rsidRPr="003D30F7">
              <w:rPr>
                <w:sz w:val="18"/>
                <w:szCs w:val="18"/>
                <w:lang w:val="en-US"/>
              </w:rPr>
              <w:t>Department of Budget and Management</w:t>
            </w:r>
          </w:p>
        </w:tc>
        <w:tc>
          <w:tcPr>
            <w:tcW w:w="708" w:type="dxa"/>
            <w:shd w:val="clear" w:color="auto" w:fill="FFFFFF"/>
            <w:vAlign w:val="center"/>
          </w:tcPr>
          <w:p w14:paraId="16BF2F2D" w14:textId="209585A3"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3F818C8B" w14:textId="23347810" w:rsidR="001762EE" w:rsidRPr="005108BC" w:rsidRDefault="001762EE" w:rsidP="00350319">
            <w:pPr>
              <w:pStyle w:val="FreeFormAAAA"/>
              <w:jc w:val="center"/>
              <w:rPr>
                <w:sz w:val="18"/>
                <w:szCs w:val="18"/>
                <w:lang w:val="en-US"/>
              </w:rPr>
            </w:pPr>
            <w:r w:rsidRPr="005108BC">
              <w:rPr>
                <w:sz w:val="18"/>
                <w:szCs w:val="18"/>
                <w:lang w:val="en-US"/>
              </w:rPr>
              <w:t>Aug 28, 2015</w:t>
            </w:r>
          </w:p>
        </w:tc>
        <w:tc>
          <w:tcPr>
            <w:tcW w:w="630" w:type="dxa"/>
            <w:shd w:val="clear" w:color="auto" w:fill="FFFFFF"/>
            <w:vAlign w:val="center"/>
          </w:tcPr>
          <w:p w14:paraId="67F98E01" w14:textId="4D09B062"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6BC9B093" w14:textId="77777777" w:rsidR="001762EE" w:rsidRPr="00773338" w:rsidRDefault="001762EE" w:rsidP="00350319">
            <w:pPr>
              <w:pStyle w:val="FreeFormAAAA"/>
              <w:jc w:val="center"/>
              <w:rPr>
                <w:sz w:val="18"/>
                <w:szCs w:val="18"/>
                <w:lang w:val="en-US"/>
              </w:rPr>
            </w:pPr>
            <w:r w:rsidRPr="00773338">
              <w:rPr>
                <w:sz w:val="18"/>
                <w:szCs w:val="18"/>
                <w:lang w:val="en-US"/>
              </w:rPr>
              <w:t>Jun 30, 2014</w:t>
            </w:r>
          </w:p>
        </w:tc>
        <w:tc>
          <w:tcPr>
            <w:tcW w:w="630" w:type="dxa"/>
            <w:shd w:val="clear" w:color="auto" w:fill="FFFFFF"/>
            <w:vAlign w:val="center"/>
          </w:tcPr>
          <w:p w14:paraId="3387ED0A" w14:textId="33806BE2"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009D795F" w14:textId="77777777" w:rsidR="001762EE" w:rsidRPr="00240C37" w:rsidRDefault="001762EE" w:rsidP="00350319">
            <w:pPr>
              <w:pStyle w:val="FreeFormAAAA"/>
              <w:jc w:val="center"/>
              <w:rPr>
                <w:sz w:val="18"/>
                <w:szCs w:val="18"/>
                <w:lang w:val="en-US"/>
              </w:rPr>
            </w:pPr>
            <w:r w:rsidRPr="00240C37">
              <w:rPr>
                <w:sz w:val="18"/>
                <w:szCs w:val="18"/>
                <w:lang w:val="en-US"/>
              </w:rPr>
              <w:t>Jun 25, 2013</w:t>
            </w:r>
          </w:p>
        </w:tc>
        <w:tc>
          <w:tcPr>
            <w:tcW w:w="592" w:type="dxa"/>
            <w:shd w:val="clear" w:color="auto" w:fill="FFFFFF"/>
            <w:vAlign w:val="center"/>
          </w:tcPr>
          <w:p w14:paraId="3445D1BB" w14:textId="73A59748"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758BD0D1" w14:textId="77777777" w:rsidR="001762EE" w:rsidRPr="009D76C2" w:rsidRDefault="001762EE" w:rsidP="00350319">
            <w:pPr>
              <w:pStyle w:val="FreeFormAAAA"/>
              <w:ind w:left="-57" w:right="-57"/>
              <w:jc w:val="center"/>
              <w:rPr>
                <w:sz w:val="18"/>
                <w:szCs w:val="18"/>
                <w:lang w:val="en-US"/>
              </w:rPr>
            </w:pPr>
            <w:r w:rsidRPr="00D661D7">
              <w:rPr>
                <w:sz w:val="18"/>
                <w:szCs w:val="18"/>
                <w:lang w:val="en-US"/>
              </w:rPr>
              <w:t>May 30</w:t>
            </w:r>
            <w:r w:rsidRPr="005323C0">
              <w:rPr>
                <w:sz w:val="18"/>
                <w:szCs w:val="18"/>
                <w:lang w:val="en-US"/>
              </w:rPr>
              <w:t>, 2012</w:t>
            </w:r>
          </w:p>
        </w:tc>
      </w:tr>
      <w:tr w:rsidR="001762EE" w:rsidRPr="00E90249" w14:paraId="58DEAFA8" w14:textId="77777777" w:rsidTr="003B302C">
        <w:trPr>
          <w:cantSplit/>
          <w:trHeight w:val="400"/>
        </w:trPr>
        <w:tc>
          <w:tcPr>
            <w:tcW w:w="450" w:type="dxa"/>
            <w:shd w:val="clear" w:color="auto" w:fill="FFFFFF"/>
            <w:vAlign w:val="center"/>
          </w:tcPr>
          <w:p w14:paraId="4114149E" w14:textId="77777777" w:rsidR="001762EE" w:rsidRPr="005108BC" w:rsidRDefault="001762EE" w:rsidP="00350319">
            <w:pPr>
              <w:pStyle w:val="FreeFormAAAA"/>
              <w:jc w:val="center"/>
              <w:rPr>
                <w:sz w:val="18"/>
                <w:szCs w:val="18"/>
                <w:lang w:val="en-US"/>
              </w:rPr>
            </w:pPr>
            <w:r w:rsidRPr="005108BC">
              <w:rPr>
                <w:sz w:val="18"/>
                <w:szCs w:val="18"/>
                <w:lang w:val="en-US"/>
              </w:rPr>
              <w:t>4</w:t>
            </w:r>
          </w:p>
        </w:tc>
        <w:tc>
          <w:tcPr>
            <w:tcW w:w="1767" w:type="dxa"/>
            <w:shd w:val="clear" w:color="auto" w:fill="FFFFFF"/>
            <w:vAlign w:val="center"/>
          </w:tcPr>
          <w:p w14:paraId="3A67C492" w14:textId="1400DA76" w:rsidR="001762EE" w:rsidRPr="003D30F7" w:rsidRDefault="001762EE" w:rsidP="00350319">
            <w:pPr>
              <w:pStyle w:val="FreeFormAAAA"/>
              <w:rPr>
                <w:sz w:val="18"/>
                <w:szCs w:val="18"/>
                <w:lang w:val="en-US"/>
              </w:rPr>
            </w:pPr>
            <w:r w:rsidRPr="003D30F7">
              <w:rPr>
                <w:sz w:val="18"/>
                <w:szCs w:val="18"/>
                <w:lang w:val="en-US"/>
              </w:rPr>
              <w:t>Department of Education</w:t>
            </w:r>
          </w:p>
        </w:tc>
        <w:tc>
          <w:tcPr>
            <w:tcW w:w="708" w:type="dxa"/>
            <w:shd w:val="clear" w:color="auto" w:fill="FFFFFF"/>
            <w:vAlign w:val="center"/>
          </w:tcPr>
          <w:p w14:paraId="39ECE058" w14:textId="2EEEB9FB"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4F675880" w14:textId="52D3849E" w:rsidR="001762EE" w:rsidRPr="005108BC" w:rsidRDefault="001762EE" w:rsidP="00350319">
            <w:pPr>
              <w:pStyle w:val="FreeFormAAAA"/>
              <w:jc w:val="center"/>
              <w:rPr>
                <w:sz w:val="18"/>
                <w:szCs w:val="18"/>
                <w:lang w:val="en-US"/>
              </w:rPr>
            </w:pPr>
            <w:r w:rsidRPr="005108BC">
              <w:rPr>
                <w:sz w:val="18"/>
                <w:szCs w:val="18"/>
                <w:lang w:val="en-US"/>
              </w:rPr>
              <w:t>Jun 15, 2015</w:t>
            </w:r>
          </w:p>
        </w:tc>
        <w:tc>
          <w:tcPr>
            <w:tcW w:w="630" w:type="dxa"/>
            <w:shd w:val="clear" w:color="auto" w:fill="FFFFFF"/>
            <w:vAlign w:val="center"/>
          </w:tcPr>
          <w:p w14:paraId="4ABAF9BF" w14:textId="7F500697"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020BE6A9" w14:textId="77777777" w:rsidR="001762EE" w:rsidRPr="00773338" w:rsidRDefault="001762EE" w:rsidP="00350319">
            <w:pPr>
              <w:pStyle w:val="FreeFormAAAA"/>
              <w:jc w:val="center"/>
              <w:rPr>
                <w:sz w:val="18"/>
                <w:szCs w:val="18"/>
                <w:lang w:val="en-US"/>
              </w:rPr>
            </w:pPr>
            <w:r w:rsidRPr="00773338">
              <w:rPr>
                <w:sz w:val="18"/>
                <w:szCs w:val="18"/>
                <w:lang w:val="en-US"/>
              </w:rPr>
              <w:t>Oct 15, 2014</w:t>
            </w:r>
          </w:p>
        </w:tc>
        <w:tc>
          <w:tcPr>
            <w:tcW w:w="630" w:type="dxa"/>
            <w:shd w:val="clear" w:color="auto" w:fill="FFFFFF"/>
            <w:vAlign w:val="center"/>
          </w:tcPr>
          <w:p w14:paraId="1D9CA5CE" w14:textId="60B786AE"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1D91A376" w14:textId="77777777" w:rsidR="001762EE" w:rsidRPr="00240C37" w:rsidRDefault="001762EE" w:rsidP="00350319">
            <w:pPr>
              <w:pStyle w:val="FreeFormAAAA"/>
              <w:jc w:val="center"/>
              <w:rPr>
                <w:sz w:val="18"/>
                <w:szCs w:val="18"/>
                <w:lang w:val="en-US"/>
              </w:rPr>
            </w:pPr>
            <w:r w:rsidRPr="00240C37">
              <w:rPr>
                <w:sz w:val="18"/>
                <w:szCs w:val="18"/>
                <w:lang w:val="en-US"/>
              </w:rPr>
              <w:t>Jul 31, 2013</w:t>
            </w:r>
          </w:p>
        </w:tc>
        <w:tc>
          <w:tcPr>
            <w:tcW w:w="592" w:type="dxa"/>
            <w:shd w:val="clear" w:color="auto" w:fill="FFFFFF"/>
            <w:vAlign w:val="center"/>
          </w:tcPr>
          <w:p w14:paraId="7738A541" w14:textId="2D627866"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5328A214"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Jun 30, 2012</w:t>
            </w:r>
          </w:p>
        </w:tc>
      </w:tr>
      <w:tr w:rsidR="001762EE" w:rsidRPr="00E90249" w14:paraId="2716D075" w14:textId="77777777" w:rsidTr="003B302C">
        <w:trPr>
          <w:cantSplit/>
          <w:trHeight w:val="400"/>
        </w:trPr>
        <w:tc>
          <w:tcPr>
            <w:tcW w:w="450" w:type="dxa"/>
            <w:shd w:val="clear" w:color="auto" w:fill="FFFFFF"/>
            <w:vAlign w:val="center"/>
          </w:tcPr>
          <w:p w14:paraId="7205AA6D" w14:textId="77777777" w:rsidR="001762EE" w:rsidRPr="005108BC" w:rsidRDefault="001762EE" w:rsidP="00350319">
            <w:pPr>
              <w:pStyle w:val="FreeFormAAAA"/>
              <w:jc w:val="center"/>
              <w:rPr>
                <w:sz w:val="18"/>
                <w:szCs w:val="18"/>
                <w:lang w:val="en-US"/>
              </w:rPr>
            </w:pPr>
            <w:r w:rsidRPr="005108BC">
              <w:rPr>
                <w:sz w:val="18"/>
                <w:szCs w:val="18"/>
                <w:lang w:val="en-US"/>
              </w:rPr>
              <w:t>5</w:t>
            </w:r>
          </w:p>
        </w:tc>
        <w:tc>
          <w:tcPr>
            <w:tcW w:w="1767" w:type="dxa"/>
            <w:shd w:val="clear" w:color="auto" w:fill="FFFFFF"/>
            <w:vAlign w:val="center"/>
          </w:tcPr>
          <w:p w14:paraId="5E68151A" w14:textId="4E42524A" w:rsidR="001762EE" w:rsidRPr="003D30F7" w:rsidRDefault="001762EE" w:rsidP="00350319">
            <w:pPr>
              <w:pStyle w:val="FreeFormAAAA"/>
              <w:rPr>
                <w:sz w:val="18"/>
                <w:szCs w:val="18"/>
                <w:lang w:val="en-US"/>
              </w:rPr>
            </w:pPr>
            <w:r w:rsidRPr="003D30F7">
              <w:rPr>
                <w:sz w:val="18"/>
                <w:szCs w:val="18"/>
                <w:lang w:val="en-US"/>
              </w:rPr>
              <w:t>Department of Energy</w:t>
            </w:r>
          </w:p>
        </w:tc>
        <w:tc>
          <w:tcPr>
            <w:tcW w:w="708" w:type="dxa"/>
            <w:shd w:val="clear" w:color="auto" w:fill="FFFFFF"/>
            <w:vAlign w:val="center"/>
          </w:tcPr>
          <w:p w14:paraId="59FE69E0" w14:textId="183F5D4C"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103091A4" w14:textId="51EAD991" w:rsidR="001762EE" w:rsidRPr="003D30F7" w:rsidRDefault="001762EE" w:rsidP="00350319">
            <w:pPr>
              <w:pStyle w:val="FreeFormAAAA"/>
              <w:jc w:val="center"/>
              <w:rPr>
                <w:sz w:val="18"/>
                <w:szCs w:val="18"/>
                <w:lang w:val="en-US"/>
              </w:rPr>
            </w:pPr>
            <w:r w:rsidRPr="005108BC">
              <w:rPr>
                <w:sz w:val="18"/>
                <w:szCs w:val="18"/>
                <w:lang w:val="en-US"/>
              </w:rPr>
              <w:t>Oct 30</w:t>
            </w:r>
            <w:r w:rsidRPr="003D30F7">
              <w:rPr>
                <w:sz w:val="18"/>
                <w:szCs w:val="18"/>
                <w:lang w:val="en-US"/>
              </w:rPr>
              <w:t>, 2015</w:t>
            </w:r>
          </w:p>
        </w:tc>
        <w:tc>
          <w:tcPr>
            <w:tcW w:w="630" w:type="dxa"/>
            <w:shd w:val="clear" w:color="auto" w:fill="FFFFFF"/>
            <w:vAlign w:val="center"/>
          </w:tcPr>
          <w:p w14:paraId="324FFD32" w14:textId="41D38AAE" w:rsidR="001762EE" w:rsidRPr="00773338" w:rsidRDefault="001762EE" w:rsidP="00350319">
            <w:pPr>
              <w:pStyle w:val="FreeFormAAAA"/>
              <w:jc w:val="center"/>
              <w:rPr>
                <w:sz w:val="18"/>
                <w:szCs w:val="18"/>
                <w:lang w:val="en-US"/>
              </w:rPr>
            </w:pPr>
            <w:r w:rsidRPr="00773338">
              <w:rPr>
                <w:sz w:val="18"/>
                <w:szCs w:val="18"/>
                <w:lang w:val="en-US"/>
              </w:rPr>
              <w:t>Q</w:t>
            </w:r>
          </w:p>
        </w:tc>
        <w:tc>
          <w:tcPr>
            <w:tcW w:w="1170" w:type="dxa"/>
            <w:shd w:val="clear" w:color="auto" w:fill="FFFFFF"/>
            <w:vAlign w:val="center"/>
          </w:tcPr>
          <w:p w14:paraId="41B13EFB" w14:textId="77777777" w:rsidR="001762EE" w:rsidRPr="00083BC1" w:rsidRDefault="001762EE" w:rsidP="00350319">
            <w:pPr>
              <w:pStyle w:val="FreeFormAAAA"/>
              <w:jc w:val="center"/>
              <w:rPr>
                <w:sz w:val="18"/>
                <w:szCs w:val="18"/>
                <w:lang w:val="en-US"/>
              </w:rPr>
            </w:pPr>
            <w:r w:rsidRPr="00083BC1">
              <w:rPr>
                <w:sz w:val="18"/>
                <w:szCs w:val="18"/>
                <w:lang w:val="en-US"/>
              </w:rPr>
              <w:t>Sep 10, 2014</w:t>
            </w:r>
          </w:p>
        </w:tc>
        <w:tc>
          <w:tcPr>
            <w:tcW w:w="630" w:type="dxa"/>
            <w:shd w:val="clear" w:color="auto" w:fill="FFFFFF"/>
            <w:vAlign w:val="center"/>
          </w:tcPr>
          <w:p w14:paraId="47C9F887" w14:textId="7BB6A948" w:rsidR="001762EE" w:rsidRPr="00240C37" w:rsidRDefault="001762EE" w:rsidP="00350319">
            <w:pPr>
              <w:pStyle w:val="FreeFormAAAA"/>
              <w:jc w:val="center"/>
              <w:rPr>
                <w:sz w:val="18"/>
                <w:szCs w:val="18"/>
                <w:lang w:val="en-US"/>
              </w:rPr>
            </w:pPr>
            <w:r w:rsidRPr="00240C37">
              <w:rPr>
                <w:sz w:val="18"/>
                <w:szCs w:val="18"/>
                <w:lang w:val="en-US"/>
              </w:rPr>
              <w:t>Q</w:t>
            </w:r>
          </w:p>
        </w:tc>
        <w:tc>
          <w:tcPr>
            <w:tcW w:w="1118" w:type="dxa"/>
            <w:shd w:val="clear" w:color="auto" w:fill="FFFFFF"/>
            <w:vAlign w:val="center"/>
          </w:tcPr>
          <w:p w14:paraId="2A50289D" w14:textId="77777777" w:rsidR="001762EE" w:rsidRPr="00BC13BA" w:rsidRDefault="001762EE" w:rsidP="00350319">
            <w:pPr>
              <w:pStyle w:val="FreeFormAAAA"/>
              <w:jc w:val="center"/>
              <w:rPr>
                <w:sz w:val="18"/>
                <w:szCs w:val="18"/>
                <w:lang w:val="en-US"/>
              </w:rPr>
            </w:pPr>
            <w:r w:rsidRPr="00BC13BA">
              <w:rPr>
                <w:sz w:val="18"/>
                <w:szCs w:val="18"/>
                <w:lang w:val="en-US"/>
              </w:rPr>
              <w:t>Feb 28, 2013</w:t>
            </w:r>
          </w:p>
        </w:tc>
        <w:tc>
          <w:tcPr>
            <w:tcW w:w="592" w:type="dxa"/>
            <w:shd w:val="clear" w:color="auto" w:fill="FFFFFF"/>
            <w:vAlign w:val="center"/>
          </w:tcPr>
          <w:p w14:paraId="6032D325" w14:textId="7DD49AF0" w:rsidR="001762EE" w:rsidRPr="005323C0" w:rsidRDefault="001762EE" w:rsidP="00350319">
            <w:pPr>
              <w:pStyle w:val="FreeFormAAAA"/>
              <w:jc w:val="center"/>
              <w:rPr>
                <w:sz w:val="18"/>
                <w:szCs w:val="18"/>
                <w:lang w:val="en-US"/>
              </w:rPr>
            </w:pPr>
            <w:r w:rsidRPr="00D661D7">
              <w:rPr>
                <w:sz w:val="18"/>
                <w:szCs w:val="18"/>
                <w:lang w:val="en-US"/>
              </w:rPr>
              <w:t>Q</w:t>
            </w:r>
          </w:p>
        </w:tc>
        <w:tc>
          <w:tcPr>
            <w:tcW w:w="1109" w:type="dxa"/>
            <w:shd w:val="clear" w:color="auto" w:fill="FFFFFF"/>
            <w:vAlign w:val="center"/>
          </w:tcPr>
          <w:p w14:paraId="18DB108E" w14:textId="77777777" w:rsidR="001762EE" w:rsidRPr="009D76C2" w:rsidRDefault="001762EE" w:rsidP="00350319">
            <w:pPr>
              <w:pStyle w:val="FreeFormAAAA"/>
              <w:ind w:left="-57" w:right="-57"/>
              <w:jc w:val="center"/>
              <w:rPr>
                <w:sz w:val="18"/>
                <w:szCs w:val="18"/>
                <w:lang w:val="en-US"/>
              </w:rPr>
            </w:pPr>
            <w:r w:rsidRPr="009D76C2">
              <w:rPr>
                <w:sz w:val="18"/>
                <w:szCs w:val="18"/>
                <w:lang w:val="en-US"/>
              </w:rPr>
              <w:t>Feb 28, 2012</w:t>
            </w:r>
          </w:p>
        </w:tc>
      </w:tr>
      <w:tr w:rsidR="001762EE" w:rsidRPr="00E90249" w14:paraId="5D133E91" w14:textId="77777777" w:rsidTr="003B302C">
        <w:trPr>
          <w:cantSplit/>
          <w:trHeight w:val="600"/>
        </w:trPr>
        <w:tc>
          <w:tcPr>
            <w:tcW w:w="450" w:type="dxa"/>
            <w:shd w:val="clear" w:color="auto" w:fill="FFFFFF"/>
            <w:vAlign w:val="center"/>
          </w:tcPr>
          <w:p w14:paraId="3147ED2D" w14:textId="77777777" w:rsidR="001762EE" w:rsidRPr="005108BC" w:rsidRDefault="001762EE" w:rsidP="00350319">
            <w:pPr>
              <w:pStyle w:val="FreeFormAAAA"/>
              <w:jc w:val="center"/>
              <w:rPr>
                <w:sz w:val="18"/>
                <w:szCs w:val="18"/>
                <w:lang w:val="en-US"/>
              </w:rPr>
            </w:pPr>
            <w:r w:rsidRPr="005108BC">
              <w:rPr>
                <w:sz w:val="18"/>
                <w:szCs w:val="18"/>
                <w:lang w:val="en-US"/>
              </w:rPr>
              <w:t>6</w:t>
            </w:r>
          </w:p>
        </w:tc>
        <w:tc>
          <w:tcPr>
            <w:tcW w:w="1767" w:type="dxa"/>
            <w:shd w:val="clear" w:color="auto" w:fill="FFFFFF"/>
            <w:vAlign w:val="center"/>
          </w:tcPr>
          <w:p w14:paraId="2F629491" w14:textId="1659656B" w:rsidR="001762EE" w:rsidRPr="003D30F7" w:rsidRDefault="001762EE" w:rsidP="00350319">
            <w:pPr>
              <w:pStyle w:val="FreeFormAAAA"/>
              <w:rPr>
                <w:sz w:val="18"/>
                <w:szCs w:val="18"/>
                <w:lang w:val="en-US"/>
              </w:rPr>
            </w:pPr>
            <w:r w:rsidRPr="003D30F7">
              <w:rPr>
                <w:sz w:val="18"/>
                <w:szCs w:val="18"/>
                <w:lang w:val="en-US"/>
              </w:rPr>
              <w:t>Department of Environment and Natural Resources</w:t>
            </w:r>
          </w:p>
        </w:tc>
        <w:tc>
          <w:tcPr>
            <w:tcW w:w="708" w:type="dxa"/>
            <w:shd w:val="clear" w:color="auto" w:fill="FFFFFF"/>
            <w:vAlign w:val="center"/>
          </w:tcPr>
          <w:p w14:paraId="73EA4182" w14:textId="39A968EB"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7CE01953" w14:textId="1793837B" w:rsidR="001762EE" w:rsidRPr="005108BC" w:rsidRDefault="001762EE" w:rsidP="00350319">
            <w:pPr>
              <w:pStyle w:val="FreeFormAAAA"/>
              <w:jc w:val="center"/>
              <w:rPr>
                <w:sz w:val="18"/>
                <w:szCs w:val="18"/>
                <w:lang w:val="en-US"/>
              </w:rPr>
            </w:pPr>
            <w:r w:rsidRPr="005108BC">
              <w:rPr>
                <w:sz w:val="18"/>
                <w:szCs w:val="18"/>
                <w:lang w:val="en-US"/>
              </w:rPr>
              <w:t>Jun 4, 2015</w:t>
            </w:r>
          </w:p>
        </w:tc>
        <w:tc>
          <w:tcPr>
            <w:tcW w:w="630" w:type="dxa"/>
            <w:shd w:val="clear" w:color="auto" w:fill="FFFFFF"/>
            <w:vAlign w:val="center"/>
          </w:tcPr>
          <w:p w14:paraId="3C388428" w14:textId="12D2C675" w:rsidR="001762EE" w:rsidRPr="003D30F7" w:rsidRDefault="001762EE" w:rsidP="00350319">
            <w:pPr>
              <w:pStyle w:val="FreeFormAAAA"/>
              <w:jc w:val="center"/>
              <w:rPr>
                <w:sz w:val="18"/>
                <w:szCs w:val="18"/>
                <w:lang w:val="en-US"/>
              </w:rPr>
            </w:pPr>
            <w:r w:rsidRPr="003D30F7">
              <w:rPr>
                <w:sz w:val="18"/>
                <w:szCs w:val="18"/>
                <w:lang w:val="en-US"/>
              </w:rPr>
              <w:t>A</w:t>
            </w:r>
          </w:p>
        </w:tc>
        <w:tc>
          <w:tcPr>
            <w:tcW w:w="1170" w:type="dxa"/>
            <w:shd w:val="clear" w:color="auto" w:fill="FFFFFF"/>
            <w:vAlign w:val="center"/>
          </w:tcPr>
          <w:p w14:paraId="5F32C7DF" w14:textId="77777777" w:rsidR="001762EE" w:rsidRPr="00773338" w:rsidRDefault="001762EE" w:rsidP="00350319">
            <w:pPr>
              <w:pStyle w:val="FreeFormAAAA"/>
              <w:jc w:val="center"/>
              <w:rPr>
                <w:sz w:val="18"/>
                <w:szCs w:val="18"/>
                <w:lang w:val="en-US"/>
              </w:rPr>
            </w:pPr>
            <w:r w:rsidRPr="00773338">
              <w:rPr>
                <w:sz w:val="18"/>
                <w:szCs w:val="18"/>
                <w:lang w:val="en-US"/>
              </w:rPr>
              <w:t>Jun 30, 2014</w:t>
            </w:r>
          </w:p>
        </w:tc>
        <w:tc>
          <w:tcPr>
            <w:tcW w:w="630" w:type="dxa"/>
            <w:shd w:val="clear" w:color="auto" w:fill="FFFFFF"/>
            <w:vAlign w:val="center"/>
          </w:tcPr>
          <w:p w14:paraId="3A2AB1F2" w14:textId="29893AD3" w:rsidR="001762EE" w:rsidRPr="00083BC1" w:rsidRDefault="001762EE" w:rsidP="00350319">
            <w:pPr>
              <w:pStyle w:val="FreeFormAAAA"/>
              <w:jc w:val="center"/>
              <w:rPr>
                <w:sz w:val="18"/>
                <w:szCs w:val="18"/>
                <w:lang w:val="en-US"/>
              </w:rPr>
            </w:pPr>
            <w:r w:rsidRPr="00083BC1">
              <w:rPr>
                <w:sz w:val="18"/>
                <w:szCs w:val="18"/>
                <w:lang w:val="en-US"/>
              </w:rPr>
              <w:t>A</w:t>
            </w:r>
          </w:p>
        </w:tc>
        <w:tc>
          <w:tcPr>
            <w:tcW w:w="1118" w:type="dxa"/>
            <w:shd w:val="clear" w:color="auto" w:fill="FFFFFF"/>
            <w:vAlign w:val="center"/>
          </w:tcPr>
          <w:p w14:paraId="12F95507" w14:textId="77777777" w:rsidR="001762EE" w:rsidRPr="00240C37" w:rsidRDefault="001762EE" w:rsidP="00350319">
            <w:pPr>
              <w:pStyle w:val="FreeFormAAAA"/>
              <w:jc w:val="center"/>
              <w:rPr>
                <w:sz w:val="18"/>
                <w:szCs w:val="18"/>
                <w:lang w:val="en-US"/>
              </w:rPr>
            </w:pPr>
            <w:r w:rsidRPr="00240C37">
              <w:rPr>
                <w:sz w:val="18"/>
                <w:szCs w:val="18"/>
                <w:lang w:val="en-US"/>
              </w:rPr>
              <w:t>May 31, 2013</w:t>
            </w:r>
          </w:p>
        </w:tc>
        <w:tc>
          <w:tcPr>
            <w:tcW w:w="592" w:type="dxa"/>
            <w:shd w:val="clear" w:color="auto" w:fill="FFFFFF"/>
            <w:vAlign w:val="center"/>
          </w:tcPr>
          <w:p w14:paraId="023FA54B" w14:textId="3412F3E6" w:rsidR="001762EE" w:rsidRPr="00BC13BA" w:rsidRDefault="001762EE" w:rsidP="00350319">
            <w:pPr>
              <w:pStyle w:val="FreeFormAAAA"/>
              <w:jc w:val="center"/>
              <w:rPr>
                <w:sz w:val="18"/>
                <w:szCs w:val="18"/>
                <w:lang w:val="en-US"/>
              </w:rPr>
            </w:pPr>
            <w:r w:rsidRPr="00BC13BA">
              <w:rPr>
                <w:sz w:val="18"/>
                <w:szCs w:val="18"/>
                <w:lang w:val="en-US"/>
              </w:rPr>
              <w:t>A</w:t>
            </w:r>
          </w:p>
        </w:tc>
        <w:tc>
          <w:tcPr>
            <w:tcW w:w="1109" w:type="dxa"/>
            <w:shd w:val="clear" w:color="auto" w:fill="FFFFFF"/>
            <w:vAlign w:val="center"/>
          </w:tcPr>
          <w:p w14:paraId="5EB4E71D"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Jun 11, 2012</w:t>
            </w:r>
          </w:p>
        </w:tc>
      </w:tr>
      <w:tr w:rsidR="001762EE" w:rsidRPr="00E90249" w14:paraId="7D9AD08C" w14:textId="77777777" w:rsidTr="003B302C">
        <w:trPr>
          <w:cantSplit/>
          <w:trHeight w:val="400"/>
        </w:trPr>
        <w:tc>
          <w:tcPr>
            <w:tcW w:w="450" w:type="dxa"/>
            <w:shd w:val="clear" w:color="auto" w:fill="FFFFFF"/>
            <w:vAlign w:val="center"/>
          </w:tcPr>
          <w:p w14:paraId="46543B42" w14:textId="77777777" w:rsidR="001762EE" w:rsidRPr="005108BC" w:rsidRDefault="001762EE" w:rsidP="00350319">
            <w:pPr>
              <w:pStyle w:val="FreeFormAAAA"/>
              <w:jc w:val="center"/>
              <w:rPr>
                <w:sz w:val="18"/>
                <w:szCs w:val="18"/>
                <w:lang w:val="en-US"/>
              </w:rPr>
            </w:pPr>
            <w:r w:rsidRPr="005108BC">
              <w:rPr>
                <w:sz w:val="18"/>
                <w:szCs w:val="18"/>
                <w:lang w:val="en-US"/>
              </w:rPr>
              <w:t>7</w:t>
            </w:r>
          </w:p>
        </w:tc>
        <w:tc>
          <w:tcPr>
            <w:tcW w:w="1767" w:type="dxa"/>
            <w:shd w:val="clear" w:color="auto" w:fill="FFFFFF"/>
            <w:vAlign w:val="center"/>
          </w:tcPr>
          <w:p w14:paraId="2872331C" w14:textId="1FA6BBD5" w:rsidR="001762EE" w:rsidRPr="003D30F7" w:rsidRDefault="001762EE" w:rsidP="00350319">
            <w:pPr>
              <w:pStyle w:val="FreeFormAAAA"/>
              <w:rPr>
                <w:sz w:val="18"/>
                <w:szCs w:val="18"/>
                <w:lang w:val="en-US"/>
              </w:rPr>
            </w:pPr>
            <w:r w:rsidRPr="003D30F7">
              <w:rPr>
                <w:sz w:val="18"/>
                <w:szCs w:val="18"/>
                <w:lang w:val="en-US"/>
              </w:rPr>
              <w:t>Department of Finance</w:t>
            </w:r>
          </w:p>
        </w:tc>
        <w:tc>
          <w:tcPr>
            <w:tcW w:w="708" w:type="dxa"/>
            <w:shd w:val="clear" w:color="auto" w:fill="FFFFFF"/>
            <w:vAlign w:val="center"/>
          </w:tcPr>
          <w:p w14:paraId="401F94BC" w14:textId="0A078A65"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1699C8CA" w14:textId="1127D69C" w:rsidR="001762EE" w:rsidRPr="005108BC" w:rsidRDefault="001762EE" w:rsidP="00350319">
            <w:pPr>
              <w:pStyle w:val="FreeFormAAAA"/>
              <w:jc w:val="center"/>
              <w:rPr>
                <w:sz w:val="18"/>
                <w:szCs w:val="18"/>
                <w:lang w:val="en-US"/>
              </w:rPr>
            </w:pPr>
            <w:r w:rsidRPr="005108BC">
              <w:rPr>
                <w:sz w:val="18"/>
                <w:szCs w:val="18"/>
                <w:lang w:val="en-US"/>
              </w:rPr>
              <w:t>Jun 16, 2015</w:t>
            </w:r>
          </w:p>
        </w:tc>
        <w:tc>
          <w:tcPr>
            <w:tcW w:w="630" w:type="dxa"/>
            <w:shd w:val="clear" w:color="auto" w:fill="FFFFFF"/>
            <w:vAlign w:val="center"/>
          </w:tcPr>
          <w:p w14:paraId="24B8B4B7" w14:textId="0F22994A" w:rsidR="001762EE" w:rsidRPr="003D30F7" w:rsidRDefault="001762EE" w:rsidP="00350319">
            <w:pPr>
              <w:pStyle w:val="FreeFormAAAA"/>
              <w:jc w:val="center"/>
              <w:rPr>
                <w:sz w:val="18"/>
                <w:szCs w:val="18"/>
                <w:lang w:val="en-US"/>
              </w:rPr>
            </w:pPr>
            <w:r w:rsidRPr="003D30F7">
              <w:rPr>
                <w:sz w:val="18"/>
                <w:szCs w:val="18"/>
                <w:lang w:val="en-US"/>
              </w:rPr>
              <w:t>UQ</w:t>
            </w:r>
          </w:p>
        </w:tc>
        <w:tc>
          <w:tcPr>
            <w:tcW w:w="1170" w:type="dxa"/>
            <w:shd w:val="clear" w:color="auto" w:fill="FFFFFF"/>
            <w:vAlign w:val="center"/>
          </w:tcPr>
          <w:p w14:paraId="5CF9A752" w14:textId="77777777" w:rsidR="001762EE" w:rsidRPr="00773338" w:rsidRDefault="001762EE" w:rsidP="00350319">
            <w:pPr>
              <w:pStyle w:val="FreeFormAAAA"/>
              <w:jc w:val="center"/>
              <w:rPr>
                <w:sz w:val="18"/>
                <w:szCs w:val="18"/>
                <w:lang w:val="en-US"/>
              </w:rPr>
            </w:pPr>
            <w:r w:rsidRPr="00773338">
              <w:rPr>
                <w:sz w:val="18"/>
                <w:szCs w:val="18"/>
                <w:lang w:val="en-US"/>
              </w:rPr>
              <w:t>Apr 15, 2014</w:t>
            </w:r>
          </w:p>
        </w:tc>
        <w:tc>
          <w:tcPr>
            <w:tcW w:w="630" w:type="dxa"/>
            <w:shd w:val="clear" w:color="auto" w:fill="FFFFFF"/>
            <w:vAlign w:val="center"/>
          </w:tcPr>
          <w:p w14:paraId="7094E2A2" w14:textId="10A27A4F"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1AC745A2" w14:textId="77777777" w:rsidR="001762EE" w:rsidRPr="00240C37" w:rsidRDefault="001762EE" w:rsidP="00350319">
            <w:pPr>
              <w:pStyle w:val="FreeFormAAAA"/>
              <w:jc w:val="center"/>
              <w:rPr>
                <w:sz w:val="18"/>
                <w:szCs w:val="18"/>
                <w:lang w:val="en-US"/>
              </w:rPr>
            </w:pPr>
            <w:r w:rsidRPr="00240C37">
              <w:rPr>
                <w:sz w:val="18"/>
                <w:szCs w:val="18"/>
                <w:lang w:val="en-US"/>
              </w:rPr>
              <w:t>Mar 22, 2013</w:t>
            </w:r>
          </w:p>
        </w:tc>
        <w:tc>
          <w:tcPr>
            <w:tcW w:w="592" w:type="dxa"/>
            <w:shd w:val="clear" w:color="auto" w:fill="FFFFFF"/>
            <w:vAlign w:val="center"/>
          </w:tcPr>
          <w:p w14:paraId="69C7172A" w14:textId="7F121C8A"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15D092C2"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Apr 20, 2012</w:t>
            </w:r>
          </w:p>
        </w:tc>
      </w:tr>
      <w:tr w:rsidR="001762EE" w:rsidRPr="00E90249" w14:paraId="7C37B879" w14:textId="77777777" w:rsidTr="003B302C">
        <w:trPr>
          <w:cantSplit/>
          <w:trHeight w:val="400"/>
        </w:trPr>
        <w:tc>
          <w:tcPr>
            <w:tcW w:w="450" w:type="dxa"/>
            <w:shd w:val="clear" w:color="auto" w:fill="FFFFFF"/>
            <w:vAlign w:val="center"/>
          </w:tcPr>
          <w:p w14:paraId="373F9447" w14:textId="77777777" w:rsidR="001762EE" w:rsidRPr="005108BC" w:rsidRDefault="001762EE" w:rsidP="00350319">
            <w:pPr>
              <w:pStyle w:val="FreeFormAAAA"/>
              <w:jc w:val="center"/>
              <w:rPr>
                <w:sz w:val="18"/>
                <w:szCs w:val="18"/>
                <w:lang w:val="en-US"/>
              </w:rPr>
            </w:pPr>
            <w:r w:rsidRPr="005108BC">
              <w:rPr>
                <w:sz w:val="18"/>
                <w:szCs w:val="18"/>
                <w:lang w:val="en-US"/>
              </w:rPr>
              <w:t>8</w:t>
            </w:r>
          </w:p>
        </w:tc>
        <w:tc>
          <w:tcPr>
            <w:tcW w:w="1767" w:type="dxa"/>
            <w:shd w:val="clear" w:color="auto" w:fill="FFFFFF"/>
            <w:vAlign w:val="center"/>
          </w:tcPr>
          <w:p w14:paraId="1D2846BB" w14:textId="14CE2E32" w:rsidR="001762EE" w:rsidRPr="00773338" w:rsidRDefault="001762EE" w:rsidP="00350319">
            <w:pPr>
              <w:pStyle w:val="FreeFormAAAA"/>
              <w:rPr>
                <w:sz w:val="18"/>
                <w:szCs w:val="18"/>
                <w:lang w:val="en-US"/>
              </w:rPr>
            </w:pPr>
            <w:r w:rsidRPr="003D30F7">
              <w:rPr>
                <w:sz w:val="18"/>
                <w:szCs w:val="18"/>
                <w:lang w:val="en-US"/>
              </w:rPr>
              <w:t>Department of Foreign Affa</w:t>
            </w:r>
            <w:r w:rsidRPr="00773338">
              <w:rPr>
                <w:sz w:val="18"/>
                <w:szCs w:val="18"/>
                <w:lang w:val="en-US"/>
              </w:rPr>
              <w:t>irs</w:t>
            </w:r>
          </w:p>
        </w:tc>
        <w:tc>
          <w:tcPr>
            <w:tcW w:w="708" w:type="dxa"/>
            <w:shd w:val="clear" w:color="auto" w:fill="FFFFFF"/>
            <w:vAlign w:val="center"/>
          </w:tcPr>
          <w:p w14:paraId="2D2E2CBB" w14:textId="7A90D482"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5F76CFA2" w14:textId="4060D8BE" w:rsidR="001762EE" w:rsidRPr="005108BC" w:rsidRDefault="001762EE" w:rsidP="00350319">
            <w:pPr>
              <w:pStyle w:val="FreeFormAAAA"/>
              <w:jc w:val="center"/>
              <w:rPr>
                <w:sz w:val="18"/>
                <w:szCs w:val="18"/>
                <w:lang w:val="en-US"/>
              </w:rPr>
            </w:pPr>
            <w:r w:rsidRPr="005108BC">
              <w:rPr>
                <w:sz w:val="18"/>
                <w:szCs w:val="18"/>
                <w:lang w:val="en-US"/>
              </w:rPr>
              <w:t>Jul 30, 2015</w:t>
            </w:r>
          </w:p>
        </w:tc>
        <w:tc>
          <w:tcPr>
            <w:tcW w:w="630" w:type="dxa"/>
            <w:shd w:val="clear" w:color="auto" w:fill="FFFFFF"/>
            <w:vAlign w:val="center"/>
          </w:tcPr>
          <w:p w14:paraId="6C08618D" w14:textId="11B9FCFD"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1893470D" w14:textId="77777777" w:rsidR="001762EE" w:rsidRPr="00773338" w:rsidRDefault="001762EE" w:rsidP="00350319">
            <w:pPr>
              <w:pStyle w:val="FreeFormAAAA"/>
              <w:jc w:val="center"/>
              <w:rPr>
                <w:sz w:val="18"/>
                <w:szCs w:val="18"/>
                <w:lang w:val="en-US"/>
              </w:rPr>
            </w:pPr>
            <w:r w:rsidRPr="00773338">
              <w:rPr>
                <w:sz w:val="18"/>
                <w:szCs w:val="18"/>
                <w:lang w:val="en-US"/>
              </w:rPr>
              <w:t>Aug 22, 2014</w:t>
            </w:r>
          </w:p>
        </w:tc>
        <w:tc>
          <w:tcPr>
            <w:tcW w:w="630" w:type="dxa"/>
            <w:shd w:val="clear" w:color="auto" w:fill="FFFFFF"/>
            <w:vAlign w:val="center"/>
          </w:tcPr>
          <w:p w14:paraId="651975B1" w14:textId="443AF161"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1CC4FB71" w14:textId="77777777" w:rsidR="001762EE" w:rsidRPr="00240C37" w:rsidRDefault="001762EE" w:rsidP="00350319">
            <w:pPr>
              <w:pStyle w:val="FreeFormAAAA"/>
              <w:jc w:val="center"/>
              <w:rPr>
                <w:sz w:val="18"/>
                <w:szCs w:val="18"/>
                <w:lang w:val="en-US"/>
              </w:rPr>
            </w:pPr>
            <w:r w:rsidRPr="00240C37">
              <w:rPr>
                <w:sz w:val="18"/>
                <w:szCs w:val="18"/>
                <w:lang w:val="en-US"/>
              </w:rPr>
              <w:t>Jun 17, 2013</w:t>
            </w:r>
          </w:p>
        </w:tc>
        <w:tc>
          <w:tcPr>
            <w:tcW w:w="592" w:type="dxa"/>
            <w:shd w:val="clear" w:color="auto" w:fill="FFFFFF"/>
            <w:vAlign w:val="center"/>
          </w:tcPr>
          <w:p w14:paraId="4BEEE65B" w14:textId="7E44849A"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270815C4"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May 31, 2012</w:t>
            </w:r>
          </w:p>
        </w:tc>
      </w:tr>
      <w:tr w:rsidR="001762EE" w:rsidRPr="00E90249" w14:paraId="286C336F" w14:textId="77777777" w:rsidTr="003B302C">
        <w:trPr>
          <w:cantSplit/>
          <w:trHeight w:val="400"/>
        </w:trPr>
        <w:tc>
          <w:tcPr>
            <w:tcW w:w="450" w:type="dxa"/>
            <w:shd w:val="clear" w:color="auto" w:fill="FFFFFF"/>
            <w:vAlign w:val="center"/>
          </w:tcPr>
          <w:p w14:paraId="00ACE39C" w14:textId="77777777" w:rsidR="001762EE" w:rsidRPr="005108BC" w:rsidRDefault="001762EE" w:rsidP="00350319">
            <w:pPr>
              <w:pStyle w:val="FreeFormAAAA"/>
              <w:jc w:val="center"/>
              <w:rPr>
                <w:sz w:val="18"/>
                <w:szCs w:val="18"/>
                <w:lang w:val="en-US"/>
              </w:rPr>
            </w:pPr>
            <w:r w:rsidRPr="005108BC">
              <w:rPr>
                <w:sz w:val="18"/>
                <w:szCs w:val="18"/>
                <w:lang w:val="en-US"/>
              </w:rPr>
              <w:t>9</w:t>
            </w:r>
          </w:p>
        </w:tc>
        <w:tc>
          <w:tcPr>
            <w:tcW w:w="1767" w:type="dxa"/>
            <w:shd w:val="clear" w:color="auto" w:fill="FFFFFF"/>
            <w:vAlign w:val="center"/>
          </w:tcPr>
          <w:p w14:paraId="03A48FA6" w14:textId="24E6BADB" w:rsidR="001762EE" w:rsidRPr="003D30F7" w:rsidRDefault="001762EE" w:rsidP="00350319">
            <w:pPr>
              <w:pStyle w:val="FreeFormAAAA"/>
              <w:rPr>
                <w:sz w:val="18"/>
                <w:szCs w:val="18"/>
                <w:lang w:val="en-US"/>
              </w:rPr>
            </w:pPr>
            <w:r w:rsidRPr="003D30F7">
              <w:rPr>
                <w:sz w:val="18"/>
                <w:szCs w:val="18"/>
                <w:lang w:val="en-US"/>
              </w:rPr>
              <w:t>Department of Health</w:t>
            </w:r>
          </w:p>
        </w:tc>
        <w:tc>
          <w:tcPr>
            <w:tcW w:w="708" w:type="dxa"/>
            <w:shd w:val="clear" w:color="auto" w:fill="FFFFFF"/>
            <w:vAlign w:val="center"/>
          </w:tcPr>
          <w:p w14:paraId="5B277AB8" w14:textId="69EDE997" w:rsidR="001762EE" w:rsidRPr="00773338" w:rsidRDefault="001762EE" w:rsidP="00350319">
            <w:pPr>
              <w:pStyle w:val="FreeFormAAAA"/>
              <w:jc w:val="center"/>
              <w:rPr>
                <w:sz w:val="18"/>
                <w:szCs w:val="18"/>
                <w:lang w:val="en-US"/>
              </w:rPr>
            </w:pPr>
            <w:r w:rsidRPr="00773338">
              <w:rPr>
                <w:sz w:val="18"/>
                <w:szCs w:val="18"/>
                <w:lang w:val="en-US"/>
              </w:rPr>
              <w:t>Q</w:t>
            </w:r>
          </w:p>
        </w:tc>
        <w:tc>
          <w:tcPr>
            <w:tcW w:w="1272" w:type="dxa"/>
            <w:shd w:val="clear" w:color="auto" w:fill="FFFFFF"/>
            <w:vAlign w:val="center"/>
          </w:tcPr>
          <w:p w14:paraId="149BB8A6" w14:textId="63E376BB" w:rsidR="001762EE" w:rsidRPr="00E90249" w:rsidRDefault="001762EE" w:rsidP="00350319">
            <w:pPr>
              <w:pStyle w:val="FreeFormAAAA"/>
              <w:jc w:val="center"/>
              <w:rPr>
                <w:sz w:val="18"/>
                <w:szCs w:val="18"/>
                <w:lang w:val="en-US"/>
              </w:rPr>
            </w:pPr>
            <w:r w:rsidRPr="00E90249">
              <w:rPr>
                <w:sz w:val="18"/>
                <w:szCs w:val="18"/>
                <w:lang w:val="en-US"/>
              </w:rPr>
              <w:t>Apr 10, 2015</w:t>
            </w:r>
          </w:p>
        </w:tc>
        <w:tc>
          <w:tcPr>
            <w:tcW w:w="630" w:type="dxa"/>
            <w:shd w:val="clear" w:color="auto" w:fill="FFFFFF"/>
            <w:vAlign w:val="center"/>
          </w:tcPr>
          <w:p w14:paraId="35077DB0" w14:textId="40AE2C4E" w:rsidR="001762EE" w:rsidRPr="00083BC1" w:rsidRDefault="001762EE" w:rsidP="00350319">
            <w:pPr>
              <w:pStyle w:val="FreeFormAAAA"/>
              <w:jc w:val="center"/>
              <w:rPr>
                <w:sz w:val="18"/>
                <w:szCs w:val="18"/>
                <w:lang w:val="en-US"/>
              </w:rPr>
            </w:pPr>
            <w:r w:rsidRPr="00083BC1">
              <w:rPr>
                <w:sz w:val="18"/>
                <w:szCs w:val="18"/>
                <w:lang w:val="en-US"/>
              </w:rPr>
              <w:t>Q</w:t>
            </w:r>
          </w:p>
        </w:tc>
        <w:tc>
          <w:tcPr>
            <w:tcW w:w="1170" w:type="dxa"/>
            <w:shd w:val="clear" w:color="auto" w:fill="FFFFFF"/>
            <w:vAlign w:val="center"/>
          </w:tcPr>
          <w:p w14:paraId="7B6DAA6A" w14:textId="77777777" w:rsidR="001762EE" w:rsidRPr="00240C37" w:rsidRDefault="001762EE" w:rsidP="00350319">
            <w:pPr>
              <w:pStyle w:val="FreeFormAAAA"/>
              <w:jc w:val="center"/>
              <w:rPr>
                <w:sz w:val="18"/>
                <w:szCs w:val="18"/>
                <w:lang w:val="en-US"/>
              </w:rPr>
            </w:pPr>
            <w:r w:rsidRPr="00240C37">
              <w:rPr>
                <w:sz w:val="18"/>
                <w:szCs w:val="18"/>
                <w:lang w:val="en-US"/>
              </w:rPr>
              <w:t>Oct 3, 2014</w:t>
            </w:r>
          </w:p>
        </w:tc>
        <w:tc>
          <w:tcPr>
            <w:tcW w:w="630" w:type="dxa"/>
            <w:shd w:val="clear" w:color="auto" w:fill="FFFFFF"/>
            <w:vAlign w:val="center"/>
          </w:tcPr>
          <w:p w14:paraId="392FB0C6" w14:textId="244AF76C" w:rsidR="001762EE" w:rsidRPr="00BC13BA" w:rsidRDefault="001762EE" w:rsidP="00350319">
            <w:pPr>
              <w:pStyle w:val="FreeFormAAAA"/>
              <w:jc w:val="center"/>
              <w:rPr>
                <w:sz w:val="18"/>
                <w:szCs w:val="18"/>
                <w:lang w:val="en-US"/>
              </w:rPr>
            </w:pPr>
            <w:r w:rsidRPr="00BC13BA">
              <w:rPr>
                <w:sz w:val="18"/>
                <w:szCs w:val="18"/>
                <w:lang w:val="en-US"/>
              </w:rPr>
              <w:t>Q</w:t>
            </w:r>
          </w:p>
        </w:tc>
        <w:tc>
          <w:tcPr>
            <w:tcW w:w="1118" w:type="dxa"/>
            <w:shd w:val="clear" w:color="auto" w:fill="FFFFFF"/>
            <w:vAlign w:val="center"/>
          </w:tcPr>
          <w:p w14:paraId="759D76F7" w14:textId="77777777" w:rsidR="001762EE" w:rsidRPr="005323C0" w:rsidRDefault="001762EE" w:rsidP="00350319">
            <w:pPr>
              <w:pStyle w:val="FreeFormAAAA"/>
              <w:jc w:val="center"/>
              <w:rPr>
                <w:sz w:val="18"/>
                <w:szCs w:val="18"/>
                <w:lang w:val="en-US"/>
              </w:rPr>
            </w:pPr>
            <w:r w:rsidRPr="00D661D7">
              <w:rPr>
                <w:sz w:val="18"/>
                <w:szCs w:val="18"/>
                <w:lang w:val="en-US"/>
              </w:rPr>
              <w:t>Jul 31, 2013</w:t>
            </w:r>
          </w:p>
        </w:tc>
        <w:tc>
          <w:tcPr>
            <w:tcW w:w="592" w:type="dxa"/>
            <w:shd w:val="clear" w:color="auto" w:fill="FFFFFF"/>
            <w:vAlign w:val="center"/>
          </w:tcPr>
          <w:p w14:paraId="34E9D62C" w14:textId="093156DD" w:rsidR="001762EE" w:rsidRPr="009D76C2" w:rsidRDefault="001762EE" w:rsidP="00350319">
            <w:pPr>
              <w:pStyle w:val="FreeFormAAAA"/>
              <w:jc w:val="center"/>
              <w:rPr>
                <w:sz w:val="18"/>
                <w:szCs w:val="18"/>
                <w:lang w:val="en-US"/>
              </w:rPr>
            </w:pPr>
            <w:r w:rsidRPr="009D76C2">
              <w:rPr>
                <w:sz w:val="18"/>
                <w:szCs w:val="18"/>
                <w:lang w:val="en-US"/>
              </w:rPr>
              <w:t>Q</w:t>
            </w:r>
          </w:p>
        </w:tc>
        <w:tc>
          <w:tcPr>
            <w:tcW w:w="1109" w:type="dxa"/>
            <w:shd w:val="clear" w:color="auto" w:fill="FFFFFF"/>
            <w:vAlign w:val="center"/>
          </w:tcPr>
          <w:p w14:paraId="09CA13F4" w14:textId="77777777" w:rsidR="001762EE" w:rsidRPr="00B54286" w:rsidRDefault="001762EE" w:rsidP="00350319">
            <w:pPr>
              <w:pStyle w:val="FreeFormAAAA"/>
              <w:ind w:left="-57" w:right="-57"/>
              <w:jc w:val="center"/>
              <w:rPr>
                <w:sz w:val="18"/>
                <w:szCs w:val="18"/>
                <w:lang w:val="en-US"/>
              </w:rPr>
            </w:pPr>
            <w:r w:rsidRPr="00F14020">
              <w:rPr>
                <w:sz w:val="18"/>
                <w:szCs w:val="18"/>
                <w:lang w:val="en-US"/>
              </w:rPr>
              <w:t>May 31, 2012</w:t>
            </w:r>
          </w:p>
        </w:tc>
      </w:tr>
      <w:tr w:rsidR="001762EE" w:rsidRPr="00E90249" w14:paraId="6D0E9340" w14:textId="77777777" w:rsidTr="003B302C">
        <w:trPr>
          <w:cantSplit/>
          <w:trHeight w:val="400"/>
        </w:trPr>
        <w:tc>
          <w:tcPr>
            <w:tcW w:w="450" w:type="dxa"/>
            <w:shd w:val="clear" w:color="auto" w:fill="FFFFFF"/>
            <w:vAlign w:val="center"/>
          </w:tcPr>
          <w:p w14:paraId="59FE0137" w14:textId="77777777" w:rsidR="001762EE" w:rsidRPr="005108BC" w:rsidRDefault="001762EE" w:rsidP="00350319">
            <w:pPr>
              <w:pStyle w:val="FreeFormAAAA"/>
              <w:jc w:val="center"/>
              <w:rPr>
                <w:sz w:val="18"/>
                <w:szCs w:val="18"/>
                <w:lang w:val="en-US"/>
              </w:rPr>
            </w:pPr>
            <w:r w:rsidRPr="005108BC">
              <w:rPr>
                <w:sz w:val="18"/>
                <w:szCs w:val="18"/>
                <w:lang w:val="en-US"/>
              </w:rPr>
              <w:t>10</w:t>
            </w:r>
          </w:p>
        </w:tc>
        <w:tc>
          <w:tcPr>
            <w:tcW w:w="1767" w:type="dxa"/>
            <w:shd w:val="clear" w:color="auto" w:fill="FFFFFF"/>
            <w:vAlign w:val="center"/>
          </w:tcPr>
          <w:p w14:paraId="0081774C" w14:textId="5545099E" w:rsidR="001762EE" w:rsidRPr="003D30F7" w:rsidRDefault="001762EE" w:rsidP="00350319">
            <w:pPr>
              <w:pStyle w:val="FreeFormAAAA"/>
              <w:rPr>
                <w:sz w:val="18"/>
                <w:szCs w:val="18"/>
                <w:lang w:val="en-US"/>
              </w:rPr>
            </w:pPr>
            <w:r w:rsidRPr="003D30F7">
              <w:rPr>
                <w:sz w:val="18"/>
                <w:szCs w:val="18"/>
                <w:lang w:val="en-US"/>
              </w:rPr>
              <w:t>Department of Justice</w:t>
            </w:r>
          </w:p>
        </w:tc>
        <w:tc>
          <w:tcPr>
            <w:tcW w:w="708" w:type="dxa"/>
            <w:shd w:val="clear" w:color="auto" w:fill="FFFFFF"/>
            <w:vAlign w:val="center"/>
          </w:tcPr>
          <w:p w14:paraId="01CA49B3" w14:textId="70DB9AB3" w:rsidR="001762EE" w:rsidRPr="00773338" w:rsidRDefault="001762EE" w:rsidP="00350319">
            <w:pPr>
              <w:pStyle w:val="FreeFormAAAA"/>
              <w:jc w:val="center"/>
              <w:rPr>
                <w:sz w:val="18"/>
                <w:szCs w:val="18"/>
                <w:lang w:val="en-US"/>
              </w:rPr>
            </w:pPr>
            <w:r w:rsidRPr="00773338">
              <w:rPr>
                <w:sz w:val="18"/>
                <w:szCs w:val="18"/>
                <w:lang w:val="en-US"/>
              </w:rPr>
              <w:t>A</w:t>
            </w:r>
          </w:p>
        </w:tc>
        <w:tc>
          <w:tcPr>
            <w:tcW w:w="1272" w:type="dxa"/>
            <w:shd w:val="clear" w:color="auto" w:fill="FFFFFF"/>
            <w:vAlign w:val="center"/>
          </w:tcPr>
          <w:p w14:paraId="4879F626" w14:textId="5E67C218" w:rsidR="001762EE" w:rsidRPr="00E90249" w:rsidRDefault="001762EE" w:rsidP="00350319">
            <w:pPr>
              <w:pStyle w:val="FreeFormAAAA"/>
              <w:jc w:val="center"/>
              <w:rPr>
                <w:sz w:val="18"/>
                <w:szCs w:val="18"/>
                <w:lang w:val="en-US"/>
              </w:rPr>
            </w:pPr>
            <w:r w:rsidRPr="00E90249">
              <w:rPr>
                <w:sz w:val="18"/>
                <w:szCs w:val="18"/>
                <w:lang w:val="en-US"/>
              </w:rPr>
              <w:t>Jun 29, 2015</w:t>
            </w:r>
          </w:p>
        </w:tc>
        <w:tc>
          <w:tcPr>
            <w:tcW w:w="630" w:type="dxa"/>
            <w:shd w:val="clear" w:color="auto" w:fill="FFFFFF"/>
            <w:vAlign w:val="center"/>
          </w:tcPr>
          <w:p w14:paraId="09E4F5E5" w14:textId="74E68B44" w:rsidR="001762EE" w:rsidRPr="00083BC1" w:rsidRDefault="001762EE" w:rsidP="00350319">
            <w:pPr>
              <w:pStyle w:val="FreeFormAAAA"/>
              <w:jc w:val="center"/>
              <w:rPr>
                <w:sz w:val="18"/>
                <w:szCs w:val="18"/>
                <w:lang w:val="en-US"/>
              </w:rPr>
            </w:pPr>
            <w:r w:rsidRPr="00083BC1">
              <w:rPr>
                <w:sz w:val="18"/>
                <w:szCs w:val="18"/>
                <w:lang w:val="en-US"/>
              </w:rPr>
              <w:t>A</w:t>
            </w:r>
          </w:p>
        </w:tc>
        <w:tc>
          <w:tcPr>
            <w:tcW w:w="1170" w:type="dxa"/>
            <w:shd w:val="clear" w:color="auto" w:fill="FFFFFF"/>
            <w:vAlign w:val="center"/>
          </w:tcPr>
          <w:p w14:paraId="2FBA1481" w14:textId="77777777" w:rsidR="001762EE" w:rsidRPr="00240C37" w:rsidRDefault="001762EE" w:rsidP="00350319">
            <w:pPr>
              <w:pStyle w:val="FreeFormAAAA"/>
              <w:jc w:val="center"/>
              <w:rPr>
                <w:sz w:val="18"/>
                <w:szCs w:val="18"/>
                <w:lang w:val="en-US"/>
              </w:rPr>
            </w:pPr>
            <w:r w:rsidRPr="00240C37">
              <w:rPr>
                <w:sz w:val="18"/>
                <w:szCs w:val="18"/>
                <w:lang w:val="en-US"/>
              </w:rPr>
              <w:t>Jun 30, 2014</w:t>
            </w:r>
          </w:p>
        </w:tc>
        <w:tc>
          <w:tcPr>
            <w:tcW w:w="630" w:type="dxa"/>
            <w:shd w:val="clear" w:color="auto" w:fill="FFFFFF"/>
            <w:vAlign w:val="center"/>
          </w:tcPr>
          <w:p w14:paraId="10B16931" w14:textId="6B02B443" w:rsidR="001762EE" w:rsidRPr="00BC13BA" w:rsidRDefault="001762EE" w:rsidP="00350319">
            <w:pPr>
              <w:pStyle w:val="FreeFormAAAA"/>
              <w:jc w:val="center"/>
              <w:rPr>
                <w:sz w:val="18"/>
                <w:szCs w:val="18"/>
                <w:lang w:val="en-US"/>
              </w:rPr>
            </w:pPr>
            <w:r w:rsidRPr="00BC13BA">
              <w:rPr>
                <w:sz w:val="18"/>
                <w:szCs w:val="18"/>
                <w:lang w:val="en-US"/>
              </w:rPr>
              <w:t>A</w:t>
            </w:r>
          </w:p>
        </w:tc>
        <w:tc>
          <w:tcPr>
            <w:tcW w:w="1118" w:type="dxa"/>
            <w:shd w:val="clear" w:color="auto" w:fill="FFFFFF"/>
            <w:vAlign w:val="center"/>
          </w:tcPr>
          <w:p w14:paraId="011D257E" w14:textId="77777777" w:rsidR="001762EE" w:rsidRPr="005323C0" w:rsidRDefault="001762EE" w:rsidP="00350319">
            <w:pPr>
              <w:pStyle w:val="FreeFormAAAA"/>
              <w:jc w:val="center"/>
              <w:rPr>
                <w:sz w:val="18"/>
                <w:szCs w:val="18"/>
                <w:lang w:val="en-US"/>
              </w:rPr>
            </w:pPr>
            <w:r w:rsidRPr="00D661D7">
              <w:rPr>
                <w:sz w:val="18"/>
                <w:szCs w:val="18"/>
                <w:lang w:val="en-US"/>
              </w:rPr>
              <w:t>Jun 20, 2013</w:t>
            </w:r>
          </w:p>
        </w:tc>
        <w:tc>
          <w:tcPr>
            <w:tcW w:w="592" w:type="dxa"/>
            <w:shd w:val="clear" w:color="auto" w:fill="FFFFFF"/>
            <w:vAlign w:val="center"/>
          </w:tcPr>
          <w:p w14:paraId="5633F816" w14:textId="15F59EAE" w:rsidR="001762EE" w:rsidRPr="009D76C2" w:rsidRDefault="001762EE" w:rsidP="00350319">
            <w:pPr>
              <w:pStyle w:val="FreeFormAAAA"/>
              <w:jc w:val="center"/>
              <w:rPr>
                <w:sz w:val="18"/>
                <w:szCs w:val="18"/>
                <w:lang w:val="en-US"/>
              </w:rPr>
            </w:pPr>
            <w:r w:rsidRPr="009D76C2">
              <w:rPr>
                <w:sz w:val="18"/>
                <w:szCs w:val="18"/>
                <w:lang w:val="en-US"/>
              </w:rPr>
              <w:t>Q</w:t>
            </w:r>
          </w:p>
        </w:tc>
        <w:tc>
          <w:tcPr>
            <w:tcW w:w="1109" w:type="dxa"/>
            <w:shd w:val="clear" w:color="auto" w:fill="FFFFFF"/>
            <w:vAlign w:val="center"/>
          </w:tcPr>
          <w:p w14:paraId="22C14F5E" w14:textId="77777777" w:rsidR="001762EE" w:rsidRPr="00B54286" w:rsidRDefault="001762EE" w:rsidP="00350319">
            <w:pPr>
              <w:pStyle w:val="FreeFormAAAA"/>
              <w:ind w:left="-57" w:right="-57"/>
              <w:jc w:val="center"/>
              <w:rPr>
                <w:sz w:val="18"/>
                <w:szCs w:val="18"/>
                <w:lang w:val="en-US"/>
              </w:rPr>
            </w:pPr>
            <w:r w:rsidRPr="00F14020">
              <w:rPr>
                <w:sz w:val="18"/>
                <w:szCs w:val="18"/>
                <w:lang w:val="en-US"/>
              </w:rPr>
              <w:t>Feb 28, 2012</w:t>
            </w:r>
          </w:p>
        </w:tc>
      </w:tr>
      <w:tr w:rsidR="001762EE" w:rsidRPr="00E90249" w14:paraId="62AA244A" w14:textId="77777777" w:rsidTr="003B302C">
        <w:trPr>
          <w:cantSplit/>
          <w:trHeight w:val="600"/>
        </w:trPr>
        <w:tc>
          <w:tcPr>
            <w:tcW w:w="450" w:type="dxa"/>
            <w:shd w:val="clear" w:color="auto" w:fill="FFFFFF"/>
            <w:vAlign w:val="center"/>
          </w:tcPr>
          <w:p w14:paraId="6333F0BD" w14:textId="77777777" w:rsidR="001762EE" w:rsidRPr="003D30F7" w:rsidRDefault="001762EE" w:rsidP="00350319">
            <w:pPr>
              <w:pStyle w:val="FreeFormAAAA"/>
              <w:jc w:val="center"/>
              <w:rPr>
                <w:sz w:val="18"/>
                <w:szCs w:val="18"/>
                <w:lang w:val="en-US"/>
              </w:rPr>
            </w:pPr>
            <w:r w:rsidRPr="005108BC">
              <w:rPr>
                <w:sz w:val="18"/>
                <w:szCs w:val="18"/>
                <w:lang w:val="en-US"/>
              </w:rPr>
              <w:t>1</w:t>
            </w:r>
            <w:r w:rsidRPr="003D30F7">
              <w:rPr>
                <w:sz w:val="18"/>
                <w:szCs w:val="18"/>
                <w:lang w:val="en-US"/>
              </w:rPr>
              <w:t>1</w:t>
            </w:r>
          </w:p>
        </w:tc>
        <w:tc>
          <w:tcPr>
            <w:tcW w:w="1767" w:type="dxa"/>
            <w:shd w:val="clear" w:color="auto" w:fill="FFFFFF"/>
            <w:vAlign w:val="center"/>
          </w:tcPr>
          <w:p w14:paraId="5AA7717A" w14:textId="7EFA91F5" w:rsidR="001762EE" w:rsidRPr="00240C37" w:rsidRDefault="001762EE" w:rsidP="00350319">
            <w:pPr>
              <w:pStyle w:val="FreeFormAAAA"/>
              <w:rPr>
                <w:sz w:val="18"/>
                <w:szCs w:val="18"/>
                <w:lang w:val="en-US"/>
              </w:rPr>
            </w:pPr>
            <w:r w:rsidRPr="00773338">
              <w:rPr>
                <w:sz w:val="18"/>
                <w:szCs w:val="18"/>
                <w:lang w:val="en-US"/>
              </w:rPr>
              <w:t>Department of Inter</w:t>
            </w:r>
            <w:r w:rsidRPr="00083BC1">
              <w:rPr>
                <w:sz w:val="18"/>
                <w:szCs w:val="18"/>
                <w:lang w:val="en-US"/>
              </w:rPr>
              <w:t>ior and Local Government</w:t>
            </w:r>
          </w:p>
        </w:tc>
        <w:tc>
          <w:tcPr>
            <w:tcW w:w="708" w:type="dxa"/>
            <w:shd w:val="clear" w:color="auto" w:fill="FFFFFF"/>
            <w:vAlign w:val="center"/>
          </w:tcPr>
          <w:p w14:paraId="64B947F5" w14:textId="44882D2A"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330A7EC3" w14:textId="4D8E0116" w:rsidR="001762EE" w:rsidRPr="005108BC" w:rsidRDefault="001762EE" w:rsidP="00350319">
            <w:pPr>
              <w:pStyle w:val="FreeFormAAAA"/>
              <w:jc w:val="center"/>
              <w:rPr>
                <w:sz w:val="18"/>
                <w:szCs w:val="18"/>
                <w:lang w:val="en-US"/>
              </w:rPr>
            </w:pPr>
            <w:r w:rsidRPr="005108BC">
              <w:rPr>
                <w:sz w:val="18"/>
                <w:szCs w:val="18"/>
                <w:lang w:val="en-US"/>
              </w:rPr>
              <w:t>Jun 11, 2015</w:t>
            </w:r>
          </w:p>
        </w:tc>
        <w:tc>
          <w:tcPr>
            <w:tcW w:w="630" w:type="dxa"/>
            <w:shd w:val="clear" w:color="auto" w:fill="FFFFFF"/>
            <w:vAlign w:val="center"/>
          </w:tcPr>
          <w:p w14:paraId="34ADC2E0" w14:textId="4B79B53A"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0919E285" w14:textId="77777777" w:rsidR="001762EE" w:rsidRPr="00773338" w:rsidRDefault="001762EE" w:rsidP="00350319">
            <w:pPr>
              <w:pStyle w:val="FreeFormAAAA"/>
              <w:jc w:val="center"/>
              <w:rPr>
                <w:sz w:val="18"/>
                <w:szCs w:val="18"/>
                <w:lang w:val="en-US"/>
              </w:rPr>
            </w:pPr>
            <w:r w:rsidRPr="00773338">
              <w:rPr>
                <w:sz w:val="18"/>
                <w:szCs w:val="18"/>
                <w:lang w:val="en-US"/>
              </w:rPr>
              <w:t>Jul 31, 2014</w:t>
            </w:r>
          </w:p>
        </w:tc>
        <w:tc>
          <w:tcPr>
            <w:tcW w:w="630" w:type="dxa"/>
            <w:shd w:val="clear" w:color="auto" w:fill="FFFFFF"/>
            <w:vAlign w:val="center"/>
          </w:tcPr>
          <w:p w14:paraId="4113C54F" w14:textId="61CA59DC" w:rsidR="001762EE" w:rsidRPr="00083BC1" w:rsidRDefault="001762EE" w:rsidP="00350319">
            <w:pPr>
              <w:pStyle w:val="FreeFormAAAA"/>
              <w:jc w:val="center"/>
              <w:rPr>
                <w:sz w:val="18"/>
                <w:szCs w:val="18"/>
                <w:lang w:val="en-US"/>
              </w:rPr>
            </w:pPr>
            <w:r w:rsidRPr="00083BC1">
              <w:rPr>
                <w:sz w:val="18"/>
                <w:szCs w:val="18"/>
                <w:lang w:val="en-US"/>
              </w:rPr>
              <w:t>A</w:t>
            </w:r>
          </w:p>
        </w:tc>
        <w:tc>
          <w:tcPr>
            <w:tcW w:w="1118" w:type="dxa"/>
            <w:shd w:val="clear" w:color="auto" w:fill="FFFFFF"/>
            <w:vAlign w:val="center"/>
          </w:tcPr>
          <w:p w14:paraId="2E853BFF" w14:textId="77777777" w:rsidR="001762EE" w:rsidRPr="00240C37" w:rsidRDefault="001762EE" w:rsidP="00350319">
            <w:pPr>
              <w:pStyle w:val="FreeFormAAAA"/>
              <w:jc w:val="center"/>
              <w:rPr>
                <w:sz w:val="18"/>
                <w:szCs w:val="18"/>
                <w:lang w:val="en-US"/>
              </w:rPr>
            </w:pPr>
            <w:r w:rsidRPr="00240C37">
              <w:rPr>
                <w:sz w:val="18"/>
                <w:szCs w:val="18"/>
                <w:lang w:val="en-US"/>
              </w:rPr>
              <w:t>Jun 30, 2013</w:t>
            </w:r>
          </w:p>
        </w:tc>
        <w:tc>
          <w:tcPr>
            <w:tcW w:w="592" w:type="dxa"/>
            <w:shd w:val="clear" w:color="auto" w:fill="FFFFFF"/>
            <w:vAlign w:val="center"/>
          </w:tcPr>
          <w:p w14:paraId="485B6660" w14:textId="2EDE1096"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75734850"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Jun 1, 2012</w:t>
            </w:r>
          </w:p>
        </w:tc>
      </w:tr>
      <w:tr w:rsidR="001762EE" w:rsidRPr="00E90249" w14:paraId="23FFFFFE" w14:textId="77777777" w:rsidTr="003B302C">
        <w:trPr>
          <w:cantSplit/>
          <w:trHeight w:val="600"/>
        </w:trPr>
        <w:tc>
          <w:tcPr>
            <w:tcW w:w="450" w:type="dxa"/>
            <w:shd w:val="clear" w:color="auto" w:fill="FFFFFF"/>
            <w:vAlign w:val="center"/>
          </w:tcPr>
          <w:p w14:paraId="343F1535" w14:textId="77777777" w:rsidR="001762EE" w:rsidRPr="005108BC" w:rsidRDefault="001762EE" w:rsidP="00350319">
            <w:pPr>
              <w:pStyle w:val="FreeFormAAAA"/>
              <w:jc w:val="center"/>
              <w:rPr>
                <w:sz w:val="18"/>
                <w:szCs w:val="18"/>
                <w:lang w:val="en-US"/>
              </w:rPr>
            </w:pPr>
            <w:r w:rsidRPr="005108BC">
              <w:rPr>
                <w:sz w:val="18"/>
                <w:szCs w:val="18"/>
                <w:lang w:val="en-US"/>
              </w:rPr>
              <w:t>12</w:t>
            </w:r>
          </w:p>
        </w:tc>
        <w:tc>
          <w:tcPr>
            <w:tcW w:w="1767" w:type="dxa"/>
            <w:shd w:val="clear" w:color="auto" w:fill="FFFFFF"/>
            <w:vAlign w:val="center"/>
          </w:tcPr>
          <w:p w14:paraId="731D626D" w14:textId="4F2066FF" w:rsidR="001762EE" w:rsidRPr="003D30F7" w:rsidRDefault="001762EE" w:rsidP="00350319">
            <w:pPr>
              <w:pStyle w:val="FreeFormAAAA"/>
              <w:rPr>
                <w:sz w:val="18"/>
                <w:szCs w:val="18"/>
                <w:lang w:val="en-US"/>
              </w:rPr>
            </w:pPr>
            <w:r w:rsidRPr="003D30F7">
              <w:rPr>
                <w:sz w:val="18"/>
                <w:szCs w:val="18"/>
                <w:lang w:val="en-US"/>
              </w:rPr>
              <w:t>Department of Labor and Employment</w:t>
            </w:r>
          </w:p>
        </w:tc>
        <w:tc>
          <w:tcPr>
            <w:tcW w:w="708" w:type="dxa"/>
            <w:shd w:val="clear" w:color="auto" w:fill="FFFFFF"/>
            <w:vAlign w:val="center"/>
          </w:tcPr>
          <w:p w14:paraId="4955D713" w14:textId="3453CEFF"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7D28C7E5" w14:textId="52F73231" w:rsidR="001762EE" w:rsidRPr="005108BC" w:rsidRDefault="001762EE" w:rsidP="00350319">
            <w:pPr>
              <w:pStyle w:val="FreeFormAAAA"/>
              <w:jc w:val="center"/>
              <w:rPr>
                <w:sz w:val="18"/>
                <w:szCs w:val="18"/>
                <w:lang w:val="en-US"/>
              </w:rPr>
            </w:pPr>
            <w:r w:rsidRPr="005108BC">
              <w:rPr>
                <w:sz w:val="18"/>
                <w:szCs w:val="18"/>
                <w:lang w:val="en-US"/>
              </w:rPr>
              <w:t>Jun 29, 2015</w:t>
            </w:r>
          </w:p>
        </w:tc>
        <w:tc>
          <w:tcPr>
            <w:tcW w:w="630" w:type="dxa"/>
            <w:shd w:val="clear" w:color="auto" w:fill="FFFFFF"/>
            <w:vAlign w:val="center"/>
          </w:tcPr>
          <w:p w14:paraId="20898DC9" w14:textId="172A3FEC"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58111995" w14:textId="77777777" w:rsidR="001762EE" w:rsidRPr="00773338" w:rsidRDefault="001762EE" w:rsidP="00350319">
            <w:pPr>
              <w:pStyle w:val="FreeFormAAAA"/>
              <w:jc w:val="center"/>
              <w:rPr>
                <w:sz w:val="18"/>
                <w:szCs w:val="18"/>
                <w:lang w:val="en-US"/>
              </w:rPr>
            </w:pPr>
            <w:r w:rsidRPr="00773338">
              <w:rPr>
                <w:sz w:val="18"/>
                <w:szCs w:val="18"/>
                <w:lang w:val="en-US"/>
              </w:rPr>
              <w:t>Jul 7, 2014</w:t>
            </w:r>
          </w:p>
        </w:tc>
        <w:tc>
          <w:tcPr>
            <w:tcW w:w="630" w:type="dxa"/>
            <w:shd w:val="clear" w:color="auto" w:fill="FFFFFF"/>
            <w:vAlign w:val="center"/>
          </w:tcPr>
          <w:p w14:paraId="230F407F" w14:textId="2AE63FF0"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1B2A1A09" w14:textId="77777777" w:rsidR="001762EE" w:rsidRPr="00240C37" w:rsidRDefault="001762EE" w:rsidP="00350319">
            <w:pPr>
              <w:pStyle w:val="FreeFormAAAA"/>
              <w:jc w:val="center"/>
              <w:rPr>
                <w:sz w:val="18"/>
                <w:szCs w:val="18"/>
                <w:lang w:val="en-US"/>
              </w:rPr>
            </w:pPr>
            <w:r w:rsidRPr="00240C37">
              <w:rPr>
                <w:sz w:val="18"/>
                <w:szCs w:val="18"/>
                <w:lang w:val="en-US"/>
              </w:rPr>
              <w:t>Aug 8, 2013</w:t>
            </w:r>
          </w:p>
        </w:tc>
        <w:tc>
          <w:tcPr>
            <w:tcW w:w="592" w:type="dxa"/>
            <w:shd w:val="clear" w:color="auto" w:fill="FFFFFF"/>
            <w:vAlign w:val="center"/>
          </w:tcPr>
          <w:p w14:paraId="39359334" w14:textId="6075665F"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575CF3C0"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Jun 29, 2012</w:t>
            </w:r>
          </w:p>
        </w:tc>
      </w:tr>
      <w:tr w:rsidR="001762EE" w:rsidRPr="00E90249" w14:paraId="252C5356" w14:textId="77777777" w:rsidTr="003B302C">
        <w:trPr>
          <w:cantSplit/>
          <w:trHeight w:val="400"/>
        </w:trPr>
        <w:tc>
          <w:tcPr>
            <w:tcW w:w="450" w:type="dxa"/>
            <w:shd w:val="clear" w:color="auto" w:fill="FFFFFF"/>
            <w:vAlign w:val="center"/>
          </w:tcPr>
          <w:p w14:paraId="2F0C74B0" w14:textId="77777777" w:rsidR="001762EE" w:rsidRPr="005108BC" w:rsidRDefault="001762EE" w:rsidP="00350319">
            <w:pPr>
              <w:pStyle w:val="FreeFormAAAA"/>
              <w:jc w:val="center"/>
              <w:rPr>
                <w:sz w:val="18"/>
                <w:szCs w:val="18"/>
                <w:lang w:val="en-US"/>
              </w:rPr>
            </w:pPr>
            <w:r w:rsidRPr="005108BC">
              <w:rPr>
                <w:sz w:val="18"/>
                <w:szCs w:val="18"/>
                <w:lang w:val="en-US"/>
              </w:rPr>
              <w:t>13</w:t>
            </w:r>
          </w:p>
        </w:tc>
        <w:tc>
          <w:tcPr>
            <w:tcW w:w="1767" w:type="dxa"/>
            <w:shd w:val="clear" w:color="auto" w:fill="FFFFFF"/>
            <w:vAlign w:val="center"/>
          </w:tcPr>
          <w:p w14:paraId="0BE54D5F" w14:textId="37D833D6" w:rsidR="001762EE" w:rsidRPr="003D30F7" w:rsidRDefault="001762EE" w:rsidP="00350319">
            <w:pPr>
              <w:pStyle w:val="FreeFormAAAA"/>
              <w:rPr>
                <w:sz w:val="18"/>
                <w:szCs w:val="18"/>
                <w:lang w:val="en-US"/>
              </w:rPr>
            </w:pPr>
            <w:r w:rsidRPr="003D30F7">
              <w:rPr>
                <w:sz w:val="18"/>
                <w:szCs w:val="18"/>
                <w:lang w:val="en-US"/>
              </w:rPr>
              <w:t>Department of National Defense</w:t>
            </w:r>
          </w:p>
        </w:tc>
        <w:tc>
          <w:tcPr>
            <w:tcW w:w="1980" w:type="dxa"/>
            <w:gridSpan w:val="2"/>
            <w:shd w:val="clear" w:color="auto" w:fill="FFFFFF"/>
            <w:vAlign w:val="center"/>
          </w:tcPr>
          <w:p w14:paraId="07638312" w14:textId="6C4686F7" w:rsidR="001762EE" w:rsidRPr="0025475E" w:rsidRDefault="001762EE" w:rsidP="00350319">
            <w:pPr>
              <w:pStyle w:val="FreeFormAAAA"/>
              <w:jc w:val="center"/>
              <w:rPr>
                <w:sz w:val="18"/>
                <w:szCs w:val="18"/>
                <w:lang w:val="en-US"/>
              </w:rPr>
            </w:pPr>
            <w:r w:rsidRPr="0025475E">
              <w:rPr>
                <w:sz w:val="18"/>
                <w:szCs w:val="18"/>
                <w:lang w:val="en-US"/>
              </w:rPr>
              <w:t>No AAR</w:t>
            </w:r>
            <w:r w:rsidR="001E2358">
              <w:rPr>
                <w:sz w:val="18"/>
                <w:szCs w:val="18"/>
                <w:lang w:val="en-US"/>
              </w:rPr>
              <w:t>; only ML</w:t>
            </w:r>
          </w:p>
        </w:tc>
        <w:tc>
          <w:tcPr>
            <w:tcW w:w="630" w:type="dxa"/>
            <w:shd w:val="clear" w:color="auto" w:fill="FFFFFF"/>
            <w:vAlign w:val="center"/>
          </w:tcPr>
          <w:p w14:paraId="0FA7EC3C" w14:textId="4AE31002" w:rsidR="001762EE" w:rsidRPr="005108BC" w:rsidRDefault="001762EE" w:rsidP="00350319">
            <w:pPr>
              <w:pStyle w:val="FreeFormAAAA"/>
              <w:jc w:val="center"/>
              <w:rPr>
                <w:sz w:val="18"/>
                <w:szCs w:val="18"/>
                <w:lang w:val="en-US"/>
              </w:rPr>
            </w:pPr>
            <w:r w:rsidRPr="005108BC">
              <w:rPr>
                <w:sz w:val="18"/>
                <w:szCs w:val="18"/>
                <w:lang w:val="en-US"/>
              </w:rPr>
              <w:t>Q</w:t>
            </w:r>
          </w:p>
        </w:tc>
        <w:tc>
          <w:tcPr>
            <w:tcW w:w="1170" w:type="dxa"/>
            <w:shd w:val="clear" w:color="auto" w:fill="FFFFFF"/>
            <w:vAlign w:val="center"/>
          </w:tcPr>
          <w:p w14:paraId="381E7118" w14:textId="77777777" w:rsidR="001762EE" w:rsidRPr="003D30F7" w:rsidRDefault="001762EE" w:rsidP="00350319">
            <w:pPr>
              <w:pStyle w:val="FreeFormAAAA"/>
              <w:jc w:val="center"/>
              <w:rPr>
                <w:sz w:val="18"/>
                <w:szCs w:val="18"/>
                <w:lang w:val="en-US"/>
              </w:rPr>
            </w:pPr>
            <w:r w:rsidRPr="003D30F7">
              <w:rPr>
                <w:sz w:val="18"/>
                <w:szCs w:val="18"/>
                <w:lang w:val="en-US"/>
              </w:rPr>
              <w:t>May 30, 2014</w:t>
            </w:r>
          </w:p>
        </w:tc>
        <w:tc>
          <w:tcPr>
            <w:tcW w:w="630" w:type="dxa"/>
            <w:shd w:val="clear" w:color="auto" w:fill="FFFFFF"/>
            <w:vAlign w:val="center"/>
          </w:tcPr>
          <w:p w14:paraId="02E58183" w14:textId="5E2FAD0F" w:rsidR="001762EE" w:rsidRPr="00773338" w:rsidRDefault="001762EE" w:rsidP="00350319">
            <w:pPr>
              <w:pStyle w:val="FreeFormAAAA"/>
              <w:jc w:val="center"/>
              <w:rPr>
                <w:sz w:val="18"/>
                <w:szCs w:val="18"/>
                <w:lang w:val="en-US"/>
              </w:rPr>
            </w:pPr>
            <w:r w:rsidRPr="00773338">
              <w:rPr>
                <w:sz w:val="18"/>
                <w:szCs w:val="18"/>
                <w:lang w:val="en-US"/>
              </w:rPr>
              <w:t>A</w:t>
            </w:r>
          </w:p>
        </w:tc>
        <w:tc>
          <w:tcPr>
            <w:tcW w:w="1118" w:type="dxa"/>
            <w:shd w:val="clear" w:color="auto" w:fill="FFFFFF"/>
            <w:vAlign w:val="center"/>
          </w:tcPr>
          <w:p w14:paraId="39A61F42" w14:textId="77777777" w:rsidR="001762EE" w:rsidRPr="00083BC1" w:rsidRDefault="001762EE" w:rsidP="00350319">
            <w:pPr>
              <w:pStyle w:val="FreeFormAAAA"/>
              <w:jc w:val="center"/>
              <w:rPr>
                <w:sz w:val="18"/>
                <w:szCs w:val="18"/>
                <w:lang w:val="en-US"/>
              </w:rPr>
            </w:pPr>
            <w:r w:rsidRPr="00083BC1">
              <w:rPr>
                <w:sz w:val="18"/>
                <w:szCs w:val="18"/>
                <w:lang w:val="en-US"/>
              </w:rPr>
              <w:t>Apr 30, 2013</w:t>
            </w:r>
          </w:p>
        </w:tc>
        <w:tc>
          <w:tcPr>
            <w:tcW w:w="592" w:type="dxa"/>
            <w:shd w:val="clear" w:color="auto" w:fill="FFFFFF"/>
            <w:vAlign w:val="center"/>
          </w:tcPr>
          <w:p w14:paraId="350A0850" w14:textId="7FF79117" w:rsidR="001762EE" w:rsidRPr="00240C37" w:rsidRDefault="001762EE" w:rsidP="00350319">
            <w:pPr>
              <w:pStyle w:val="FreeFormAAAA"/>
              <w:jc w:val="center"/>
              <w:rPr>
                <w:sz w:val="18"/>
                <w:szCs w:val="18"/>
                <w:lang w:val="en-US"/>
              </w:rPr>
            </w:pPr>
            <w:r w:rsidRPr="00240C37">
              <w:rPr>
                <w:sz w:val="18"/>
                <w:szCs w:val="18"/>
                <w:lang w:val="en-US"/>
              </w:rPr>
              <w:t>Q</w:t>
            </w:r>
          </w:p>
        </w:tc>
        <w:tc>
          <w:tcPr>
            <w:tcW w:w="1109" w:type="dxa"/>
            <w:shd w:val="clear" w:color="auto" w:fill="FFFFFF"/>
            <w:vAlign w:val="center"/>
          </w:tcPr>
          <w:p w14:paraId="5CEDADAB" w14:textId="77777777" w:rsidR="001762EE" w:rsidRPr="00BC13BA" w:rsidRDefault="001762EE" w:rsidP="00350319">
            <w:pPr>
              <w:pStyle w:val="FreeFormAAAA"/>
              <w:ind w:left="-57" w:right="-57"/>
              <w:jc w:val="center"/>
              <w:rPr>
                <w:sz w:val="18"/>
                <w:szCs w:val="18"/>
                <w:lang w:val="en-US"/>
              </w:rPr>
            </w:pPr>
            <w:r w:rsidRPr="00BC13BA">
              <w:rPr>
                <w:sz w:val="18"/>
                <w:szCs w:val="18"/>
                <w:lang w:val="en-US"/>
              </w:rPr>
              <w:t>Apr 30, 2012</w:t>
            </w:r>
          </w:p>
        </w:tc>
      </w:tr>
      <w:tr w:rsidR="001762EE" w:rsidRPr="00E90249" w14:paraId="673B897D" w14:textId="77777777" w:rsidTr="003B302C">
        <w:trPr>
          <w:cantSplit/>
          <w:trHeight w:val="600"/>
        </w:trPr>
        <w:tc>
          <w:tcPr>
            <w:tcW w:w="450" w:type="dxa"/>
            <w:shd w:val="clear" w:color="auto" w:fill="FFFFFF"/>
            <w:vAlign w:val="center"/>
          </w:tcPr>
          <w:p w14:paraId="3085D865" w14:textId="77777777" w:rsidR="001762EE" w:rsidRPr="005108BC" w:rsidRDefault="001762EE" w:rsidP="00350319">
            <w:pPr>
              <w:pStyle w:val="FreeFormAAAA"/>
              <w:jc w:val="center"/>
              <w:rPr>
                <w:sz w:val="18"/>
                <w:szCs w:val="18"/>
                <w:lang w:val="en-US"/>
              </w:rPr>
            </w:pPr>
            <w:r w:rsidRPr="005108BC">
              <w:rPr>
                <w:sz w:val="18"/>
                <w:szCs w:val="18"/>
                <w:lang w:val="en-US"/>
              </w:rPr>
              <w:t>14</w:t>
            </w:r>
          </w:p>
        </w:tc>
        <w:tc>
          <w:tcPr>
            <w:tcW w:w="1767" w:type="dxa"/>
            <w:shd w:val="clear" w:color="auto" w:fill="FFFFFF"/>
            <w:vAlign w:val="center"/>
          </w:tcPr>
          <w:p w14:paraId="19CB5F7A" w14:textId="594414E5" w:rsidR="001762EE" w:rsidRPr="003D30F7" w:rsidRDefault="001762EE" w:rsidP="00350319">
            <w:pPr>
              <w:pStyle w:val="FreeFormAAAA"/>
              <w:rPr>
                <w:sz w:val="18"/>
                <w:szCs w:val="18"/>
                <w:lang w:val="en-US"/>
              </w:rPr>
            </w:pPr>
            <w:r w:rsidRPr="003D30F7">
              <w:rPr>
                <w:sz w:val="18"/>
                <w:szCs w:val="18"/>
                <w:lang w:val="en-US"/>
              </w:rPr>
              <w:t>Department of Public Works and Highways</w:t>
            </w:r>
          </w:p>
        </w:tc>
        <w:tc>
          <w:tcPr>
            <w:tcW w:w="708" w:type="dxa"/>
            <w:shd w:val="clear" w:color="auto" w:fill="FFFFFF"/>
            <w:vAlign w:val="center"/>
          </w:tcPr>
          <w:p w14:paraId="2A1A9B6C" w14:textId="3C25BC89" w:rsidR="001762EE" w:rsidRPr="0025475E" w:rsidRDefault="001762EE" w:rsidP="00350319">
            <w:pPr>
              <w:pStyle w:val="FreeFormAAAA"/>
              <w:jc w:val="center"/>
              <w:rPr>
                <w:sz w:val="18"/>
                <w:szCs w:val="18"/>
                <w:lang w:val="en-US"/>
              </w:rPr>
            </w:pPr>
            <w:r w:rsidRPr="0025475E">
              <w:rPr>
                <w:sz w:val="18"/>
                <w:szCs w:val="18"/>
                <w:lang w:val="en-US"/>
              </w:rPr>
              <w:t>A</w:t>
            </w:r>
          </w:p>
        </w:tc>
        <w:tc>
          <w:tcPr>
            <w:tcW w:w="1272" w:type="dxa"/>
            <w:shd w:val="clear" w:color="auto" w:fill="FFFFFF"/>
            <w:vAlign w:val="center"/>
          </w:tcPr>
          <w:p w14:paraId="59C93861" w14:textId="0EBEB1F5" w:rsidR="001762EE" w:rsidRPr="0025475E" w:rsidRDefault="001762EE" w:rsidP="00350319">
            <w:pPr>
              <w:pStyle w:val="FreeFormAAAA"/>
              <w:jc w:val="center"/>
              <w:rPr>
                <w:sz w:val="18"/>
                <w:szCs w:val="18"/>
                <w:lang w:val="en-US"/>
              </w:rPr>
            </w:pPr>
            <w:r w:rsidRPr="0025475E">
              <w:rPr>
                <w:sz w:val="18"/>
                <w:szCs w:val="18"/>
                <w:lang w:val="en-US"/>
              </w:rPr>
              <w:t>Nov 5, 2015</w:t>
            </w:r>
          </w:p>
        </w:tc>
        <w:tc>
          <w:tcPr>
            <w:tcW w:w="630" w:type="dxa"/>
            <w:shd w:val="clear" w:color="auto" w:fill="FFFFFF"/>
            <w:vAlign w:val="center"/>
          </w:tcPr>
          <w:p w14:paraId="1784B948" w14:textId="0552E393" w:rsidR="001762EE" w:rsidRPr="005108BC" w:rsidRDefault="001762EE" w:rsidP="00350319">
            <w:pPr>
              <w:pStyle w:val="FreeFormAAAA"/>
              <w:jc w:val="center"/>
              <w:rPr>
                <w:sz w:val="18"/>
                <w:szCs w:val="18"/>
                <w:lang w:val="en-US"/>
              </w:rPr>
            </w:pPr>
            <w:r w:rsidRPr="005108BC">
              <w:rPr>
                <w:sz w:val="18"/>
                <w:szCs w:val="18"/>
                <w:lang w:val="en-US"/>
              </w:rPr>
              <w:t>Q</w:t>
            </w:r>
          </w:p>
        </w:tc>
        <w:tc>
          <w:tcPr>
            <w:tcW w:w="1170" w:type="dxa"/>
            <w:shd w:val="clear" w:color="auto" w:fill="FFFFFF"/>
            <w:vAlign w:val="center"/>
          </w:tcPr>
          <w:p w14:paraId="59C4C30A" w14:textId="77777777" w:rsidR="001762EE" w:rsidRPr="003D30F7" w:rsidRDefault="001762EE" w:rsidP="00350319">
            <w:pPr>
              <w:pStyle w:val="FreeFormAAAA"/>
              <w:jc w:val="center"/>
              <w:rPr>
                <w:sz w:val="18"/>
                <w:szCs w:val="18"/>
                <w:lang w:val="en-US"/>
              </w:rPr>
            </w:pPr>
            <w:r w:rsidRPr="003D30F7">
              <w:rPr>
                <w:sz w:val="18"/>
                <w:szCs w:val="18"/>
                <w:lang w:val="en-US"/>
              </w:rPr>
              <w:t>Apr 10, 2014</w:t>
            </w:r>
          </w:p>
        </w:tc>
        <w:tc>
          <w:tcPr>
            <w:tcW w:w="630" w:type="dxa"/>
            <w:shd w:val="clear" w:color="auto" w:fill="FFFFFF"/>
            <w:vAlign w:val="center"/>
          </w:tcPr>
          <w:p w14:paraId="6C7B4633" w14:textId="648CA24B" w:rsidR="001762EE" w:rsidRPr="00773338" w:rsidRDefault="001762EE" w:rsidP="00350319">
            <w:pPr>
              <w:pStyle w:val="FreeFormAAAA"/>
              <w:jc w:val="center"/>
              <w:rPr>
                <w:sz w:val="18"/>
                <w:szCs w:val="18"/>
                <w:lang w:val="en-US"/>
              </w:rPr>
            </w:pPr>
            <w:r w:rsidRPr="00773338">
              <w:rPr>
                <w:sz w:val="18"/>
                <w:szCs w:val="18"/>
                <w:lang w:val="en-US"/>
              </w:rPr>
              <w:t>A</w:t>
            </w:r>
          </w:p>
        </w:tc>
        <w:tc>
          <w:tcPr>
            <w:tcW w:w="1118" w:type="dxa"/>
            <w:shd w:val="clear" w:color="auto" w:fill="FFFFFF"/>
            <w:vAlign w:val="center"/>
          </w:tcPr>
          <w:p w14:paraId="5040FE20" w14:textId="77777777" w:rsidR="001762EE" w:rsidRPr="00083BC1" w:rsidRDefault="001762EE" w:rsidP="00350319">
            <w:pPr>
              <w:pStyle w:val="FreeFormAAAA"/>
              <w:jc w:val="center"/>
              <w:rPr>
                <w:sz w:val="18"/>
                <w:szCs w:val="18"/>
                <w:lang w:val="en-US"/>
              </w:rPr>
            </w:pPr>
            <w:r w:rsidRPr="00083BC1">
              <w:rPr>
                <w:sz w:val="18"/>
                <w:szCs w:val="18"/>
                <w:lang w:val="en-US"/>
              </w:rPr>
              <w:t>Nov 25, 2013</w:t>
            </w:r>
          </w:p>
        </w:tc>
        <w:tc>
          <w:tcPr>
            <w:tcW w:w="592" w:type="dxa"/>
            <w:shd w:val="clear" w:color="auto" w:fill="FFFFFF"/>
            <w:vAlign w:val="center"/>
          </w:tcPr>
          <w:p w14:paraId="6861E52B" w14:textId="351078D8" w:rsidR="001762EE" w:rsidRPr="00240C37" w:rsidRDefault="001762EE" w:rsidP="00350319">
            <w:pPr>
              <w:pStyle w:val="FreeFormAAAA"/>
              <w:jc w:val="center"/>
              <w:rPr>
                <w:sz w:val="18"/>
                <w:szCs w:val="18"/>
                <w:lang w:val="en-US"/>
              </w:rPr>
            </w:pPr>
            <w:r w:rsidRPr="00240C37">
              <w:rPr>
                <w:sz w:val="18"/>
                <w:szCs w:val="18"/>
                <w:lang w:val="en-US"/>
              </w:rPr>
              <w:t>A</w:t>
            </w:r>
          </w:p>
        </w:tc>
        <w:tc>
          <w:tcPr>
            <w:tcW w:w="1109" w:type="dxa"/>
            <w:shd w:val="clear" w:color="auto" w:fill="FFFFFF"/>
            <w:vAlign w:val="center"/>
          </w:tcPr>
          <w:p w14:paraId="0EA190C5" w14:textId="77777777" w:rsidR="001762EE" w:rsidRPr="00BC13BA" w:rsidRDefault="001762EE" w:rsidP="00350319">
            <w:pPr>
              <w:pStyle w:val="FreeFormAAAA"/>
              <w:ind w:left="-57" w:right="-57"/>
              <w:jc w:val="center"/>
              <w:rPr>
                <w:sz w:val="18"/>
                <w:szCs w:val="18"/>
                <w:lang w:val="en-US"/>
              </w:rPr>
            </w:pPr>
            <w:r w:rsidRPr="00BC13BA">
              <w:rPr>
                <w:sz w:val="18"/>
                <w:szCs w:val="18"/>
                <w:lang w:val="en-US"/>
              </w:rPr>
              <w:t>Oct 29, 2012</w:t>
            </w:r>
          </w:p>
        </w:tc>
      </w:tr>
      <w:tr w:rsidR="001762EE" w:rsidRPr="00E90249" w14:paraId="123160D9" w14:textId="77777777" w:rsidTr="003B302C">
        <w:trPr>
          <w:cantSplit/>
          <w:trHeight w:val="600"/>
        </w:trPr>
        <w:tc>
          <w:tcPr>
            <w:tcW w:w="450" w:type="dxa"/>
            <w:shd w:val="clear" w:color="auto" w:fill="FFFFFF"/>
            <w:vAlign w:val="center"/>
          </w:tcPr>
          <w:p w14:paraId="72167BE4" w14:textId="77777777" w:rsidR="001762EE" w:rsidRPr="005108BC" w:rsidRDefault="001762EE" w:rsidP="00350319">
            <w:pPr>
              <w:pStyle w:val="FreeFormAAAA"/>
              <w:jc w:val="center"/>
              <w:rPr>
                <w:sz w:val="18"/>
                <w:szCs w:val="18"/>
                <w:lang w:val="en-US"/>
              </w:rPr>
            </w:pPr>
            <w:r w:rsidRPr="005108BC">
              <w:rPr>
                <w:sz w:val="18"/>
                <w:szCs w:val="18"/>
                <w:lang w:val="en-US"/>
              </w:rPr>
              <w:t>15</w:t>
            </w:r>
          </w:p>
        </w:tc>
        <w:tc>
          <w:tcPr>
            <w:tcW w:w="1767" w:type="dxa"/>
            <w:shd w:val="clear" w:color="auto" w:fill="FFFFFF"/>
            <w:vAlign w:val="center"/>
          </w:tcPr>
          <w:p w14:paraId="639BC0DA" w14:textId="44063255" w:rsidR="001762EE" w:rsidRPr="003D30F7" w:rsidRDefault="001762EE" w:rsidP="00350319">
            <w:pPr>
              <w:pStyle w:val="FreeFormAAAA"/>
              <w:rPr>
                <w:sz w:val="18"/>
                <w:szCs w:val="18"/>
                <w:lang w:val="en-US"/>
              </w:rPr>
            </w:pPr>
            <w:r w:rsidRPr="003D30F7">
              <w:rPr>
                <w:sz w:val="18"/>
                <w:szCs w:val="18"/>
                <w:lang w:val="en-US"/>
              </w:rPr>
              <w:t>Department of Science and Technology</w:t>
            </w:r>
          </w:p>
        </w:tc>
        <w:tc>
          <w:tcPr>
            <w:tcW w:w="708" w:type="dxa"/>
            <w:shd w:val="clear" w:color="auto" w:fill="FFFFFF"/>
            <w:vAlign w:val="center"/>
          </w:tcPr>
          <w:p w14:paraId="6942621B" w14:textId="3F0F0604" w:rsidR="001762EE" w:rsidRPr="00773338" w:rsidRDefault="001762EE" w:rsidP="00350319">
            <w:pPr>
              <w:pStyle w:val="FreeFormAAAA"/>
              <w:jc w:val="center"/>
              <w:rPr>
                <w:sz w:val="18"/>
                <w:szCs w:val="18"/>
                <w:lang w:val="en-US"/>
              </w:rPr>
            </w:pPr>
            <w:r w:rsidRPr="00773338">
              <w:rPr>
                <w:sz w:val="18"/>
                <w:szCs w:val="18"/>
                <w:lang w:val="en-US"/>
              </w:rPr>
              <w:t>Q</w:t>
            </w:r>
          </w:p>
        </w:tc>
        <w:tc>
          <w:tcPr>
            <w:tcW w:w="1272" w:type="dxa"/>
            <w:shd w:val="clear" w:color="auto" w:fill="FFFFFF"/>
            <w:vAlign w:val="center"/>
          </w:tcPr>
          <w:p w14:paraId="32BA89C4" w14:textId="10F8CDE4" w:rsidR="001762EE" w:rsidRPr="00083BC1" w:rsidRDefault="001762EE" w:rsidP="00350319">
            <w:pPr>
              <w:pStyle w:val="FreeFormAAAA"/>
              <w:jc w:val="center"/>
              <w:rPr>
                <w:sz w:val="18"/>
                <w:szCs w:val="18"/>
                <w:lang w:val="en-US"/>
              </w:rPr>
            </w:pPr>
            <w:r w:rsidRPr="00083BC1">
              <w:rPr>
                <w:sz w:val="18"/>
                <w:szCs w:val="18"/>
                <w:lang w:val="en-US"/>
              </w:rPr>
              <w:t>Jun 30, 2015</w:t>
            </w:r>
          </w:p>
        </w:tc>
        <w:tc>
          <w:tcPr>
            <w:tcW w:w="630" w:type="dxa"/>
            <w:shd w:val="clear" w:color="auto" w:fill="FFFFFF"/>
            <w:vAlign w:val="center"/>
          </w:tcPr>
          <w:p w14:paraId="3943E385" w14:textId="5D4C7CCD" w:rsidR="001762EE" w:rsidRPr="00240C37" w:rsidRDefault="001762EE" w:rsidP="00350319">
            <w:pPr>
              <w:pStyle w:val="FreeFormAAAA"/>
              <w:jc w:val="center"/>
              <w:rPr>
                <w:sz w:val="18"/>
                <w:szCs w:val="18"/>
                <w:lang w:val="en-US"/>
              </w:rPr>
            </w:pPr>
            <w:r w:rsidRPr="00240C37">
              <w:rPr>
                <w:sz w:val="18"/>
                <w:szCs w:val="18"/>
                <w:lang w:val="en-US"/>
              </w:rPr>
              <w:t>Q</w:t>
            </w:r>
          </w:p>
        </w:tc>
        <w:tc>
          <w:tcPr>
            <w:tcW w:w="1170" w:type="dxa"/>
            <w:shd w:val="clear" w:color="auto" w:fill="FFFFFF"/>
            <w:vAlign w:val="center"/>
          </w:tcPr>
          <w:p w14:paraId="7C7C2B72" w14:textId="77777777" w:rsidR="001762EE" w:rsidRPr="00BC13BA" w:rsidRDefault="001762EE" w:rsidP="00350319">
            <w:pPr>
              <w:pStyle w:val="FreeFormAAAA"/>
              <w:jc w:val="center"/>
              <w:rPr>
                <w:sz w:val="18"/>
                <w:szCs w:val="18"/>
                <w:lang w:val="en-US"/>
              </w:rPr>
            </w:pPr>
            <w:r w:rsidRPr="00BC13BA">
              <w:rPr>
                <w:sz w:val="18"/>
                <w:szCs w:val="18"/>
                <w:lang w:val="en-US"/>
              </w:rPr>
              <w:t>Nov 27, 2014</w:t>
            </w:r>
          </w:p>
        </w:tc>
        <w:tc>
          <w:tcPr>
            <w:tcW w:w="630" w:type="dxa"/>
            <w:shd w:val="clear" w:color="auto" w:fill="FFFFFF"/>
            <w:vAlign w:val="center"/>
          </w:tcPr>
          <w:p w14:paraId="429BB537" w14:textId="30474B34" w:rsidR="001762EE" w:rsidRPr="005323C0" w:rsidRDefault="001762EE" w:rsidP="00350319">
            <w:pPr>
              <w:pStyle w:val="FreeFormAAAA"/>
              <w:jc w:val="center"/>
              <w:rPr>
                <w:sz w:val="18"/>
                <w:szCs w:val="18"/>
                <w:lang w:val="en-US"/>
              </w:rPr>
            </w:pPr>
            <w:r w:rsidRPr="00D661D7">
              <w:rPr>
                <w:sz w:val="18"/>
                <w:szCs w:val="18"/>
                <w:lang w:val="en-US"/>
              </w:rPr>
              <w:t>Q</w:t>
            </w:r>
          </w:p>
        </w:tc>
        <w:tc>
          <w:tcPr>
            <w:tcW w:w="1118" w:type="dxa"/>
            <w:shd w:val="clear" w:color="auto" w:fill="FFFFFF"/>
            <w:vAlign w:val="center"/>
          </w:tcPr>
          <w:p w14:paraId="6A83E21C" w14:textId="77777777" w:rsidR="001762EE" w:rsidRPr="009D76C2" w:rsidRDefault="001762EE" w:rsidP="00350319">
            <w:pPr>
              <w:pStyle w:val="FreeFormAAAA"/>
              <w:jc w:val="center"/>
              <w:rPr>
                <w:sz w:val="18"/>
                <w:szCs w:val="18"/>
                <w:lang w:val="en-US"/>
              </w:rPr>
            </w:pPr>
            <w:r w:rsidRPr="009D76C2">
              <w:rPr>
                <w:sz w:val="18"/>
                <w:szCs w:val="18"/>
                <w:lang w:val="en-US"/>
              </w:rPr>
              <w:t>Jun 17, 2013</w:t>
            </w:r>
          </w:p>
        </w:tc>
        <w:tc>
          <w:tcPr>
            <w:tcW w:w="592" w:type="dxa"/>
            <w:shd w:val="clear" w:color="auto" w:fill="FFFFFF"/>
            <w:vAlign w:val="center"/>
          </w:tcPr>
          <w:p w14:paraId="608631EC" w14:textId="50A8EDA6" w:rsidR="001762EE" w:rsidRPr="00B54286" w:rsidRDefault="001762EE" w:rsidP="00350319">
            <w:pPr>
              <w:pStyle w:val="FreeFormAAAA"/>
              <w:jc w:val="center"/>
              <w:rPr>
                <w:sz w:val="18"/>
                <w:szCs w:val="18"/>
                <w:lang w:val="en-US"/>
              </w:rPr>
            </w:pPr>
            <w:r w:rsidRPr="00F14020">
              <w:rPr>
                <w:sz w:val="18"/>
                <w:szCs w:val="18"/>
                <w:lang w:val="en-US"/>
              </w:rPr>
              <w:t>Q</w:t>
            </w:r>
          </w:p>
        </w:tc>
        <w:tc>
          <w:tcPr>
            <w:tcW w:w="1109" w:type="dxa"/>
            <w:shd w:val="clear" w:color="auto" w:fill="FFFFFF"/>
            <w:vAlign w:val="center"/>
          </w:tcPr>
          <w:p w14:paraId="17361E34" w14:textId="77777777" w:rsidR="001762EE" w:rsidRPr="00C818D8" w:rsidRDefault="001762EE" w:rsidP="00350319">
            <w:pPr>
              <w:pStyle w:val="FreeFormAAAA"/>
              <w:ind w:left="-57" w:right="-57"/>
              <w:jc w:val="center"/>
              <w:rPr>
                <w:sz w:val="18"/>
                <w:szCs w:val="18"/>
                <w:lang w:val="en-US"/>
              </w:rPr>
            </w:pPr>
            <w:r w:rsidRPr="00B54286">
              <w:rPr>
                <w:sz w:val="18"/>
                <w:szCs w:val="18"/>
                <w:lang w:val="en-US"/>
              </w:rPr>
              <w:t>May 10, 2012</w:t>
            </w:r>
          </w:p>
        </w:tc>
      </w:tr>
      <w:tr w:rsidR="001762EE" w:rsidRPr="00E90249" w14:paraId="6579C106" w14:textId="77777777" w:rsidTr="003B302C">
        <w:trPr>
          <w:cantSplit/>
          <w:trHeight w:val="600"/>
        </w:trPr>
        <w:tc>
          <w:tcPr>
            <w:tcW w:w="450" w:type="dxa"/>
            <w:shd w:val="clear" w:color="auto" w:fill="FFFFFF"/>
            <w:vAlign w:val="center"/>
          </w:tcPr>
          <w:p w14:paraId="0B5D21E7" w14:textId="77777777" w:rsidR="001762EE" w:rsidRPr="005108BC" w:rsidRDefault="001762EE" w:rsidP="00350319">
            <w:pPr>
              <w:pStyle w:val="FreeFormAAAA"/>
              <w:jc w:val="center"/>
              <w:rPr>
                <w:sz w:val="18"/>
                <w:szCs w:val="18"/>
                <w:lang w:val="en-US"/>
              </w:rPr>
            </w:pPr>
            <w:r w:rsidRPr="005108BC">
              <w:rPr>
                <w:sz w:val="18"/>
                <w:szCs w:val="18"/>
                <w:lang w:val="en-US"/>
              </w:rPr>
              <w:t>16</w:t>
            </w:r>
          </w:p>
        </w:tc>
        <w:tc>
          <w:tcPr>
            <w:tcW w:w="1767" w:type="dxa"/>
            <w:shd w:val="clear" w:color="auto" w:fill="FFFFFF"/>
            <w:vAlign w:val="center"/>
          </w:tcPr>
          <w:p w14:paraId="0EEA4FD2" w14:textId="09C9E128" w:rsidR="001762EE" w:rsidRPr="00773338" w:rsidRDefault="001762EE" w:rsidP="00350319">
            <w:pPr>
              <w:pStyle w:val="FreeFormAAAA"/>
              <w:rPr>
                <w:sz w:val="18"/>
                <w:szCs w:val="18"/>
                <w:lang w:val="en-US"/>
              </w:rPr>
            </w:pPr>
            <w:r w:rsidRPr="003D30F7">
              <w:rPr>
                <w:sz w:val="18"/>
                <w:szCs w:val="18"/>
                <w:lang w:val="en-US"/>
              </w:rPr>
              <w:t>Department of Social Welfare and Dev</w:t>
            </w:r>
            <w:r w:rsidRPr="00773338">
              <w:rPr>
                <w:sz w:val="18"/>
                <w:szCs w:val="18"/>
                <w:lang w:val="en-US"/>
              </w:rPr>
              <w:t>elopment</w:t>
            </w:r>
          </w:p>
        </w:tc>
        <w:tc>
          <w:tcPr>
            <w:tcW w:w="708" w:type="dxa"/>
            <w:shd w:val="clear" w:color="auto" w:fill="FFFFFF"/>
            <w:vAlign w:val="center"/>
          </w:tcPr>
          <w:p w14:paraId="4E04E7E8" w14:textId="6E404570" w:rsidR="001762EE" w:rsidRPr="00083BC1" w:rsidRDefault="001762EE" w:rsidP="00350319">
            <w:pPr>
              <w:pStyle w:val="FreeFormAAAA"/>
              <w:jc w:val="center"/>
              <w:rPr>
                <w:sz w:val="18"/>
                <w:szCs w:val="18"/>
                <w:lang w:val="en-US"/>
              </w:rPr>
            </w:pPr>
            <w:r w:rsidRPr="00083BC1">
              <w:rPr>
                <w:sz w:val="18"/>
                <w:szCs w:val="18"/>
                <w:lang w:val="en-US"/>
              </w:rPr>
              <w:t>Q</w:t>
            </w:r>
          </w:p>
        </w:tc>
        <w:tc>
          <w:tcPr>
            <w:tcW w:w="1272" w:type="dxa"/>
            <w:shd w:val="clear" w:color="auto" w:fill="FFFFFF"/>
            <w:vAlign w:val="center"/>
          </w:tcPr>
          <w:p w14:paraId="2D418719" w14:textId="33FF4FE3" w:rsidR="001762EE" w:rsidRPr="00240C37" w:rsidRDefault="001762EE" w:rsidP="00350319">
            <w:pPr>
              <w:pStyle w:val="FreeFormAAAA"/>
              <w:jc w:val="center"/>
              <w:rPr>
                <w:sz w:val="18"/>
                <w:szCs w:val="18"/>
                <w:lang w:val="en-US"/>
              </w:rPr>
            </w:pPr>
            <w:r w:rsidRPr="00240C37">
              <w:rPr>
                <w:sz w:val="18"/>
                <w:szCs w:val="18"/>
                <w:lang w:val="en-US"/>
              </w:rPr>
              <w:t>Jun 30, 2015</w:t>
            </w:r>
          </w:p>
        </w:tc>
        <w:tc>
          <w:tcPr>
            <w:tcW w:w="630" w:type="dxa"/>
            <w:shd w:val="clear" w:color="auto" w:fill="FFFFFF"/>
            <w:vAlign w:val="center"/>
          </w:tcPr>
          <w:p w14:paraId="45E89F6D" w14:textId="32540525" w:rsidR="001762EE" w:rsidRPr="00BC13BA" w:rsidRDefault="001762EE" w:rsidP="00350319">
            <w:pPr>
              <w:pStyle w:val="FreeFormAAAA"/>
              <w:jc w:val="center"/>
              <w:rPr>
                <w:sz w:val="18"/>
                <w:szCs w:val="18"/>
                <w:lang w:val="en-US"/>
              </w:rPr>
            </w:pPr>
            <w:r w:rsidRPr="00BC13BA">
              <w:rPr>
                <w:sz w:val="18"/>
                <w:szCs w:val="18"/>
                <w:lang w:val="en-US"/>
              </w:rPr>
              <w:t>Q</w:t>
            </w:r>
          </w:p>
        </w:tc>
        <w:tc>
          <w:tcPr>
            <w:tcW w:w="1170" w:type="dxa"/>
            <w:shd w:val="clear" w:color="auto" w:fill="FFFFFF"/>
            <w:vAlign w:val="center"/>
          </w:tcPr>
          <w:p w14:paraId="0838EE2B" w14:textId="77777777" w:rsidR="001762EE" w:rsidRPr="005323C0" w:rsidRDefault="001762EE" w:rsidP="00350319">
            <w:pPr>
              <w:pStyle w:val="FreeFormAAAA"/>
              <w:jc w:val="center"/>
              <w:rPr>
                <w:sz w:val="18"/>
                <w:szCs w:val="18"/>
                <w:lang w:val="en-US"/>
              </w:rPr>
            </w:pPr>
            <w:r w:rsidRPr="00D661D7">
              <w:rPr>
                <w:sz w:val="18"/>
                <w:szCs w:val="18"/>
                <w:lang w:val="en-US"/>
              </w:rPr>
              <w:t>Sept 4, 2014</w:t>
            </w:r>
          </w:p>
        </w:tc>
        <w:tc>
          <w:tcPr>
            <w:tcW w:w="630" w:type="dxa"/>
            <w:shd w:val="clear" w:color="auto" w:fill="FFFFFF"/>
            <w:vAlign w:val="center"/>
          </w:tcPr>
          <w:p w14:paraId="0B15ABBC" w14:textId="00D5148F" w:rsidR="001762EE" w:rsidRPr="009D76C2" w:rsidRDefault="001762EE" w:rsidP="00350319">
            <w:pPr>
              <w:pStyle w:val="FreeFormAAAA"/>
              <w:jc w:val="center"/>
              <w:rPr>
                <w:sz w:val="18"/>
                <w:szCs w:val="18"/>
                <w:lang w:val="en-US"/>
              </w:rPr>
            </w:pPr>
            <w:r w:rsidRPr="009D76C2">
              <w:rPr>
                <w:sz w:val="18"/>
                <w:szCs w:val="18"/>
                <w:lang w:val="en-US"/>
              </w:rPr>
              <w:t>Q</w:t>
            </w:r>
          </w:p>
        </w:tc>
        <w:tc>
          <w:tcPr>
            <w:tcW w:w="1118" w:type="dxa"/>
            <w:shd w:val="clear" w:color="auto" w:fill="FFFFFF"/>
            <w:vAlign w:val="center"/>
          </w:tcPr>
          <w:p w14:paraId="596A030B" w14:textId="77777777" w:rsidR="001762EE" w:rsidRPr="00B54286" w:rsidRDefault="001762EE" w:rsidP="00350319">
            <w:pPr>
              <w:pStyle w:val="FreeFormAAAA"/>
              <w:jc w:val="center"/>
              <w:rPr>
                <w:sz w:val="18"/>
                <w:szCs w:val="18"/>
                <w:lang w:val="en-US"/>
              </w:rPr>
            </w:pPr>
            <w:r w:rsidRPr="00F14020">
              <w:rPr>
                <w:sz w:val="18"/>
                <w:szCs w:val="18"/>
                <w:lang w:val="en-US"/>
              </w:rPr>
              <w:t>May 31, 2013</w:t>
            </w:r>
          </w:p>
        </w:tc>
        <w:tc>
          <w:tcPr>
            <w:tcW w:w="592" w:type="dxa"/>
            <w:shd w:val="clear" w:color="auto" w:fill="FFFFFF"/>
            <w:vAlign w:val="center"/>
          </w:tcPr>
          <w:p w14:paraId="53039C3B" w14:textId="7293265E" w:rsidR="001762EE" w:rsidRPr="00C818D8" w:rsidRDefault="001762EE" w:rsidP="00350319">
            <w:pPr>
              <w:pStyle w:val="FreeFormAAAA"/>
              <w:jc w:val="center"/>
              <w:rPr>
                <w:sz w:val="18"/>
                <w:szCs w:val="18"/>
                <w:lang w:val="en-US"/>
              </w:rPr>
            </w:pPr>
            <w:r w:rsidRPr="00B54286">
              <w:rPr>
                <w:sz w:val="18"/>
                <w:szCs w:val="18"/>
                <w:lang w:val="en-US"/>
              </w:rPr>
              <w:t>Q</w:t>
            </w:r>
          </w:p>
        </w:tc>
        <w:tc>
          <w:tcPr>
            <w:tcW w:w="1109" w:type="dxa"/>
            <w:shd w:val="clear" w:color="auto" w:fill="FFFFFF"/>
            <w:vAlign w:val="center"/>
          </w:tcPr>
          <w:p w14:paraId="4C8D581A" w14:textId="77777777" w:rsidR="001762EE" w:rsidRPr="00BE337A" w:rsidRDefault="001762EE" w:rsidP="00350319">
            <w:pPr>
              <w:pStyle w:val="FreeFormAAAA"/>
              <w:ind w:left="-57" w:right="-57"/>
              <w:jc w:val="center"/>
              <w:rPr>
                <w:sz w:val="18"/>
                <w:szCs w:val="18"/>
                <w:lang w:val="en-US"/>
              </w:rPr>
            </w:pPr>
            <w:r w:rsidRPr="00BE337A">
              <w:rPr>
                <w:sz w:val="18"/>
                <w:szCs w:val="18"/>
                <w:lang w:val="en-US"/>
              </w:rPr>
              <w:t>Jun 30, 2012</w:t>
            </w:r>
          </w:p>
        </w:tc>
      </w:tr>
      <w:tr w:rsidR="001762EE" w:rsidRPr="00E90249" w14:paraId="467DF725" w14:textId="77777777" w:rsidTr="003B302C">
        <w:trPr>
          <w:cantSplit/>
          <w:trHeight w:val="400"/>
        </w:trPr>
        <w:tc>
          <w:tcPr>
            <w:tcW w:w="450" w:type="dxa"/>
            <w:shd w:val="clear" w:color="auto" w:fill="FFFFFF"/>
            <w:vAlign w:val="center"/>
          </w:tcPr>
          <w:p w14:paraId="0AEEEC62" w14:textId="77777777" w:rsidR="001762EE" w:rsidRPr="005108BC" w:rsidRDefault="001762EE" w:rsidP="00350319">
            <w:pPr>
              <w:pStyle w:val="FreeFormAAAA"/>
              <w:jc w:val="center"/>
              <w:rPr>
                <w:sz w:val="18"/>
                <w:szCs w:val="18"/>
                <w:lang w:val="en-US"/>
              </w:rPr>
            </w:pPr>
            <w:r w:rsidRPr="005108BC">
              <w:rPr>
                <w:sz w:val="18"/>
                <w:szCs w:val="18"/>
                <w:lang w:val="en-US"/>
              </w:rPr>
              <w:t>17</w:t>
            </w:r>
          </w:p>
        </w:tc>
        <w:tc>
          <w:tcPr>
            <w:tcW w:w="1767" w:type="dxa"/>
            <w:shd w:val="clear" w:color="auto" w:fill="FFFFFF"/>
            <w:vAlign w:val="center"/>
          </w:tcPr>
          <w:p w14:paraId="0AEF1FFB" w14:textId="77777777" w:rsidR="001762EE" w:rsidRPr="003D30F7" w:rsidRDefault="001762EE" w:rsidP="00350319">
            <w:pPr>
              <w:pStyle w:val="FreeFormAAAA"/>
              <w:rPr>
                <w:sz w:val="18"/>
                <w:szCs w:val="18"/>
                <w:lang w:val="en-US"/>
              </w:rPr>
            </w:pPr>
            <w:r w:rsidRPr="003D30F7">
              <w:rPr>
                <w:sz w:val="18"/>
                <w:szCs w:val="18"/>
                <w:lang w:val="en-US"/>
              </w:rPr>
              <w:t>Department of Tourism</w:t>
            </w:r>
          </w:p>
        </w:tc>
        <w:tc>
          <w:tcPr>
            <w:tcW w:w="708" w:type="dxa"/>
            <w:shd w:val="clear" w:color="auto" w:fill="FFFFFF"/>
            <w:vAlign w:val="center"/>
          </w:tcPr>
          <w:p w14:paraId="12AA9263" w14:textId="1ED3CD2A"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34BEAE44" w14:textId="64A889CF" w:rsidR="001762EE" w:rsidRPr="005108BC" w:rsidRDefault="001762EE" w:rsidP="00350319">
            <w:pPr>
              <w:pStyle w:val="FreeFormAAAA"/>
              <w:jc w:val="center"/>
              <w:rPr>
                <w:sz w:val="18"/>
                <w:szCs w:val="18"/>
                <w:lang w:val="en-US"/>
              </w:rPr>
            </w:pPr>
            <w:r w:rsidRPr="005108BC">
              <w:rPr>
                <w:sz w:val="18"/>
                <w:szCs w:val="18"/>
                <w:lang w:val="en-US"/>
              </w:rPr>
              <w:t>Jun 30, 2015</w:t>
            </w:r>
          </w:p>
        </w:tc>
        <w:tc>
          <w:tcPr>
            <w:tcW w:w="630" w:type="dxa"/>
            <w:shd w:val="clear" w:color="auto" w:fill="FFFFFF"/>
            <w:vAlign w:val="center"/>
          </w:tcPr>
          <w:p w14:paraId="1230396D" w14:textId="6F4E1DC7"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5F17D274" w14:textId="77777777" w:rsidR="001762EE" w:rsidRPr="00773338" w:rsidRDefault="001762EE" w:rsidP="00350319">
            <w:pPr>
              <w:pStyle w:val="FreeFormAAAA"/>
              <w:jc w:val="center"/>
              <w:rPr>
                <w:sz w:val="18"/>
                <w:szCs w:val="18"/>
                <w:lang w:val="en-US"/>
              </w:rPr>
            </w:pPr>
            <w:r w:rsidRPr="00773338">
              <w:rPr>
                <w:sz w:val="18"/>
                <w:szCs w:val="18"/>
                <w:lang w:val="en-US"/>
              </w:rPr>
              <w:t>Apr 10, 2015</w:t>
            </w:r>
          </w:p>
        </w:tc>
        <w:tc>
          <w:tcPr>
            <w:tcW w:w="630" w:type="dxa"/>
            <w:shd w:val="clear" w:color="auto" w:fill="FFFFFF"/>
            <w:vAlign w:val="center"/>
          </w:tcPr>
          <w:p w14:paraId="2FF18D66" w14:textId="6A125CED"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60CA530D" w14:textId="77777777" w:rsidR="001762EE" w:rsidRPr="00240C37" w:rsidRDefault="001762EE" w:rsidP="00350319">
            <w:pPr>
              <w:pStyle w:val="FreeFormAAAA"/>
              <w:jc w:val="center"/>
              <w:rPr>
                <w:sz w:val="18"/>
                <w:szCs w:val="18"/>
                <w:lang w:val="en-US"/>
              </w:rPr>
            </w:pPr>
            <w:r w:rsidRPr="00240C37">
              <w:rPr>
                <w:sz w:val="18"/>
                <w:szCs w:val="18"/>
                <w:lang w:val="en-US"/>
              </w:rPr>
              <w:t>Jul 26, 2013</w:t>
            </w:r>
          </w:p>
        </w:tc>
        <w:tc>
          <w:tcPr>
            <w:tcW w:w="592" w:type="dxa"/>
            <w:shd w:val="clear" w:color="auto" w:fill="FFFFFF"/>
            <w:vAlign w:val="center"/>
          </w:tcPr>
          <w:p w14:paraId="4CE10120" w14:textId="67AA5208"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6EF4F593"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Oct 29, 2012</w:t>
            </w:r>
          </w:p>
        </w:tc>
      </w:tr>
      <w:tr w:rsidR="001762EE" w:rsidRPr="00E90249" w14:paraId="339BA20C" w14:textId="77777777" w:rsidTr="003B302C">
        <w:trPr>
          <w:cantSplit/>
          <w:trHeight w:val="400"/>
        </w:trPr>
        <w:tc>
          <w:tcPr>
            <w:tcW w:w="450" w:type="dxa"/>
            <w:shd w:val="clear" w:color="auto" w:fill="FFFFFF"/>
            <w:vAlign w:val="center"/>
          </w:tcPr>
          <w:p w14:paraId="697F3243" w14:textId="77777777" w:rsidR="001762EE" w:rsidRPr="005108BC" w:rsidRDefault="001762EE" w:rsidP="00350319">
            <w:pPr>
              <w:pStyle w:val="FreeFormAAAA"/>
              <w:jc w:val="center"/>
              <w:rPr>
                <w:sz w:val="18"/>
                <w:szCs w:val="18"/>
                <w:lang w:val="en-US"/>
              </w:rPr>
            </w:pPr>
            <w:r w:rsidRPr="005108BC">
              <w:rPr>
                <w:sz w:val="18"/>
                <w:szCs w:val="18"/>
                <w:lang w:val="en-US"/>
              </w:rPr>
              <w:t>18</w:t>
            </w:r>
          </w:p>
        </w:tc>
        <w:tc>
          <w:tcPr>
            <w:tcW w:w="1767" w:type="dxa"/>
            <w:shd w:val="clear" w:color="auto" w:fill="FFFFFF"/>
            <w:vAlign w:val="center"/>
          </w:tcPr>
          <w:p w14:paraId="4FB81CCA" w14:textId="77777777" w:rsidR="001762EE" w:rsidRPr="003D30F7" w:rsidRDefault="001762EE" w:rsidP="00350319">
            <w:pPr>
              <w:pStyle w:val="FreeFormAAAA"/>
              <w:rPr>
                <w:sz w:val="18"/>
                <w:szCs w:val="18"/>
                <w:lang w:val="en-US"/>
              </w:rPr>
            </w:pPr>
            <w:r w:rsidRPr="003D30F7">
              <w:rPr>
                <w:sz w:val="18"/>
                <w:szCs w:val="18"/>
                <w:lang w:val="en-US"/>
              </w:rPr>
              <w:t>Department of Trade and Industry</w:t>
            </w:r>
          </w:p>
        </w:tc>
        <w:tc>
          <w:tcPr>
            <w:tcW w:w="708" w:type="dxa"/>
            <w:shd w:val="clear" w:color="auto" w:fill="FFFFFF"/>
            <w:vAlign w:val="center"/>
          </w:tcPr>
          <w:p w14:paraId="6535532A" w14:textId="4C564BB4"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49C44DAC" w14:textId="25A32138" w:rsidR="001762EE" w:rsidRPr="005108BC" w:rsidRDefault="001762EE" w:rsidP="00350319">
            <w:pPr>
              <w:pStyle w:val="FreeFormAAAA"/>
              <w:jc w:val="center"/>
              <w:rPr>
                <w:sz w:val="18"/>
                <w:szCs w:val="18"/>
                <w:lang w:val="en-US"/>
              </w:rPr>
            </w:pPr>
            <w:r w:rsidRPr="005108BC">
              <w:rPr>
                <w:sz w:val="18"/>
                <w:szCs w:val="18"/>
                <w:lang w:val="en-US"/>
              </w:rPr>
              <w:t>Aug 28, 2015</w:t>
            </w:r>
          </w:p>
        </w:tc>
        <w:tc>
          <w:tcPr>
            <w:tcW w:w="630" w:type="dxa"/>
            <w:shd w:val="clear" w:color="auto" w:fill="FFFFFF"/>
            <w:vAlign w:val="center"/>
          </w:tcPr>
          <w:p w14:paraId="0AE48A0B" w14:textId="45B37E61" w:rsidR="001762EE" w:rsidRPr="003D30F7" w:rsidRDefault="001762EE" w:rsidP="00350319">
            <w:pPr>
              <w:pStyle w:val="FreeFormAAAA"/>
              <w:jc w:val="center"/>
              <w:rPr>
                <w:sz w:val="18"/>
                <w:szCs w:val="18"/>
                <w:lang w:val="en-US"/>
              </w:rPr>
            </w:pPr>
            <w:r w:rsidRPr="003D30F7">
              <w:rPr>
                <w:sz w:val="18"/>
                <w:szCs w:val="18"/>
                <w:lang w:val="en-US"/>
              </w:rPr>
              <w:t>A</w:t>
            </w:r>
          </w:p>
        </w:tc>
        <w:tc>
          <w:tcPr>
            <w:tcW w:w="1170" w:type="dxa"/>
            <w:shd w:val="clear" w:color="auto" w:fill="FFFFFF"/>
            <w:vAlign w:val="center"/>
          </w:tcPr>
          <w:p w14:paraId="7C907134" w14:textId="77777777" w:rsidR="001762EE" w:rsidRPr="00773338" w:rsidRDefault="001762EE" w:rsidP="00350319">
            <w:pPr>
              <w:pStyle w:val="FreeFormAAAA"/>
              <w:jc w:val="center"/>
              <w:rPr>
                <w:sz w:val="18"/>
                <w:szCs w:val="18"/>
                <w:lang w:val="en-US"/>
              </w:rPr>
            </w:pPr>
            <w:r w:rsidRPr="00773338">
              <w:rPr>
                <w:sz w:val="18"/>
                <w:szCs w:val="18"/>
                <w:lang w:val="en-US"/>
              </w:rPr>
              <w:t>Sep 5, 2014</w:t>
            </w:r>
          </w:p>
        </w:tc>
        <w:tc>
          <w:tcPr>
            <w:tcW w:w="630" w:type="dxa"/>
            <w:shd w:val="clear" w:color="auto" w:fill="FFFFFF"/>
            <w:vAlign w:val="center"/>
          </w:tcPr>
          <w:p w14:paraId="4C53D459" w14:textId="783A4707" w:rsidR="001762EE" w:rsidRPr="00083BC1" w:rsidRDefault="001762EE" w:rsidP="00350319">
            <w:pPr>
              <w:pStyle w:val="FreeFormAAAA"/>
              <w:jc w:val="center"/>
              <w:rPr>
                <w:sz w:val="18"/>
                <w:szCs w:val="18"/>
                <w:lang w:val="en-US"/>
              </w:rPr>
            </w:pPr>
            <w:r w:rsidRPr="00083BC1">
              <w:rPr>
                <w:sz w:val="18"/>
                <w:szCs w:val="18"/>
                <w:lang w:val="en-US"/>
              </w:rPr>
              <w:t>A</w:t>
            </w:r>
          </w:p>
        </w:tc>
        <w:tc>
          <w:tcPr>
            <w:tcW w:w="1118" w:type="dxa"/>
            <w:shd w:val="clear" w:color="auto" w:fill="FFFFFF"/>
            <w:vAlign w:val="center"/>
          </w:tcPr>
          <w:p w14:paraId="470628EF" w14:textId="77777777" w:rsidR="001762EE" w:rsidRPr="00240C37" w:rsidRDefault="001762EE" w:rsidP="00350319">
            <w:pPr>
              <w:pStyle w:val="FreeFormAAAA"/>
              <w:jc w:val="center"/>
              <w:rPr>
                <w:sz w:val="18"/>
                <w:szCs w:val="18"/>
                <w:lang w:val="en-US"/>
              </w:rPr>
            </w:pPr>
            <w:r w:rsidRPr="00240C37">
              <w:rPr>
                <w:sz w:val="18"/>
                <w:szCs w:val="18"/>
                <w:lang w:val="en-US"/>
              </w:rPr>
              <w:t>Jul 10, 2013</w:t>
            </w:r>
          </w:p>
        </w:tc>
        <w:tc>
          <w:tcPr>
            <w:tcW w:w="592" w:type="dxa"/>
            <w:shd w:val="clear" w:color="auto" w:fill="FFFFFF"/>
            <w:vAlign w:val="center"/>
          </w:tcPr>
          <w:p w14:paraId="525D210E" w14:textId="3B1CD6E1" w:rsidR="001762EE" w:rsidRPr="00BC13BA" w:rsidRDefault="001762EE" w:rsidP="00350319">
            <w:pPr>
              <w:pStyle w:val="FreeFormAAAA"/>
              <w:jc w:val="center"/>
              <w:rPr>
                <w:sz w:val="18"/>
                <w:szCs w:val="18"/>
                <w:lang w:val="en-US"/>
              </w:rPr>
            </w:pPr>
            <w:r w:rsidRPr="00BC13BA">
              <w:rPr>
                <w:sz w:val="18"/>
                <w:szCs w:val="18"/>
                <w:lang w:val="en-US"/>
              </w:rPr>
              <w:t>A</w:t>
            </w:r>
          </w:p>
        </w:tc>
        <w:tc>
          <w:tcPr>
            <w:tcW w:w="1109" w:type="dxa"/>
            <w:shd w:val="clear" w:color="auto" w:fill="FFFFFF"/>
            <w:vAlign w:val="center"/>
          </w:tcPr>
          <w:p w14:paraId="59C9F3D2"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Jul 31, 2012</w:t>
            </w:r>
          </w:p>
        </w:tc>
      </w:tr>
      <w:tr w:rsidR="001762EE" w:rsidRPr="00E90249" w14:paraId="11B3E4E1" w14:textId="77777777" w:rsidTr="003B302C">
        <w:trPr>
          <w:cantSplit/>
          <w:trHeight w:val="600"/>
        </w:trPr>
        <w:tc>
          <w:tcPr>
            <w:tcW w:w="450" w:type="dxa"/>
            <w:shd w:val="clear" w:color="auto" w:fill="FFFFFF"/>
            <w:vAlign w:val="center"/>
          </w:tcPr>
          <w:p w14:paraId="74A46944" w14:textId="77777777" w:rsidR="001762EE" w:rsidRPr="003D30F7" w:rsidRDefault="001762EE" w:rsidP="00350319">
            <w:pPr>
              <w:pStyle w:val="FreeFormAAAA"/>
              <w:jc w:val="center"/>
              <w:rPr>
                <w:sz w:val="18"/>
                <w:szCs w:val="18"/>
                <w:lang w:val="en-US"/>
              </w:rPr>
            </w:pPr>
            <w:r w:rsidRPr="003D30F7">
              <w:rPr>
                <w:sz w:val="18"/>
                <w:szCs w:val="18"/>
                <w:lang w:val="en-US"/>
              </w:rPr>
              <w:t>19</w:t>
            </w:r>
          </w:p>
        </w:tc>
        <w:tc>
          <w:tcPr>
            <w:tcW w:w="1767" w:type="dxa"/>
            <w:shd w:val="clear" w:color="auto" w:fill="FFFFFF"/>
            <w:vAlign w:val="center"/>
          </w:tcPr>
          <w:p w14:paraId="62675DC5" w14:textId="77777777" w:rsidR="001762EE" w:rsidRPr="00240C37" w:rsidRDefault="001762EE" w:rsidP="00350319">
            <w:pPr>
              <w:pStyle w:val="FreeFormAAAA"/>
              <w:rPr>
                <w:sz w:val="18"/>
                <w:szCs w:val="18"/>
                <w:lang w:val="en-US"/>
              </w:rPr>
            </w:pPr>
            <w:r w:rsidRPr="00773338">
              <w:rPr>
                <w:sz w:val="18"/>
                <w:szCs w:val="18"/>
                <w:lang w:val="en-US"/>
              </w:rPr>
              <w:t>D</w:t>
            </w:r>
            <w:r w:rsidRPr="00083BC1">
              <w:rPr>
                <w:sz w:val="18"/>
                <w:szCs w:val="18"/>
                <w:lang w:val="en-US"/>
              </w:rPr>
              <w:t>epartment of Transportation and Communication</w:t>
            </w:r>
          </w:p>
        </w:tc>
        <w:tc>
          <w:tcPr>
            <w:tcW w:w="708" w:type="dxa"/>
            <w:shd w:val="clear" w:color="auto" w:fill="FFFFFF"/>
            <w:vAlign w:val="center"/>
          </w:tcPr>
          <w:p w14:paraId="32854960" w14:textId="7E3E193D"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3E5CB68D" w14:textId="2F5B2655" w:rsidR="001762EE" w:rsidRPr="005108BC" w:rsidRDefault="001762EE" w:rsidP="00350319">
            <w:pPr>
              <w:pStyle w:val="FreeFormAAAA"/>
              <w:jc w:val="center"/>
              <w:rPr>
                <w:sz w:val="18"/>
                <w:szCs w:val="18"/>
                <w:lang w:val="en-US"/>
              </w:rPr>
            </w:pPr>
            <w:r w:rsidRPr="005108BC">
              <w:rPr>
                <w:sz w:val="18"/>
                <w:szCs w:val="18"/>
                <w:lang w:val="en-US"/>
              </w:rPr>
              <w:t>Oct 30, 2015</w:t>
            </w:r>
          </w:p>
        </w:tc>
        <w:tc>
          <w:tcPr>
            <w:tcW w:w="630" w:type="dxa"/>
            <w:shd w:val="clear" w:color="auto" w:fill="FFFFFF"/>
            <w:vAlign w:val="center"/>
          </w:tcPr>
          <w:p w14:paraId="05D40E6D" w14:textId="375DE80F"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333A1EDA" w14:textId="77777777" w:rsidR="001762EE" w:rsidRPr="00773338" w:rsidRDefault="001762EE" w:rsidP="00350319">
            <w:pPr>
              <w:pStyle w:val="FreeFormAAAA"/>
              <w:jc w:val="center"/>
              <w:rPr>
                <w:sz w:val="18"/>
                <w:szCs w:val="18"/>
                <w:lang w:val="en-US"/>
              </w:rPr>
            </w:pPr>
            <w:r w:rsidRPr="00773338">
              <w:rPr>
                <w:sz w:val="18"/>
                <w:szCs w:val="18"/>
                <w:lang w:val="en-US"/>
              </w:rPr>
              <w:t>Mar 30, 2015</w:t>
            </w:r>
          </w:p>
        </w:tc>
        <w:tc>
          <w:tcPr>
            <w:tcW w:w="630" w:type="dxa"/>
            <w:shd w:val="clear" w:color="auto" w:fill="FFFFFF"/>
            <w:vAlign w:val="center"/>
          </w:tcPr>
          <w:p w14:paraId="57BE4DF6" w14:textId="566434DC" w:rsidR="001762EE" w:rsidRPr="00083BC1" w:rsidRDefault="001762EE" w:rsidP="00350319">
            <w:pPr>
              <w:pStyle w:val="FreeFormAAAA"/>
              <w:jc w:val="center"/>
              <w:rPr>
                <w:sz w:val="18"/>
                <w:szCs w:val="18"/>
                <w:lang w:val="en-US"/>
              </w:rPr>
            </w:pPr>
            <w:r w:rsidRPr="00083BC1">
              <w:rPr>
                <w:sz w:val="18"/>
                <w:szCs w:val="18"/>
                <w:lang w:val="en-US"/>
              </w:rPr>
              <w:t>A</w:t>
            </w:r>
          </w:p>
        </w:tc>
        <w:tc>
          <w:tcPr>
            <w:tcW w:w="1118" w:type="dxa"/>
            <w:shd w:val="clear" w:color="auto" w:fill="FFFFFF"/>
            <w:vAlign w:val="center"/>
          </w:tcPr>
          <w:p w14:paraId="3AC1BC1F" w14:textId="77777777" w:rsidR="001762EE" w:rsidRPr="00240C37" w:rsidRDefault="001762EE" w:rsidP="00350319">
            <w:pPr>
              <w:pStyle w:val="FreeFormAAAA"/>
              <w:jc w:val="center"/>
              <w:rPr>
                <w:sz w:val="18"/>
                <w:szCs w:val="18"/>
                <w:lang w:val="en-US"/>
              </w:rPr>
            </w:pPr>
            <w:r w:rsidRPr="00240C37">
              <w:rPr>
                <w:sz w:val="18"/>
                <w:szCs w:val="18"/>
                <w:lang w:val="en-US"/>
              </w:rPr>
              <w:t>Not dated</w:t>
            </w:r>
          </w:p>
        </w:tc>
        <w:tc>
          <w:tcPr>
            <w:tcW w:w="592" w:type="dxa"/>
            <w:shd w:val="clear" w:color="auto" w:fill="FFFFFF"/>
            <w:vAlign w:val="center"/>
          </w:tcPr>
          <w:p w14:paraId="355ABE5D" w14:textId="42B42CBF" w:rsidR="001762EE" w:rsidRPr="00BC13BA" w:rsidRDefault="001762EE" w:rsidP="00350319">
            <w:pPr>
              <w:pStyle w:val="FreeFormAAAA"/>
              <w:jc w:val="center"/>
              <w:rPr>
                <w:sz w:val="18"/>
                <w:szCs w:val="18"/>
                <w:lang w:val="en-US"/>
              </w:rPr>
            </w:pPr>
            <w:r w:rsidRPr="00BC13BA">
              <w:rPr>
                <w:sz w:val="18"/>
                <w:szCs w:val="18"/>
                <w:lang w:val="en-US"/>
              </w:rPr>
              <w:t>A</w:t>
            </w:r>
          </w:p>
        </w:tc>
        <w:tc>
          <w:tcPr>
            <w:tcW w:w="1109" w:type="dxa"/>
            <w:shd w:val="clear" w:color="auto" w:fill="FFFFFF"/>
            <w:vAlign w:val="center"/>
          </w:tcPr>
          <w:p w14:paraId="7545CC1A"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Nov 16, 2012</w:t>
            </w:r>
          </w:p>
        </w:tc>
      </w:tr>
      <w:tr w:rsidR="001762EE" w:rsidRPr="00E90249" w14:paraId="5215B1B8" w14:textId="77777777" w:rsidTr="00EC5DE8">
        <w:trPr>
          <w:cantSplit/>
          <w:trHeight w:val="576"/>
        </w:trPr>
        <w:tc>
          <w:tcPr>
            <w:tcW w:w="450" w:type="dxa"/>
            <w:shd w:val="clear" w:color="auto" w:fill="FFFFFF"/>
            <w:vAlign w:val="center"/>
          </w:tcPr>
          <w:p w14:paraId="3D6040B7" w14:textId="77777777" w:rsidR="001762EE" w:rsidRPr="005108BC" w:rsidRDefault="001762EE" w:rsidP="00350319">
            <w:pPr>
              <w:pStyle w:val="FreeFormAAAA"/>
              <w:jc w:val="center"/>
              <w:rPr>
                <w:sz w:val="18"/>
                <w:szCs w:val="18"/>
                <w:lang w:val="en-US"/>
              </w:rPr>
            </w:pPr>
            <w:r w:rsidRPr="005108BC">
              <w:rPr>
                <w:sz w:val="18"/>
                <w:szCs w:val="18"/>
                <w:lang w:val="en-US"/>
              </w:rPr>
              <w:t>20</w:t>
            </w:r>
          </w:p>
        </w:tc>
        <w:tc>
          <w:tcPr>
            <w:tcW w:w="1767" w:type="dxa"/>
            <w:shd w:val="clear" w:color="auto" w:fill="FFFFFF"/>
            <w:vAlign w:val="center"/>
          </w:tcPr>
          <w:p w14:paraId="309F7011" w14:textId="77777777" w:rsidR="001762EE" w:rsidRPr="003D30F7" w:rsidRDefault="001762EE" w:rsidP="00350319">
            <w:pPr>
              <w:pStyle w:val="FreeFormAAAA"/>
              <w:rPr>
                <w:sz w:val="18"/>
                <w:szCs w:val="18"/>
                <w:lang w:val="en-US"/>
              </w:rPr>
            </w:pPr>
            <w:r w:rsidRPr="003D30F7">
              <w:rPr>
                <w:sz w:val="18"/>
                <w:szCs w:val="18"/>
                <w:lang w:val="en-US"/>
              </w:rPr>
              <w:t>Metropolitan Manila Development Authority</w:t>
            </w:r>
          </w:p>
        </w:tc>
        <w:tc>
          <w:tcPr>
            <w:tcW w:w="708" w:type="dxa"/>
            <w:shd w:val="clear" w:color="auto" w:fill="FFFFFF"/>
            <w:vAlign w:val="center"/>
          </w:tcPr>
          <w:p w14:paraId="6F9B0FDE" w14:textId="56DA5761"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vAlign w:val="center"/>
          </w:tcPr>
          <w:p w14:paraId="2ABCB3BB" w14:textId="11570F8A" w:rsidR="001762EE" w:rsidRPr="005108BC" w:rsidRDefault="001762EE" w:rsidP="00350319">
            <w:pPr>
              <w:pStyle w:val="FreeFormAAAA"/>
              <w:jc w:val="center"/>
              <w:rPr>
                <w:sz w:val="18"/>
                <w:szCs w:val="18"/>
                <w:lang w:val="en-US"/>
              </w:rPr>
            </w:pPr>
            <w:r w:rsidRPr="005108BC">
              <w:rPr>
                <w:sz w:val="18"/>
                <w:szCs w:val="18"/>
                <w:lang w:val="en-US"/>
              </w:rPr>
              <w:t>July 16, 2015</w:t>
            </w:r>
          </w:p>
        </w:tc>
        <w:tc>
          <w:tcPr>
            <w:tcW w:w="630" w:type="dxa"/>
            <w:shd w:val="clear" w:color="auto" w:fill="FFFFFF"/>
            <w:vAlign w:val="center"/>
          </w:tcPr>
          <w:p w14:paraId="2447DEFB" w14:textId="11EE49D3" w:rsidR="001762EE" w:rsidRPr="003D30F7" w:rsidRDefault="001762EE" w:rsidP="00350319">
            <w:pPr>
              <w:pStyle w:val="FreeFormAAAA"/>
              <w:jc w:val="center"/>
              <w:rPr>
                <w:sz w:val="18"/>
                <w:szCs w:val="18"/>
                <w:lang w:val="en-US"/>
              </w:rPr>
            </w:pPr>
            <w:r w:rsidRPr="003D30F7">
              <w:rPr>
                <w:sz w:val="18"/>
                <w:szCs w:val="18"/>
                <w:lang w:val="en-US"/>
              </w:rPr>
              <w:t>Q</w:t>
            </w:r>
          </w:p>
        </w:tc>
        <w:tc>
          <w:tcPr>
            <w:tcW w:w="1170" w:type="dxa"/>
            <w:shd w:val="clear" w:color="auto" w:fill="FFFFFF"/>
            <w:vAlign w:val="center"/>
          </w:tcPr>
          <w:p w14:paraId="7442190C" w14:textId="77777777" w:rsidR="001762EE" w:rsidRPr="00773338" w:rsidRDefault="001762EE" w:rsidP="00350319">
            <w:pPr>
              <w:pStyle w:val="FreeFormAAAA"/>
              <w:jc w:val="center"/>
              <w:rPr>
                <w:sz w:val="18"/>
                <w:szCs w:val="18"/>
                <w:lang w:val="en-US"/>
              </w:rPr>
            </w:pPr>
            <w:r w:rsidRPr="00773338">
              <w:rPr>
                <w:sz w:val="18"/>
                <w:szCs w:val="18"/>
                <w:lang w:val="en-US"/>
              </w:rPr>
              <w:t>Oct 22, 2014</w:t>
            </w:r>
          </w:p>
        </w:tc>
        <w:tc>
          <w:tcPr>
            <w:tcW w:w="630" w:type="dxa"/>
            <w:shd w:val="clear" w:color="auto" w:fill="FFFFFF"/>
            <w:vAlign w:val="center"/>
          </w:tcPr>
          <w:p w14:paraId="26C7E7B5" w14:textId="68DC5AF0" w:rsidR="001762EE" w:rsidRPr="00083BC1" w:rsidRDefault="001762EE" w:rsidP="00350319">
            <w:pPr>
              <w:pStyle w:val="FreeFormAAAA"/>
              <w:jc w:val="center"/>
              <w:rPr>
                <w:sz w:val="18"/>
                <w:szCs w:val="18"/>
                <w:lang w:val="en-US"/>
              </w:rPr>
            </w:pPr>
            <w:r w:rsidRPr="00083BC1">
              <w:rPr>
                <w:sz w:val="18"/>
                <w:szCs w:val="18"/>
                <w:lang w:val="en-US"/>
              </w:rPr>
              <w:t>Q</w:t>
            </w:r>
          </w:p>
        </w:tc>
        <w:tc>
          <w:tcPr>
            <w:tcW w:w="1118" w:type="dxa"/>
            <w:shd w:val="clear" w:color="auto" w:fill="FFFFFF"/>
            <w:vAlign w:val="center"/>
          </w:tcPr>
          <w:p w14:paraId="5E10D874" w14:textId="77777777" w:rsidR="001762EE" w:rsidRPr="00240C37" w:rsidRDefault="001762EE" w:rsidP="00350319">
            <w:pPr>
              <w:pStyle w:val="FreeFormAAAA"/>
              <w:jc w:val="center"/>
              <w:rPr>
                <w:sz w:val="18"/>
                <w:szCs w:val="18"/>
                <w:lang w:val="en-US"/>
              </w:rPr>
            </w:pPr>
            <w:r w:rsidRPr="00240C37">
              <w:rPr>
                <w:sz w:val="18"/>
                <w:szCs w:val="18"/>
                <w:lang w:val="en-US"/>
              </w:rPr>
              <w:t>Aug 15, 2013</w:t>
            </w:r>
          </w:p>
        </w:tc>
        <w:tc>
          <w:tcPr>
            <w:tcW w:w="592" w:type="dxa"/>
            <w:shd w:val="clear" w:color="auto" w:fill="FFFFFF"/>
            <w:vAlign w:val="center"/>
          </w:tcPr>
          <w:p w14:paraId="474CC1D7" w14:textId="5A903269" w:rsidR="001762EE" w:rsidRPr="00BC13BA" w:rsidRDefault="001762EE" w:rsidP="00350319">
            <w:pPr>
              <w:pStyle w:val="FreeFormAAAA"/>
              <w:jc w:val="center"/>
              <w:rPr>
                <w:sz w:val="18"/>
                <w:szCs w:val="18"/>
                <w:lang w:val="en-US"/>
              </w:rPr>
            </w:pPr>
            <w:r w:rsidRPr="00BC13BA">
              <w:rPr>
                <w:sz w:val="18"/>
                <w:szCs w:val="18"/>
                <w:lang w:val="en-US"/>
              </w:rPr>
              <w:t>A</w:t>
            </w:r>
          </w:p>
        </w:tc>
        <w:tc>
          <w:tcPr>
            <w:tcW w:w="1109" w:type="dxa"/>
            <w:shd w:val="clear" w:color="auto" w:fill="FFFFFF"/>
            <w:vAlign w:val="center"/>
          </w:tcPr>
          <w:p w14:paraId="66B53DEE"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Feb 28, 2012</w:t>
            </w:r>
          </w:p>
        </w:tc>
      </w:tr>
      <w:tr w:rsidR="001762EE" w:rsidRPr="00E90249" w14:paraId="6BC9E044" w14:textId="77777777" w:rsidTr="003B302C">
        <w:trPr>
          <w:cantSplit/>
          <w:trHeight w:val="600"/>
        </w:trPr>
        <w:tc>
          <w:tcPr>
            <w:tcW w:w="450" w:type="dxa"/>
            <w:shd w:val="clear" w:color="auto" w:fill="FFFFFF"/>
            <w:vAlign w:val="center"/>
          </w:tcPr>
          <w:p w14:paraId="254FCD04" w14:textId="77777777" w:rsidR="001762EE" w:rsidRPr="005108BC" w:rsidRDefault="001762EE" w:rsidP="00350319">
            <w:pPr>
              <w:pStyle w:val="FreeFormAAAA"/>
              <w:jc w:val="center"/>
              <w:rPr>
                <w:sz w:val="18"/>
                <w:szCs w:val="18"/>
                <w:lang w:val="en-US"/>
              </w:rPr>
            </w:pPr>
            <w:r w:rsidRPr="005108BC">
              <w:rPr>
                <w:sz w:val="18"/>
                <w:szCs w:val="18"/>
                <w:lang w:val="en-US"/>
              </w:rPr>
              <w:t>21</w:t>
            </w:r>
          </w:p>
        </w:tc>
        <w:tc>
          <w:tcPr>
            <w:tcW w:w="1767" w:type="dxa"/>
            <w:shd w:val="clear" w:color="auto" w:fill="FFFFFF"/>
            <w:vAlign w:val="center"/>
          </w:tcPr>
          <w:p w14:paraId="0178DEE2" w14:textId="77777777" w:rsidR="001762EE" w:rsidRPr="003D30F7" w:rsidRDefault="001762EE" w:rsidP="00350319">
            <w:pPr>
              <w:pStyle w:val="FreeFormAAAA"/>
              <w:rPr>
                <w:sz w:val="18"/>
                <w:szCs w:val="18"/>
                <w:lang w:val="en-US"/>
              </w:rPr>
            </w:pPr>
            <w:r w:rsidRPr="003D30F7">
              <w:rPr>
                <w:sz w:val="18"/>
                <w:szCs w:val="18"/>
                <w:lang w:val="en-US"/>
              </w:rPr>
              <w:t>National Economic Development Authority</w:t>
            </w:r>
          </w:p>
        </w:tc>
        <w:tc>
          <w:tcPr>
            <w:tcW w:w="708" w:type="dxa"/>
            <w:shd w:val="clear" w:color="auto" w:fill="FFFFFF"/>
            <w:vAlign w:val="center"/>
          </w:tcPr>
          <w:p w14:paraId="150B4212" w14:textId="7FB92F19" w:rsidR="001762EE" w:rsidRPr="00773338" w:rsidRDefault="001762EE" w:rsidP="00350319">
            <w:pPr>
              <w:pStyle w:val="FreeFormAAAA"/>
              <w:jc w:val="center"/>
              <w:rPr>
                <w:sz w:val="18"/>
                <w:szCs w:val="18"/>
                <w:lang w:val="en-US"/>
              </w:rPr>
            </w:pPr>
            <w:r w:rsidRPr="00773338">
              <w:rPr>
                <w:sz w:val="18"/>
                <w:szCs w:val="18"/>
                <w:lang w:val="en-US"/>
              </w:rPr>
              <w:t>Q</w:t>
            </w:r>
          </w:p>
        </w:tc>
        <w:tc>
          <w:tcPr>
            <w:tcW w:w="1272" w:type="dxa"/>
            <w:shd w:val="clear" w:color="auto" w:fill="FFFFFF"/>
            <w:vAlign w:val="center"/>
          </w:tcPr>
          <w:p w14:paraId="6BF26855" w14:textId="7D77CE13" w:rsidR="001762EE" w:rsidRPr="00E90249" w:rsidRDefault="001762EE" w:rsidP="00350319">
            <w:pPr>
              <w:pStyle w:val="FreeFormAAAA"/>
              <w:jc w:val="center"/>
              <w:rPr>
                <w:sz w:val="18"/>
                <w:szCs w:val="18"/>
                <w:lang w:val="en-US"/>
              </w:rPr>
            </w:pPr>
            <w:r w:rsidRPr="00E90249">
              <w:rPr>
                <w:sz w:val="18"/>
                <w:szCs w:val="18"/>
                <w:lang w:val="en-US"/>
              </w:rPr>
              <w:t>May 29, 2015</w:t>
            </w:r>
          </w:p>
        </w:tc>
        <w:tc>
          <w:tcPr>
            <w:tcW w:w="630" w:type="dxa"/>
            <w:shd w:val="clear" w:color="auto" w:fill="FFFFFF"/>
            <w:vAlign w:val="center"/>
          </w:tcPr>
          <w:p w14:paraId="4D996845" w14:textId="08649B5C" w:rsidR="001762EE" w:rsidRPr="00083BC1" w:rsidRDefault="001762EE" w:rsidP="00350319">
            <w:pPr>
              <w:pStyle w:val="FreeFormAAAA"/>
              <w:jc w:val="center"/>
              <w:rPr>
                <w:sz w:val="18"/>
                <w:szCs w:val="18"/>
                <w:lang w:val="en-US"/>
              </w:rPr>
            </w:pPr>
            <w:r w:rsidRPr="00083BC1">
              <w:rPr>
                <w:sz w:val="18"/>
                <w:szCs w:val="18"/>
                <w:lang w:val="en-US"/>
              </w:rPr>
              <w:t>Q</w:t>
            </w:r>
          </w:p>
        </w:tc>
        <w:tc>
          <w:tcPr>
            <w:tcW w:w="1170" w:type="dxa"/>
            <w:shd w:val="clear" w:color="auto" w:fill="FFFFFF"/>
            <w:vAlign w:val="center"/>
          </w:tcPr>
          <w:p w14:paraId="11420A24" w14:textId="77777777" w:rsidR="001762EE" w:rsidRPr="00240C37" w:rsidRDefault="001762EE" w:rsidP="00350319">
            <w:pPr>
              <w:pStyle w:val="FreeFormAAAA"/>
              <w:jc w:val="center"/>
              <w:rPr>
                <w:sz w:val="18"/>
                <w:szCs w:val="18"/>
                <w:lang w:val="en-US"/>
              </w:rPr>
            </w:pPr>
            <w:r w:rsidRPr="00240C37">
              <w:rPr>
                <w:sz w:val="18"/>
                <w:szCs w:val="18"/>
                <w:lang w:val="en-US"/>
              </w:rPr>
              <w:t>May 16, 2014</w:t>
            </w:r>
          </w:p>
        </w:tc>
        <w:tc>
          <w:tcPr>
            <w:tcW w:w="630" w:type="dxa"/>
            <w:shd w:val="clear" w:color="auto" w:fill="FFFFFF"/>
            <w:vAlign w:val="center"/>
          </w:tcPr>
          <w:p w14:paraId="2D8BD036" w14:textId="65F9618E" w:rsidR="001762EE" w:rsidRPr="00BC13BA" w:rsidRDefault="001762EE" w:rsidP="00350319">
            <w:pPr>
              <w:pStyle w:val="FreeFormAAAA"/>
              <w:jc w:val="center"/>
              <w:rPr>
                <w:sz w:val="18"/>
                <w:szCs w:val="18"/>
                <w:lang w:val="en-US"/>
              </w:rPr>
            </w:pPr>
            <w:r w:rsidRPr="00BC13BA">
              <w:rPr>
                <w:sz w:val="18"/>
                <w:szCs w:val="18"/>
                <w:lang w:val="en-US"/>
              </w:rPr>
              <w:t>Q</w:t>
            </w:r>
          </w:p>
        </w:tc>
        <w:tc>
          <w:tcPr>
            <w:tcW w:w="1118" w:type="dxa"/>
            <w:shd w:val="clear" w:color="auto" w:fill="FFFFFF"/>
            <w:vAlign w:val="center"/>
          </w:tcPr>
          <w:p w14:paraId="67BF65E1" w14:textId="77777777" w:rsidR="001762EE" w:rsidRPr="005323C0" w:rsidRDefault="001762EE" w:rsidP="00350319">
            <w:pPr>
              <w:pStyle w:val="FreeFormAAAA"/>
              <w:jc w:val="center"/>
              <w:rPr>
                <w:sz w:val="18"/>
                <w:szCs w:val="18"/>
                <w:lang w:val="en-US"/>
              </w:rPr>
            </w:pPr>
            <w:r w:rsidRPr="00D661D7">
              <w:rPr>
                <w:sz w:val="18"/>
                <w:szCs w:val="18"/>
                <w:lang w:val="en-US"/>
              </w:rPr>
              <w:t>Jun 15, 2013</w:t>
            </w:r>
          </w:p>
        </w:tc>
        <w:tc>
          <w:tcPr>
            <w:tcW w:w="592" w:type="dxa"/>
            <w:shd w:val="clear" w:color="auto" w:fill="FFFFFF"/>
            <w:vAlign w:val="center"/>
          </w:tcPr>
          <w:p w14:paraId="34B466C5" w14:textId="0735F23F" w:rsidR="001762EE" w:rsidRPr="009D76C2" w:rsidRDefault="001762EE" w:rsidP="00350319">
            <w:pPr>
              <w:pStyle w:val="FreeFormAAAA"/>
              <w:jc w:val="center"/>
              <w:rPr>
                <w:sz w:val="18"/>
                <w:szCs w:val="18"/>
                <w:lang w:val="en-US"/>
              </w:rPr>
            </w:pPr>
            <w:r w:rsidRPr="009D76C2">
              <w:rPr>
                <w:sz w:val="18"/>
                <w:szCs w:val="18"/>
                <w:lang w:val="en-US"/>
              </w:rPr>
              <w:t>Q</w:t>
            </w:r>
          </w:p>
        </w:tc>
        <w:tc>
          <w:tcPr>
            <w:tcW w:w="1109" w:type="dxa"/>
            <w:shd w:val="clear" w:color="auto" w:fill="FFFFFF"/>
            <w:vAlign w:val="center"/>
          </w:tcPr>
          <w:p w14:paraId="07D75AFA" w14:textId="77777777" w:rsidR="001762EE" w:rsidRPr="00B54286" w:rsidRDefault="001762EE" w:rsidP="00350319">
            <w:pPr>
              <w:pStyle w:val="FreeFormAAAA"/>
              <w:ind w:left="-57" w:right="-57"/>
              <w:jc w:val="center"/>
              <w:rPr>
                <w:sz w:val="18"/>
                <w:szCs w:val="18"/>
                <w:lang w:val="en-US"/>
              </w:rPr>
            </w:pPr>
            <w:r w:rsidRPr="00F14020">
              <w:rPr>
                <w:sz w:val="18"/>
                <w:szCs w:val="18"/>
                <w:lang w:val="en-US"/>
              </w:rPr>
              <w:t>May 14, 2012</w:t>
            </w:r>
          </w:p>
        </w:tc>
      </w:tr>
      <w:tr w:rsidR="001762EE" w:rsidRPr="00E90249" w14:paraId="0DEB4B35" w14:textId="77777777" w:rsidTr="003B302C">
        <w:trPr>
          <w:cantSplit/>
          <w:trHeight w:val="400"/>
        </w:trPr>
        <w:tc>
          <w:tcPr>
            <w:tcW w:w="450" w:type="dxa"/>
            <w:shd w:val="clear" w:color="auto" w:fill="FFFFFF"/>
            <w:vAlign w:val="center"/>
          </w:tcPr>
          <w:p w14:paraId="3AAD7A6D" w14:textId="77777777" w:rsidR="001762EE" w:rsidRPr="005108BC" w:rsidRDefault="001762EE" w:rsidP="00350319">
            <w:pPr>
              <w:pStyle w:val="FreeFormAAAA"/>
              <w:jc w:val="center"/>
              <w:rPr>
                <w:sz w:val="18"/>
                <w:szCs w:val="18"/>
                <w:lang w:val="en-US"/>
              </w:rPr>
            </w:pPr>
            <w:r w:rsidRPr="005108BC">
              <w:rPr>
                <w:sz w:val="18"/>
                <w:szCs w:val="18"/>
                <w:lang w:val="en-US"/>
              </w:rPr>
              <w:t>22</w:t>
            </w:r>
          </w:p>
        </w:tc>
        <w:tc>
          <w:tcPr>
            <w:tcW w:w="1767" w:type="dxa"/>
            <w:shd w:val="clear" w:color="auto" w:fill="FFFFFF"/>
            <w:vAlign w:val="center"/>
          </w:tcPr>
          <w:p w14:paraId="2C3E8CD4" w14:textId="77777777" w:rsidR="001762EE" w:rsidRPr="003D30F7" w:rsidRDefault="001762EE" w:rsidP="00350319">
            <w:pPr>
              <w:pStyle w:val="FreeFormAAAA"/>
              <w:rPr>
                <w:sz w:val="18"/>
                <w:szCs w:val="18"/>
                <w:lang w:val="en-US"/>
              </w:rPr>
            </w:pPr>
            <w:r w:rsidRPr="003D30F7">
              <w:rPr>
                <w:sz w:val="18"/>
                <w:szCs w:val="18"/>
                <w:lang w:val="en-US"/>
              </w:rPr>
              <w:t>Philippine National Police</w:t>
            </w:r>
          </w:p>
        </w:tc>
        <w:tc>
          <w:tcPr>
            <w:tcW w:w="708" w:type="dxa"/>
            <w:shd w:val="clear" w:color="auto" w:fill="FFFFFF"/>
            <w:vAlign w:val="center"/>
          </w:tcPr>
          <w:p w14:paraId="76AD63B3" w14:textId="70524605" w:rsidR="001762EE" w:rsidRPr="00773338" w:rsidRDefault="001762EE" w:rsidP="00350319">
            <w:pPr>
              <w:pStyle w:val="FreeFormAAAA"/>
              <w:jc w:val="center"/>
              <w:rPr>
                <w:sz w:val="18"/>
                <w:szCs w:val="18"/>
                <w:lang w:val="en-US"/>
              </w:rPr>
            </w:pPr>
            <w:r w:rsidRPr="00773338">
              <w:rPr>
                <w:sz w:val="18"/>
                <w:szCs w:val="18"/>
                <w:lang w:val="en-US"/>
              </w:rPr>
              <w:t>A</w:t>
            </w:r>
          </w:p>
        </w:tc>
        <w:tc>
          <w:tcPr>
            <w:tcW w:w="1272" w:type="dxa"/>
            <w:shd w:val="clear" w:color="auto" w:fill="FFFFFF"/>
            <w:vAlign w:val="center"/>
          </w:tcPr>
          <w:p w14:paraId="74D6BD30" w14:textId="21D9074F" w:rsidR="001762EE" w:rsidRPr="00E90249" w:rsidRDefault="001762EE" w:rsidP="00350319">
            <w:pPr>
              <w:pStyle w:val="FreeFormAAAA"/>
              <w:jc w:val="center"/>
              <w:rPr>
                <w:sz w:val="18"/>
                <w:szCs w:val="18"/>
                <w:lang w:val="en-US"/>
              </w:rPr>
            </w:pPr>
            <w:r w:rsidRPr="00E90249">
              <w:rPr>
                <w:sz w:val="18"/>
                <w:szCs w:val="18"/>
                <w:lang w:val="en-US"/>
              </w:rPr>
              <w:t>Jun 30, 2015</w:t>
            </w:r>
          </w:p>
        </w:tc>
        <w:tc>
          <w:tcPr>
            <w:tcW w:w="630" w:type="dxa"/>
            <w:shd w:val="clear" w:color="auto" w:fill="FFFFFF"/>
            <w:vAlign w:val="center"/>
          </w:tcPr>
          <w:p w14:paraId="6D24E1AE" w14:textId="096653FB" w:rsidR="001762EE" w:rsidRPr="00083BC1" w:rsidRDefault="001762EE" w:rsidP="00350319">
            <w:pPr>
              <w:pStyle w:val="FreeFormAAAA"/>
              <w:jc w:val="center"/>
              <w:rPr>
                <w:sz w:val="18"/>
                <w:szCs w:val="18"/>
                <w:lang w:val="en-US"/>
              </w:rPr>
            </w:pPr>
            <w:r w:rsidRPr="00083BC1">
              <w:rPr>
                <w:sz w:val="18"/>
                <w:szCs w:val="18"/>
                <w:lang w:val="en-US"/>
              </w:rPr>
              <w:t>A</w:t>
            </w:r>
          </w:p>
        </w:tc>
        <w:tc>
          <w:tcPr>
            <w:tcW w:w="1170" w:type="dxa"/>
            <w:shd w:val="clear" w:color="auto" w:fill="FFFFFF"/>
            <w:vAlign w:val="center"/>
          </w:tcPr>
          <w:p w14:paraId="3AF2CB2B" w14:textId="77777777" w:rsidR="001762EE" w:rsidRPr="00240C37" w:rsidRDefault="001762EE" w:rsidP="00350319">
            <w:pPr>
              <w:pStyle w:val="FreeFormAAAA"/>
              <w:jc w:val="center"/>
              <w:rPr>
                <w:sz w:val="18"/>
                <w:szCs w:val="18"/>
                <w:lang w:val="en-US"/>
              </w:rPr>
            </w:pPr>
            <w:r w:rsidRPr="00240C37">
              <w:rPr>
                <w:sz w:val="18"/>
                <w:szCs w:val="18"/>
                <w:lang w:val="en-US"/>
              </w:rPr>
              <w:t>May 26, 2014</w:t>
            </w:r>
          </w:p>
        </w:tc>
        <w:tc>
          <w:tcPr>
            <w:tcW w:w="630" w:type="dxa"/>
            <w:shd w:val="clear" w:color="auto" w:fill="FFFFFF"/>
            <w:vAlign w:val="center"/>
          </w:tcPr>
          <w:p w14:paraId="0F690D50" w14:textId="1B828D03" w:rsidR="001762EE" w:rsidRPr="00BC13BA" w:rsidRDefault="001762EE" w:rsidP="00350319">
            <w:pPr>
              <w:pStyle w:val="FreeFormAAAA"/>
              <w:jc w:val="center"/>
              <w:rPr>
                <w:sz w:val="18"/>
                <w:szCs w:val="18"/>
                <w:lang w:val="en-US"/>
              </w:rPr>
            </w:pPr>
            <w:r w:rsidRPr="00BC13BA">
              <w:rPr>
                <w:sz w:val="18"/>
                <w:szCs w:val="18"/>
                <w:lang w:val="en-US"/>
              </w:rPr>
              <w:t>A</w:t>
            </w:r>
          </w:p>
        </w:tc>
        <w:tc>
          <w:tcPr>
            <w:tcW w:w="1118" w:type="dxa"/>
            <w:shd w:val="clear" w:color="auto" w:fill="FFFFFF"/>
            <w:vAlign w:val="center"/>
          </w:tcPr>
          <w:p w14:paraId="4C305DA0" w14:textId="77777777" w:rsidR="001762EE" w:rsidRPr="005323C0" w:rsidRDefault="001762EE" w:rsidP="00350319">
            <w:pPr>
              <w:pStyle w:val="FreeFormAAAA"/>
              <w:jc w:val="center"/>
              <w:rPr>
                <w:sz w:val="18"/>
                <w:szCs w:val="18"/>
                <w:lang w:val="en-US"/>
              </w:rPr>
            </w:pPr>
            <w:r w:rsidRPr="00D661D7">
              <w:rPr>
                <w:sz w:val="18"/>
                <w:szCs w:val="18"/>
                <w:lang w:val="en-US"/>
              </w:rPr>
              <w:t>Apr 30, 2013</w:t>
            </w:r>
          </w:p>
        </w:tc>
        <w:tc>
          <w:tcPr>
            <w:tcW w:w="592" w:type="dxa"/>
            <w:shd w:val="clear" w:color="auto" w:fill="FFFFFF"/>
            <w:vAlign w:val="center"/>
          </w:tcPr>
          <w:p w14:paraId="7684995D" w14:textId="494037E7" w:rsidR="001762EE" w:rsidRPr="009D76C2" w:rsidRDefault="001762EE" w:rsidP="00350319">
            <w:pPr>
              <w:pStyle w:val="FreeFormAAAA"/>
              <w:jc w:val="center"/>
              <w:rPr>
                <w:sz w:val="18"/>
                <w:szCs w:val="18"/>
                <w:lang w:val="en-US"/>
              </w:rPr>
            </w:pPr>
            <w:r w:rsidRPr="009D76C2">
              <w:rPr>
                <w:sz w:val="18"/>
                <w:szCs w:val="18"/>
                <w:lang w:val="en-US"/>
              </w:rPr>
              <w:t>Q</w:t>
            </w:r>
          </w:p>
        </w:tc>
        <w:tc>
          <w:tcPr>
            <w:tcW w:w="1109" w:type="dxa"/>
            <w:shd w:val="clear" w:color="auto" w:fill="FFFFFF"/>
            <w:vAlign w:val="center"/>
          </w:tcPr>
          <w:p w14:paraId="57FC879C" w14:textId="77777777" w:rsidR="001762EE" w:rsidRPr="00B54286" w:rsidRDefault="001762EE" w:rsidP="00350319">
            <w:pPr>
              <w:pStyle w:val="FreeFormAAAA"/>
              <w:ind w:left="-57" w:right="-57"/>
              <w:jc w:val="center"/>
              <w:rPr>
                <w:sz w:val="18"/>
                <w:szCs w:val="18"/>
                <w:lang w:val="en-US"/>
              </w:rPr>
            </w:pPr>
            <w:r w:rsidRPr="00F14020">
              <w:rPr>
                <w:sz w:val="18"/>
                <w:szCs w:val="18"/>
                <w:lang w:val="en-US"/>
              </w:rPr>
              <w:t>Aug 15, 2012</w:t>
            </w:r>
          </w:p>
        </w:tc>
      </w:tr>
      <w:tr w:rsidR="001762EE" w:rsidRPr="00E90249" w14:paraId="5D2F4C23" w14:textId="77777777" w:rsidTr="00EC5DE8">
        <w:trPr>
          <w:cantSplit/>
          <w:trHeight w:val="432"/>
        </w:trPr>
        <w:tc>
          <w:tcPr>
            <w:tcW w:w="288" w:type="dxa"/>
            <w:shd w:val="clear" w:color="auto" w:fill="FFFFFF"/>
            <w:vAlign w:val="center"/>
          </w:tcPr>
          <w:p w14:paraId="16B0FA70" w14:textId="77777777" w:rsidR="001762EE" w:rsidRPr="005108BC" w:rsidRDefault="001762EE" w:rsidP="00350319">
            <w:pPr>
              <w:pStyle w:val="FreeFormAAAA"/>
              <w:jc w:val="center"/>
              <w:rPr>
                <w:sz w:val="18"/>
                <w:szCs w:val="18"/>
                <w:lang w:val="en-US"/>
              </w:rPr>
            </w:pPr>
            <w:r w:rsidRPr="005108BC">
              <w:rPr>
                <w:sz w:val="18"/>
                <w:szCs w:val="18"/>
                <w:lang w:val="en-US"/>
              </w:rPr>
              <w:t>23</w:t>
            </w:r>
          </w:p>
        </w:tc>
        <w:tc>
          <w:tcPr>
            <w:tcW w:w="1767" w:type="dxa"/>
            <w:shd w:val="clear" w:color="auto" w:fill="FFFFFF"/>
            <w:vAlign w:val="center"/>
          </w:tcPr>
          <w:p w14:paraId="1E84476C" w14:textId="00677FD9" w:rsidR="001762EE" w:rsidRPr="003D30F7" w:rsidRDefault="001C6BDA" w:rsidP="00350319">
            <w:pPr>
              <w:pStyle w:val="FreeFormAAAA"/>
              <w:rPr>
                <w:sz w:val="18"/>
                <w:szCs w:val="18"/>
                <w:lang w:val="en-US"/>
              </w:rPr>
            </w:pPr>
            <w:r>
              <w:rPr>
                <w:sz w:val="18"/>
                <w:szCs w:val="18"/>
                <w:lang w:val="en-US"/>
              </w:rPr>
              <w:t>BIR</w:t>
            </w:r>
            <w:r w:rsidR="001762EE" w:rsidRPr="003D30F7">
              <w:rPr>
                <w:sz w:val="18"/>
                <w:szCs w:val="18"/>
                <w:lang w:val="en-US"/>
              </w:rPr>
              <w:t xml:space="preserve"> - National Government Books</w:t>
            </w:r>
          </w:p>
        </w:tc>
        <w:tc>
          <w:tcPr>
            <w:tcW w:w="1980" w:type="dxa"/>
            <w:gridSpan w:val="2"/>
            <w:shd w:val="clear" w:color="auto" w:fill="FFFFFF"/>
            <w:vAlign w:val="center"/>
          </w:tcPr>
          <w:p w14:paraId="57FFB3B1" w14:textId="68B4A378" w:rsidR="001762EE" w:rsidRPr="0025475E" w:rsidRDefault="001762EE" w:rsidP="00350319">
            <w:pPr>
              <w:pStyle w:val="FreeFormAAAA"/>
              <w:jc w:val="center"/>
              <w:rPr>
                <w:sz w:val="18"/>
                <w:szCs w:val="18"/>
                <w:lang w:val="en-US"/>
              </w:rPr>
            </w:pPr>
            <w:r w:rsidRPr="0025475E">
              <w:rPr>
                <w:sz w:val="18"/>
                <w:szCs w:val="18"/>
                <w:lang w:val="en-US"/>
              </w:rPr>
              <w:t>No AAR</w:t>
            </w:r>
            <w:r w:rsidR="001E2358">
              <w:rPr>
                <w:sz w:val="18"/>
                <w:szCs w:val="18"/>
                <w:lang w:val="en-US"/>
              </w:rPr>
              <w:t>; only ML</w:t>
            </w:r>
          </w:p>
        </w:tc>
        <w:tc>
          <w:tcPr>
            <w:tcW w:w="630" w:type="dxa"/>
            <w:shd w:val="clear" w:color="auto" w:fill="FFFFFF"/>
            <w:vAlign w:val="center"/>
          </w:tcPr>
          <w:p w14:paraId="079D602D" w14:textId="4A37C381" w:rsidR="001762EE" w:rsidRPr="005108BC" w:rsidRDefault="001762EE" w:rsidP="00350319">
            <w:pPr>
              <w:pStyle w:val="FreeFormAAAA"/>
              <w:jc w:val="center"/>
              <w:rPr>
                <w:sz w:val="18"/>
                <w:szCs w:val="18"/>
                <w:lang w:val="en-US"/>
              </w:rPr>
            </w:pPr>
            <w:r w:rsidRPr="005108BC">
              <w:rPr>
                <w:sz w:val="18"/>
                <w:szCs w:val="18"/>
                <w:lang w:val="en-US"/>
              </w:rPr>
              <w:t>D</w:t>
            </w:r>
          </w:p>
        </w:tc>
        <w:tc>
          <w:tcPr>
            <w:tcW w:w="1170" w:type="dxa"/>
            <w:shd w:val="clear" w:color="auto" w:fill="FFFFFF"/>
            <w:vAlign w:val="center"/>
          </w:tcPr>
          <w:p w14:paraId="3B7F4DC7" w14:textId="77777777" w:rsidR="001762EE" w:rsidRPr="003D30F7" w:rsidRDefault="001762EE" w:rsidP="00350319">
            <w:pPr>
              <w:pStyle w:val="FreeFormAAAA"/>
              <w:jc w:val="center"/>
              <w:rPr>
                <w:sz w:val="18"/>
                <w:szCs w:val="18"/>
                <w:lang w:val="en-US"/>
              </w:rPr>
            </w:pPr>
            <w:r w:rsidRPr="003D30F7">
              <w:rPr>
                <w:sz w:val="18"/>
                <w:szCs w:val="18"/>
                <w:lang w:val="en-US"/>
              </w:rPr>
              <w:t>Apr 30, 2014</w:t>
            </w:r>
          </w:p>
        </w:tc>
        <w:tc>
          <w:tcPr>
            <w:tcW w:w="630" w:type="dxa"/>
            <w:shd w:val="clear" w:color="auto" w:fill="FFFFFF"/>
            <w:vAlign w:val="center"/>
          </w:tcPr>
          <w:p w14:paraId="1DD7A44F" w14:textId="01C5C24C" w:rsidR="001762EE" w:rsidRPr="00773338" w:rsidRDefault="001762EE" w:rsidP="00350319">
            <w:pPr>
              <w:pStyle w:val="FreeFormAAAA"/>
              <w:jc w:val="center"/>
              <w:rPr>
                <w:sz w:val="18"/>
                <w:szCs w:val="18"/>
                <w:lang w:val="en-US"/>
              </w:rPr>
            </w:pPr>
            <w:r w:rsidRPr="00773338">
              <w:rPr>
                <w:sz w:val="18"/>
                <w:szCs w:val="18"/>
                <w:lang w:val="en-US"/>
              </w:rPr>
              <w:t>Q</w:t>
            </w:r>
          </w:p>
        </w:tc>
        <w:tc>
          <w:tcPr>
            <w:tcW w:w="1118" w:type="dxa"/>
            <w:shd w:val="clear" w:color="auto" w:fill="FFFFFF"/>
            <w:vAlign w:val="center"/>
          </w:tcPr>
          <w:p w14:paraId="74C73C71" w14:textId="77777777" w:rsidR="001762EE" w:rsidRPr="00083BC1" w:rsidRDefault="001762EE" w:rsidP="00350319">
            <w:pPr>
              <w:pStyle w:val="FreeFormAAAA"/>
              <w:jc w:val="center"/>
              <w:rPr>
                <w:sz w:val="18"/>
                <w:szCs w:val="18"/>
                <w:lang w:val="en-US"/>
              </w:rPr>
            </w:pPr>
            <w:r w:rsidRPr="00083BC1">
              <w:rPr>
                <w:sz w:val="18"/>
                <w:szCs w:val="18"/>
                <w:lang w:val="en-US"/>
              </w:rPr>
              <w:t>Jun 15, 2013</w:t>
            </w:r>
          </w:p>
        </w:tc>
        <w:tc>
          <w:tcPr>
            <w:tcW w:w="592" w:type="dxa"/>
            <w:shd w:val="clear" w:color="auto" w:fill="FFFFFF"/>
            <w:vAlign w:val="center"/>
          </w:tcPr>
          <w:p w14:paraId="1A66C1C6" w14:textId="7AD09CE3" w:rsidR="001762EE" w:rsidRPr="00240C37" w:rsidRDefault="001762EE" w:rsidP="00350319">
            <w:pPr>
              <w:pStyle w:val="FreeFormAAAA"/>
              <w:jc w:val="center"/>
              <w:rPr>
                <w:sz w:val="18"/>
                <w:szCs w:val="18"/>
                <w:lang w:val="en-US"/>
              </w:rPr>
            </w:pPr>
            <w:r w:rsidRPr="00240C37">
              <w:rPr>
                <w:sz w:val="18"/>
                <w:szCs w:val="18"/>
                <w:lang w:val="en-US"/>
              </w:rPr>
              <w:t>Q</w:t>
            </w:r>
          </w:p>
        </w:tc>
        <w:tc>
          <w:tcPr>
            <w:tcW w:w="1109" w:type="dxa"/>
            <w:shd w:val="clear" w:color="auto" w:fill="FFFFFF"/>
            <w:vAlign w:val="center"/>
          </w:tcPr>
          <w:p w14:paraId="7324932E" w14:textId="77777777" w:rsidR="001762EE" w:rsidRPr="00D661D7" w:rsidRDefault="001762EE" w:rsidP="00350319">
            <w:pPr>
              <w:pStyle w:val="FreeFormAAAA"/>
              <w:ind w:left="-57" w:right="-57"/>
              <w:jc w:val="center"/>
              <w:rPr>
                <w:sz w:val="18"/>
                <w:szCs w:val="18"/>
                <w:lang w:val="en-US"/>
              </w:rPr>
            </w:pPr>
            <w:r w:rsidRPr="00BC13BA">
              <w:rPr>
                <w:sz w:val="18"/>
                <w:szCs w:val="18"/>
                <w:lang w:val="en-US"/>
              </w:rPr>
              <w:t>Jul 6, 2012</w:t>
            </w:r>
          </w:p>
        </w:tc>
      </w:tr>
      <w:tr w:rsidR="001762EE" w:rsidRPr="00E90249" w14:paraId="58F7D28B" w14:textId="77777777" w:rsidTr="00EC5DE8">
        <w:trPr>
          <w:cantSplit/>
          <w:trHeight w:val="432"/>
        </w:trPr>
        <w:tc>
          <w:tcPr>
            <w:tcW w:w="450" w:type="dxa"/>
            <w:shd w:val="clear" w:color="auto" w:fill="FFFFFF"/>
            <w:vAlign w:val="center"/>
          </w:tcPr>
          <w:p w14:paraId="7A88C170" w14:textId="77777777" w:rsidR="001762EE" w:rsidRPr="005108BC" w:rsidRDefault="001762EE" w:rsidP="00350319">
            <w:pPr>
              <w:pStyle w:val="FreeFormAAAA"/>
              <w:jc w:val="center"/>
              <w:rPr>
                <w:sz w:val="18"/>
                <w:szCs w:val="18"/>
                <w:lang w:val="en-US"/>
              </w:rPr>
            </w:pPr>
            <w:r w:rsidRPr="005108BC">
              <w:rPr>
                <w:sz w:val="18"/>
                <w:szCs w:val="18"/>
                <w:lang w:val="en-US"/>
              </w:rPr>
              <w:t>24</w:t>
            </w:r>
          </w:p>
        </w:tc>
        <w:tc>
          <w:tcPr>
            <w:tcW w:w="1767" w:type="dxa"/>
            <w:shd w:val="clear" w:color="auto" w:fill="FFFFFF"/>
            <w:vAlign w:val="center"/>
          </w:tcPr>
          <w:p w14:paraId="6B71E703" w14:textId="1DA048A7" w:rsidR="001762EE" w:rsidRPr="003D30F7" w:rsidRDefault="001C6BDA" w:rsidP="00350319">
            <w:pPr>
              <w:pStyle w:val="FreeFormAAAA"/>
              <w:rPr>
                <w:sz w:val="18"/>
                <w:szCs w:val="18"/>
                <w:lang w:val="en-US"/>
              </w:rPr>
            </w:pPr>
            <w:r>
              <w:rPr>
                <w:sz w:val="18"/>
                <w:szCs w:val="18"/>
                <w:lang w:val="en-US"/>
              </w:rPr>
              <w:t>BIR</w:t>
            </w:r>
            <w:r w:rsidR="001762EE" w:rsidRPr="003D30F7">
              <w:rPr>
                <w:sz w:val="18"/>
                <w:szCs w:val="18"/>
                <w:lang w:val="en-US"/>
              </w:rPr>
              <w:t xml:space="preserve"> - Regular Agency Books</w:t>
            </w:r>
          </w:p>
        </w:tc>
        <w:tc>
          <w:tcPr>
            <w:tcW w:w="1980" w:type="dxa"/>
            <w:gridSpan w:val="2"/>
            <w:shd w:val="clear" w:color="auto" w:fill="FFFFFF"/>
            <w:vAlign w:val="center"/>
          </w:tcPr>
          <w:p w14:paraId="383D5511" w14:textId="74F0289A" w:rsidR="001762EE" w:rsidRPr="0025475E" w:rsidRDefault="001762EE" w:rsidP="00350319">
            <w:pPr>
              <w:pStyle w:val="FreeFormAAAA"/>
              <w:jc w:val="center"/>
              <w:rPr>
                <w:sz w:val="18"/>
                <w:szCs w:val="18"/>
                <w:lang w:val="en-US"/>
              </w:rPr>
            </w:pPr>
            <w:r w:rsidRPr="0025475E">
              <w:rPr>
                <w:sz w:val="18"/>
                <w:szCs w:val="18"/>
                <w:lang w:val="en-US"/>
              </w:rPr>
              <w:t>No AAR</w:t>
            </w:r>
            <w:r w:rsidR="001E2358">
              <w:rPr>
                <w:sz w:val="18"/>
                <w:szCs w:val="18"/>
                <w:lang w:val="en-US"/>
              </w:rPr>
              <w:t>; only ML</w:t>
            </w:r>
          </w:p>
        </w:tc>
        <w:tc>
          <w:tcPr>
            <w:tcW w:w="630" w:type="dxa"/>
            <w:shd w:val="clear" w:color="auto" w:fill="FFFFFF"/>
            <w:vAlign w:val="center"/>
          </w:tcPr>
          <w:p w14:paraId="23F53FC0" w14:textId="7EEDBDB6" w:rsidR="001762EE" w:rsidRPr="005108BC" w:rsidRDefault="001762EE" w:rsidP="00350319">
            <w:pPr>
              <w:pStyle w:val="FreeFormAAAA"/>
              <w:jc w:val="center"/>
              <w:rPr>
                <w:sz w:val="18"/>
                <w:szCs w:val="18"/>
                <w:lang w:val="en-US"/>
              </w:rPr>
            </w:pPr>
            <w:r w:rsidRPr="005108BC">
              <w:rPr>
                <w:sz w:val="18"/>
                <w:szCs w:val="18"/>
                <w:lang w:val="en-US"/>
              </w:rPr>
              <w:t>A</w:t>
            </w:r>
          </w:p>
        </w:tc>
        <w:tc>
          <w:tcPr>
            <w:tcW w:w="1170" w:type="dxa"/>
            <w:shd w:val="clear" w:color="auto" w:fill="FFFFFF"/>
            <w:vAlign w:val="center"/>
          </w:tcPr>
          <w:p w14:paraId="129B62AC" w14:textId="77777777" w:rsidR="001762EE" w:rsidRPr="003D30F7" w:rsidRDefault="001762EE" w:rsidP="00350319">
            <w:pPr>
              <w:pStyle w:val="FreeFormAAAA"/>
              <w:jc w:val="center"/>
              <w:rPr>
                <w:sz w:val="18"/>
                <w:szCs w:val="18"/>
                <w:lang w:val="en-US"/>
              </w:rPr>
            </w:pPr>
            <w:r w:rsidRPr="003D30F7">
              <w:rPr>
                <w:sz w:val="18"/>
                <w:szCs w:val="18"/>
                <w:lang w:val="en-US"/>
              </w:rPr>
              <w:t>Apr 30, 2014</w:t>
            </w:r>
          </w:p>
        </w:tc>
        <w:tc>
          <w:tcPr>
            <w:tcW w:w="630" w:type="dxa"/>
            <w:shd w:val="clear" w:color="auto" w:fill="FFFFFF"/>
            <w:vAlign w:val="center"/>
          </w:tcPr>
          <w:p w14:paraId="6E25239E" w14:textId="74428A4B" w:rsidR="001762EE" w:rsidRPr="00773338" w:rsidRDefault="001762EE" w:rsidP="00350319">
            <w:pPr>
              <w:pStyle w:val="FreeFormAAAA"/>
              <w:jc w:val="center"/>
              <w:rPr>
                <w:sz w:val="18"/>
                <w:szCs w:val="18"/>
                <w:lang w:val="en-US"/>
              </w:rPr>
            </w:pPr>
            <w:r w:rsidRPr="00773338">
              <w:rPr>
                <w:sz w:val="18"/>
                <w:szCs w:val="18"/>
                <w:lang w:val="en-US"/>
              </w:rPr>
              <w:t>A</w:t>
            </w:r>
          </w:p>
        </w:tc>
        <w:tc>
          <w:tcPr>
            <w:tcW w:w="1118" w:type="dxa"/>
            <w:shd w:val="clear" w:color="auto" w:fill="FFFFFF"/>
            <w:vAlign w:val="center"/>
          </w:tcPr>
          <w:p w14:paraId="21D45B03" w14:textId="77777777" w:rsidR="001762EE" w:rsidRPr="00083BC1" w:rsidRDefault="001762EE" w:rsidP="00350319">
            <w:pPr>
              <w:pStyle w:val="FreeFormAAAA"/>
              <w:jc w:val="center"/>
              <w:rPr>
                <w:sz w:val="18"/>
                <w:szCs w:val="18"/>
                <w:lang w:val="en-US"/>
              </w:rPr>
            </w:pPr>
            <w:r w:rsidRPr="00083BC1">
              <w:rPr>
                <w:sz w:val="18"/>
                <w:szCs w:val="18"/>
                <w:lang w:val="en-US"/>
              </w:rPr>
              <w:t>Jun 15, 2013</w:t>
            </w:r>
          </w:p>
        </w:tc>
        <w:tc>
          <w:tcPr>
            <w:tcW w:w="592" w:type="dxa"/>
            <w:shd w:val="clear" w:color="auto" w:fill="FFFFFF"/>
            <w:vAlign w:val="center"/>
          </w:tcPr>
          <w:p w14:paraId="6AB44A3E" w14:textId="7713946E" w:rsidR="001762EE" w:rsidRPr="00240C37" w:rsidRDefault="001762EE" w:rsidP="00350319">
            <w:pPr>
              <w:pStyle w:val="FreeFormAAAA"/>
              <w:jc w:val="center"/>
              <w:rPr>
                <w:sz w:val="18"/>
                <w:szCs w:val="18"/>
                <w:lang w:val="en-US"/>
              </w:rPr>
            </w:pPr>
            <w:r w:rsidRPr="00240C37">
              <w:rPr>
                <w:sz w:val="18"/>
                <w:szCs w:val="18"/>
                <w:lang w:val="en-US"/>
              </w:rPr>
              <w:t>D</w:t>
            </w:r>
          </w:p>
        </w:tc>
        <w:tc>
          <w:tcPr>
            <w:tcW w:w="1109" w:type="dxa"/>
            <w:shd w:val="clear" w:color="auto" w:fill="FFFFFF"/>
            <w:vAlign w:val="center"/>
          </w:tcPr>
          <w:p w14:paraId="219129A8" w14:textId="77777777" w:rsidR="001762EE" w:rsidRPr="00BC13BA" w:rsidRDefault="001762EE" w:rsidP="00350319">
            <w:pPr>
              <w:pStyle w:val="FreeFormAAAA"/>
              <w:ind w:left="-57" w:right="-57"/>
              <w:jc w:val="center"/>
              <w:rPr>
                <w:sz w:val="18"/>
                <w:szCs w:val="18"/>
                <w:lang w:val="en-US"/>
              </w:rPr>
            </w:pPr>
            <w:r w:rsidRPr="00BC13BA">
              <w:rPr>
                <w:sz w:val="18"/>
                <w:szCs w:val="18"/>
                <w:lang w:val="en-US"/>
              </w:rPr>
              <w:t>Jul 6, 2012</w:t>
            </w:r>
          </w:p>
        </w:tc>
      </w:tr>
      <w:tr w:rsidR="001762EE" w:rsidRPr="00E90249" w14:paraId="17BCC3EF" w14:textId="77777777" w:rsidTr="00EC5DE8">
        <w:trPr>
          <w:cantSplit/>
          <w:trHeight w:val="432"/>
        </w:trPr>
        <w:tc>
          <w:tcPr>
            <w:tcW w:w="450" w:type="dxa"/>
            <w:shd w:val="clear" w:color="auto" w:fill="FFFFFF"/>
            <w:vAlign w:val="center"/>
          </w:tcPr>
          <w:p w14:paraId="36550766" w14:textId="77777777" w:rsidR="001762EE" w:rsidRPr="005108BC" w:rsidRDefault="001762EE" w:rsidP="00350319">
            <w:pPr>
              <w:pStyle w:val="FreeFormAAAA"/>
              <w:jc w:val="center"/>
              <w:rPr>
                <w:sz w:val="18"/>
                <w:szCs w:val="18"/>
                <w:lang w:val="en-US"/>
              </w:rPr>
            </w:pPr>
            <w:r w:rsidRPr="005108BC">
              <w:rPr>
                <w:sz w:val="18"/>
                <w:szCs w:val="18"/>
                <w:lang w:val="en-US"/>
              </w:rPr>
              <w:t>25</w:t>
            </w:r>
          </w:p>
        </w:tc>
        <w:tc>
          <w:tcPr>
            <w:tcW w:w="1767" w:type="dxa"/>
            <w:shd w:val="clear" w:color="auto" w:fill="FFFFFF"/>
            <w:vAlign w:val="center"/>
          </w:tcPr>
          <w:p w14:paraId="770992EB" w14:textId="77777777" w:rsidR="001762EE" w:rsidRPr="003D30F7" w:rsidRDefault="001762EE" w:rsidP="00350319">
            <w:pPr>
              <w:pStyle w:val="FreeFormAAAA"/>
              <w:rPr>
                <w:sz w:val="18"/>
                <w:szCs w:val="18"/>
                <w:lang w:val="en-US"/>
              </w:rPr>
            </w:pPr>
            <w:r w:rsidRPr="003D30F7">
              <w:rPr>
                <w:sz w:val="18"/>
                <w:szCs w:val="18"/>
                <w:lang w:val="en-US"/>
              </w:rPr>
              <w:t>Bureau of Customs</w:t>
            </w:r>
          </w:p>
        </w:tc>
        <w:tc>
          <w:tcPr>
            <w:tcW w:w="1980" w:type="dxa"/>
            <w:gridSpan w:val="2"/>
            <w:shd w:val="clear" w:color="auto" w:fill="FFFFFF"/>
            <w:vAlign w:val="center"/>
          </w:tcPr>
          <w:p w14:paraId="15A63E30" w14:textId="3C529F5F" w:rsidR="001762EE" w:rsidRPr="0025475E" w:rsidRDefault="001762EE" w:rsidP="00350319">
            <w:pPr>
              <w:pStyle w:val="FreeFormAAAA"/>
              <w:jc w:val="center"/>
              <w:rPr>
                <w:sz w:val="18"/>
                <w:szCs w:val="18"/>
                <w:lang w:val="en-US"/>
              </w:rPr>
            </w:pPr>
            <w:r w:rsidRPr="0025475E">
              <w:rPr>
                <w:sz w:val="18"/>
                <w:szCs w:val="18"/>
                <w:lang w:val="en-US"/>
              </w:rPr>
              <w:t>No AAR</w:t>
            </w:r>
            <w:r w:rsidR="001E2358">
              <w:rPr>
                <w:sz w:val="18"/>
                <w:szCs w:val="18"/>
                <w:lang w:val="en-US"/>
              </w:rPr>
              <w:t>; only ML</w:t>
            </w:r>
          </w:p>
        </w:tc>
        <w:tc>
          <w:tcPr>
            <w:tcW w:w="630" w:type="dxa"/>
            <w:shd w:val="clear" w:color="auto" w:fill="FFFFFF"/>
            <w:vAlign w:val="center"/>
          </w:tcPr>
          <w:p w14:paraId="25AC7FD2" w14:textId="22E3B374" w:rsidR="001762EE" w:rsidRPr="005108BC" w:rsidRDefault="001762EE" w:rsidP="00350319">
            <w:pPr>
              <w:pStyle w:val="FreeFormAAAA"/>
              <w:jc w:val="center"/>
              <w:rPr>
                <w:sz w:val="18"/>
                <w:szCs w:val="18"/>
                <w:lang w:val="en-US"/>
              </w:rPr>
            </w:pPr>
            <w:r w:rsidRPr="005108BC">
              <w:rPr>
                <w:sz w:val="18"/>
                <w:szCs w:val="18"/>
                <w:lang w:val="en-US"/>
              </w:rPr>
              <w:t>A</w:t>
            </w:r>
          </w:p>
        </w:tc>
        <w:tc>
          <w:tcPr>
            <w:tcW w:w="1170" w:type="dxa"/>
            <w:shd w:val="clear" w:color="auto" w:fill="FFFFFF"/>
            <w:vAlign w:val="center"/>
          </w:tcPr>
          <w:p w14:paraId="65B06099" w14:textId="77777777" w:rsidR="001762EE" w:rsidRPr="003D30F7" w:rsidRDefault="001762EE" w:rsidP="00350319">
            <w:pPr>
              <w:pStyle w:val="FreeFormAAAA"/>
              <w:jc w:val="center"/>
              <w:rPr>
                <w:sz w:val="18"/>
                <w:szCs w:val="18"/>
                <w:lang w:val="en-US"/>
              </w:rPr>
            </w:pPr>
            <w:r w:rsidRPr="003D30F7">
              <w:rPr>
                <w:sz w:val="18"/>
                <w:szCs w:val="18"/>
                <w:lang w:val="en-US"/>
              </w:rPr>
              <w:t>May 2, 2014</w:t>
            </w:r>
          </w:p>
        </w:tc>
        <w:tc>
          <w:tcPr>
            <w:tcW w:w="630" w:type="dxa"/>
            <w:shd w:val="clear" w:color="auto" w:fill="FFFFFF"/>
            <w:vAlign w:val="center"/>
          </w:tcPr>
          <w:p w14:paraId="3A76A819" w14:textId="6779EEC9" w:rsidR="001762EE" w:rsidRPr="00773338" w:rsidRDefault="001762EE" w:rsidP="00350319">
            <w:pPr>
              <w:pStyle w:val="FreeFormAAAA"/>
              <w:jc w:val="center"/>
              <w:rPr>
                <w:sz w:val="18"/>
                <w:szCs w:val="18"/>
                <w:lang w:val="en-US"/>
              </w:rPr>
            </w:pPr>
            <w:r w:rsidRPr="00773338">
              <w:rPr>
                <w:sz w:val="18"/>
                <w:szCs w:val="18"/>
                <w:lang w:val="en-US"/>
              </w:rPr>
              <w:t>A</w:t>
            </w:r>
          </w:p>
        </w:tc>
        <w:tc>
          <w:tcPr>
            <w:tcW w:w="1118" w:type="dxa"/>
            <w:shd w:val="clear" w:color="auto" w:fill="FFFFFF"/>
            <w:vAlign w:val="center"/>
          </w:tcPr>
          <w:p w14:paraId="751B8ABD" w14:textId="77777777" w:rsidR="001762EE" w:rsidRPr="00083BC1" w:rsidRDefault="001762EE" w:rsidP="00350319">
            <w:pPr>
              <w:pStyle w:val="FreeFormAAAA"/>
              <w:jc w:val="center"/>
              <w:rPr>
                <w:sz w:val="18"/>
                <w:szCs w:val="18"/>
                <w:lang w:val="en-US"/>
              </w:rPr>
            </w:pPr>
            <w:r w:rsidRPr="00083BC1">
              <w:rPr>
                <w:sz w:val="18"/>
                <w:szCs w:val="18"/>
                <w:lang w:val="en-US"/>
              </w:rPr>
              <w:t>May 23, 2013</w:t>
            </w:r>
          </w:p>
        </w:tc>
        <w:tc>
          <w:tcPr>
            <w:tcW w:w="592" w:type="dxa"/>
            <w:shd w:val="clear" w:color="auto" w:fill="FFFFFF"/>
            <w:vAlign w:val="center"/>
          </w:tcPr>
          <w:p w14:paraId="3CA675B0" w14:textId="347B1581" w:rsidR="001762EE" w:rsidRPr="00240C37" w:rsidRDefault="001762EE" w:rsidP="00350319">
            <w:pPr>
              <w:pStyle w:val="FreeFormAAAA"/>
              <w:jc w:val="center"/>
              <w:rPr>
                <w:sz w:val="18"/>
                <w:szCs w:val="18"/>
                <w:lang w:val="en-US"/>
              </w:rPr>
            </w:pPr>
            <w:r w:rsidRPr="00240C37">
              <w:rPr>
                <w:sz w:val="18"/>
                <w:szCs w:val="18"/>
                <w:lang w:val="en-US"/>
              </w:rPr>
              <w:t>D</w:t>
            </w:r>
          </w:p>
        </w:tc>
        <w:tc>
          <w:tcPr>
            <w:tcW w:w="1109" w:type="dxa"/>
            <w:shd w:val="clear" w:color="auto" w:fill="FFFFFF"/>
            <w:vAlign w:val="center"/>
          </w:tcPr>
          <w:p w14:paraId="58FDB2AF" w14:textId="77777777" w:rsidR="001762EE" w:rsidRPr="00BC13BA" w:rsidRDefault="001762EE" w:rsidP="00350319">
            <w:pPr>
              <w:pStyle w:val="FreeFormAAAA"/>
              <w:ind w:left="-57" w:right="-57"/>
              <w:jc w:val="center"/>
              <w:rPr>
                <w:sz w:val="18"/>
                <w:szCs w:val="18"/>
                <w:lang w:val="en-US"/>
              </w:rPr>
            </w:pPr>
            <w:r w:rsidRPr="00BC13BA">
              <w:rPr>
                <w:sz w:val="18"/>
                <w:szCs w:val="18"/>
                <w:lang w:val="en-US"/>
              </w:rPr>
              <w:t>Apr 30, 2012</w:t>
            </w:r>
          </w:p>
        </w:tc>
      </w:tr>
      <w:tr w:rsidR="001762EE" w:rsidRPr="00E90249" w14:paraId="19245496" w14:textId="77777777" w:rsidTr="003B302C">
        <w:trPr>
          <w:cantSplit/>
          <w:trHeight w:val="400"/>
        </w:trPr>
        <w:tc>
          <w:tcPr>
            <w:tcW w:w="450" w:type="dxa"/>
            <w:shd w:val="clear" w:color="auto" w:fill="FFFFFF"/>
            <w:vAlign w:val="center"/>
          </w:tcPr>
          <w:p w14:paraId="3FB571EE" w14:textId="77777777" w:rsidR="001762EE" w:rsidRPr="005108BC" w:rsidRDefault="001762EE" w:rsidP="00350319">
            <w:pPr>
              <w:pStyle w:val="FreeFormAAAA"/>
              <w:jc w:val="center"/>
              <w:rPr>
                <w:sz w:val="18"/>
                <w:szCs w:val="18"/>
                <w:lang w:val="en-US"/>
              </w:rPr>
            </w:pPr>
            <w:r w:rsidRPr="005108BC">
              <w:rPr>
                <w:sz w:val="18"/>
                <w:szCs w:val="18"/>
                <w:lang w:val="en-US"/>
              </w:rPr>
              <w:t>26</w:t>
            </w:r>
          </w:p>
        </w:tc>
        <w:tc>
          <w:tcPr>
            <w:tcW w:w="1767" w:type="dxa"/>
            <w:shd w:val="clear" w:color="auto" w:fill="FFFFFF"/>
            <w:vAlign w:val="center"/>
          </w:tcPr>
          <w:p w14:paraId="2EE08397" w14:textId="77777777" w:rsidR="001762EE" w:rsidRPr="003D30F7" w:rsidRDefault="001762EE" w:rsidP="00350319">
            <w:pPr>
              <w:pStyle w:val="FreeFormAAAA"/>
              <w:rPr>
                <w:sz w:val="18"/>
                <w:szCs w:val="18"/>
                <w:lang w:val="en-US"/>
              </w:rPr>
            </w:pPr>
            <w:r w:rsidRPr="003D30F7">
              <w:rPr>
                <w:sz w:val="18"/>
                <w:szCs w:val="18"/>
                <w:lang w:val="en-US"/>
              </w:rPr>
              <w:t>Office of the President</w:t>
            </w:r>
          </w:p>
        </w:tc>
        <w:tc>
          <w:tcPr>
            <w:tcW w:w="708" w:type="dxa"/>
            <w:shd w:val="clear" w:color="auto" w:fill="FFFFFF"/>
            <w:vAlign w:val="center"/>
          </w:tcPr>
          <w:p w14:paraId="7625004F" w14:textId="091443DF" w:rsidR="001762EE" w:rsidRPr="00773338" w:rsidRDefault="001762EE" w:rsidP="00350319">
            <w:pPr>
              <w:pStyle w:val="FreeFormAAAA"/>
              <w:jc w:val="center"/>
              <w:rPr>
                <w:sz w:val="18"/>
                <w:szCs w:val="18"/>
                <w:lang w:val="en-US"/>
              </w:rPr>
            </w:pPr>
            <w:r w:rsidRPr="00773338">
              <w:rPr>
                <w:sz w:val="18"/>
                <w:szCs w:val="18"/>
                <w:lang w:val="en-US"/>
              </w:rPr>
              <w:t>Q</w:t>
            </w:r>
          </w:p>
        </w:tc>
        <w:tc>
          <w:tcPr>
            <w:tcW w:w="1272" w:type="dxa"/>
            <w:shd w:val="clear" w:color="auto" w:fill="FFFFFF"/>
            <w:vAlign w:val="center"/>
          </w:tcPr>
          <w:p w14:paraId="0489C958" w14:textId="64BD04B6" w:rsidR="001762EE" w:rsidRPr="00E90249" w:rsidRDefault="001762EE" w:rsidP="00350319">
            <w:pPr>
              <w:pStyle w:val="FreeFormAAAA"/>
              <w:jc w:val="center"/>
              <w:rPr>
                <w:sz w:val="18"/>
                <w:szCs w:val="18"/>
                <w:lang w:val="en-US"/>
              </w:rPr>
            </w:pPr>
            <w:r w:rsidRPr="00E90249">
              <w:rPr>
                <w:sz w:val="18"/>
                <w:szCs w:val="18"/>
                <w:lang w:val="en-US"/>
              </w:rPr>
              <w:t>Apr 30, 2015</w:t>
            </w:r>
          </w:p>
        </w:tc>
        <w:tc>
          <w:tcPr>
            <w:tcW w:w="630" w:type="dxa"/>
            <w:shd w:val="clear" w:color="auto" w:fill="FFFFFF"/>
            <w:vAlign w:val="center"/>
          </w:tcPr>
          <w:p w14:paraId="34FDE526" w14:textId="24FCAD07" w:rsidR="001762EE" w:rsidRPr="00083BC1" w:rsidRDefault="001762EE" w:rsidP="00350319">
            <w:pPr>
              <w:pStyle w:val="FreeFormAAAA"/>
              <w:jc w:val="center"/>
              <w:rPr>
                <w:sz w:val="18"/>
                <w:szCs w:val="18"/>
                <w:lang w:val="en-US"/>
              </w:rPr>
            </w:pPr>
            <w:r w:rsidRPr="00083BC1">
              <w:rPr>
                <w:sz w:val="18"/>
                <w:szCs w:val="18"/>
                <w:lang w:val="en-US"/>
              </w:rPr>
              <w:t>Q</w:t>
            </w:r>
          </w:p>
        </w:tc>
        <w:tc>
          <w:tcPr>
            <w:tcW w:w="1170" w:type="dxa"/>
            <w:shd w:val="clear" w:color="auto" w:fill="FFFFFF"/>
            <w:vAlign w:val="center"/>
          </w:tcPr>
          <w:p w14:paraId="0B4CB4C8" w14:textId="77777777" w:rsidR="001762EE" w:rsidRPr="00240C37" w:rsidRDefault="001762EE" w:rsidP="00350319">
            <w:pPr>
              <w:pStyle w:val="FreeFormAAAA"/>
              <w:jc w:val="center"/>
              <w:rPr>
                <w:sz w:val="18"/>
                <w:szCs w:val="18"/>
                <w:lang w:val="en-US"/>
              </w:rPr>
            </w:pPr>
            <w:r w:rsidRPr="00240C37">
              <w:rPr>
                <w:sz w:val="18"/>
                <w:szCs w:val="18"/>
                <w:lang w:val="en-US"/>
              </w:rPr>
              <w:t>Jul 15, 2014</w:t>
            </w:r>
          </w:p>
        </w:tc>
        <w:tc>
          <w:tcPr>
            <w:tcW w:w="630" w:type="dxa"/>
            <w:shd w:val="clear" w:color="auto" w:fill="FFFFFF"/>
            <w:vAlign w:val="center"/>
          </w:tcPr>
          <w:p w14:paraId="18C00532" w14:textId="437BDA93" w:rsidR="001762EE" w:rsidRPr="00BC13BA" w:rsidRDefault="001762EE" w:rsidP="00350319">
            <w:pPr>
              <w:pStyle w:val="FreeFormAAAA"/>
              <w:jc w:val="center"/>
              <w:rPr>
                <w:sz w:val="18"/>
                <w:szCs w:val="18"/>
                <w:lang w:val="en-US"/>
              </w:rPr>
            </w:pPr>
            <w:r w:rsidRPr="00BC13BA">
              <w:rPr>
                <w:sz w:val="18"/>
                <w:szCs w:val="18"/>
                <w:lang w:val="en-US"/>
              </w:rPr>
              <w:t>Q</w:t>
            </w:r>
          </w:p>
        </w:tc>
        <w:tc>
          <w:tcPr>
            <w:tcW w:w="1118" w:type="dxa"/>
            <w:shd w:val="clear" w:color="auto" w:fill="FFFFFF"/>
            <w:vAlign w:val="center"/>
          </w:tcPr>
          <w:p w14:paraId="19940CE8" w14:textId="77777777" w:rsidR="001762EE" w:rsidRPr="005323C0" w:rsidRDefault="001762EE" w:rsidP="00350319">
            <w:pPr>
              <w:pStyle w:val="FreeFormAAAA"/>
              <w:jc w:val="center"/>
              <w:rPr>
                <w:sz w:val="18"/>
                <w:szCs w:val="18"/>
                <w:lang w:val="en-US"/>
              </w:rPr>
            </w:pPr>
            <w:r w:rsidRPr="00D661D7">
              <w:rPr>
                <w:sz w:val="18"/>
                <w:szCs w:val="18"/>
                <w:lang w:val="en-US"/>
              </w:rPr>
              <w:t>Not dated</w:t>
            </w:r>
          </w:p>
        </w:tc>
        <w:tc>
          <w:tcPr>
            <w:tcW w:w="592" w:type="dxa"/>
            <w:shd w:val="clear" w:color="auto" w:fill="FFFFFF"/>
            <w:vAlign w:val="center"/>
          </w:tcPr>
          <w:p w14:paraId="5FBFED88" w14:textId="263A4B75" w:rsidR="001762EE" w:rsidRPr="009D76C2" w:rsidRDefault="001762EE" w:rsidP="00350319">
            <w:pPr>
              <w:pStyle w:val="FreeFormAAAA"/>
              <w:jc w:val="center"/>
              <w:rPr>
                <w:sz w:val="18"/>
                <w:szCs w:val="18"/>
                <w:lang w:val="en-US"/>
              </w:rPr>
            </w:pPr>
            <w:r w:rsidRPr="009D76C2">
              <w:rPr>
                <w:sz w:val="18"/>
                <w:szCs w:val="18"/>
                <w:lang w:val="en-US"/>
              </w:rPr>
              <w:t>Q</w:t>
            </w:r>
          </w:p>
        </w:tc>
        <w:tc>
          <w:tcPr>
            <w:tcW w:w="1109" w:type="dxa"/>
            <w:shd w:val="clear" w:color="auto" w:fill="FFFFFF"/>
            <w:vAlign w:val="center"/>
          </w:tcPr>
          <w:p w14:paraId="61085EA9" w14:textId="77777777" w:rsidR="001762EE" w:rsidRPr="00B54286" w:rsidRDefault="001762EE" w:rsidP="00350319">
            <w:pPr>
              <w:pStyle w:val="FreeFormAAAA"/>
              <w:ind w:left="-57" w:right="-57"/>
              <w:jc w:val="center"/>
              <w:rPr>
                <w:sz w:val="18"/>
                <w:szCs w:val="18"/>
                <w:lang w:val="en-US"/>
              </w:rPr>
            </w:pPr>
            <w:r w:rsidRPr="00F14020">
              <w:rPr>
                <w:sz w:val="18"/>
                <w:szCs w:val="18"/>
                <w:lang w:val="en-US"/>
              </w:rPr>
              <w:t>Apr 20, 2012</w:t>
            </w:r>
          </w:p>
        </w:tc>
      </w:tr>
      <w:tr w:rsidR="001762EE" w:rsidRPr="00E90249" w14:paraId="742020A7" w14:textId="77777777" w:rsidTr="003B302C">
        <w:trPr>
          <w:cantSplit/>
          <w:trHeight w:val="562"/>
        </w:trPr>
        <w:tc>
          <w:tcPr>
            <w:tcW w:w="450" w:type="dxa"/>
            <w:shd w:val="clear" w:color="auto" w:fill="FFFFFF"/>
            <w:vAlign w:val="center"/>
          </w:tcPr>
          <w:p w14:paraId="21CDB425" w14:textId="77777777" w:rsidR="001762EE" w:rsidRPr="005108BC" w:rsidRDefault="001762EE" w:rsidP="00350319">
            <w:pPr>
              <w:pStyle w:val="FreeFormAAAA"/>
              <w:jc w:val="center"/>
              <w:rPr>
                <w:sz w:val="18"/>
                <w:szCs w:val="18"/>
                <w:lang w:val="en-US"/>
              </w:rPr>
            </w:pPr>
            <w:r w:rsidRPr="005108BC">
              <w:rPr>
                <w:sz w:val="18"/>
                <w:szCs w:val="18"/>
                <w:lang w:val="en-US"/>
              </w:rPr>
              <w:t>27</w:t>
            </w:r>
          </w:p>
        </w:tc>
        <w:tc>
          <w:tcPr>
            <w:tcW w:w="1767" w:type="dxa"/>
            <w:shd w:val="clear" w:color="auto" w:fill="FFFFFF"/>
            <w:vAlign w:val="center"/>
          </w:tcPr>
          <w:p w14:paraId="6B84A503" w14:textId="77777777" w:rsidR="001762EE" w:rsidRPr="003D30F7" w:rsidRDefault="001762EE" w:rsidP="00350319">
            <w:pPr>
              <w:pStyle w:val="FreeFormAAAA"/>
              <w:rPr>
                <w:sz w:val="18"/>
                <w:szCs w:val="18"/>
                <w:lang w:val="en-US"/>
              </w:rPr>
            </w:pPr>
            <w:r w:rsidRPr="003D30F7">
              <w:rPr>
                <w:sz w:val="18"/>
                <w:szCs w:val="18"/>
                <w:lang w:val="en-US"/>
              </w:rPr>
              <w:t>Office of the Vice-President</w:t>
            </w:r>
          </w:p>
        </w:tc>
        <w:tc>
          <w:tcPr>
            <w:tcW w:w="708" w:type="dxa"/>
            <w:shd w:val="clear" w:color="auto" w:fill="FFFFFF"/>
            <w:vAlign w:val="center"/>
          </w:tcPr>
          <w:p w14:paraId="5ABB5F6C" w14:textId="426AB227" w:rsidR="001762EE" w:rsidRPr="0025475E" w:rsidRDefault="001762EE" w:rsidP="00350319">
            <w:pPr>
              <w:pStyle w:val="FreeFormAAAA"/>
              <w:jc w:val="center"/>
              <w:rPr>
                <w:sz w:val="18"/>
                <w:szCs w:val="18"/>
                <w:lang w:val="en-US"/>
              </w:rPr>
            </w:pPr>
            <w:r w:rsidRPr="0025475E">
              <w:rPr>
                <w:sz w:val="18"/>
                <w:szCs w:val="18"/>
                <w:lang w:val="en-US"/>
              </w:rPr>
              <w:t>Q</w:t>
            </w:r>
          </w:p>
        </w:tc>
        <w:tc>
          <w:tcPr>
            <w:tcW w:w="1272" w:type="dxa"/>
            <w:shd w:val="clear" w:color="auto" w:fill="FFFFFF"/>
          </w:tcPr>
          <w:p w14:paraId="61488B79" w14:textId="21D449F5" w:rsidR="001762EE" w:rsidRPr="005108BC" w:rsidRDefault="001762EE" w:rsidP="00350319">
            <w:pPr>
              <w:pStyle w:val="FreeFormAAAA"/>
              <w:jc w:val="center"/>
              <w:rPr>
                <w:sz w:val="18"/>
                <w:szCs w:val="18"/>
                <w:lang w:val="en-US"/>
              </w:rPr>
            </w:pPr>
            <w:r w:rsidRPr="005108BC">
              <w:rPr>
                <w:sz w:val="18"/>
                <w:szCs w:val="18"/>
                <w:lang w:val="en-US"/>
              </w:rPr>
              <w:t>Jun 16, 2015</w:t>
            </w:r>
          </w:p>
        </w:tc>
        <w:tc>
          <w:tcPr>
            <w:tcW w:w="630" w:type="dxa"/>
            <w:shd w:val="clear" w:color="auto" w:fill="FFFFFF"/>
            <w:vAlign w:val="center"/>
          </w:tcPr>
          <w:p w14:paraId="371B879C" w14:textId="0BF9E26A" w:rsidR="001762EE" w:rsidRPr="003D30F7" w:rsidRDefault="001762EE" w:rsidP="00350319">
            <w:pPr>
              <w:pStyle w:val="FreeFormAAAA"/>
              <w:jc w:val="center"/>
              <w:rPr>
                <w:sz w:val="18"/>
                <w:szCs w:val="18"/>
                <w:lang w:val="en-US"/>
              </w:rPr>
            </w:pPr>
            <w:r w:rsidRPr="003D30F7">
              <w:rPr>
                <w:sz w:val="18"/>
                <w:szCs w:val="18"/>
                <w:lang w:val="en-US"/>
              </w:rPr>
              <w:t>UQ</w:t>
            </w:r>
          </w:p>
        </w:tc>
        <w:tc>
          <w:tcPr>
            <w:tcW w:w="1170" w:type="dxa"/>
            <w:shd w:val="clear" w:color="auto" w:fill="FFFFFF"/>
            <w:vAlign w:val="center"/>
          </w:tcPr>
          <w:p w14:paraId="362E3FAB" w14:textId="77777777" w:rsidR="001762EE" w:rsidRPr="00773338" w:rsidRDefault="001762EE" w:rsidP="00350319">
            <w:pPr>
              <w:pStyle w:val="FreeFormAAAA"/>
              <w:jc w:val="center"/>
              <w:rPr>
                <w:sz w:val="18"/>
                <w:szCs w:val="18"/>
                <w:lang w:val="en-US"/>
              </w:rPr>
            </w:pPr>
            <w:r w:rsidRPr="00773338">
              <w:rPr>
                <w:sz w:val="18"/>
                <w:szCs w:val="18"/>
                <w:lang w:val="en-US"/>
              </w:rPr>
              <w:t>Mar 30, 2014</w:t>
            </w:r>
          </w:p>
        </w:tc>
        <w:tc>
          <w:tcPr>
            <w:tcW w:w="630" w:type="dxa"/>
            <w:shd w:val="clear" w:color="auto" w:fill="FFFFFF"/>
            <w:vAlign w:val="center"/>
          </w:tcPr>
          <w:p w14:paraId="274D4E5A" w14:textId="78348E01" w:rsidR="001762EE" w:rsidRPr="00083BC1" w:rsidRDefault="001762EE" w:rsidP="00350319">
            <w:pPr>
              <w:pStyle w:val="FreeFormAAAA"/>
              <w:jc w:val="center"/>
              <w:rPr>
                <w:sz w:val="18"/>
                <w:szCs w:val="18"/>
                <w:lang w:val="en-US"/>
              </w:rPr>
            </w:pPr>
            <w:r w:rsidRPr="00083BC1">
              <w:rPr>
                <w:sz w:val="18"/>
                <w:szCs w:val="18"/>
                <w:lang w:val="en-US"/>
              </w:rPr>
              <w:t>UQ</w:t>
            </w:r>
          </w:p>
        </w:tc>
        <w:tc>
          <w:tcPr>
            <w:tcW w:w="1118" w:type="dxa"/>
            <w:shd w:val="clear" w:color="auto" w:fill="FFFFFF"/>
            <w:vAlign w:val="center"/>
          </w:tcPr>
          <w:p w14:paraId="5BC39442" w14:textId="77777777" w:rsidR="001762EE" w:rsidRPr="00240C37" w:rsidRDefault="001762EE" w:rsidP="00350319">
            <w:pPr>
              <w:pStyle w:val="FreeFormAAAA"/>
              <w:jc w:val="center"/>
              <w:rPr>
                <w:sz w:val="18"/>
                <w:szCs w:val="18"/>
                <w:lang w:val="en-US"/>
              </w:rPr>
            </w:pPr>
            <w:r w:rsidRPr="00240C37">
              <w:rPr>
                <w:sz w:val="18"/>
                <w:szCs w:val="18"/>
                <w:lang w:val="en-US"/>
              </w:rPr>
              <w:t>Mar 1, 2013</w:t>
            </w:r>
          </w:p>
        </w:tc>
        <w:tc>
          <w:tcPr>
            <w:tcW w:w="592" w:type="dxa"/>
            <w:shd w:val="clear" w:color="auto" w:fill="FFFFFF"/>
            <w:vAlign w:val="center"/>
          </w:tcPr>
          <w:p w14:paraId="791B7F57" w14:textId="525F5F88" w:rsidR="001762EE" w:rsidRPr="00BC13BA" w:rsidRDefault="001762EE" w:rsidP="00350319">
            <w:pPr>
              <w:pStyle w:val="FreeFormAAAA"/>
              <w:jc w:val="center"/>
              <w:rPr>
                <w:sz w:val="18"/>
                <w:szCs w:val="18"/>
                <w:lang w:val="en-US"/>
              </w:rPr>
            </w:pPr>
            <w:r w:rsidRPr="00BC13BA">
              <w:rPr>
                <w:sz w:val="18"/>
                <w:szCs w:val="18"/>
                <w:lang w:val="en-US"/>
              </w:rPr>
              <w:t>UQ</w:t>
            </w:r>
          </w:p>
        </w:tc>
        <w:tc>
          <w:tcPr>
            <w:tcW w:w="1109" w:type="dxa"/>
            <w:shd w:val="clear" w:color="auto" w:fill="FFFFFF"/>
            <w:vAlign w:val="center"/>
          </w:tcPr>
          <w:p w14:paraId="2EF124DE"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Feb 24, 2012</w:t>
            </w:r>
          </w:p>
        </w:tc>
      </w:tr>
      <w:tr w:rsidR="001762EE" w:rsidRPr="00E90249" w14:paraId="3BA67CE8" w14:textId="77777777" w:rsidTr="003B302C">
        <w:trPr>
          <w:cantSplit/>
          <w:trHeight w:val="535"/>
        </w:trPr>
        <w:tc>
          <w:tcPr>
            <w:tcW w:w="450" w:type="dxa"/>
            <w:shd w:val="clear" w:color="auto" w:fill="FFFFFF"/>
            <w:vAlign w:val="center"/>
          </w:tcPr>
          <w:p w14:paraId="0F9195DD" w14:textId="77777777" w:rsidR="001762EE" w:rsidRPr="005108BC" w:rsidRDefault="001762EE" w:rsidP="00350319">
            <w:pPr>
              <w:pStyle w:val="FreeFormAAAA"/>
              <w:jc w:val="center"/>
              <w:rPr>
                <w:sz w:val="18"/>
                <w:szCs w:val="18"/>
                <w:lang w:val="en-US"/>
              </w:rPr>
            </w:pPr>
            <w:r w:rsidRPr="005108BC">
              <w:rPr>
                <w:sz w:val="18"/>
                <w:szCs w:val="18"/>
                <w:lang w:val="en-US"/>
              </w:rPr>
              <w:t>28</w:t>
            </w:r>
          </w:p>
        </w:tc>
        <w:tc>
          <w:tcPr>
            <w:tcW w:w="1767" w:type="dxa"/>
            <w:shd w:val="clear" w:color="auto" w:fill="FFFFFF"/>
            <w:vAlign w:val="center"/>
          </w:tcPr>
          <w:p w14:paraId="5F2F080A" w14:textId="77777777" w:rsidR="001762EE" w:rsidRPr="003D30F7" w:rsidRDefault="001762EE" w:rsidP="00350319">
            <w:pPr>
              <w:pStyle w:val="FreeFormAAAA"/>
              <w:rPr>
                <w:sz w:val="18"/>
                <w:szCs w:val="18"/>
                <w:lang w:val="en-US"/>
              </w:rPr>
            </w:pPr>
            <w:r w:rsidRPr="003D30F7">
              <w:rPr>
                <w:sz w:val="18"/>
                <w:szCs w:val="18"/>
                <w:lang w:val="en-US"/>
              </w:rPr>
              <w:t>House of Representatives</w:t>
            </w:r>
          </w:p>
        </w:tc>
        <w:tc>
          <w:tcPr>
            <w:tcW w:w="708" w:type="dxa"/>
            <w:shd w:val="clear" w:color="auto" w:fill="FFFFFF"/>
            <w:vAlign w:val="center"/>
          </w:tcPr>
          <w:p w14:paraId="2A544FC9" w14:textId="3791F231" w:rsidR="001762EE" w:rsidRPr="0025475E" w:rsidRDefault="001762EE" w:rsidP="00350319">
            <w:pPr>
              <w:pStyle w:val="FreeFormAAAA"/>
              <w:jc w:val="center"/>
              <w:rPr>
                <w:sz w:val="18"/>
                <w:szCs w:val="18"/>
                <w:lang w:val="en-US"/>
              </w:rPr>
            </w:pPr>
            <w:r w:rsidRPr="0025475E">
              <w:rPr>
                <w:sz w:val="18"/>
                <w:szCs w:val="18"/>
                <w:lang w:val="en-US"/>
              </w:rPr>
              <w:t>UQ</w:t>
            </w:r>
          </w:p>
        </w:tc>
        <w:tc>
          <w:tcPr>
            <w:tcW w:w="1272" w:type="dxa"/>
            <w:shd w:val="clear" w:color="auto" w:fill="FFFFFF"/>
            <w:vAlign w:val="center"/>
          </w:tcPr>
          <w:p w14:paraId="7F8597ED" w14:textId="15C80C2C" w:rsidR="001762EE" w:rsidRPr="005108BC" w:rsidRDefault="001762EE" w:rsidP="00350319">
            <w:pPr>
              <w:pStyle w:val="FreeFormAAAA"/>
              <w:jc w:val="center"/>
              <w:rPr>
                <w:sz w:val="18"/>
                <w:szCs w:val="18"/>
                <w:lang w:val="en-US"/>
              </w:rPr>
            </w:pPr>
            <w:r w:rsidRPr="005108BC">
              <w:rPr>
                <w:sz w:val="18"/>
                <w:szCs w:val="18"/>
                <w:lang w:val="en-US"/>
              </w:rPr>
              <w:t>Apr 24, 2015</w:t>
            </w:r>
          </w:p>
        </w:tc>
        <w:tc>
          <w:tcPr>
            <w:tcW w:w="630" w:type="dxa"/>
            <w:shd w:val="clear" w:color="auto" w:fill="FFFFFF"/>
            <w:vAlign w:val="center"/>
          </w:tcPr>
          <w:p w14:paraId="43224AFF" w14:textId="3617ED31" w:rsidR="001762EE" w:rsidRPr="003D30F7" w:rsidRDefault="001762EE" w:rsidP="00350319">
            <w:pPr>
              <w:pStyle w:val="FreeFormAAAA"/>
              <w:jc w:val="center"/>
              <w:rPr>
                <w:sz w:val="18"/>
                <w:szCs w:val="18"/>
                <w:lang w:val="en-US"/>
              </w:rPr>
            </w:pPr>
            <w:r w:rsidRPr="003D30F7">
              <w:rPr>
                <w:sz w:val="18"/>
                <w:szCs w:val="18"/>
                <w:lang w:val="en-US"/>
              </w:rPr>
              <w:t>UQ</w:t>
            </w:r>
          </w:p>
        </w:tc>
        <w:tc>
          <w:tcPr>
            <w:tcW w:w="1170" w:type="dxa"/>
            <w:shd w:val="clear" w:color="auto" w:fill="FFFFFF"/>
            <w:vAlign w:val="center"/>
          </w:tcPr>
          <w:p w14:paraId="15A3E1B2" w14:textId="77777777" w:rsidR="001762EE" w:rsidRPr="00773338" w:rsidRDefault="001762EE" w:rsidP="00350319">
            <w:pPr>
              <w:pStyle w:val="FreeFormAAAA"/>
              <w:jc w:val="center"/>
              <w:rPr>
                <w:sz w:val="18"/>
                <w:szCs w:val="18"/>
                <w:lang w:val="en-US"/>
              </w:rPr>
            </w:pPr>
            <w:r w:rsidRPr="00773338">
              <w:rPr>
                <w:sz w:val="18"/>
                <w:szCs w:val="18"/>
                <w:lang w:val="en-US"/>
              </w:rPr>
              <w:t>May 30, 2014</w:t>
            </w:r>
          </w:p>
        </w:tc>
        <w:tc>
          <w:tcPr>
            <w:tcW w:w="630" w:type="dxa"/>
            <w:shd w:val="clear" w:color="auto" w:fill="FFFFFF"/>
            <w:vAlign w:val="center"/>
          </w:tcPr>
          <w:p w14:paraId="4B1620F6" w14:textId="006AD216" w:rsidR="001762EE" w:rsidRPr="00083BC1" w:rsidRDefault="001762EE" w:rsidP="00350319">
            <w:pPr>
              <w:pStyle w:val="FreeFormAAAA"/>
              <w:jc w:val="center"/>
              <w:rPr>
                <w:sz w:val="18"/>
                <w:szCs w:val="18"/>
                <w:lang w:val="en-US"/>
              </w:rPr>
            </w:pPr>
            <w:r w:rsidRPr="00083BC1">
              <w:rPr>
                <w:sz w:val="18"/>
                <w:szCs w:val="18"/>
                <w:lang w:val="en-US"/>
              </w:rPr>
              <w:t>UQ</w:t>
            </w:r>
          </w:p>
        </w:tc>
        <w:tc>
          <w:tcPr>
            <w:tcW w:w="1118" w:type="dxa"/>
            <w:shd w:val="clear" w:color="auto" w:fill="FFFFFF"/>
            <w:vAlign w:val="center"/>
          </w:tcPr>
          <w:p w14:paraId="2AFB5928" w14:textId="77777777" w:rsidR="001762EE" w:rsidRPr="00240C37" w:rsidRDefault="001762EE" w:rsidP="00350319">
            <w:pPr>
              <w:pStyle w:val="FreeFormAAAA"/>
              <w:jc w:val="center"/>
              <w:rPr>
                <w:sz w:val="18"/>
                <w:szCs w:val="18"/>
                <w:lang w:val="en-US"/>
              </w:rPr>
            </w:pPr>
            <w:r w:rsidRPr="00240C37">
              <w:rPr>
                <w:sz w:val="18"/>
                <w:szCs w:val="18"/>
                <w:lang w:val="en-US"/>
              </w:rPr>
              <w:t>Apr 30, 2013</w:t>
            </w:r>
          </w:p>
        </w:tc>
        <w:tc>
          <w:tcPr>
            <w:tcW w:w="592" w:type="dxa"/>
            <w:shd w:val="clear" w:color="auto" w:fill="FFFFFF"/>
            <w:vAlign w:val="center"/>
          </w:tcPr>
          <w:p w14:paraId="07981A91" w14:textId="7B16D424" w:rsidR="001762EE" w:rsidRPr="00BC13BA" w:rsidRDefault="001762EE" w:rsidP="00350319">
            <w:pPr>
              <w:pStyle w:val="FreeFormAAAA"/>
              <w:jc w:val="center"/>
              <w:rPr>
                <w:sz w:val="18"/>
                <w:szCs w:val="18"/>
                <w:lang w:val="en-US"/>
              </w:rPr>
            </w:pPr>
            <w:r w:rsidRPr="00BC13BA">
              <w:rPr>
                <w:sz w:val="18"/>
                <w:szCs w:val="18"/>
                <w:lang w:val="en-US"/>
              </w:rPr>
              <w:t>Q</w:t>
            </w:r>
          </w:p>
        </w:tc>
        <w:tc>
          <w:tcPr>
            <w:tcW w:w="1109" w:type="dxa"/>
            <w:shd w:val="clear" w:color="auto" w:fill="FFFFFF"/>
            <w:vAlign w:val="center"/>
          </w:tcPr>
          <w:p w14:paraId="713FE7A4" w14:textId="77777777" w:rsidR="001762EE" w:rsidRPr="005323C0" w:rsidRDefault="001762EE" w:rsidP="00350319">
            <w:pPr>
              <w:pStyle w:val="FreeFormAAAA"/>
              <w:ind w:left="-57" w:right="-57"/>
              <w:jc w:val="center"/>
              <w:rPr>
                <w:sz w:val="18"/>
                <w:szCs w:val="18"/>
                <w:lang w:val="en-US"/>
              </w:rPr>
            </w:pPr>
            <w:r w:rsidRPr="00D661D7">
              <w:rPr>
                <w:sz w:val="18"/>
                <w:szCs w:val="18"/>
                <w:lang w:val="en-US"/>
              </w:rPr>
              <w:t>Apr 23, 2012</w:t>
            </w:r>
          </w:p>
        </w:tc>
      </w:tr>
      <w:tr w:rsidR="001762EE" w:rsidRPr="00E90249" w14:paraId="4CBE4B64" w14:textId="77777777" w:rsidTr="003B302C">
        <w:trPr>
          <w:cantSplit/>
          <w:trHeight w:val="400"/>
        </w:trPr>
        <w:tc>
          <w:tcPr>
            <w:tcW w:w="450" w:type="dxa"/>
            <w:shd w:val="clear" w:color="auto" w:fill="FFFFFF"/>
            <w:vAlign w:val="center"/>
          </w:tcPr>
          <w:p w14:paraId="7D12B3B5" w14:textId="77777777" w:rsidR="001762EE" w:rsidRPr="005108BC" w:rsidRDefault="001762EE" w:rsidP="00350319">
            <w:pPr>
              <w:pStyle w:val="FreeFormAAAA"/>
              <w:jc w:val="center"/>
              <w:rPr>
                <w:sz w:val="18"/>
                <w:szCs w:val="18"/>
                <w:lang w:val="en-US"/>
              </w:rPr>
            </w:pPr>
            <w:r w:rsidRPr="005108BC">
              <w:rPr>
                <w:sz w:val="18"/>
                <w:szCs w:val="18"/>
                <w:lang w:val="en-US"/>
              </w:rPr>
              <w:t>29</w:t>
            </w:r>
          </w:p>
        </w:tc>
        <w:tc>
          <w:tcPr>
            <w:tcW w:w="1767" w:type="dxa"/>
            <w:shd w:val="clear" w:color="auto" w:fill="FFFFFF"/>
            <w:vAlign w:val="center"/>
          </w:tcPr>
          <w:p w14:paraId="51852861" w14:textId="77777777" w:rsidR="001762EE" w:rsidRPr="003D30F7" w:rsidRDefault="001762EE" w:rsidP="00350319">
            <w:pPr>
              <w:pStyle w:val="FreeFormAAAA"/>
              <w:rPr>
                <w:sz w:val="18"/>
                <w:szCs w:val="18"/>
                <w:lang w:val="en-US"/>
              </w:rPr>
            </w:pPr>
            <w:r w:rsidRPr="003D30F7">
              <w:rPr>
                <w:sz w:val="18"/>
                <w:szCs w:val="18"/>
                <w:lang w:val="en-US"/>
              </w:rPr>
              <w:t>Senate of the Philippines</w:t>
            </w:r>
          </w:p>
        </w:tc>
        <w:tc>
          <w:tcPr>
            <w:tcW w:w="708" w:type="dxa"/>
            <w:shd w:val="clear" w:color="auto" w:fill="FFFFFF"/>
            <w:vAlign w:val="center"/>
          </w:tcPr>
          <w:p w14:paraId="7C6AF45D" w14:textId="75050AA1" w:rsidR="001762EE" w:rsidRPr="0025475E" w:rsidRDefault="001762EE" w:rsidP="00350319">
            <w:pPr>
              <w:pStyle w:val="FreeFormAAAA"/>
              <w:jc w:val="center"/>
              <w:rPr>
                <w:sz w:val="18"/>
                <w:szCs w:val="18"/>
                <w:lang w:val="en-US"/>
              </w:rPr>
            </w:pPr>
            <w:r w:rsidRPr="0025475E">
              <w:rPr>
                <w:sz w:val="18"/>
                <w:szCs w:val="18"/>
                <w:lang w:val="en-US"/>
              </w:rPr>
              <w:t>UQ</w:t>
            </w:r>
          </w:p>
        </w:tc>
        <w:tc>
          <w:tcPr>
            <w:tcW w:w="1272" w:type="dxa"/>
            <w:shd w:val="clear" w:color="auto" w:fill="FFFFFF"/>
            <w:vAlign w:val="center"/>
          </w:tcPr>
          <w:p w14:paraId="2E2D9FE7" w14:textId="5D330DFC" w:rsidR="001762EE" w:rsidRPr="003D30F7" w:rsidRDefault="001762EE" w:rsidP="00350319">
            <w:pPr>
              <w:pStyle w:val="FreeFormAAAA"/>
              <w:jc w:val="center"/>
              <w:rPr>
                <w:sz w:val="18"/>
                <w:szCs w:val="18"/>
                <w:lang w:val="en-US"/>
              </w:rPr>
            </w:pPr>
            <w:r w:rsidRPr="005108BC">
              <w:rPr>
                <w:sz w:val="18"/>
                <w:szCs w:val="18"/>
                <w:lang w:val="en-US"/>
              </w:rPr>
              <w:t>May 1</w:t>
            </w:r>
            <w:r w:rsidRPr="003D30F7">
              <w:rPr>
                <w:sz w:val="18"/>
                <w:szCs w:val="18"/>
                <w:lang w:val="en-US"/>
              </w:rPr>
              <w:t>8, 2015</w:t>
            </w:r>
          </w:p>
        </w:tc>
        <w:tc>
          <w:tcPr>
            <w:tcW w:w="630" w:type="dxa"/>
            <w:shd w:val="clear" w:color="auto" w:fill="FFFFFF"/>
            <w:vAlign w:val="center"/>
          </w:tcPr>
          <w:p w14:paraId="275C2E2C" w14:textId="45581AC4" w:rsidR="001762EE" w:rsidRPr="00773338" w:rsidRDefault="001762EE" w:rsidP="00350319">
            <w:pPr>
              <w:pStyle w:val="FreeFormAAAA"/>
              <w:jc w:val="center"/>
              <w:rPr>
                <w:sz w:val="18"/>
                <w:szCs w:val="18"/>
                <w:lang w:val="en-US"/>
              </w:rPr>
            </w:pPr>
            <w:r w:rsidRPr="00773338">
              <w:rPr>
                <w:sz w:val="18"/>
                <w:szCs w:val="18"/>
                <w:lang w:val="en-US"/>
              </w:rPr>
              <w:t>Q</w:t>
            </w:r>
          </w:p>
        </w:tc>
        <w:tc>
          <w:tcPr>
            <w:tcW w:w="1170" w:type="dxa"/>
            <w:shd w:val="clear" w:color="auto" w:fill="FFFFFF"/>
            <w:vAlign w:val="center"/>
          </w:tcPr>
          <w:p w14:paraId="16640BE1" w14:textId="77777777" w:rsidR="001762EE" w:rsidRPr="00083BC1" w:rsidRDefault="001762EE" w:rsidP="00350319">
            <w:pPr>
              <w:pStyle w:val="FreeFormAAAA"/>
              <w:jc w:val="center"/>
              <w:rPr>
                <w:sz w:val="18"/>
                <w:szCs w:val="18"/>
                <w:lang w:val="en-US"/>
              </w:rPr>
            </w:pPr>
            <w:r w:rsidRPr="00083BC1">
              <w:rPr>
                <w:sz w:val="18"/>
                <w:szCs w:val="18"/>
                <w:lang w:val="en-US"/>
              </w:rPr>
              <w:t>May 5, 2014</w:t>
            </w:r>
          </w:p>
        </w:tc>
        <w:tc>
          <w:tcPr>
            <w:tcW w:w="630" w:type="dxa"/>
            <w:shd w:val="clear" w:color="auto" w:fill="FFFFFF"/>
            <w:vAlign w:val="center"/>
          </w:tcPr>
          <w:p w14:paraId="17286B91" w14:textId="5D5BA65C" w:rsidR="001762EE" w:rsidRPr="00240C37" w:rsidRDefault="001762EE" w:rsidP="00350319">
            <w:pPr>
              <w:pStyle w:val="FreeFormAAAA"/>
              <w:jc w:val="center"/>
              <w:rPr>
                <w:sz w:val="18"/>
                <w:szCs w:val="18"/>
                <w:lang w:val="en-US"/>
              </w:rPr>
            </w:pPr>
            <w:r w:rsidRPr="00240C37">
              <w:rPr>
                <w:sz w:val="18"/>
                <w:szCs w:val="18"/>
                <w:lang w:val="en-US"/>
              </w:rPr>
              <w:t>Q</w:t>
            </w:r>
          </w:p>
        </w:tc>
        <w:tc>
          <w:tcPr>
            <w:tcW w:w="1118" w:type="dxa"/>
            <w:shd w:val="clear" w:color="auto" w:fill="FFFFFF"/>
            <w:vAlign w:val="center"/>
          </w:tcPr>
          <w:p w14:paraId="04B34F54" w14:textId="77777777" w:rsidR="001762EE" w:rsidRPr="00BC13BA" w:rsidRDefault="001762EE" w:rsidP="00350319">
            <w:pPr>
              <w:pStyle w:val="FreeFormAAAA"/>
              <w:jc w:val="center"/>
              <w:rPr>
                <w:sz w:val="18"/>
                <w:szCs w:val="18"/>
                <w:lang w:val="en-US"/>
              </w:rPr>
            </w:pPr>
            <w:r w:rsidRPr="00BC13BA">
              <w:rPr>
                <w:sz w:val="18"/>
                <w:szCs w:val="18"/>
                <w:lang w:val="en-US"/>
              </w:rPr>
              <w:t>May 21, 2013</w:t>
            </w:r>
          </w:p>
        </w:tc>
        <w:tc>
          <w:tcPr>
            <w:tcW w:w="592" w:type="dxa"/>
            <w:shd w:val="clear" w:color="auto" w:fill="FFFFFF"/>
            <w:vAlign w:val="center"/>
          </w:tcPr>
          <w:p w14:paraId="6DF6FF16" w14:textId="7CFF9E61" w:rsidR="001762EE" w:rsidRPr="005323C0" w:rsidRDefault="001762EE" w:rsidP="00350319">
            <w:pPr>
              <w:pStyle w:val="FreeFormAAAA"/>
              <w:jc w:val="center"/>
              <w:rPr>
                <w:sz w:val="18"/>
                <w:szCs w:val="18"/>
                <w:lang w:val="en-US"/>
              </w:rPr>
            </w:pPr>
            <w:r w:rsidRPr="00D661D7">
              <w:rPr>
                <w:sz w:val="18"/>
                <w:szCs w:val="18"/>
                <w:lang w:val="en-US"/>
              </w:rPr>
              <w:t>UQ</w:t>
            </w:r>
          </w:p>
        </w:tc>
        <w:tc>
          <w:tcPr>
            <w:tcW w:w="1109" w:type="dxa"/>
            <w:shd w:val="clear" w:color="auto" w:fill="FFFFFF"/>
            <w:vAlign w:val="center"/>
          </w:tcPr>
          <w:p w14:paraId="37A4EA53" w14:textId="77777777" w:rsidR="001762EE" w:rsidRPr="009D76C2" w:rsidRDefault="001762EE" w:rsidP="00350319">
            <w:pPr>
              <w:pStyle w:val="FreeFormAAAA"/>
              <w:ind w:left="-57" w:right="-57"/>
              <w:jc w:val="center"/>
              <w:rPr>
                <w:sz w:val="18"/>
                <w:szCs w:val="18"/>
                <w:lang w:val="en-US"/>
              </w:rPr>
            </w:pPr>
            <w:r w:rsidRPr="009D76C2">
              <w:rPr>
                <w:sz w:val="18"/>
                <w:szCs w:val="18"/>
                <w:lang w:val="en-US"/>
              </w:rPr>
              <w:t>May 15, 2012</w:t>
            </w:r>
          </w:p>
        </w:tc>
      </w:tr>
    </w:tbl>
    <w:p w14:paraId="3B5F21FB" w14:textId="53F58730" w:rsidR="001762EE" w:rsidRPr="00EC5DE8" w:rsidRDefault="001762EE" w:rsidP="005F768F">
      <w:pPr>
        <w:pStyle w:val="NormalWeb"/>
        <w:autoSpaceDE w:val="0"/>
        <w:autoSpaceDN w:val="0"/>
        <w:adjustRightInd w:val="0"/>
        <w:spacing w:before="0" w:beforeAutospacing="0" w:after="0" w:afterAutospacing="0"/>
        <w:contextualSpacing/>
        <w:jc w:val="both"/>
        <w:rPr>
          <w:sz w:val="18"/>
          <w:szCs w:val="18"/>
        </w:rPr>
      </w:pPr>
      <w:r w:rsidRPr="00EC5DE8">
        <w:rPr>
          <w:i/>
          <w:sz w:val="18"/>
          <w:szCs w:val="18"/>
        </w:rPr>
        <w:t>Note</w:t>
      </w:r>
      <w:r w:rsidRPr="00EC5DE8">
        <w:rPr>
          <w:sz w:val="18"/>
          <w:szCs w:val="18"/>
        </w:rPr>
        <w:t>: Q: Qualified opinion, UQ: Unqualified opinion, A: Adverse opinion, D: Disclaimer of opinion, No AAR: No Annual Audit Report, only Management Letter issued.</w:t>
      </w:r>
    </w:p>
    <w:p w14:paraId="4CF01EC3" w14:textId="77777777" w:rsidR="001C6BDA" w:rsidRDefault="001C6BDA" w:rsidP="005F768F">
      <w:pPr>
        <w:pStyle w:val="NormalWeb"/>
        <w:autoSpaceDE w:val="0"/>
        <w:autoSpaceDN w:val="0"/>
        <w:adjustRightInd w:val="0"/>
        <w:spacing w:before="0" w:beforeAutospacing="0" w:after="0" w:afterAutospacing="0"/>
        <w:contextualSpacing/>
        <w:jc w:val="both"/>
      </w:pPr>
    </w:p>
    <w:p w14:paraId="7349AE05" w14:textId="77777777" w:rsidR="0067432A" w:rsidRDefault="0067432A" w:rsidP="005F768F">
      <w:pPr>
        <w:pStyle w:val="NormalWeb"/>
        <w:autoSpaceDE w:val="0"/>
        <w:autoSpaceDN w:val="0"/>
        <w:adjustRightInd w:val="0"/>
        <w:spacing w:before="0" w:beforeAutospacing="0" w:after="0" w:afterAutospacing="0"/>
        <w:contextualSpacing/>
        <w:jc w:val="both"/>
      </w:pPr>
    </w:p>
    <w:p w14:paraId="16A6A7EF" w14:textId="77777777" w:rsidR="00E17DF6" w:rsidRDefault="00E17DF6" w:rsidP="005F768F">
      <w:pPr>
        <w:pStyle w:val="NormalWeb"/>
        <w:autoSpaceDE w:val="0"/>
        <w:autoSpaceDN w:val="0"/>
        <w:adjustRightInd w:val="0"/>
        <w:spacing w:before="0" w:beforeAutospacing="0" w:after="0" w:afterAutospacing="0"/>
        <w:contextualSpacing/>
        <w:jc w:val="both"/>
      </w:pPr>
    </w:p>
    <w:p w14:paraId="1C59FB97" w14:textId="77777777" w:rsidR="00E17DF6" w:rsidRPr="00233C6E" w:rsidRDefault="00E17DF6" w:rsidP="005F768F">
      <w:pPr>
        <w:pStyle w:val="NormalWeb"/>
        <w:autoSpaceDE w:val="0"/>
        <w:autoSpaceDN w:val="0"/>
        <w:adjustRightInd w:val="0"/>
        <w:spacing w:before="0" w:beforeAutospacing="0" w:after="0" w:afterAutospacing="0"/>
        <w:contextualSpacing/>
        <w:jc w:val="both"/>
      </w:pPr>
    </w:p>
    <w:p w14:paraId="4BA76E2E" w14:textId="57845B18" w:rsidR="001762EE" w:rsidRDefault="001762EE" w:rsidP="00411651">
      <w:pPr>
        <w:pStyle w:val="Heading3"/>
      </w:pPr>
      <w:bookmarkStart w:id="263" w:name="_Toc454811720"/>
      <w:bookmarkStart w:id="264" w:name="_Toc454888864"/>
      <w:r w:rsidRPr="005A497D">
        <w:t>PI-2</w:t>
      </w:r>
      <w:r>
        <w:t>8</w:t>
      </w:r>
      <w:r w:rsidRPr="005A497D">
        <w:t xml:space="preserve"> </w:t>
      </w:r>
      <w:r>
        <w:t>I</w:t>
      </w:r>
      <w:r w:rsidRPr="005A497D">
        <w:t>n-year budget reports</w:t>
      </w:r>
      <w:bookmarkEnd w:id="263"/>
      <w:bookmarkEnd w:id="264"/>
    </w:p>
    <w:p w14:paraId="3C1F009B" w14:textId="77777777" w:rsidR="001762EE" w:rsidRPr="00233C6E" w:rsidRDefault="001762EE" w:rsidP="00233C6E"/>
    <w:p w14:paraId="713AA5F0" w14:textId="66076F4F"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assesses the comprehensiveness, accuracy and timeliness of information on budget execution. In-year budget reports must be consistent with budget coverage and classifications to allow monitoring of budget performance and, if necessary, timely use of corrective measures. </w:t>
      </w:r>
    </w:p>
    <w:p w14:paraId="71FCD01C" w14:textId="77777777" w:rsidR="001762EE" w:rsidRPr="005A497D" w:rsidRDefault="001762EE" w:rsidP="00E847AF">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060"/>
        <w:gridCol w:w="1170"/>
        <w:gridCol w:w="5126"/>
      </w:tblGrid>
      <w:tr w:rsidR="00C805B5" w:rsidRPr="00C06FE3" w14:paraId="1DD06AE1" w14:textId="77777777" w:rsidTr="00C805B5">
        <w:trPr>
          <w:trHeight w:val="397"/>
        </w:trPr>
        <w:tc>
          <w:tcPr>
            <w:tcW w:w="3060" w:type="dxa"/>
            <w:tcBorders>
              <w:top w:val="double" w:sz="4" w:space="0" w:color="auto"/>
            </w:tcBorders>
            <w:shd w:val="clear" w:color="auto" w:fill="D9D9D9"/>
            <w:vAlign w:val="center"/>
          </w:tcPr>
          <w:p w14:paraId="0AC8BFFB" w14:textId="77777777" w:rsidR="001762EE" w:rsidRPr="00C06FE3" w:rsidRDefault="001762EE" w:rsidP="00882C4F">
            <w:pPr>
              <w:spacing w:before="40" w:after="40"/>
              <w:jc w:val="center"/>
              <w:rPr>
                <w:b/>
                <w:i/>
                <w:sz w:val="22"/>
                <w:szCs w:val="22"/>
              </w:rPr>
            </w:pPr>
            <w:r w:rsidRPr="00C06FE3">
              <w:rPr>
                <w:b/>
                <w:i/>
                <w:sz w:val="22"/>
                <w:szCs w:val="22"/>
              </w:rPr>
              <w:t>Indicator / Dimension</w:t>
            </w:r>
          </w:p>
        </w:tc>
        <w:tc>
          <w:tcPr>
            <w:tcW w:w="1170" w:type="dxa"/>
            <w:tcBorders>
              <w:top w:val="double" w:sz="4" w:space="0" w:color="auto"/>
            </w:tcBorders>
            <w:shd w:val="clear" w:color="auto" w:fill="D9D9D9"/>
            <w:vAlign w:val="center"/>
          </w:tcPr>
          <w:p w14:paraId="5279B2C2" w14:textId="77777777" w:rsidR="001762EE" w:rsidRPr="00C06FE3" w:rsidRDefault="001762EE" w:rsidP="00882C4F">
            <w:pPr>
              <w:spacing w:before="40" w:after="40"/>
              <w:jc w:val="center"/>
              <w:rPr>
                <w:b/>
                <w:i/>
                <w:sz w:val="22"/>
                <w:szCs w:val="22"/>
              </w:rPr>
            </w:pPr>
            <w:r w:rsidRPr="00C06FE3">
              <w:rPr>
                <w:b/>
                <w:i/>
                <w:sz w:val="22"/>
                <w:szCs w:val="22"/>
              </w:rPr>
              <w:t>Score</w:t>
            </w:r>
          </w:p>
        </w:tc>
        <w:tc>
          <w:tcPr>
            <w:tcW w:w="5126" w:type="dxa"/>
            <w:tcBorders>
              <w:top w:val="double" w:sz="4" w:space="0" w:color="auto"/>
            </w:tcBorders>
            <w:shd w:val="clear" w:color="auto" w:fill="D9D9D9"/>
            <w:vAlign w:val="center"/>
          </w:tcPr>
          <w:p w14:paraId="21CBAD9F" w14:textId="77777777" w:rsidR="001762EE" w:rsidRPr="00C06FE3" w:rsidRDefault="001762EE" w:rsidP="00882C4F">
            <w:pPr>
              <w:spacing w:before="40" w:after="40"/>
              <w:jc w:val="center"/>
              <w:rPr>
                <w:b/>
                <w:i/>
                <w:sz w:val="22"/>
                <w:szCs w:val="22"/>
              </w:rPr>
            </w:pPr>
            <w:r w:rsidRPr="00C06FE3">
              <w:rPr>
                <w:b/>
                <w:i/>
                <w:sz w:val="22"/>
                <w:szCs w:val="22"/>
              </w:rPr>
              <w:t>Brief Explanation</w:t>
            </w:r>
          </w:p>
        </w:tc>
      </w:tr>
      <w:tr w:rsidR="00C805B5" w:rsidRPr="005A497D" w14:paraId="5982E1E5" w14:textId="77777777" w:rsidTr="00C805B5">
        <w:tc>
          <w:tcPr>
            <w:tcW w:w="3060" w:type="dxa"/>
            <w:tcBorders>
              <w:top w:val="double" w:sz="4" w:space="0" w:color="auto"/>
              <w:bottom w:val="single" w:sz="4" w:space="0" w:color="auto"/>
            </w:tcBorders>
          </w:tcPr>
          <w:p w14:paraId="5FA10377" w14:textId="085B13C8" w:rsidR="001762EE" w:rsidRPr="005A497D" w:rsidRDefault="001762EE" w:rsidP="00B37368">
            <w:pPr>
              <w:spacing w:before="40" w:after="40"/>
              <w:rPr>
                <w:sz w:val="22"/>
                <w:szCs w:val="22"/>
              </w:rPr>
            </w:pPr>
            <w:r w:rsidRPr="005A497D">
              <w:rPr>
                <w:b/>
                <w:bCs/>
                <w:sz w:val="22"/>
                <w:szCs w:val="22"/>
              </w:rPr>
              <w:t>PI-2</w:t>
            </w:r>
            <w:r>
              <w:rPr>
                <w:b/>
                <w:bCs/>
                <w:sz w:val="22"/>
                <w:szCs w:val="22"/>
              </w:rPr>
              <w:t>8</w:t>
            </w:r>
            <w:r w:rsidRPr="005A497D">
              <w:rPr>
                <w:b/>
                <w:bCs/>
                <w:sz w:val="22"/>
                <w:szCs w:val="22"/>
              </w:rPr>
              <w:t xml:space="preserve"> </w:t>
            </w:r>
            <w:r>
              <w:rPr>
                <w:b/>
                <w:bCs/>
                <w:sz w:val="22"/>
                <w:szCs w:val="22"/>
              </w:rPr>
              <w:t>I</w:t>
            </w:r>
            <w:r w:rsidRPr="005A497D">
              <w:rPr>
                <w:b/>
                <w:bCs/>
                <w:sz w:val="22"/>
                <w:szCs w:val="22"/>
              </w:rPr>
              <w:t>n-year budget reports</w:t>
            </w:r>
          </w:p>
        </w:tc>
        <w:tc>
          <w:tcPr>
            <w:tcW w:w="1170" w:type="dxa"/>
            <w:tcBorders>
              <w:top w:val="double" w:sz="4" w:space="0" w:color="auto"/>
              <w:bottom w:val="single" w:sz="4" w:space="0" w:color="auto"/>
            </w:tcBorders>
          </w:tcPr>
          <w:p w14:paraId="3F0EE23E" w14:textId="77777777" w:rsidR="001762EE" w:rsidRPr="005A497D" w:rsidRDefault="001762EE" w:rsidP="00882C4F">
            <w:pPr>
              <w:spacing w:before="40" w:after="40"/>
              <w:jc w:val="center"/>
              <w:rPr>
                <w:b/>
                <w:sz w:val="22"/>
                <w:szCs w:val="22"/>
              </w:rPr>
            </w:pPr>
            <w:r w:rsidRPr="005A497D">
              <w:rPr>
                <w:b/>
                <w:sz w:val="22"/>
                <w:szCs w:val="22"/>
              </w:rPr>
              <w:t>D+</w:t>
            </w:r>
          </w:p>
        </w:tc>
        <w:tc>
          <w:tcPr>
            <w:tcW w:w="5126" w:type="dxa"/>
            <w:tcBorders>
              <w:top w:val="double" w:sz="4" w:space="0" w:color="auto"/>
              <w:bottom w:val="single" w:sz="4" w:space="0" w:color="auto"/>
            </w:tcBorders>
          </w:tcPr>
          <w:p w14:paraId="390A4196" w14:textId="77777777" w:rsidR="001762EE" w:rsidRPr="005A497D" w:rsidRDefault="001762EE" w:rsidP="00882C4F">
            <w:pPr>
              <w:spacing w:before="40" w:after="40"/>
              <w:rPr>
                <w:sz w:val="22"/>
                <w:szCs w:val="22"/>
              </w:rPr>
            </w:pPr>
            <w:r w:rsidRPr="005A497D">
              <w:rPr>
                <w:sz w:val="22"/>
                <w:szCs w:val="22"/>
              </w:rPr>
              <w:t>Overall rating based on M1 methodology.</w:t>
            </w:r>
          </w:p>
        </w:tc>
      </w:tr>
      <w:tr w:rsidR="00C805B5" w:rsidRPr="005A497D" w14:paraId="5B073A14" w14:textId="77777777" w:rsidTr="00EC5DE8">
        <w:trPr>
          <w:trHeight w:val="1331"/>
        </w:trPr>
        <w:tc>
          <w:tcPr>
            <w:tcW w:w="3060" w:type="dxa"/>
            <w:tcBorders>
              <w:top w:val="single" w:sz="4" w:space="0" w:color="auto"/>
              <w:bottom w:val="single" w:sz="4" w:space="0" w:color="auto"/>
            </w:tcBorders>
          </w:tcPr>
          <w:p w14:paraId="0D20F632" w14:textId="7B584C62" w:rsidR="001762EE" w:rsidRPr="005A497D" w:rsidRDefault="001762EE" w:rsidP="00DA3417">
            <w:pPr>
              <w:pStyle w:val="BodyB"/>
              <w:rPr>
                <w:rFonts w:ascii="Times New Roman" w:hAnsi="Times New Roman"/>
                <w:sz w:val="22"/>
                <w:szCs w:val="22"/>
              </w:rPr>
            </w:pPr>
            <w:r>
              <w:rPr>
                <w:rFonts w:ascii="Times New Roman" w:hAnsi="Times New Roman"/>
                <w:sz w:val="22"/>
                <w:szCs w:val="22"/>
              </w:rPr>
              <w:t>28.1</w:t>
            </w:r>
            <w:r w:rsidRPr="005A497D">
              <w:rPr>
                <w:rFonts w:ascii="Times New Roman" w:hAnsi="Times New Roman"/>
                <w:sz w:val="22"/>
                <w:szCs w:val="22"/>
              </w:rPr>
              <w:t xml:space="preserve"> Coverage and comparability of reports</w:t>
            </w:r>
          </w:p>
        </w:tc>
        <w:tc>
          <w:tcPr>
            <w:tcW w:w="1170" w:type="dxa"/>
            <w:tcBorders>
              <w:top w:val="single" w:sz="4" w:space="0" w:color="auto"/>
              <w:bottom w:val="single" w:sz="4" w:space="0" w:color="auto"/>
            </w:tcBorders>
          </w:tcPr>
          <w:p w14:paraId="44919423" w14:textId="77777777" w:rsidR="001762EE" w:rsidRPr="005A497D" w:rsidRDefault="001762EE" w:rsidP="00DA3417">
            <w:pPr>
              <w:pStyle w:val="BodyB"/>
              <w:jc w:val="center"/>
              <w:rPr>
                <w:rFonts w:ascii="Times New Roman" w:hAnsi="Times New Roman"/>
                <w:sz w:val="22"/>
                <w:szCs w:val="22"/>
              </w:rPr>
            </w:pPr>
            <w:r w:rsidRPr="005A497D">
              <w:rPr>
                <w:rFonts w:ascii="Times New Roman" w:hAnsi="Times New Roman"/>
                <w:sz w:val="22"/>
                <w:szCs w:val="22"/>
              </w:rPr>
              <w:t>A</w:t>
            </w:r>
          </w:p>
        </w:tc>
        <w:tc>
          <w:tcPr>
            <w:tcW w:w="5126" w:type="dxa"/>
            <w:tcBorders>
              <w:top w:val="single" w:sz="4" w:space="0" w:color="auto"/>
              <w:bottom w:val="single" w:sz="4" w:space="0" w:color="auto"/>
            </w:tcBorders>
          </w:tcPr>
          <w:p w14:paraId="1FECD07E" w14:textId="5E6D7A1F" w:rsidR="001762EE" w:rsidRPr="005A497D" w:rsidRDefault="001762EE" w:rsidP="0037756C">
            <w:pPr>
              <w:rPr>
                <w:sz w:val="22"/>
                <w:szCs w:val="22"/>
              </w:rPr>
            </w:pPr>
            <w:r w:rsidRPr="005A497D">
              <w:rPr>
                <w:sz w:val="22"/>
                <w:szCs w:val="22"/>
              </w:rPr>
              <w:t xml:space="preserve">Several reports on budget execution and accountability are required to be submitted by the departments and agencies to both </w:t>
            </w:r>
            <w:r>
              <w:rPr>
                <w:sz w:val="22"/>
                <w:szCs w:val="22"/>
              </w:rPr>
              <w:t>CoA</w:t>
            </w:r>
            <w:r w:rsidRPr="005A497D">
              <w:rPr>
                <w:sz w:val="22"/>
                <w:szCs w:val="22"/>
              </w:rPr>
              <w:t xml:space="preserve"> and DBM. Formats of these reports comprehensively cover expenditures and comparison with budget estimates.</w:t>
            </w:r>
          </w:p>
        </w:tc>
      </w:tr>
      <w:tr w:rsidR="00C805B5" w:rsidRPr="005A497D" w14:paraId="4BD05887" w14:textId="77777777" w:rsidTr="00EC5DE8">
        <w:trPr>
          <w:trHeight w:val="1070"/>
        </w:trPr>
        <w:tc>
          <w:tcPr>
            <w:tcW w:w="3060" w:type="dxa"/>
            <w:tcBorders>
              <w:top w:val="single" w:sz="4" w:space="0" w:color="auto"/>
              <w:bottom w:val="single" w:sz="4" w:space="0" w:color="auto"/>
            </w:tcBorders>
          </w:tcPr>
          <w:p w14:paraId="3F4BF5F8" w14:textId="4C399471" w:rsidR="001762EE" w:rsidRPr="005A497D" w:rsidRDefault="001762EE" w:rsidP="00B37368">
            <w:pPr>
              <w:pStyle w:val="BodyB"/>
              <w:rPr>
                <w:rFonts w:ascii="Times New Roman" w:hAnsi="Times New Roman"/>
                <w:sz w:val="22"/>
                <w:szCs w:val="22"/>
              </w:rPr>
            </w:pPr>
            <w:r>
              <w:rPr>
                <w:rFonts w:ascii="Times New Roman" w:hAnsi="Times New Roman"/>
                <w:sz w:val="22"/>
                <w:szCs w:val="22"/>
              </w:rPr>
              <w:t>28.2</w:t>
            </w:r>
            <w:r w:rsidRPr="005A497D">
              <w:rPr>
                <w:rFonts w:ascii="Times New Roman" w:hAnsi="Times New Roman"/>
                <w:sz w:val="22"/>
                <w:szCs w:val="22"/>
              </w:rPr>
              <w:t xml:space="preserve"> </w:t>
            </w:r>
            <w:r>
              <w:rPr>
                <w:rFonts w:ascii="Times New Roman" w:hAnsi="Times New Roman"/>
                <w:sz w:val="22"/>
                <w:szCs w:val="22"/>
              </w:rPr>
              <w:t xml:space="preserve">Timing of in-year budget </w:t>
            </w:r>
            <w:r w:rsidRPr="005A497D">
              <w:rPr>
                <w:rFonts w:ascii="Times New Roman" w:hAnsi="Times New Roman"/>
                <w:sz w:val="22"/>
                <w:szCs w:val="22"/>
              </w:rPr>
              <w:t>reports</w:t>
            </w:r>
          </w:p>
        </w:tc>
        <w:tc>
          <w:tcPr>
            <w:tcW w:w="1170" w:type="dxa"/>
            <w:tcBorders>
              <w:top w:val="single" w:sz="4" w:space="0" w:color="auto"/>
              <w:bottom w:val="single" w:sz="4" w:space="0" w:color="auto"/>
            </w:tcBorders>
          </w:tcPr>
          <w:p w14:paraId="602809BA" w14:textId="77777777" w:rsidR="001762EE" w:rsidRPr="005A497D" w:rsidRDefault="001762EE" w:rsidP="00DA3417">
            <w:pPr>
              <w:pStyle w:val="BodyB"/>
              <w:jc w:val="center"/>
              <w:rPr>
                <w:rFonts w:ascii="Times New Roman" w:hAnsi="Times New Roman"/>
                <w:sz w:val="22"/>
                <w:szCs w:val="22"/>
              </w:rPr>
            </w:pPr>
            <w:r w:rsidRPr="005A497D">
              <w:rPr>
                <w:rFonts w:ascii="Times New Roman" w:hAnsi="Times New Roman"/>
                <w:sz w:val="22"/>
                <w:szCs w:val="22"/>
              </w:rPr>
              <w:t>D</w:t>
            </w:r>
          </w:p>
        </w:tc>
        <w:tc>
          <w:tcPr>
            <w:tcW w:w="5126" w:type="dxa"/>
            <w:tcBorders>
              <w:top w:val="single" w:sz="4" w:space="0" w:color="auto"/>
              <w:bottom w:val="single" w:sz="4" w:space="0" w:color="auto"/>
            </w:tcBorders>
          </w:tcPr>
          <w:p w14:paraId="7B0A0E37" w14:textId="4992BEFF" w:rsidR="001762EE" w:rsidRPr="005A497D" w:rsidRDefault="001762EE" w:rsidP="00575190">
            <w:pPr>
              <w:pStyle w:val="BodyB"/>
              <w:rPr>
                <w:rFonts w:ascii="Times New Roman" w:hAnsi="Times New Roman"/>
                <w:sz w:val="22"/>
                <w:szCs w:val="22"/>
              </w:rPr>
            </w:pPr>
            <w:r w:rsidRPr="005A497D">
              <w:rPr>
                <w:rFonts w:ascii="Times New Roman" w:hAnsi="Times New Roman"/>
                <w:sz w:val="22"/>
                <w:szCs w:val="22"/>
              </w:rPr>
              <w:t xml:space="preserve">Timely submission remains to be a challenge among a number of line departments and agencies. As of </w:t>
            </w:r>
            <w:r>
              <w:rPr>
                <w:rFonts w:ascii="Times New Roman" w:hAnsi="Times New Roman"/>
                <w:sz w:val="22"/>
                <w:szCs w:val="22"/>
              </w:rPr>
              <w:t>February 29, 2016, less than 20% of reports for second, third or fourth quarter were received.</w:t>
            </w:r>
          </w:p>
        </w:tc>
      </w:tr>
      <w:tr w:rsidR="00C805B5" w:rsidRPr="005A497D" w14:paraId="60650DAC" w14:textId="77777777" w:rsidTr="00EC5DE8">
        <w:trPr>
          <w:trHeight w:val="1700"/>
        </w:trPr>
        <w:tc>
          <w:tcPr>
            <w:tcW w:w="3060" w:type="dxa"/>
            <w:tcBorders>
              <w:top w:val="single" w:sz="4" w:space="0" w:color="auto"/>
              <w:bottom w:val="double" w:sz="4" w:space="0" w:color="auto"/>
            </w:tcBorders>
          </w:tcPr>
          <w:p w14:paraId="12E11953" w14:textId="2A09E2E7" w:rsidR="001762EE" w:rsidRPr="005A497D" w:rsidRDefault="001762EE" w:rsidP="00B37368">
            <w:pPr>
              <w:pStyle w:val="BodyB"/>
              <w:rPr>
                <w:rFonts w:ascii="Times New Roman" w:hAnsi="Times New Roman"/>
                <w:sz w:val="22"/>
                <w:szCs w:val="22"/>
              </w:rPr>
            </w:pPr>
            <w:r>
              <w:rPr>
                <w:rFonts w:ascii="Times New Roman" w:hAnsi="Times New Roman"/>
                <w:sz w:val="22"/>
                <w:szCs w:val="22"/>
              </w:rPr>
              <w:t>28.3</w:t>
            </w:r>
            <w:r w:rsidRPr="005A497D">
              <w:rPr>
                <w:rFonts w:ascii="Times New Roman" w:hAnsi="Times New Roman"/>
                <w:sz w:val="22"/>
                <w:szCs w:val="22"/>
              </w:rPr>
              <w:t xml:space="preserve"> </w:t>
            </w:r>
            <w:r>
              <w:rPr>
                <w:rFonts w:ascii="Times New Roman" w:hAnsi="Times New Roman"/>
                <w:sz w:val="22"/>
                <w:szCs w:val="22"/>
              </w:rPr>
              <w:t>Accuracy of in-year budget</w:t>
            </w:r>
            <w:r w:rsidRPr="005A497D">
              <w:rPr>
                <w:rFonts w:ascii="Times New Roman" w:hAnsi="Times New Roman"/>
                <w:sz w:val="22"/>
                <w:szCs w:val="22"/>
              </w:rPr>
              <w:t xml:space="preserve"> reports</w:t>
            </w:r>
          </w:p>
        </w:tc>
        <w:tc>
          <w:tcPr>
            <w:tcW w:w="1170" w:type="dxa"/>
            <w:tcBorders>
              <w:top w:val="single" w:sz="4" w:space="0" w:color="auto"/>
              <w:bottom w:val="double" w:sz="4" w:space="0" w:color="auto"/>
            </w:tcBorders>
          </w:tcPr>
          <w:p w14:paraId="6095364E" w14:textId="77777777" w:rsidR="001762EE" w:rsidRPr="005A497D" w:rsidRDefault="001762EE" w:rsidP="00DA3417">
            <w:pPr>
              <w:pStyle w:val="BodyB"/>
              <w:jc w:val="center"/>
              <w:rPr>
                <w:rFonts w:ascii="Times New Roman" w:hAnsi="Times New Roman"/>
                <w:sz w:val="22"/>
                <w:szCs w:val="22"/>
              </w:rPr>
            </w:pPr>
            <w:r w:rsidRPr="005A497D">
              <w:rPr>
                <w:rFonts w:ascii="Times New Roman" w:hAnsi="Times New Roman"/>
                <w:sz w:val="22"/>
                <w:szCs w:val="22"/>
              </w:rPr>
              <w:t>C</w:t>
            </w:r>
          </w:p>
        </w:tc>
        <w:tc>
          <w:tcPr>
            <w:tcW w:w="5126" w:type="dxa"/>
            <w:tcBorders>
              <w:top w:val="single" w:sz="4" w:space="0" w:color="auto"/>
              <w:bottom w:val="double" w:sz="4" w:space="0" w:color="auto"/>
            </w:tcBorders>
          </w:tcPr>
          <w:p w14:paraId="57512E2B" w14:textId="77777777" w:rsidR="001762EE" w:rsidRPr="005A497D" w:rsidRDefault="001762EE" w:rsidP="00A554DA">
            <w:pPr>
              <w:pStyle w:val="BodyB"/>
              <w:rPr>
                <w:rFonts w:ascii="Times New Roman" w:hAnsi="Times New Roman"/>
                <w:sz w:val="22"/>
                <w:szCs w:val="22"/>
              </w:rPr>
            </w:pPr>
            <w:r w:rsidRPr="005A497D">
              <w:rPr>
                <w:rFonts w:ascii="Times New Roman" w:hAnsi="Times New Roman"/>
                <w:sz w:val="22"/>
                <w:szCs w:val="22"/>
              </w:rPr>
              <w:t xml:space="preserve">The reports are prepared manually using spreadsheet. Although there is some level of data extraction from systems such as </w:t>
            </w:r>
            <w:r w:rsidRPr="000D0E8D">
              <w:rPr>
                <w:rFonts w:ascii="Times New Roman" w:hAnsi="Times New Roman"/>
                <w:i/>
                <w:sz w:val="22"/>
                <w:szCs w:val="22"/>
              </w:rPr>
              <w:t>e</w:t>
            </w:r>
            <w:r w:rsidRPr="005A497D">
              <w:rPr>
                <w:rFonts w:ascii="Times New Roman" w:hAnsi="Times New Roman"/>
                <w:sz w:val="22"/>
                <w:szCs w:val="22"/>
              </w:rPr>
              <w:t xml:space="preserve">Budget and </w:t>
            </w:r>
            <w:r w:rsidRPr="000D0E8D">
              <w:rPr>
                <w:rFonts w:ascii="Times New Roman" w:hAnsi="Times New Roman"/>
                <w:i/>
                <w:sz w:val="22"/>
                <w:szCs w:val="22"/>
              </w:rPr>
              <w:t>e</w:t>
            </w:r>
            <w:r w:rsidRPr="005A497D">
              <w:rPr>
                <w:rFonts w:ascii="Times New Roman" w:hAnsi="Times New Roman"/>
                <w:sz w:val="22"/>
                <w:szCs w:val="22"/>
              </w:rPr>
              <w:t>NGAS, not all agencies and departments have fully rolled out these systems. Despite limitations, these are used by DBM for planning and monitoring.</w:t>
            </w:r>
          </w:p>
        </w:tc>
      </w:tr>
    </w:tbl>
    <w:p w14:paraId="1FCA6876" w14:textId="77777777" w:rsidR="001762EE" w:rsidRPr="005A497D" w:rsidRDefault="001762EE" w:rsidP="00E847AF">
      <w:pPr>
        <w:pStyle w:val="FreeFormAAAA"/>
        <w:jc w:val="both"/>
        <w:rPr>
          <w:sz w:val="24"/>
          <w:szCs w:val="24"/>
          <w:lang w:val="en-US"/>
        </w:rPr>
      </w:pPr>
    </w:p>
    <w:p w14:paraId="33163CB4" w14:textId="72F66DEA" w:rsidR="001762EE" w:rsidRPr="0025475E" w:rsidRDefault="001762EE" w:rsidP="00BA0BF2">
      <w:pPr>
        <w:pStyle w:val="FreeFormAAAAA"/>
        <w:jc w:val="both"/>
        <w:rPr>
          <w:b/>
          <w:i/>
          <w:sz w:val="24"/>
          <w:szCs w:val="24"/>
          <w:lang w:val="en-US"/>
        </w:rPr>
      </w:pPr>
      <w:r w:rsidRPr="0025475E">
        <w:rPr>
          <w:b/>
          <w:i/>
          <w:sz w:val="24"/>
          <w:szCs w:val="24"/>
          <w:lang w:val="en-US"/>
        </w:rPr>
        <w:t>Dimension 28.1 Coverage and comparability of reports</w:t>
      </w:r>
    </w:p>
    <w:p w14:paraId="702C4B5F" w14:textId="77777777" w:rsidR="001762EE" w:rsidRPr="00BB26ED" w:rsidRDefault="001762EE" w:rsidP="00BA0BF2">
      <w:pPr>
        <w:pStyle w:val="FreeFormAAAAA"/>
        <w:jc w:val="both"/>
        <w:rPr>
          <w:sz w:val="24"/>
          <w:szCs w:val="24"/>
          <w:lang w:val="en-US"/>
        </w:rPr>
      </w:pPr>
    </w:p>
    <w:p w14:paraId="772383F4" w14:textId="67F5E11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Several reports</w:t>
      </w:r>
      <w:r>
        <w:t>,</w:t>
      </w:r>
      <w:r w:rsidRPr="005A497D">
        <w:t xml:space="preserve"> as enumerated in Table 3.</w:t>
      </w:r>
      <w:r>
        <w:t>29</w:t>
      </w:r>
      <w:r w:rsidRPr="005A497D">
        <w:t xml:space="preserve">, are required to be submitted by the line departments and agencies to both </w:t>
      </w:r>
      <w:r>
        <w:t>Commission on Audit</w:t>
      </w:r>
      <w:r w:rsidRPr="005A497D">
        <w:t xml:space="preserve"> and </w:t>
      </w:r>
      <w:r>
        <w:t>Department of Budget and Management</w:t>
      </w:r>
      <w:r w:rsidRPr="005A497D">
        <w:t xml:space="preserve">. </w:t>
      </w:r>
      <w:r>
        <w:t>The Department of Budget and Management</w:t>
      </w:r>
      <w:r w:rsidRPr="005A497D">
        <w:t xml:space="preserve"> requires submission of various Budget Execution Documents and Budget and Financial Accountability Reports on a monthly, quarterly, and annual basis. The </w:t>
      </w:r>
      <w:r>
        <w:t>DBM</w:t>
      </w:r>
      <w:r w:rsidR="00B526C2">
        <w:t>/</w:t>
      </w:r>
      <w:r>
        <w:t xml:space="preserve">CoA-issued </w:t>
      </w:r>
      <w:r w:rsidRPr="005A497D">
        <w:t>Joint Circular No. 2014-1 dated July 2, 2014</w:t>
      </w:r>
      <w:r>
        <w:t>,</w:t>
      </w:r>
      <w:r w:rsidRPr="005A497D">
        <w:t xml:space="preserve"> provides guidelines prescribing the use of modified formats of </w:t>
      </w:r>
      <w:r>
        <w:t>Budget and Financial Accountability Reports</w:t>
      </w:r>
      <w:r w:rsidRPr="005A497D">
        <w:t xml:space="preserve">. The scope and timing of submission of these </w:t>
      </w:r>
      <w:r>
        <w:t>reports</w:t>
      </w:r>
      <w:r w:rsidRPr="005A497D">
        <w:t xml:space="preserve"> are indicated in the </w:t>
      </w:r>
      <w:r>
        <w:t xml:space="preserve">Joint </w:t>
      </w:r>
      <w:r w:rsidRPr="005A497D">
        <w:t>Circular</w:t>
      </w:r>
      <w:r w:rsidR="001E2358">
        <w:t xml:space="preserve"> and in Sections 31 and 32, Chapter 3, Volume I of the Government Accounting Manual for NGAs</w:t>
      </w:r>
      <w:r w:rsidRPr="005A497D">
        <w:t>. Considering the scope and coverage of these reports, the score</w:t>
      </w:r>
      <w:r>
        <w:t xml:space="preserve"> for Dimension 28.1</w:t>
      </w:r>
      <w:r w:rsidRPr="005A497D">
        <w:t xml:space="preserve"> is assessed at “A”.</w:t>
      </w:r>
    </w:p>
    <w:p w14:paraId="288A1B2F" w14:textId="77777777" w:rsidR="001762EE" w:rsidRPr="005A497D" w:rsidRDefault="001762EE" w:rsidP="00ED1269">
      <w:pPr>
        <w:pStyle w:val="NormalWeb"/>
        <w:autoSpaceDE w:val="0"/>
        <w:autoSpaceDN w:val="0"/>
        <w:adjustRightInd w:val="0"/>
        <w:spacing w:before="0" w:beforeAutospacing="0" w:after="0" w:afterAutospacing="0"/>
        <w:contextualSpacing/>
        <w:jc w:val="both"/>
      </w:pPr>
    </w:p>
    <w:p w14:paraId="55419125" w14:textId="5EC837D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rPr>
          <w:shd w:val="clear" w:color="auto" w:fill="FFFFFF"/>
        </w:rPr>
        <w:t>On the basis of the submission</w:t>
      </w:r>
      <w:r>
        <w:rPr>
          <w:shd w:val="clear" w:color="auto" w:fill="FFFFFF"/>
        </w:rPr>
        <w:t>s of Budget and Financial Accountability Reports</w:t>
      </w:r>
      <w:r w:rsidRPr="005A497D">
        <w:rPr>
          <w:shd w:val="clear" w:color="auto" w:fill="FFFFFF"/>
        </w:rPr>
        <w:t xml:space="preserve"> by line departments and agencies, the </w:t>
      </w:r>
      <w:r>
        <w:rPr>
          <w:shd w:val="clear" w:color="auto" w:fill="FFFFFF"/>
        </w:rPr>
        <w:t xml:space="preserve">CoA-prepared </w:t>
      </w:r>
      <w:r w:rsidRPr="005A497D">
        <w:rPr>
          <w:shd w:val="clear" w:color="auto" w:fill="FFFFFF"/>
        </w:rPr>
        <w:t>2014 Annual Report on Appropriations, Allotment</w:t>
      </w:r>
      <w:r w:rsidR="001E2358">
        <w:rPr>
          <w:shd w:val="clear" w:color="auto" w:fill="FFFFFF"/>
        </w:rPr>
        <w:t>s</w:t>
      </w:r>
      <w:r w:rsidRPr="005A497D">
        <w:rPr>
          <w:shd w:val="clear" w:color="auto" w:fill="FFFFFF"/>
        </w:rPr>
        <w:t>, Obligations and Disbursements (ARAAOD)</w:t>
      </w:r>
      <w:r>
        <w:rPr>
          <w:shd w:val="clear" w:color="auto" w:fill="FFFFFF"/>
        </w:rPr>
        <w:t>,</w:t>
      </w:r>
      <w:r w:rsidRPr="005A497D">
        <w:rPr>
          <w:shd w:val="clear" w:color="auto" w:fill="FFFFFF"/>
        </w:rPr>
        <w:t xml:space="preserve"> provides financial information on how the national budget was allocated to the different </w:t>
      </w:r>
      <w:r>
        <w:rPr>
          <w:shd w:val="clear" w:color="auto" w:fill="FFFFFF"/>
        </w:rPr>
        <w:t xml:space="preserve">government </w:t>
      </w:r>
      <w:r w:rsidRPr="005A497D">
        <w:rPr>
          <w:shd w:val="clear" w:color="auto" w:fill="FFFFFF"/>
        </w:rPr>
        <w:t>departments and agencies by region, by province, and by cities</w:t>
      </w:r>
      <w:r>
        <w:rPr>
          <w:shd w:val="clear" w:color="auto" w:fill="FFFFFF"/>
        </w:rPr>
        <w:t>;</w:t>
      </w:r>
      <w:r w:rsidRPr="005A497D">
        <w:rPr>
          <w:shd w:val="clear" w:color="auto" w:fill="FFFFFF"/>
        </w:rPr>
        <w:t xml:space="preserve"> and on how these funds were expended by the agencies. Data on appropriations, allotments, obligations incurred</w:t>
      </w:r>
      <w:r>
        <w:rPr>
          <w:shd w:val="clear" w:color="auto" w:fill="FFFFFF"/>
        </w:rPr>
        <w:t>,</w:t>
      </w:r>
      <w:r w:rsidRPr="005A497D">
        <w:rPr>
          <w:shd w:val="clear" w:color="auto" w:fill="FFFFFF"/>
        </w:rPr>
        <w:t xml:space="preserve"> and disbursements made were presented by department/agency and by province/city.</w:t>
      </w:r>
    </w:p>
    <w:p w14:paraId="4F6A25B0" w14:textId="77777777" w:rsidR="001762EE" w:rsidRPr="005A497D" w:rsidRDefault="001762EE" w:rsidP="0037756C">
      <w:pPr>
        <w:pStyle w:val="NormalWeb2"/>
        <w:spacing w:before="0" w:after="0"/>
        <w:jc w:val="both"/>
      </w:pPr>
    </w:p>
    <w:p w14:paraId="3634A455" w14:textId="1B5D4109" w:rsidR="001762EE" w:rsidRPr="005A497D" w:rsidRDefault="001762EE" w:rsidP="001112A1">
      <w:pPr>
        <w:pStyle w:val="PEFATable"/>
        <w:spacing w:after="40"/>
        <w:jc w:val="both"/>
        <w:rPr>
          <w:sz w:val="24"/>
          <w:szCs w:val="24"/>
        </w:rPr>
      </w:pPr>
      <w:bookmarkStart w:id="265" w:name="_Toc454889265"/>
      <w:r w:rsidRPr="005A497D">
        <w:rPr>
          <w:sz w:val="24"/>
          <w:szCs w:val="24"/>
        </w:rPr>
        <w:t>Table 3.</w:t>
      </w:r>
      <w:r w:rsidR="00A85C58">
        <w:rPr>
          <w:sz w:val="24"/>
          <w:szCs w:val="24"/>
        </w:rPr>
        <w:t>23</w:t>
      </w:r>
      <w:r w:rsidRPr="005A497D">
        <w:rPr>
          <w:sz w:val="24"/>
          <w:szCs w:val="24"/>
        </w:rPr>
        <w:t>:</w:t>
      </w:r>
      <w:r w:rsidRPr="005A497D">
        <w:t xml:space="preserve"> </w:t>
      </w:r>
      <w:r w:rsidRPr="005A497D">
        <w:rPr>
          <w:sz w:val="24"/>
          <w:szCs w:val="24"/>
        </w:rPr>
        <w:t xml:space="preserve">Budget Execution Documents and Budget </w:t>
      </w:r>
      <w:r>
        <w:rPr>
          <w:sz w:val="24"/>
          <w:szCs w:val="24"/>
        </w:rPr>
        <w:t>and</w:t>
      </w:r>
      <w:r w:rsidRPr="005A497D">
        <w:rPr>
          <w:sz w:val="24"/>
          <w:szCs w:val="24"/>
        </w:rPr>
        <w:t xml:space="preserve"> Financial Accountability Reports</w:t>
      </w:r>
      <w:bookmarkEnd w:id="265"/>
      <w:r w:rsidRPr="005A497D">
        <w:rPr>
          <w:sz w:val="24"/>
          <w:szCs w:val="24"/>
        </w:rPr>
        <w:t xml:space="preserve"> </w:t>
      </w:r>
    </w:p>
    <w:tbl>
      <w:tblPr>
        <w:tblW w:w="9356" w:type="dxa"/>
        <w:tblInd w:w="15" w:type="dxa"/>
        <w:shd w:val="clear" w:color="auto" w:fill="FFFFFF"/>
        <w:tblLayout w:type="fixed"/>
        <w:tblLook w:val="0000" w:firstRow="0" w:lastRow="0" w:firstColumn="0" w:lastColumn="0" w:noHBand="0" w:noVBand="0"/>
      </w:tblPr>
      <w:tblGrid>
        <w:gridCol w:w="1530"/>
        <w:gridCol w:w="2793"/>
        <w:gridCol w:w="5033"/>
      </w:tblGrid>
      <w:tr w:rsidR="001762EE" w:rsidRPr="00C06FE3" w14:paraId="3C61726E" w14:textId="77777777" w:rsidTr="00EC5DE8">
        <w:trPr>
          <w:cantSplit/>
          <w:trHeight w:val="397"/>
          <w:tblHeader/>
        </w:trPr>
        <w:tc>
          <w:tcPr>
            <w:tcW w:w="1530" w:type="dxa"/>
            <w:tcBorders>
              <w:top w:val="double" w:sz="4" w:space="0" w:color="auto"/>
              <w:left w:val="double" w:sz="4" w:space="0" w:color="auto"/>
              <w:bottom w:val="double" w:sz="4" w:space="0" w:color="auto"/>
              <w:right w:val="single" w:sz="2" w:space="0" w:color="000000"/>
            </w:tcBorders>
            <w:shd w:val="clear" w:color="auto" w:fill="D9D9D9"/>
            <w:tcMar>
              <w:top w:w="0" w:type="dxa"/>
              <w:left w:w="0" w:type="dxa"/>
              <w:bottom w:w="0" w:type="dxa"/>
              <w:right w:w="0" w:type="dxa"/>
            </w:tcMar>
            <w:vAlign w:val="center"/>
          </w:tcPr>
          <w:p w14:paraId="1C913117" w14:textId="77777777" w:rsidR="001762EE" w:rsidRPr="00C06FE3" w:rsidRDefault="001762EE" w:rsidP="00DA3417">
            <w:pPr>
              <w:pStyle w:val="FreeFormAAAA"/>
              <w:spacing w:before="20" w:after="20"/>
              <w:jc w:val="center"/>
              <w:rPr>
                <w:b/>
                <w:i/>
                <w:lang w:val="en-US"/>
              </w:rPr>
            </w:pPr>
            <w:r w:rsidRPr="00C06FE3">
              <w:rPr>
                <w:b/>
                <w:i/>
                <w:lang w:val="en-US"/>
              </w:rPr>
              <w:t>Report ID</w:t>
            </w:r>
          </w:p>
        </w:tc>
        <w:tc>
          <w:tcPr>
            <w:tcW w:w="2793" w:type="dxa"/>
            <w:tcBorders>
              <w:top w:val="double" w:sz="4" w:space="0" w:color="auto"/>
              <w:left w:val="single" w:sz="2" w:space="0" w:color="000000"/>
              <w:bottom w:val="double" w:sz="4" w:space="0" w:color="auto"/>
              <w:right w:val="single" w:sz="2" w:space="0" w:color="000000"/>
            </w:tcBorders>
            <w:shd w:val="clear" w:color="auto" w:fill="D9D9D9"/>
            <w:tcMar>
              <w:top w:w="0" w:type="dxa"/>
              <w:left w:w="0" w:type="dxa"/>
              <w:bottom w:w="0" w:type="dxa"/>
              <w:right w:w="0" w:type="dxa"/>
            </w:tcMar>
            <w:vAlign w:val="center"/>
          </w:tcPr>
          <w:p w14:paraId="0914FB87" w14:textId="77777777" w:rsidR="001762EE" w:rsidRPr="00C06FE3" w:rsidRDefault="001762EE" w:rsidP="00DA3417">
            <w:pPr>
              <w:pStyle w:val="FreeFormAAAA"/>
              <w:spacing w:before="20" w:after="20"/>
              <w:jc w:val="center"/>
              <w:rPr>
                <w:b/>
                <w:i/>
                <w:lang w:val="en-US"/>
              </w:rPr>
            </w:pPr>
            <w:r w:rsidRPr="00C06FE3">
              <w:rPr>
                <w:b/>
                <w:i/>
                <w:lang w:val="en-US"/>
              </w:rPr>
              <w:t>Title</w:t>
            </w:r>
          </w:p>
        </w:tc>
        <w:tc>
          <w:tcPr>
            <w:tcW w:w="5033" w:type="dxa"/>
            <w:tcBorders>
              <w:top w:val="double" w:sz="4" w:space="0" w:color="auto"/>
              <w:left w:val="single" w:sz="2" w:space="0" w:color="000000"/>
              <w:bottom w:val="double" w:sz="4" w:space="0" w:color="auto"/>
              <w:right w:val="double" w:sz="4" w:space="0" w:color="auto"/>
            </w:tcBorders>
            <w:shd w:val="clear" w:color="auto" w:fill="D9D9D9"/>
            <w:tcMar>
              <w:top w:w="0" w:type="dxa"/>
              <w:left w:w="0" w:type="dxa"/>
              <w:bottom w:w="0" w:type="dxa"/>
              <w:right w:w="0" w:type="dxa"/>
            </w:tcMar>
            <w:vAlign w:val="center"/>
          </w:tcPr>
          <w:p w14:paraId="0502180E" w14:textId="77777777" w:rsidR="001762EE" w:rsidRPr="00C06FE3" w:rsidRDefault="001762EE" w:rsidP="00DA3417">
            <w:pPr>
              <w:pStyle w:val="FreeFormAAAA"/>
              <w:spacing w:before="20" w:after="20"/>
              <w:jc w:val="center"/>
              <w:rPr>
                <w:b/>
                <w:i/>
                <w:lang w:val="en-US"/>
              </w:rPr>
            </w:pPr>
            <w:r w:rsidRPr="00C06FE3">
              <w:rPr>
                <w:b/>
                <w:i/>
                <w:lang w:val="en-US"/>
              </w:rPr>
              <w:t>Description</w:t>
            </w:r>
          </w:p>
        </w:tc>
      </w:tr>
      <w:tr w:rsidR="001762EE" w:rsidRPr="005A497D" w14:paraId="3623D866" w14:textId="77777777" w:rsidTr="009349CF">
        <w:trPr>
          <w:cantSplit/>
          <w:trHeight w:val="260"/>
        </w:trPr>
        <w:tc>
          <w:tcPr>
            <w:tcW w:w="9356" w:type="dxa"/>
            <w:gridSpan w:val="3"/>
            <w:tcBorders>
              <w:top w:val="double" w:sz="4" w:space="0" w:color="auto"/>
              <w:left w:val="double" w:sz="4" w:space="0" w:color="auto"/>
              <w:bottom w:val="single" w:sz="2" w:space="0" w:color="000000"/>
              <w:right w:val="double" w:sz="4" w:space="0" w:color="auto"/>
            </w:tcBorders>
            <w:shd w:val="clear" w:color="auto" w:fill="FFFFFF"/>
          </w:tcPr>
          <w:p w14:paraId="016FB949" w14:textId="77777777" w:rsidR="001762EE" w:rsidRPr="005A497D" w:rsidRDefault="001762EE" w:rsidP="00DA3417">
            <w:pPr>
              <w:pStyle w:val="FreeFormAAAA"/>
              <w:spacing w:before="20" w:after="20"/>
              <w:rPr>
                <w:b/>
                <w:i/>
                <w:u w:val="single"/>
                <w:lang w:val="en-US"/>
              </w:rPr>
            </w:pPr>
            <w:r w:rsidRPr="005A497D">
              <w:rPr>
                <w:b/>
                <w:i/>
                <w:u w:val="single"/>
                <w:lang w:val="en-US"/>
              </w:rPr>
              <w:t>Within 30 days after the end of each quarter</w:t>
            </w:r>
          </w:p>
        </w:tc>
      </w:tr>
      <w:tr w:rsidR="001762EE" w:rsidRPr="005A497D" w14:paraId="7A559E33"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18318159" w14:textId="7E37C6D7" w:rsidR="001762EE" w:rsidRPr="005A497D" w:rsidRDefault="001762EE" w:rsidP="001E2358">
            <w:pPr>
              <w:pStyle w:val="FreeFormAAAA"/>
              <w:spacing w:before="20" w:after="20"/>
              <w:jc w:val="center"/>
              <w:rPr>
                <w:lang w:val="en-US"/>
              </w:rPr>
            </w:pPr>
            <w:r w:rsidRPr="005A497D">
              <w:rPr>
                <w:lang w:val="en-US"/>
              </w:rPr>
              <w:t>BAR No. 1</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3E3BEC6E" w14:textId="77777777" w:rsidR="001762EE" w:rsidRPr="005A497D" w:rsidRDefault="001762EE" w:rsidP="00DA3417">
            <w:pPr>
              <w:pStyle w:val="FreeFormAAAA"/>
              <w:spacing w:before="20" w:after="20"/>
              <w:rPr>
                <w:lang w:val="en-US"/>
              </w:rPr>
            </w:pPr>
            <w:r w:rsidRPr="005A497D">
              <w:rPr>
                <w:lang w:val="en-US"/>
              </w:rPr>
              <w:t>Quarterly Physical Report of Operations (QPRO)</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1BE9FB2D" w14:textId="61348D7B" w:rsidR="001762EE" w:rsidRPr="005A497D" w:rsidRDefault="001C6BDA">
            <w:pPr>
              <w:pStyle w:val="FreeFormAAAA"/>
              <w:spacing w:before="20" w:after="20"/>
              <w:rPr>
                <w:lang w:val="en-US"/>
              </w:rPr>
            </w:pPr>
            <w:r>
              <w:rPr>
                <w:lang w:val="en-US"/>
              </w:rPr>
              <w:t>QPRO</w:t>
            </w:r>
            <w:r w:rsidR="001762EE" w:rsidRPr="005A497D">
              <w:rPr>
                <w:lang w:val="en-US"/>
              </w:rPr>
              <w:t xml:space="preserve"> shall reflect the </w:t>
            </w:r>
            <w:r w:rsidR="001762EE">
              <w:rPr>
                <w:lang w:val="en-US"/>
              </w:rPr>
              <w:t>d</w:t>
            </w:r>
            <w:r w:rsidR="001762EE" w:rsidRPr="005A497D">
              <w:rPr>
                <w:lang w:val="en-US"/>
              </w:rPr>
              <w:t>epartment’s/</w:t>
            </w:r>
            <w:r w:rsidR="001762EE">
              <w:rPr>
                <w:lang w:val="en-US"/>
              </w:rPr>
              <w:t>a</w:t>
            </w:r>
            <w:r w:rsidR="001762EE" w:rsidRPr="005A497D">
              <w:rPr>
                <w:lang w:val="en-US"/>
              </w:rPr>
              <w:t xml:space="preserve">gency’s actual physical accomplishments as of a given quarter in terms of the performance indicated its </w:t>
            </w:r>
            <w:r>
              <w:rPr>
                <w:lang w:val="en-US"/>
              </w:rPr>
              <w:t>p</w:t>
            </w:r>
            <w:r w:rsidRPr="005A497D">
              <w:rPr>
                <w:lang w:val="en-US"/>
              </w:rPr>
              <w:t xml:space="preserve">hysical </w:t>
            </w:r>
            <w:r>
              <w:rPr>
                <w:lang w:val="en-US"/>
              </w:rPr>
              <w:t>p</w:t>
            </w:r>
            <w:r w:rsidRPr="005A497D">
              <w:rPr>
                <w:lang w:val="en-US"/>
              </w:rPr>
              <w:t xml:space="preserve">lan </w:t>
            </w:r>
            <w:r w:rsidR="001762EE" w:rsidRPr="005A497D">
              <w:rPr>
                <w:lang w:val="en-US"/>
              </w:rPr>
              <w:t>(</w:t>
            </w:r>
            <w:r>
              <w:rPr>
                <w:lang w:val="en-US"/>
              </w:rPr>
              <w:t xml:space="preserve">BED </w:t>
            </w:r>
            <w:r w:rsidR="001762EE" w:rsidRPr="005A497D">
              <w:rPr>
                <w:lang w:val="en-US"/>
              </w:rPr>
              <w:t>No. 2)</w:t>
            </w:r>
          </w:p>
        </w:tc>
      </w:tr>
      <w:tr w:rsidR="001762EE" w:rsidRPr="005A497D" w14:paraId="3A5351DB" w14:textId="77777777" w:rsidTr="000D0E8D">
        <w:trPr>
          <w:cantSplit/>
          <w:trHeight w:val="2227"/>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41A2F4DA" w14:textId="3CD415F9" w:rsidR="001762EE" w:rsidRPr="005A497D" w:rsidRDefault="001762EE" w:rsidP="00DA3417">
            <w:pPr>
              <w:pStyle w:val="FreeFormAAAA"/>
              <w:spacing w:before="20" w:after="20"/>
              <w:jc w:val="center"/>
              <w:rPr>
                <w:lang w:val="en-US"/>
              </w:rPr>
            </w:pPr>
            <w:r w:rsidRPr="005A497D">
              <w:rPr>
                <w:lang w:val="en-US"/>
              </w:rPr>
              <w:t>FAR No. 1</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23981F72" w14:textId="77777777" w:rsidR="001762EE" w:rsidRPr="005A497D" w:rsidRDefault="001762EE" w:rsidP="00DA3417">
            <w:pPr>
              <w:pStyle w:val="FreeFormAAAA"/>
              <w:spacing w:before="20" w:after="20"/>
              <w:rPr>
                <w:lang w:val="en-US"/>
              </w:rPr>
            </w:pPr>
            <w:r w:rsidRPr="005A497D">
              <w:rPr>
                <w:lang w:val="en-US"/>
              </w:rPr>
              <w:t>Statement of Appropriations, Allotments, Obligations, Disbursements and Balances (SAAODB)</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1DFB207F" w14:textId="27343145" w:rsidR="001762EE" w:rsidRPr="005A497D" w:rsidRDefault="001C6BDA" w:rsidP="00DA3417">
            <w:pPr>
              <w:pStyle w:val="FreeFormAAAA"/>
              <w:spacing w:before="20" w:after="20"/>
              <w:rPr>
                <w:lang w:val="en-US"/>
              </w:rPr>
            </w:pPr>
            <w:r>
              <w:rPr>
                <w:lang w:val="en-US"/>
              </w:rPr>
              <w:t>SAAODB</w:t>
            </w:r>
            <w:r w:rsidR="001762EE" w:rsidRPr="005A497D">
              <w:rPr>
                <w:lang w:val="en-US"/>
              </w:rPr>
              <w:t xml:space="preserve"> shall reflect the authorized appropriations and adjustments</w:t>
            </w:r>
            <w:r>
              <w:rPr>
                <w:lang w:val="en-US"/>
              </w:rPr>
              <w:t>;</w:t>
            </w:r>
            <w:r w:rsidRPr="005A497D">
              <w:rPr>
                <w:lang w:val="en-US"/>
              </w:rPr>
              <w:t xml:space="preserve"> </w:t>
            </w:r>
            <w:r w:rsidR="001762EE" w:rsidRPr="005A497D">
              <w:rPr>
                <w:lang w:val="en-US"/>
              </w:rPr>
              <w:t>total allotments received</w:t>
            </w:r>
            <w:r w:rsidR="001762EE">
              <w:rPr>
                <w:lang w:val="en-US"/>
              </w:rPr>
              <w:t>, including transfers</w:t>
            </w:r>
            <w:r w:rsidR="001762EE" w:rsidRPr="005A497D">
              <w:rPr>
                <w:lang w:val="en-US"/>
              </w:rPr>
              <w:t>/ adjustments, total obligations, total disbursements and the balances of unreleased appropriations</w:t>
            </w:r>
            <w:r>
              <w:rPr>
                <w:lang w:val="en-US"/>
              </w:rPr>
              <w:t>;</w:t>
            </w:r>
            <w:r w:rsidRPr="005A497D">
              <w:rPr>
                <w:lang w:val="en-US"/>
              </w:rPr>
              <w:t xml:space="preserve"> </w:t>
            </w:r>
            <w:r w:rsidR="001762EE" w:rsidRPr="005A497D">
              <w:rPr>
                <w:lang w:val="en-US"/>
              </w:rPr>
              <w:t>unobligated allotments</w:t>
            </w:r>
            <w:r>
              <w:rPr>
                <w:lang w:val="en-US"/>
              </w:rPr>
              <w:t>;</w:t>
            </w:r>
            <w:r w:rsidRPr="005A497D">
              <w:rPr>
                <w:lang w:val="en-US"/>
              </w:rPr>
              <w:t xml:space="preserve"> </w:t>
            </w:r>
            <w:r w:rsidR="001762EE" w:rsidRPr="005A497D">
              <w:rPr>
                <w:lang w:val="en-US"/>
              </w:rPr>
              <w:t>and unp</w:t>
            </w:r>
            <w:r w:rsidR="001762EE">
              <w:rPr>
                <w:lang w:val="en-US"/>
              </w:rPr>
              <w:t>aid obligations of a department/office</w:t>
            </w:r>
            <w:r w:rsidR="001762EE" w:rsidRPr="005A497D">
              <w:rPr>
                <w:lang w:val="en-US"/>
              </w:rPr>
              <w:t xml:space="preserve">/ agency by </w:t>
            </w:r>
            <w:r w:rsidR="001762EE">
              <w:rPr>
                <w:lang w:val="en-US"/>
              </w:rPr>
              <w:t>f</w:t>
            </w:r>
            <w:r w:rsidR="001762EE" w:rsidRPr="005A497D">
              <w:rPr>
                <w:lang w:val="en-US"/>
              </w:rPr>
              <w:t xml:space="preserve">und </w:t>
            </w:r>
            <w:r w:rsidR="001762EE">
              <w:rPr>
                <w:lang w:val="en-US"/>
              </w:rPr>
              <w:t>c</w:t>
            </w:r>
            <w:r w:rsidR="001762EE" w:rsidRPr="005A497D">
              <w:rPr>
                <w:lang w:val="en-US"/>
              </w:rPr>
              <w:t>luster and by allotment class. It shall likewise be presented by</w:t>
            </w:r>
            <w:r>
              <w:rPr>
                <w:lang w:val="en-US"/>
              </w:rPr>
              <w:t xml:space="preserve"> (a) fund authorization</w:t>
            </w:r>
            <w:r w:rsidR="007075BA">
              <w:rPr>
                <w:lang w:val="en-US"/>
              </w:rPr>
              <w:t>;</w:t>
            </w:r>
            <w:r>
              <w:rPr>
                <w:lang w:val="en-US"/>
              </w:rPr>
              <w:t xml:space="preserve"> (b) major final output</w:t>
            </w:r>
            <w:r w:rsidR="007075BA">
              <w:rPr>
                <w:lang w:val="en-US"/>
              </w:rPr>
              <w:t>;</w:t>
            </w:r>
            <w:r>
              <w:rPr>
                <w:lang w:val="en-US"/>
              </w:rPr>
              <w:t xml:space="preserve"> (c) program, activity, and project (PAP)</w:t>
            </w:r>
            <w:r w:rsidR="007075BA">
              <w:rPr>
                <w:lang w:val="en-US"/>
              </w:rPr>
              <w:t>;</w:t>
            </w:r>
            <w:r>
              <w:rPr>
                <w:lang w:val="en-US"/>
              </w:rPr>
              <w:t xml:space="preserve"> and (d) major programs/projects (identified by KRA).</w:t>
            </w:r>
          </w:p>
          <w:p w14:paraId="09591A51" w14:textId="7BDBAA19" w:rsidR="001762EE" w:rsidRPr="005A497D" w:rsidRDefault="001762EE" w:rsidP="00EC5DE8">
            <w:pPr>
              <w:pStyle w:val="FreeFormAAAA"/>
              <w:spacing w:before="20" w:after="20"/>
              <w:ind w:left="340"/>
              <w:rPr>
                <w:lang w:val="en-US"/>
              </w:rPr>
            </w:pPr>
          </w:p>
        </w:tc>
      </w:tr>
      <w:tr w:rsidR="001762EE" w:rsidRPr="005A497D" w14:paraId="59F91803" w14:textId="77777777" w:rsidTr="000D0E8D">
        <w:trPr>
          <w:cantSplit/>
          <w:trHeight w:val="2209"/>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29781823" w14:textId="2F5BD2A4" w:rsidR="001762EE" w:rsidRPr="005A497D" w:rsidRDefault="001762EE" w:rsidP="00DA3417">
            <w:pPr>
              <w:pStyle w:val="FreeFormAAAA"/>
              <w:spacing w:before="20" w:after="20"/>
              <w:jc w:val="center"/>
              <w:rPr>
                <w:lang w:val="en-US"/>
              </w:rPr>
            </w:pPr>
            <w:r w:rsidRPr="005A497D">
              <w:rPr>
                <w:lang w:val="en-US"/>
              </w:rPr>
              <w:t>FAR No. 1-A</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7F42C323" w14:textId="77777777" w:rsidR="001762EE" w:rsidRPr="005A497D" w:rsidRDefault="001762EE" w:rsidP="00DA3417">
            <w:pPr>
              <w:pStyle w:val="FreeFormAAAA"/>
              <w:spacing w:before="20" w:after="20"/>
              <w:rPr>
                <w:lang w:val="en-US"/>
              </w:rPr>
            </w:pPr>
            <w:r w:rsidRPr="005A497D">
              <w:rPr>
                <w:lang w:val="en-US"/>
              </w:rPr>
              <w:t>Summary of Appropriations, Allotments, Obligations, Disbursements and Balances by Object of Expenditures (SAAODBOE)</w:t>
            </w:r>
          </w:p>
        </w:tc>
        <w:tc>
          <w:tcPr>
            <w:tcW w:w="5033" w:type="dxa"/>
            <w:tcBorders>
              <w:top w:val="single" w:sz="2" w:space="0" w:color="000000"/>
              <w:left w:val="single" w:sz="2" w:space="0" w:color="000000"/>
              <w:bottom w:val="single" w:sz="2" w:space="0" w:color="000000"/>
              <w:right w:val="double" w:sz="4" w:space="0" w:color="auto"/>
            </w:tcBorders>
            <w:shd w:val="clear" w:color="auto" w:fill="FFFFFF"/>
            <w:tcMar>
              <w:top w:w="0" w:type="dxa"/>
              <w:left w:w="0" w:type="dxa"/>
              <w:bottom w:w="0" w:type="dxa"/>
              <w:right w:w="0" w:type="dxa"/>
            </w:tcMar>
          </w:tcPr>
          <w:p w14:paraId="3F452068" w14:textId="2FE32F6F" w:rsidR="001762EE" w:rsidRPr="005A497D" w:rsidRDefault="007075BA">
            <w:pPr>
              <w:pStyle w:val="FreeFormAAAA"/>
              <w:spacing w:before="20" w:after="20"/>
              <w:ind w:left="87"/>
              <w:rPr>
                <w:lang w:val="en-US"/>
              </w:rPr>
            </w:pPr>
            <w:r>
              <w:rPr>
                <w:lang w:val="en-US"/>
              </w:rPr>
              <w:t>SAAODBOE</w:t>
            </w:r>
            <w:r w:rsidR="001762EE" w:rsidRPr="005A497D">
              <w:rPr>
                <w:lang w:val="en-US"/>
              </w:rPr>
              <w:t xml:space="preserve"> shall be prepared by </w:t>
            </w:r>
            <w:r w:rsidR="001762EE">
              <w:rPr>
                <w:lang w:val="en-US"/>
              </w:rPr>
              <w:t>f</w:t>
            </w:r>
            <w:r w:rsidR="001762EE" w:rsidRPr="005A497D">
              <w:rPr>
                <w:lang w:val="en-US"/>
              </w:rPr>
              <w:t xml:space="preserve">und </w:t>
            </w:r>
            <w:r w:rsidR="001762EE">
              <w:rPr>
                <w:lang w:val="en-US"/>
              </w:rPr>
              <w:t>c</w:t>
            </w:r>
            <w:r w:rsidR="001762EE" w:rsidRPr="005A497D">
              <w:rPr>
                <w:lang w:val="en-US"/>
              </w:rPr>
              <w:t>luster and shall reflect the summary of appropriations, allotments, obligations, disbursements</w:t>
            </w:r>
            <w:r>
              <w:rPr>
                <w:lang w:val="en-US"/>
              </w:rPr>
              <w:t>,</w:t>
            </w:r>
            <w:r w:rsidR="001762EE" w:rsidRPr="005A497D">
              <w:rPr>
                <w:lang w:val="en-US"/>
              </w:rPr>
              <w:t xml:space="preserve"> and balances detailed by object of expenditures consistent with the Revised Chart of Accounts per </w:t>
            </w:r>
            <w:r w:rsidR="001762EE">
              <w:rPr>
                <w:lang w:val="en-US"/>
              </w:rPr>
              <w:t>CoA</w:t>
            </w:r>
            <w:r w:rsidR="001762EE" w:rsidRPr="005A497D">
              <w:rPr>
                <w:lang w:val="en-US"/>
              </w:rPr>
              <w:t xml:space="preserve"> Circular No, 2013-002</w:t>
            </w:r>
            <w:r>
              <w:rPr>
                <w:lang w:val="en-US"/>
              </w:rPr>
              <w:t>,</w:t>
            </w:r>
            <w:r w:rsidR="001762EE" w:rsidRPr="005A497D">
              <w:rPr>
                <w:lang w:val="en-US"/>
              </w:rPr>
              <w:t xml:space="preserve"> dated January 30, 2013</w:t>
            </w:r>
            <w:r>
              <w:rPr>
                <w:lang w:val="en-US"/>
              </w:rPr>
              <w:t>,</w:t>
            </w:r>
            <w:r w:rsidR="001762EE" w:rsidRPr="005A497D">
              <w:rPr>
                <w:lang w:val="en-US"/>
              </w:rPr>
              <w:t xml:space="preserve"> and the </w:t>
            </w:r>
            <w:r>
              <w:rPr>
                <w:lang w:val="en-US"/>
              </w:rPr>
              <w:t>c</w:t>
            </w:r>
            <w:r w:rsidRPr="005A497D">
              <w:rPr>
                <w:lang w:val="en-US"/>
              </w:rPr>
              <w:t xml:space="preserve">onversion </w:t>
            </w:r>
            <w:r w:rsidR="001762EE" w:rsidRPr="005A497D">
              <w:rPr>
                <w:lang w:val="en-US"/>
              </w:rPr>
              <w:t xml:space="preserve">from the Philippine Government Chart of Accounts to the Revised Chart of Accounts, additional accounts/revised description/title of accounts per </w:t>
            </w:r>
            <w:r w:rsidR="001762EE">
              <w:rPr>
                <w:lang w:val="en-US"/>
              </w:rPr>
              <w:t>CoA</w:t>
            </w:r>
            <w:r w:rsidR="001762EE" w:rsidRPr="005A497D">
              <w:rPr>
                <w:lang w:val="en-US"/>
              </w:rPr>
              <w:t xml:space="preserve"> Circular No 2014-003</w:t>
            </w:r>
            <w:r>
              <w:rPr>
                <w:lang w:val="en-US"/>
              </w:rPr>
              <w:t>,</w:t>
            </w:r>
            <w:r w:rsidR="001762EE" w:rsidRPr="005A497D">
              <w:rPr>
                <w:lang w:val="en-US"/>
              </w:rPr>
              <w:t xml:space="preserve"> dated April 15, 2014.</w:t>
            </w:r>
          </w:p>
        </w:tc>
      </w:tr>
      <w:tr w:rsidR="001762EE" w:rsidRPr="005A497D" w14:paraId="5BB141D5"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441B09F3" w14:textId="70ACA79B" w:rsidR="001762EE" w:rsidRPr="005A497D" w:rsidRDefault="001762EE" w:rsidP="00DA3417">
            <w:pPr>
              <w:pStyle w:val="FreeFormAAAA"/>
              <w:spacing w:before="20" w:after="20"/>
              <w:jc w:val="center"/>
              <w:rPr>
                <w:lang w:val="en-US"/>
              </w:rPr>
            </w:pPr>
            <w:r w:rsidRPr="005A497D">
              <w:rPr>
                <w:lang w:val="en-US"/>
              </w:rPr>
              <w:t>FAR No. 1-B</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5C598777" w14:textId="77777777" w:rsidR="001762EE" w:rsidRPr="005A497D" w:rsidRDefault="001762EE" w:rsidP="00DA3417">
            <w:pPr>
              <w:pStyle w:val="FreeFormAAAA"/>
              <w:spacing w:before="20" w:after="20"/>
              <w:rPr>
                <w:lang w:val="en-US"/>
              </w:rPr>
            </w:pPr>
            <w:r w:rsidRPr="005A497D">
              <w:rPr>
                <w:lang w:val="en-US"/>
              </w:rPr>
              <w:t>List of Allotments and Sub-allotments (LASA)</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71AED86A" w14:textId="2AA6D0D5" w:rsidR="001762EE" w:rsidRPr="005A497D" w:rsidRDefault="007075BA" w:rsidP="00E27851">
            <w:pPr>
              <w:pStyle w:val="FreeFormAAAA"/>
              <w:spacing w:before="20" w:after="20"/>
              <w:rPr>
                <w:lang w:val="en-US"/>
              </w:rPr>
            </w:pPr>
            <w:r>
              <w:rPr>
                <w:lang w:val="en-US"/>
              </w:rPr>
              <w:t>LASA</w:t>
            </w:r>
            <w:r w:rsidR="001762EE" w:rsidRPr="005A497D">
              <w:rPr>
                <w:lang w:val="en-US"/>
              </w:rPr>
              <w:t xml:space="preserve"> shall reflect allotments released by DBM and the sub-allotments issued by the </w:t>
            </w:r>
            <w:r w:rsidR="001762EE">
              <w:rPr>
                <w:lang w:val="en-US"/>
              </w:rPr>
              <w:t>agency central</w:t>
            </w:r>
            <w:r w:rsidR="001762EE" w:rsidRPr="005A497D">
              <w:rPr>
                <w:lang w:val="en-US"/>
              </w:rPr>
              <w:t xml:space="preserve">/regional office, their corresponding numbers, date of issuance, and amounts by allotment class and by </w:t>
            </w:r>
            <w:r>
              <w:rPr>
                <w:lang w:val="en-US"/>
              </w:rPr>
              <w:t>f</w:t>
            </w:r>
            <w:r w:rsidRPr="005A497D">
              <w:rPr>
                <w:lang w:val="en-US"/>
              </w:rPr>
              <w:t xml:space="preserve">und </w:t>
            </w:r>
            <w:r w:rsidR="001762EE" w:rsidRPr="005A497D">
              <w:rPr>
                <w:lang w:val="en-US"/>
              </w:rPr>
              <w:t xml:space="preserve">cluster. The total allotments per </w:t>
            </w:r>
            <w:r>
              <w:rPr>
                <w:lang w:val="en-US"/>
              </w:rPr>
              <w:t>LASA</w:t>
            </w:r>
            <w:r w:rsidR="001762EE" w:rsidRPr="005A497D">
              <w:rPr>
                <w:lang w:val="en-US"/>
              </w:rPr>
              <w:t xml:space="preserve"> should be equal to the total allotments appearing in SAAODB (FAR No. 1).</w:t>
            </w:r>
          </w:p>
        </w:tc>
      </w:tr>
      <w:tr w:rsidR="001762EE" w:rsidRPr="005A497D" w14:paraId="0413990F"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3A3774CD" w14:textId="5CA64807" w:rsidR="001762EE" w:rsidRPr="005A497D" w:rsidRDefault="001762EE" w:rsidP="00DA3417">
            <w:pPr>
              <w:pStyle w:val="FreeFormAAAA"/>
              <w:spacing w:before="20" w:after="20"/>
              <w:jc w:val="center"/>
              <w:rPr>
                <w:lang w:val="en-US"/>
              </w:rPr>
            </w:pPr>
            <w:r w:rsidRPr="005A497D">
              <w:rPr>
                <w:lang w:val="en-US"/>
              </w:rPr>
              <w:t>FAR No. 2</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7C88AFF0" w14:textId="77777777" w:rsidR="001762EE" w:rsidRPr="005A497D" w:rsidRDefault="001762EE" w:rsidP="00DA3417">
            <w:pPr>
              <w:pStyle w:val="FreeFormAAAA"/>
              <w:spacing w:before="20" w:after="20"/>
              <w:rPr>
                <w:lang w:val="en-US"/>
              </w:rPr>
            </w:pPr>
            <w:r w:rsidRPr="005A497D">
              <w:rPr>
                <w:lang w:val="en-US"/>
              </w:rPr>
              <w:t>Statement of Approved Budget, Utilizations, Disbursements and Balances (SABUDB) (for Off-Budget Fund)</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22D297BB" w14:textId="5000ACE1" w:rsidR="001762EE" w:rsidRPr="005A497D" w:rsidRDefault="007075BA" w:rsidP="00E27851">
            <w:pPr>
              <w:pStyle w:val="FreeFormAAAA"/>
              <w:spacing w:before="20" w:after="20"/>
              <w:rPr>
                <w:lang w:val="en-US"/>
              </w:rPr>
            </w:pPr>
            <w:r>
              <w:rPr>
                <w:lang w:val="en-US"/>
              </w:rPr>
              <w:t>SABUDB</w:t>
            </w:r>
            <w:r w:rsidR="001762EE" w:rsidRPr="005A497D">
              <w:rPr>
                <w:lang w:val="en-US"/>
              </w:rPr>
              <w:t xml:space="preserve"> shall reflect the approved budget, utilizations, disbursements</w:t>
            </w:r>
            <w:r>
              <w:rPr>
                <w:lang w:val="en-US"/>
              </w:rPr>
              <w:t>,</w:t>
            </w:r>
            <w:r w:rsidR="001762EE" w:rsidRPr="005A497D">
              <w:rPr>
                <w:lang w:val="en-US"/>
              </w:rPr>
              <w:t xml:space="preserve"> and balances of the agency authorized by law to use their income such as </w:t>
            </w:r>
            <w:r w:rsidR="00151BA0">
              <w:rPr>
                <w:lang w:val="en-US"/>
              </w:rPr>
              <w:t>state universities and colleges</w:t>
            </w:r>
            <w:r w:rsidR="001762EE" w:rsidRPr="005A497D">
              <w:rPr>
                <w:lang w:val="en-US"/>
              </w:rPr>
              <w:t>, and approved by the Board of Trustee/Regents</w:t>
            </w:r>
            <w:r w:rsidR="00E27851">
              <w:rPr>
                <w:lang w:val="en-US"/>
              </w:rPr>
              <w:t>, and shall be prepared by fund cluster</w:t>
            </w:r>
            <w:r w:rsidR="001762EE" w:rsidRPr="005A497D">
              <w:rPr>
                <w:lang w:val="en-US"/>
              </w:rPr>
              <w:t>.</w:t>
            </w:r>
          </w:p>
        </w:tc>
      </w:tr>
      <w:tr w:rsidR="001762EE" w:rsidRPr="005A497D" w14:paraId="099DC03F"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7EE389CB" w14:textId="4E6A406E" w:rsidR="001762EE" w:rsidRPr="005A497D" w:rsidRDefault="001762EE" w:rsidP="00DA3417">
            <w:pPr>
              <w:pStyle w:val="FreeFormAAAA"/>
              <w:spacing w:before="20" w:after="20"/>
              <w:jc w:val="center"/>
              <w:rPr>
                <w:lang w:val="en-US"/>
              </w:rPr>
            </w:pPr>
            <w:r>
              <w:rPr>
                <w:lang w:val="en-US"/>
              </w:rPr>
              <w:t>B</w:t>
            </w:r>
            <w:r w:rsidRPr="005A497D">
              <w:rPr>
                <w:lang w:val="en-US"/>
              </w:rPr>
              <w:t>FAR No. 2-A</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7A2A3D88" w14:textId="3C7D30FB" w:rsidR="001762EE" w:rsidRPr="005A497D" w:rsidRDefault="001762EE" w:rsidP="00DA3417">
            <w:pPr>
              <w:pStyle w:val="FreeFormAAAA"/>
              <w:spacing w:before="20" w:after="20"/>
              <w:rPr>
                <w:lang w:val="en-US"/>
              </w:rPr>
            </w:pPr>
            <w:r w:rsidRPr="005A497D">
              <w:rPr>
                <w:lang w:val="en-US"/>
              </w:rPr>
              <w:t>Summary of Approved Budget, Utilizations, Disbursements and Balances by Object of Expenditures</w:t>
            </w:r>
            <w:r>
              <w:rPr>
                <w:lang w:val="en-US"/>
              </w:rPr>
              <w:t xml:space="preserve"> </w:t>
            </w:r>
            <w:r w:rsidRPr="005A497D">
              <w:rPr>
                <w:lang w:val="en-US"/>
              </w:rPr>
              <w:t>(SABUDBOE) (for Off-Budget Fund)</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4187964C" w14:textId="650DD42A" w:rsidR="001762EE" w:rsidRPr="005A497D" w:rsidRDefault="007075BA" w:rsidP="00E27851">
            <w:pPr>
              <w:pStyle w:val="FreeFormAAAA"/>
              <w:spacing w:before="20" w:after="20"/>
              <w:rPr>
                <w:lang w:val="en-US"/>
              </w:rPr>
            </w:pPr>
            <w:r>
              <w:rPr>
                <w:lang w:val="en-US"/>
              </w:rPr>
              <w:t>SABUDBOE</w:t>
            </w:r>
            <w:r w:rsidR="001762EE" w:rsidRPr="005A497D">
              <w:rPr>
                <w:lang w:val="en-US"/>
              </w:rPr>
              <w:t xml:space="preserve"> shall reflect the details of the approved budget, utilizations, disbursements</w:t>
            </w:r>
            <w:r>
              <w:rPr>
                <w:lang w:val="en-US"/>
              </w:rPr>
              <w:t>,</w:t>
            </w:r>
            <w:r w:rsidR="001762EE" w:rsidRPr="005A497D">
              <w:rPr>
                <w:lang w:val="en-US"/>
              </w:rPr>
              <w:t xml:space="preserve"> and balances of the agency authorized by law to use their income presented by object of expenditures consistent with the </w:t>
            </w:r>
            <w:r w:rsidR="001762EE">
              <w:rPr>
                <w:lang w:val="en-US"/>
              </w:rPr>
              <w:t>CoA</w:t>
            </w:r>
            <w:r w:rsidR="001762EE" w:rsidRPr="005A497D">
              <w:rPr>
                <w:lang w:val="en-US"/>
              </w:rPr>
              <w:t xml:space="preserve"> Revised Chart of Accounts</w:t>
            </w:r>
            <w:r w:rsidR="00E27851">
              <w:rPr>
                <w:lang w:val="en-US"/>
              </w:rPr>
              <w:t>, and shall be prepared by fund cluster</w:t>
            </w:r>
            <w:r w:rsidR="001762EE" w:rsidRPr="005A497D">
              <w:rPr>
                <w:lang w:val="en-US"/>
              </w:rPr>
              <w:t>.</w:t>
            </w:r>
          </w:p>
        </w:tc>
      </w:tr>
      <w:tr w:rsidR="001762EE" w:rsidRPr="005A497D" w14:paraId="089B7435" w14:textId="77777777" w:rsidTr="00EC5DE8">
        <w:trPr>
          <w:cantSplit/>
          <w:trHeight w:val="20"/>
        </w:trPr>
        <w:tc>
          <w:tcPr>
            <w:tcW w:w="1530" w:type="dxa"/>
            <w:tcBorders>
              <w:top w:val="single" w:sz="2" w:space="0" w:color="000000"/>
              <w:left w:val="double" w:sz="4" w:space="0" w:color="auto"/>
              <w:bottom w:val="single" w:sz="4" w:space="0" w:color="000000"/>
              <w:right w:val="single" w:sz="2" w:space="0" w:color="000000"/>
            </w:tcBorders>
            <w:shd w:val="clear" w:color="auto" w:fill="FFFFFF"/>
          </w:tcPr>
          <w:p w14:paraId="03E4F42D" w14:textId="72262DC6" w:rsidR="001762EE" w:rsidRPr="005A497D" w:rsidRDefault="001762EE" w:rsidP="00DA3417">
            <w:pPr>
              <w:pStyle w:val="FreeFormAAAA"/>
              <w:spacing w:before="20" w:after="20"/>
              <w:jc w:val="center"/>
              <w:rPr>
                <w:lang w:val="en-US"/>
              </w:rPr>
            </w:pPr>
            <w:r w:rsidRPr="005A497D">
              <w:rPr>
                <w:lang w:val="en-US"/>
              </w:rPr>
              <w:t>FAR No. 5</w:t>
            </w:r>
          </w:p>
        </w:tc>
        <w:tc>
          <w:tcPr>
            <w:tcW w:w="2793" w:type="dxa"/>
            <w:tcBorders>
              <w:top w:val="single" w:sz="2" w:space="0" w:color="000000"/>
              <w:left w:val="single" w:sz="2" w:space="0" w:color="000000"/>
              <w:bottom w:val="single" w:sz="4" w:space="0" w:color="000000"/>
              <w:right w:val="single" w:sz="2" w:space="0" w:color="000000"/>
            </w:tcBorders>
            <w:shd w:val="clear" w:color="auto" w:fill="FFFFFF"/>
          </w:tcPr>
          <w:p w14:paraId="01781A2C" w14:textId="77777777" w:rsidR="001762EE" w:rsidRPr="005A497D" w:rsidRDefault="001762EE" w:rsidP="00DA3417">
            <w:pPr>
              <w:pStyle w:val="FreeFormAAAA"/>
              <w:spacing w:before="20" w:after="20"/>
              <w:rPr>
                <w:lang w:val="en-US"/>
              </w:rPr>
            </w:pPr>
            <w:r w:rsidRPr="005A497D">
              <w:rPr>
                <w:lang w:val="en-US"/>
              </w:rPr>
              <w:t xml:space="preserve">Quarterly Report of Revenue and Other Receipts (QRROR) </w:t>
            </w:r>
          </w:p>
        </w:tc>
        <w:tc>
          <w:tcPr>
            <w:tcW w:w="5033" w:type="dxa"/>
            <w:tcBorders>
              <w:top w:val="single" w:sz="2" w:space="0" w:color="000000"/>
              <w:left w:val="single" w:sz="2" w:space="0" w:color="000000"/>
              <w:bottom w:val="single" w:sz="4" w:space="0" w:color="000000"/>
              <w:right w:val="double" w:sz="4" w:space="0" w:color="auto"/>
            </w:tcBorders>
            <w:shd w:val="clear" w:color="auto" w:fill="FFFFFF"/>
          </w:tcPr>
          <w:p w14:paraId="7790C9D2" w14:textId="0B4A0A96" w:rsidR="001762EE" w:rsidRPr="005A497D" w:rsidRDefault="007075BA" w:rsidP="00166968">
            <w:pPr>
              <w:pStyle w:val="FreeFormAAAA"/>
              <w:spacing w:before="20" w:after="20"/>
              <w:rPr>
                <w:lang w:val="en-US"/>
              </w:rPr>
            </w:pPr>
            <w:r>
              <w:rPr>
                <w:lang w:val="en-US"/>
              </w:rPr>
              <w:t>QRROR</w:t>
            </w:r>
            <w:r w:rsidR="001762EE" w:rsidRPr="005A497D">
              <w:rPr>
                <w:lang w:val="en-US"/>
              </w:rPr>
              <w:t xml:space="preserve"> shall reflect the report on actual revenue and other receipts of the agency/operating units for the current year presented by quarter, and by specific sources consistent with the </w:t>
            </w:r>
            <w:r w:rsidR="001762EE">
              <w:rPr>
                <w:lang w:val="en-US"/>
              </w:rPr>
              <w:t>CoA</w:t>
            </w:r>
            <w:r w:rsidR="001762EE" w:rsidRPr="005A497D">
              <w:rPr>
                <w:lang w:val="en-US"/>
              </w:rPr>
              <w:t xml:space="preserve"> Revised Chart of Accounts.</w:t>
            </w:r>
          </w:p>
        </w:tc>
      </w:tr>
      <w:tr w:rsidR="001762EE" w:rsidRPr="005A497D" w14:paraId="12345C52" w14:textId="77777777" w:rsidTr="009349CF">
        <w:trPr>
          <w:cantSplit/>
          <w:trHeight w:val="260"/>
        </w:trPr>
        <w:tc>
          <w:tcPr>
            <w:tcW w:w="9356" w:type="dxa"/>
            <w:gridSpan w:val="3"/>
            <w:tcBorders>
              <w:top w:val="single" w:sz="4" w:space="0" w:color="000000"/>
              <w:left w:val="double" w:sz="4" w:space="0" w:color="auto"/>
              <w:bottom w:val="single" w:sz="2" w:space="0" w:color="000000"/>
              <w:right w:val="double" w:sz="4" w:space="0" w:color="auto"/>
            </w:tcBorders>
            <w:shd w:val="clear" w:color="auto" w:fill="FFFFFF"/>
          </w:tcPr>
          <w:p w14:paraId="4EC5B818" w14:textId="77777777" w:rsidR="001762EE" w:rsidRPr="005A497D" w:rsidRDefault="001762EE" w:rsidP="00DA3417">
            <w:pPr>
              <w:pStyle w:val="FreeFormAAAA"/>
              <w:spacing w:before="20" w:after="20"/>
              <w:rPr>
                <w:b/>
                <w:i/>
                <w:u w:val="single"/>
                <w:lang w:val="en-US"/>
              </w:rPr>
            </w:pPr>
            <w:r w:rsidRPr="005A497D">
              <w:rPr>
                <w:b/>
                <w:i/>
                <w:u w:val="single"/>
                <w:lang w:val="en-US"/>
              </w:rPr>
              <w:t>On or before 30th day following the end of the year</w:t>
            </w:r>
          </w:p>
        </w:tc>
      </w:tr>
      <w:tr w:rsidR="001762EE" w:rsidRPr="005A497D" w14:paraId="2B51D8A4"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7DC662F8" w14:textId="3DB70116" w:rsidR="001762EE" w:rsidRPr="005A497D" w:rsidRDefault="001762EE" w:rsidP="00DA3417">
            <w:pPr>
              <w:pStyle w:val="FreeFormAAAA"/>
              <w:spacing w:before="20" w:after="20"/>
              <w:jc w:val="center"/>
              <w:rPr>
                <w:lang w:val="en-US"/>
              </w:rPr>
            </w:pPr>
            <w:r w:rsidRPr="005A497D">
              <w:rPr>
                <w:lang w:val="en-US"/>
              </w:rPr>
              <w:t>FAR No. 3</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3ECFB23D" w14:textId="77777777" w:rsidR="001762EE" w:rsidRPr="005A497D" w:rsidRDefault="001762EE" w:rsidP="00DA3417">
            <w:pPr>
              <w:pStyle w:val="FreeFormAAAA"/>
              <w:spacing w:before="20" w:after="20"/>
              <w:rPr>
                <w:lang w:val="en-US"/>
              </w:rPr>
            </w:pPr>
            <w:r w:rsidRPr="005A497D">
              <w:rPr>
                <w:lang w:val="en-US"/>
              </w:rPr>
              <w:t>Aging of Due and Demandable Obligations (ADDO)</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40F5A899" w14:textId="24D83859" w:rsidR="001762EE" w:rsidRPr="005A497D" w:rsidRDefault="007075BA" w:rsidP="001E2358">
            <w:pPr>
              <w:pStyle w:val="FreeFormAAAA"/>
              <w:spacing w:before="20" w:after="20"/>
              <w:rPr>
                <w:lang w:val="en-US"/>
              </w:rPr>
            </w:pPr>
            <w:r>
              <w:rPr>
                <w:lang w:val="en-US"/>
              </w:rPr>
              <w:t>ADDO</w:t>
            </w:r>
            <w:r w:rsidR="001762EE" w:rsidRPr="005A497D">
              <w:rPr>
                <w:lang w:val="en-US"/>
              </w:rPr>
              <w:t xml:space="preserve"> shall be prepared by the </w:t>
            </w:r>
            <w:r w:rsidR="001E2358">
              <w:rPr>
                <w:lang w:val="en-US"/>
              </w:rPr>
              <w:t>f</w:t>
            </w:r>
            <w:r w:rsidR="001762EE" w:rsidRPr="005A497D">
              <w:rPr>
                <w:lang w:val="en-US"/>
              </w:rPr>
              <w:t xml:space="preserve">und </w:t>
            </w:r>
            <w:r w:rsidR="001E2358">
              <w:rPr>
                <w:lang w:val="en-US"/>
              </w:rPr>
              <w:t>c</w:t>
            </w:r>
            <w:r w:rsidR="001762EE" w:rsidRPr="005A497D">
              <w:rPr>
                <w:lang w:val="en-US"/>
              </w:rPr>
              <w:t>luster and shall reflect the balance of unpaid obligations as indicated in the Obligation Request and the aging of due and demandable obligations as of year-end.</w:t>
            </w:r>
          </w:p>
        </w:tc>
      </w:tr>
      <w:tr w:rsidR="001762EE" w:rsidRPr="005A497D" w14:paraId="5B5A9441" w14:textId="77777777" w:rsidTr="00EC5DE8">
        <w:trPr>
          <w:cantSplit/>
          <w:trHeight w:val="20"/>
        </w:trPr>
        <w:tc>
          <w:tcPr>
            <w:tcW w:w="1530" w:type="dxa"/>
            <w:tcBorders>
              <w:top w:val="single" w:sz="2" w:space="0" w:color="000000"/>
              <w:left w:val="double" w:sz="4" w:space="0" w:color="auto"/>
              <w:bottom w:val="single" w:sz="4" w:space="0" w:color="000000"/>
              <w:right w:val="single" w:sz="2" w:space="0" w:color="000000"/>
            </w:tcBorders>
            <w:shd w:val="clear" w:color="auto" w:fill="FFFFFF"/>
          </w:tcPr>
          <w:p w14:paraId="7DF0C3FF" w14:textId="77777777" w:rsidR="001762EE" w:rsidRPr="005A497D" w:rsidRDefault="001762EE" w:rsidP="00DA3417">
            <w:pPr>
              <w:pStyle w:val="FreeFormAAAA"/>
              <w:spacing w:before="20" w:after="20"/>
              <w:jc w:val="center"/>
              <w:rPr>
                <w:lang w:val="en-US"/>
              </w:rPr>
            </w:pPr>
            <w:r w:rsidRPr="005A497D">
              <w:rPr>
                <w:lang w:val="en-US"/>
              </w:rPr>
              <w:t>BED No. 4</w:t>
            </w:r>
          </w:p>
        </w:tc>
        <w:tc>
          <w:tcPr>
            <w:tcW w:w="2793" w:type="dxa"/>
            <w:tcBorders>
              <w:top w:val="single" w:sz="2" w:space="0" w:color="000000"/>
              <w:left w:val="single" w:sz="2" w:space="0" w:color="000000"/>
              <w:bottom w:val="single" w:sz="4" w:space="0" w:color="000000"/>
              <w:right w:val="single" w:sz="2" w:space="0" w:color="000000"/>
            </w:tcBorders>
            <w:shd w:val="clear" w:color="auto" w:fill="FFFFFF"/>
          </w:tcPr>
          <w:p w14:paraId="189C053A" w14:textId="77777777" w:rsidR="001762EE" w:rsidRPr="005A497D" w:rsidRDefault="001762EE" w:rsidP="00DA3417">
            <w:pPr>
              <w:pStyle w:val="FreeFormAAAA"/>
              <w:spacing w:before="20" w:after="20"/>
              <w:rPr>
                <w:lang w:val="en-US"/>
              </w:rPr>
            </w:pPr>
            <w:r w:rsidRPr="005A497D">
              <w:rPr>
                <w:lang w:val="en-US"/>
              </w:rPr>
              <w:t>List of Not Yet Due and Demandable Obligations</w:t>
            </w:r>
          </w:p>
        </w:tc>
        <w:tc>
          <w:tcPr>
            <w:tcW w:w="5033" w:type="dxa"/>
            <w:tcBorders>
              <w:top w:val="single" w:sz="2" w:space="0" w:color="000000"/>
              <w:left w:val="single" w:sz="2" w:space="0" w:color="000000"/>
              <w:bottom w:val="single" w:sz="4" w:space="0" w:color="000000"/>
              <w:right w:val="double" w:sz="4" w:space="0" w:color="auto"/>
            </w:tcBorders>
            <w:shd w:val="clear" w:color="auto" w:fill="FFFFFF"/>
          </w:tcPr>
          <w:p w14:paraId="348131A7" w14:textId="5C32DED1" w:rsidR="001762EE" w:rsidRPr="005A497D" w:rsidRDefault="001762EE" w:rsidP="00DA3417">
            <w:pPr>
              <w:pStyle w:val="FreeFormAAAA"/>
              <w:spacing w:before="20" w:after="20"/>
              <w:rPr>
                <w:lang w:val="en-US"/>
              </w:rPr>
            </w:pPr>
            <w:r w:rsidRPr="005A497D">
              <w:rPr>
                <w:lang w:val="en-US"/>
              </w:rPr>
              <w:t>This report shall reflect the level of obligations/</w:t>
            </w:r>
            <w:r w:rsidR="007075BA">
              <w:rPr>
                <w:lang w:val="en-US"/>
              </w:rPr>
              <w:t xml:space="preserve"> </w:t>
            </w:r>
            <w:r w:rsidRPr="005A497D">
              <w:rPr>
                <w:lang w:val="en-US"/>
              </w:rPr>
              <w:t>expenditures charged against prior year’s budget, for which goods/services/projects are not yet delivered/rendered/</w:t>
            </w:r>
            <w:r w:rsidR="007075BA">
              <w:rPr>
                <w:lang w:val="en-US"/>
              </w:rPr>
              <w:t xml:space="preserve"> </w:t>
            </w:r>
            <w:r w:rsidRPr="005A497D">
              <w:rPr>
                <w:lang w:val="en-US"/>
              </w:rPr>
              <w:t>completed and accepted as of the preceding year.</w:t>
            </w:r>
          </w:p>
        </w:tc>
      </w:tr>
      <w:tr w:rsidR="001762EE" w:rsidRPr="005A497D" w14:paraId="556C5CCA" w14:textId="77777777" w:rsidTr="009349CF">
        <w:trPr>
          <w:cantSplit/>
          <w:trHeight w:val="20"/>
        </w:trPr>
        <w:tc>
          <w:tcPr>
            <w:tcW w:w="9356" w:type="dxa"/>
            <w:gridSpan w:val="3"/>
            <w:tcBorders>
              <w:top w:val="single" w:sz="4" w:space="0" w:color="000000"/>
              <w:left w:val="double" w:sz="4" w:space="0" w:color="auto"/>
              <w:bottom w:val="single" w:sz="2" w:space="0" w:color="000000"/>
              <w:right w:val="double" w:sz="4" w:space="0" w:color="auto"/>
            </w:tcBorders>
            <w:shd w:val="clear" w:color="auto" w:fill="FFFFFF"/>
          </w:tcPr>
          <w:p w14:paraId="3CF6717B" w14:textId="77777777" w:rsidR="001762EE" w:rsidRPr="005A497D" w:rsidRDefault="001762EE" w:rsidP="00DA3417">
            <w:pPr>
              <w:pStyle w:val="FreeFormAAAA"/>
              <w:spacing w:before="20" w:after="20"/>
              <w:rPr>
                <w:b/>
                <w:i/>
                <w:u w:val="single"/>
                <w:lang w:val="en-US"/>
              </w:rPr>
            </w:pPr>
            <w:r w:rsidRPr="005A497D">
              <w:rPr>
                <w:b/>
                <w:i/>
                <w:u w:val="single"/>
                <w:lang w:val="en-US"/>
              </w:rPr>
              <w:t>On or before 30th day of the following month covered by the report</w:t>
            </w:r>
          </w:p>
        </w:tc>
      </w:tr>
      <w:tr w:rsidR="001762EE" w:rsidRPr="005A497D" w14:paraId="2DE901A2" w14:textId="77777777" w:rsidTr="00EC5DE8">
        <w:trPr>
          <w:cantSplit/>
          <w:trHeight w:val="20"/>
        </w:trPr>
        <w:tc>
          <w:tcPr>
            <w:tcW w:w="1530" w:type="dxa"/>
            <w:tcBorders>
              <w:top w:val="single" w:sz="2" w:space="0" w:color="000000"/>
              <w:left w:val="double" w:sz="4" w:space="0" w:color="auto"/>
              <w:bottom w:val="single" w:sz="4" w:space="0" w:color="000000"/>
              <w:right w:val="single" w:sz="2" w:space="0" w:color="000000"/>
            </w:tcBorders>
            <w:shd w:val="clear" w:color="auto" w:fill="FFFFFF"/>
          </w:tcPr>
          <w:p w14:paraId="39309ACF" w14:textId="15F66435" w:rsidR="001762EE" w:rsidRPr="005A497D" w:rsidRDefault="001762EE" w:rsidP="00DA3417">
            <w:pPr>
              <w:pStyle w:val="FreeFormAAAA"/>
              <w:spacing w:before="20" w:after="20"/>
              <w:jc w:val="center"/>
              <w:rPr>
                <w:lang w:val="en-US"/>
              </w:rPr>
            </w:pPr>
            <w:r w:rsidRPr="005A497D">
              <w:rPr>
                <w:lang w:val="en-US"/>
              </w:rPr>
              <w:t>FAR No. 4</w:t>
            </w:r>
          </w:p>
        </w:tc>
        <w:tc>
          <w:tcPr>
            <w:tcW w:w="2793" w:type="dxa"/>
            <w:tcBorders>
              <w:top w:val="single" w:sz="2" w:space="0" w:color="000000"/>
              <w:left w:val="single" w:sz="2" w:space="0" w:color="000000"/>
              <w:bottom w:val="single" w:sz="4" w:space="0" w:color="000000"/>
              <w:right w:val="single" w:sz="2" w:space="0" w:color="000000"/>
            </w:tcBorders>
            <w:shd w:val="clear" w:color="auto" w:fill="FFFFFF"/>
          </w:tcPr>
          <w:p w14:paraId="18AFC07B" w14:textId="77777777" w:rsidR="001762EE" w:rsidRPr="005A497D" w:rsidRDefault="001762EE" w:rsidP="00DA3417">
            <w:pPr>
              <w:pStyle w:val="FreeFormAAAA"/>
              <w:spacing w:before="20" w:after="20"/>
              <w:rPr>
                <w:lang w:val="en-US"/>
              </w:rPr>
            </w:pPr>
            <w:r w:rsidRPr="005A497D">
              <w:rPr>
                <w:lang w:val="en-US"/>
              </w:rPr>
              <w:t>Monthly Report of Disbursements</w:t>
            </w:r>
          </w:p>
        </w:tc>
        <w:tc>
          <w:tcPr>
            <w:tcW w:w="5033" w:type="dxa"/>
            <w:tcBorders>
              <w:top w:val="single" w:sz="2" w:space="0" w:color="000000"/>
              <w:left w:val="single" w:sz="2" w:space="0" w:color="000000"/>
              <w:bottom w:val="single" w:sz="4" w:space="0" w:color="000000"/>
              <w:right w:val="double" w:sz="4" w:space="0" w:color="auto"/>
            </w:tcBorders>
            <w:shd w:val="clear" w:color="auto" w:fill="FFFFFF"/>
          </w:tcPr>
          <w:p w14:paraId="2977FAE3" w14:textId="286F0FBC" w:rsidR="001762EE" w:rsidRPr="005A497D" w:rsidRDefault="007075BA" w:rsidP="00DA3417">
            <w:pPr>
              <w:pStyle w:val="FreeFormAAAA"/>
              <w:spacing w:before="20" w:after="20"/>
              <w:rPr>
                <w:lang w:val="en-US"/>
              </w:rPr>
            </w:pPr>
            <w:r w:rsidRPr="005A497D">
              <w:rPr>
                <w:lang w:val="en-US"/>
              </w:rPr>
              <w:t>Th</w:t>
            </w:r>
            <w:r w:rsidR="001E2358">
              <w:rPr>
                <w:lang w:val="en-US"/>
              </w:rPr>
              <w:t>is</w:t>
            </w:r>
            <w:r w:rsidRPr="005A497D">
              <w:rPr>
                <w:lang w:val="en-US"/>
              </w:rPr>
              <w:t xml:space="preserve"> </w:t>
            </w:r>
            <w:r w:rsidR="001762EE" w:rsidRPr="005A497D">
              <w:rPr>
                <w:lang w:val="en-US"/>
              </w:rPr>
              <w:t>report shall reflect the total disbursements made by department, office</w:t>
            </w:r>
            <w:r>
              <w:rPr>
                <w:lang w:val="en-US"/>
              </w:rPr>
              <w:t>,</w:t>
            </w:r>
            <w:r w:rsidR="001762EE" w:rsidRPr="005A497D">
              <w:rPr>
                <w:lang w:val="en-US"/>
              </w:rPr>
              <w:t xml:space="preserve"> or agency and the operating unit by Fund Cluster from the following disbursement authorities:</w:t>
            </w:r>
          </w:p>
          <w:p w14:paraId="7AE0A5E3" w14:textId="4B927EC4" w:rsidR="001762EE" w:rsidRPr="005A497D" w:rsidRDefault="001762EE" w:rsidP="005A03CD">
            <w:pPr>
              <w:pStyle w:val="FreeFormAAAA"/>
              <w:numPr>
                <w:ilvl w:val="0"/>
                <w:numId w:val="23"/>
              </w:numPr>
              <w:spacing w:before="20" w:after="20"/>
              <w:ind w:left="340" w:hanging="340"/>
              <w:rPr>
                <w:lang w:val="en-US"/>
              </w:rPr>
            </w:pPr>
            <w:r w:rsidRPr="005A497D">
              <w:rPr>
                <w:lang w:val="en-US"/>
              </w:rPr>
              <w:t>Notice of Cash Allocation</w:t>
            </w:r>
            <w:r w:rsidR="007075BA">
              <w:rPr>
                <w:lang w:val="en-US"/>
              </w:rPr>
              <w:t>;</w:t>
            </w:r>
            <w:r w:rsidRPr="005A497D">
              <w:rPr>
                <w:lang w:val="en-US"/>
              </w:rPr>
              <w:t xml:space="preserve"> </w:t>
            </w:r>
          </w:p>
          <w:p w14:paraId="1748E3FD" w14:textId="34AEF205" w:rsidR="001762EE" w:rsidRPr="005A497D" w:rsidRDefault="001762EE" w:rsidP="005A03CD">
            <w:pPr>
              <w:pStyle w:val="FreeFormAAAA"/>
              <w:numPr>
                <w:ilvl w:val="0"/>
                <w:numId w:val="23"/>
              </w:numPr>
              <w:spacing w:before="20" w:after="20"/>
              <w:ind w:left="340" w:hanging="340"/>
              <w:rPr>
                <w:lang w:val="en-US"/>
              </w:rPr>
            </w:pPr>
            <w:r>
              <w:rPr>
                <w:lang w:val="en-US"/>
              </w:rPr>
              <w:t>Notice of cash allocation</w:t>
            </w:r>
            <w:r w:rsidRPr="005A497D">
              <w:rPr>
                <w:lang w:val="en-US"/>
              </w:rPr>
              <w:t xml:space="preserve"> for the</w:t>
            </w:r>
            <w:r w:rsidR="001E2358">
              <w:rPr>
                <w:lang w:val="en-US"/>
              </w:rPr>
              <w:t xml:space="preserve"> </w:t>
            </w:r>
            <w:r w:rsidR="007075BA">
              <w:rPr>
                <w:lang w:val="en-US"/>
              </w:rPr>
              <w:t>BTr-issued</w:t>
            </w:r>
            <w:r w:rsidRPr="005A497D">
              <w:rPr>
                <w:lang w:val="en-US"/>
              </w:rPr>
              <w:t xml:space="preserve"> Working Fund as an advance funding from loan/grants proceeds in favor of an agency</w:t>
            </w:r>
            <w:r w:rsidR="007075BA">
              <w:rPr>
                <w:lang w:val="en-US"/>
              </w:rPr>
              <w:t>;</w:t>
            </w:r>
          </w:p>
          <w:p w14:paraId="625F1163" w14:textId="4024D54B" w:rsidR="001762EE" w:rsidRPr="005A497D" w:rsidRDefault="001762EE" w:rsidP="005A03CD">
            <w:pPr>
              <w:pStyle w:val="FreeFormAAAA"/>
              <w:numPr>
                <w:ilvl w:val="0"/>
                <w:numId w:val="23"/>
              </w:numPr>
              <w:spacing w:before="20" w:after="20"/>
              <w:ind w:left="340" w:hanging="340"/>
              <w:rPr>
                <w:lang w:val="en-US"/>
              </w:rPr>
            </w:pPr>
            <w:r w:rsidRPr="005A497D">
              <w:rPr>
                <w:lang w:val="en-US"/>
              </w:rPr>
              <w:t xml:space="preserve">Tax </w:t>
            </w:r>
            <w:r>
              <w:rPr>
                <w:lang w:val="en-US"/>
              </w:rPr>
              <w:t>r</w:t>
            </w:r>
            <w:r w:rsidRPr="005A497D">
              <w:rPr>
                <w:lang w:val="en-US"/>
              </w:rPr>
              <w:t xml:space="preserve">emittance </w:t>
            </w:r>
            <w:r>
              <w:rPr>
                <w:lang w:val="en-US"/>
              </w:rPr>
              <w:t>a</w:t>
            </w:r>
            <w:r w:rsidRPr="005A497D">
              <w:rPr>
                <w:lang w:val="en-US"/>
              </w:rPr>
              <w:t>dvice issued</w:t>
            </w:r>
            <w:r w:rsidR="007075BA">
              <w:rPr>
                <w:lang w:val="en-US"/>
              </w:rPr>
              <w:t>;</w:t>
            </w:r>
          </w:p>
          <w:p w14:paraId="742AF0CF" w14:textId="601775E9" w:rsidR="001762EE" w:rsidRPr="005A497D" w:rsidRDefault="001762EE" w:rsidP="005A03CD">
            <w:pPr>
              <w:pStyle w:val="FreeFormAAAA"/>
              <w:numPr>
                <w:ilvl w:val="0"/>
                <w:numId w:val="23"/>
              </w:numPr>
              <w:spacing w:before="20" w:after="20"/>
              <w:ind w:left="340" w:hanging="340"/>
              <w:rPr>
                <w:lang w:val="en-US"/>
              </w:rPr>
            </w:pPr>
            <w:r w:rsidRPr="005A497D">
              <w:rPr>
                <w:lang w:val="en-US"/>
              </w:rPr>
              <w:t xml:space="preserve">Cash </w:t>
            </w:r>
            <w:r>
              <w:rPr>
                <w:lang w:val="en-US"/>
              </w:rPr>
              <w:t>d</w:t>
            </w:r>
            <w:r w:rsidRPr="005A497D">
              <w:rPr>
                <w:lang w:val="en-US"/>
              </w:rPr>
              <w:t xml:space="preserve">isbursement </w:t>
            </w:r>
            <w:r>
              <w:rPr>
                <w:lang w:val="en-US"/>
              </w:rPr>
              <w:t>c</w:t>
            </w:r>
            <w:r w:rsidRPr="005A497D">
              <w:rPr>
                <w:lang w:val="en-US"/>
              </w:rPr>
              <w:t>eiling issued by departments with foreign-based agencies or units</w:t>
            </w:r>
            <w:r w:rsidR="007075BA">
              <w:rPr>
                <w:lang w:val="en-US"/>
              </w:rPr>
              <w:t>;</w:t>
            </w:r>
          </w:p>
          <w:p w14:paraId="2E6519FB" w14:textId="7F135969" w:rsidR="001762EE" w:rsidRPr="005A497D" w:rsidRDefault="001762EE" w:rsidP="005A03CD">
            <w:pPr>
              <w:pStyle w:val="FreeFormAAAA"/>
              <w:numPr>
                <w:ilvl w:val="0"/>
                <w:numId w:val="23"/>
              </w:numPr>
              <w:spacing w:before="20" w:after="20"/>
              <w:ind w:left="340" w:hanging="340"/>
              <w:rPr>
                <w:lang w:val="en-US"/>
              </w:rPr>
            </w:pPr>
            <w:r w:rsidRPr="005A497D">
              <w:rPr>
                <w:lang w:val="en-US"/>
              </w:rPr>
              <w:t>Non-</w:t>
            </w:r>
            <w:r>
              <w:rPr>
                <w:lang w:val="en-US"/>
              </w:rPr>
              <w:t>c</w:t>
            </w:r>
            <w:r w:rsidRPr="005A497D">
              <w:rPr>
                <w:lang w:val="en-US"/>
              </w:rPr>
              <w:t xml:space="preserve">ash </w:t>
            </w:r>
            <w:r>
              <w:rPr>
                <w:lang w:val="en-US"/>
              </w:rPr>
              <w:t>a</w:t>
            </w:r>
            <w:r w:rsidRPr="005A497D">
              <w:rPr>
                <w:lang w:val="en-US"/>
              </w:rPr>
              <w:t xml:space="preserve">vailment </w:t>
            </w:r>
            <w:r>
              <w:rPr>
                <w:lang w:val="en-US"/>
              </w:rPr>
              <w:t>a</w:t>
            </w:r>
            <w:r w:rsidRPr="005A497D">
              <w:rPr>
                <w:lang w:val="en-US"/>
              </w:rPr>
              <w:t>uthority</w:t>
            </w:r>
            <w:r w:rsidR="007075BA">
              <w:rPr>
                <w:lang w:val="en-US"/>
              </w:rPr>
              <w:t>;</w:t>
            </w:r>
            <w:r w:rsidRPr="005A497D">
              <w:rPr>
                <w:lang w:val="en-US"/>
              </w:rPr>
              <w:t xml:space="preserve"> </w:t>
            </w:r>
          </w:p>
          <w:p w14:paraId="77A2717F" w14:textId="5B8EA83B" w:rsidR="001762EE" w:rsidRPr="005A497D" w:rsidRDefault="001762EE" w:rsidP="005A03CD">
            <w:pPr>
              <w:pStyle w:val="FreeFormAAAA"/>
              <w:numPr>
                <w:ilvl w:val="0"/>
                <w:numId w:val="23"/>
              </w:numPr>
              <w:spacing w:before="20" w:after="20"/>
              <w:ind w:left="340" w:hanging="340"/>
              <w:rPr>
                <w:lang w:val="en-US"/>
              </w:rPr>
            </w:pPr>
            <w:r w:rsidRPr="005A497D">
              <w:rPr>
                <w:lang w:val="en-US"/>
              </w:rPr>
              <w:t>Others, e.g. Customs, Duties and Taxes, BTr Documentary Stamps</w:t>
            </w:r>
            <w:r>
              <w:rPr>
                <w:lang w:val="en-US"/>
              </w:rPr>
              <w:t>.</w:t>
            </w:r>
          </w:p>
        </w:tc>
      </w:tr>
      <w:tr w:rsidR="001762EE" w:rsidRPr="005A497D" w14:paraId="4B29BFF0" w14:textId="77777777" w:rsidTr="009349CF">
        <w:trPr>
          <w:cantSplit/>
          <w:trHeight w:val="260"/>
        </w:trPr>
        <w:tc>
          <w:tcPr>
            <w:tcW w:w="9356" w:type="dxa"/>
            <w:gridSpan w:val="3"/>
            <w:tcBorders>
              <w:top w:val="single" w:sz="4" w:space="0" w:color="000000"/>
              <w:left w:val="double" w:sz="4" w:space="0" w:color="auto"/>
              <w:bottom w:val="single" w:sz="2" w:space="0" w:color="000000"/>
              <w:right w:val="double" w:sz="4" w:space="0" w:color="auto"/>
            </w:tcBorders>
            <w:shd w:val="clear" w:color="auto" w:fill="FFFFFF"/>
          </w:tcPr>
          <w:p w14:paraId="5EF07E4A" w14:textId="77777777" w:rsidR="001762EE" w:rsidRPr="005A497D" w:rsidRDefault="001762EE" w:rsidP="00DA3417">
            <w:pPr>
              <w:pStyle w:val="FreeFormAAAA"/>
              <w:spacing w:before="20" w:after="20"/>
              <w:rPr>
                <w:b/>
                <w:i/>
                <w:u w:val="single"/>
                <w:lang w:val="en-US"/>
              </w:rPr>
            </w:pPr>
            <w:r w:rsidRPr="005A497D">
              <w:rPr>
                <w:b/>
                <w:i/>
                <w:u w:val="single"/>
                <w:lang w:val="en-US"/>
              </w:rPr>
              <w:t>On or before February 15 of every year</w:t>
            </w:r>
          </w:p>
        </w:tc>
      </w:tr>
      <w:tr w:rsidR="001762EE" w:rsidRPr="005A497D" w14:paraId="00CE6520"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1BB538F9" w14:textId="77777777" w:rsidR="001762EE" w:rsidRPr="005A497D" w:rsidRDefault="001762EE" w:rsidP="00DA3417">
            <w:pPr>
              <w:pStyle w:val="FreeFormAAAA"/>
              <w:spacing w:before="20" w:after="20"/>
              <w:jc w:val="center"/>
              <w:rPr>
                <w:lang w:val="en-US"/>
              </w:rPr>
            </w:pPr>
            <w:r w:rsidRPr="005A497D">
              <w:rPr>
                <w:lang w:val="en-US"/>
              </w:rPr>
              <w:t>BED No. 1</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125779AF" w14:textId="77777777" w:rsidR="001762EE" w:rsidRPr="005A497D" w:rsidRDefault="001762EE" w:rsidP="00DA3417">
            <w:pPr>
              <w:pStyle w:val="FreeFormAAAA"/>
              <w:spacing w:before="20" w:after="20"/>
              <w:rPr>
                <w:lang w:val="en-US"/>
              </w:rPr>
            </w:pPr>
            <w:r w:rsidRPr="005A497D">
              <w:rPr>
                <w:lang w:val="en-US"/>
              </w:rPr>
              <w:t>Physical and Financial Plan (PFP)</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40E3DE27" w14:textId="4665FFA5" w:rsidR="001762EE" w:rsidRPr="005A497D" w:rsidRDefault="007075BA" w:rsidP="00DA3417">
            <w:pPr>
              <w:pStyle w:val="FreeFormAAAA"/>
              <w:spacing w:before="20" w:after="20"/>
              <w:rPr>
                <w:lang w:val="en-US"/>
              </w:rPr>
            </w:pPr>
            <w:r>
              <w:rPr>
                <w:lang w:val="en-US"/>
              </w:rPr>
              <w:t>PFP</w:t>
            </w:r>
            <w:r w:rsidR="001762EE" w:rsidRPr="005A497D">
              <w:rPr>
                <w:lang w:val="en-US"/>
              </w:rPr>
              <w:t xml:space="preserve"> shall reflect the overall physical (targeted outputs) and financial (estimated obligations/expenditures) plan of the agency with their approved budget level for the year, broken down by quarters.</w:t>
            </w:r>
          </w:p>
        </w:tc>
      </w:tr>
      <w:tr w:rsidR="001762EE" w:rsidRPr="005A497D" w14:paraId="091F6C18" w14:textId="77777777" w:rsidTr="00EC5DE8">
        <w:trPr>
          <w:cantSplit/>
          <w:trHeight w:val="20"/>
        </w:trPr>
        <w:tc>
          <w:tcPr>
            <w:tcW w:w="1530" w:type="dxa"/>
            <w:tcBorders>
              <w:top w:val="single" w:sz="2" w:space="0" w:color="000000"/>
              <w:left w:val="double" w:sz="4" w:space="0" w:color="auto"/>
              <w:bottom w:val="single" w:sz="2" w:space="0" w:color="000000"/>
              <w:right w:val="single" w:sz="2" w:space="0" w:color="000000"/>
            </w:tcBorders>
            <w:shd w:val="clear" w:color="auto" w:fill="FFFFFF"/>
          </w:tcPr>
          <w:p w14:paraId="090A1FC5" w14:textId="77777777" w:rsidR="001762EE" w:rsidRPr="005A497D" w:rsidRDefault="001762EE" w:rsidP="00DA3417">
            <w:pPr>
              <w:pStyle w:val="FreeFormAAAA"/>
              <w:spacing w:before="20" w:after="20"/>
              <w:jc w:val="center"/>
              <w:rPr>
                <w:lang w:val="en-US"/>
              </w:rPr>
            </w:pPr>
            <w:r w:rsidRPr="005A497D">
              <w:rPr>
                <w:lang w:val="en-US"/>
              </w:rPr>
              <w:t>BED No. 2</w:t>
            </w:r>
          </w:p>
        </w:tc>
        <w:tc>
          <w:tcPr>
            <w:tcW w:w="2793" w:type="dxa"/>
            <w:tcBorders>
              <w:top w:val="single" w:sz="2" w:space="0" w:color="000000"/>
              <w:left w:val="single" w:sz="2" w:space="0" w:color="000000"/>
              <w:bottom w:val="single" w:sz="2" w:space="0" w:color="000000"/>
              <w:right w:val="single" w:sz="2" w:space="0" w:color="000000"/>
            </w:tcBorders>
            <w:shd w:val="clear" w:color="auto" w:fill="FFFFFF"/>
          </w:tcPr>
          <w:p w14:paraId="6471834F" w14:textId="77777777" w:rsidR="001762EE" w:rsidRPr="005A497D" w:rsidRDefault="001762EE" w:rsidP="00DA3417">
            <w:pPr>
              <w:pStyle w:val="FreeFormAAAA"/>
              <w:spacing w:before="20" w:after="20"/>
              <w:rPr>
                <w:lang w:val="en-US"/>
              </w:rPr>
            </w:pPr>
            <w:r w:rsidRPr="005A497D">
              <w:rPr>
                <w:lang w:val="en-US"/>
              </w:rPr>
              <w:t>Monthly Cash Program</w:t>
            </w:r>
          </w:p>
        </w:tc>
        <w:tc>
          <w:tcPr>
            <w:tcW w:w="5033" w:type="dxa"/>
            <w:tcBorders>
              <w:top w:val="single" w:sz="2" w:space="0" w:color="000000"/>
              <w:left w:val="single" w:sz="2" w:space="0" w:color="000000"/>
              <w:bottom w:val="single" w:sz="2" w:space="0" w:color="000000"/>
              <w:right w:val="double" w:sz="4" w:space="0" w:color="auto"/>
            </w:tcBorders>
            <w:shd w:val="clear" w:color="auto" w:fill="FFFFFF"/>
          </w:tcPr>
          <w:p w14:paraId="71C7629F" w14:textId="520D3847" w:rsidR="001762EE" w:rsidRPr="005A497D" w:rsidRDefault="007075BA">
            <w:pPr>
              <w:pStyle w:val="FreeFormAAAA"/>
              <w:spacing w:before="20" w:after="20"/>
              <w:rPr>
                <w:lang w:val="en-US"/>
              </w:rPr>
            </w:pPr>
            <w:r w:rsidRPr="005A497D">
              <w:rPr>
                <w:lang w:val="en-US"/>
              </w:rPr>
              <w:t>Th</w:t>
            </w:r>
            <w:r>
              <w:rPr>
                <w:lang w:val="en-US"/>
              </w:rPr>
              <w:t>is</w:t>
            </w:r>
            <w:r w:rsidRPr="005A497D">
              <w:rPr>
                <w:lang w:val="en-US"/>
              </w:rPr>
              <w:t xml:space="preserve"> </w:t>
            </w:r>
            <w:r w:rsidR="001762EE" w:rsidRPr="005A497D">
              <w:rPr>
                <w:lang w:val="en-US"/>
              </w:rPr>
              <w:t>report shall reflect the monthly disbursement requirements of the agency</w:t>
            </w:r>
            <w:r w:rsidR="001762EE">
              <w:rPr>
                <w:lang w:val="en-US"/>
              </w:rPr>
              <w:t>,</w:t>
            </w:r>
            <w:r w:rsidR="001762EE" w:rsidRPr="005A497D">
              <w:rPr>
                <w:lang w:val="en-US"/>
              </w:rPr>
              <w:t xml:space="preserve"> which is the basis for issuance of </w:t>
            </w:r>
            <w:r w:rsidR="001762EE">
              <w:rPr>
                <w:lang w:val="en-US"/>
              </w:rPr>
              <w:t>notice of cash allocation</w:t>
            </w:r>
            <w:r w:rsidR="001762EE" w:rsidRPr="005A497D">
              <w:rPr>
                <w:lang w:val="en-US"/>
              </w:rPr>
              <w:t>, cash disbursement ceiling, and other disbursement authorities.</w:t>
            </w:r>
          </w:p>
        </w:tc>
      </w:tr>
      <w:tr w:rsidR="001762EE" w:rsidRPr="005A497D" w14:paraId="7B7F0E87" w14:textId="77777777" w:rsidTr="00EC5DE8">
        <w:trPr>
          <w:cantSplit/>
          <w:trHeight w:val="20"/>
        </w:trPr>
        <w:tc>
          <w:tcPr>
            <w:tcW w:w="1530" w:type="dxa"/>
            <w:tcBorders>
              <w:top w:val="single" w:sz="2" w:space="0" w:color="000000"/>
              <w:left w:val="double" w:sz="4" w:space="0" w:color="auto"/>
              <w:bottom w:val="double" w:sz="4" w:space="0" w:color="auto"/>
              <w:right w:val="single" w:sz="2" w:space="0" w:color="000000"/>
            </w:tcBorders>
            <w:shd w:val="clear" w:color="auto" w:fill="FFFFFF"/>
          </w:tcPr>
          <w:p w14:paraId="158291CA" w14:textId="77777777" w:rsidR="001762EE" w:rsidRPr="005A497D" w:rsidRDefault="001762EE" w:rsidP="00DA3417">
            <w:pPr>
              <w:pStyle w:val="FreeFormAAAA"/>
              <w:spacing w:before="20" w:after="20"/>
              <w:jc w:val="center"/>
              <w:rPr>
                <w:lang w:val="en-US"/>
              </w:rPr>
            </w:pPr>
            <w:r w:rsidRPr="005A497D">
              <w:rPr>
                <w:lang w:val="en-US"/>
              </w:rPr>
              <w:t>BED No. 3</w:t>
            </w:r>
          </w:p>
        </w:tc>
        <w:tc>
          <w:tcPr>
            <w:tcW w:w="2793" w:type="dxa"/>
            <w:tcBorders>
              <w:top w:val="single" w:sz="2" w:space="0" w:color="000000"/>
              <w:left w:val="single" w:sz="2" w:space="0" w:color="000000"/>
              <w:bottom w:val="double" w:sz="4" w:space="0" w:color="auto"/>
              <w:right w:val="single" w:sz="2" w:space="0" w:color="000000"/>
            </w:tcBorders>
            <w:shd w:val="clear" w:color="auto" w:fill="FFFFFF"/>
          </w:tcPr>
          <w:p w14:paraId="4D1FA748" w14:textId="77777777" w:rsidR="001762EE" w:rsidRPr="005A497D" w:rsidRDefault="001762EE" w:rsidP="00DA3417">
            <w:pPr>
              <w:pStyle w:val="FreeFormAAAA"/>
              <w:spacing w:before="20" w:after="20"/>
              <w:rPr>
                <w:lang w:val="en-US"/>
              </w:rPr>
            </w:pPr>
            <w:r w:rsidRPr="005A497D">
              <w:rPr>
                <w:lang w:val="en-US"/>
              </w:rPr>
              <w:t>Estimate of Monthly Income</w:t>
            </w:r>
          </w:p>
        </w:tc>
        <w:tc>
          <w:tcPr>
            <w:tcW w:w="5033" w:type="dxa"/>
            <w:tcBorders>
              <w:top w:val="single" w:sz="2" w:space="0" w:color="000000"/>
              <w:left w:val="single" w:sz="2" w:space="0" w:color="000000"/>
              <w:bottom w:val="double" w:sz="4" w:space="0" w:color="auto"/>
              <w:right w:val="double" w:sz="4" w:space="0" w:color="auto"/>
            </w:tcBorders>
            <w:shd w:val="clear" w:color="auto" w:fill="FFFFFF"/>
          </w:tcPr>
          <w:p w14:paraId="52615823" w14:textId="6034E5BD" w:rsidR="001762EE" w:rsidRPr="005A497D" w:rsidRDefault="007075BA">
            <w:pPr>
              <w:pStyle w:val="FreeFormAAAA"/>
              <w:rPr>
                <w:b/>
                <w:bCs/>
                <w:sz w:val="24"/>
                <w:szCs w:val="22"/>
                <w:lang w:val="en-US"/>
              </w:rPr>
            </w:pPr>
            <w:r w:rsidRPr="005A497D">
              <w:rPr>
                <w:lang w:val="en-US"/>
              </w:rPr>
              <w:t>Th</w:t>
            </w:r>
            <w:r>
              <w:rPr>
                <w:lang w:val="en-US"/>
              </w:rPr>
              <w:t>is</w:t>
            </w:r>
            <w:r w:rsidRPr="005A497D">
              <w:rPr>
                <w:lang w:val="en-US"/>
              </w:rPr>
              <w:t xml:space="preserve"> </w:t>
            </w:r>
            <w:r w:rsidR="001762EE" w:rsidRPr="005A497D">
              <w:rPr>
                <w:lang w:val="en-US"/>
              </w:rPr>
              <w:t>report shall reflect estimated income for the year by source, as contained under the Budget Expenditures and</w:t>
            </w:r>
            <w:r w:rsidR="001762EE">
              <w:rPr>
                <w:lang w:val="en-US"/>
              </w:rPr>
              <w:t xml:space="preserve"> </w:t>
            </w:r>
            <w:r w:rsidR="001762EE" w:rsidRPr="005A497D">
              <w:rPr>
                <w:lang w:val="en-US"/>
              </w:rPr>
              <w:t xml:space="preserve">Sources of </w:t>
            </w:r>
            <w:r w:rsidR="001762EE">
              <w:rPr>
                <w:lang w:val="en-US"/>
              </w:rPr>
              <w:t>f</w:t>
            </w:r>
            <w:r w:rsidR="001762EE" w:rsidRPr="005A497D">
              <w:rPr>
                <w:lang w:val="en-US"/>
              </w:rPr>
              <w:t>inancing of the given year.</w:t>
            </w:r>
          </w:p>
        </w:tc>
      </w:tr>
    </w:tbl>
    <w:p w14:paraId="1A563765" w14:textId="1F03799C" w:rsidR="001762EE" w:rsidRPr="0025475E" w:rsidRDefault="001762EE" w:rsidP="00BA0BF2">
      <w:pPr>
        <w:pStyle w:val="FreeFormAAAAA"/>
        <w:jc w:val="both"/>
        <w:rPr>
          <w:b/>
          <w:i/>
          <w:sz w:val="24"/>
          <w:szCs w:val="24"/>
          <w:lang w:val="en-US"/>
        </w:rPr>
      </w:pPr>
      <w:r w:rsidRPr="0025475E">
        <w:rPr>
          <w:b/>
          <w:i/>
          <w:sz w:val="24"/>
          <w:szCs w:val="24"/>
          <w:lang w:val="en-US"/>
        </w:rPr>
        <w:t>Dimension 28.2 Timing of in-year budget reports</w:t>
      </w:r>
    </w:p>
    <w:p w14:paraId="2394586C" w14:textId="77777777" w:rsidR="001762EE" w:rsidRPr="00BB26ED" w:rsidRDefault="001762EE" w:rsidP="00BA0BF2">
      <w:pPr>
        <w:pStyle w:val="FreeFormAAAAA"/>
        <w:jc w:val="both"/>
        <w:rPr>
          <w:i/>
          <w:sz w:val="24"/>
          <w:szCs w:val="24"/>
          <w:lang w:val="en-US"/>
        </w:rPr>
      </w:pPr>
    </w:p>
    <w:p w14:paraId="7897E8C4" w14:textId="748F677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Line departments and agencies submit their reports through Online Submission of Budget Proposal System</w:t>
      </w:r>
      <w:r>
        <w:t>,</w:t>
      </w:r>
      <w:r w:rsidRPr="005A497D">
        <w:t xml:space="preserve"> which is then consolidated in the Unified Reporting System being managed by </w:t>
      </w:r>
      <w:r>
        <w:t xml:space="preserve">the </w:t>
      </w:r>
      <w:r w:rsidRPr="005A497D">
        <w:t>DBM Information and Communications Techn</w:t>
      </w:r>
      <w:r>
        <w:t>ology and System Service</w:t>
      </w:r>
      <w:r w:rsidRPr="005A497D">
        <w:t>. Monthly in-year reports such as the Report on Utilization of Cash Allocation and Status of Allotment Releases and the quarterly Statement of Allotment, Obligation</w:t>
      </w:r>
      <w:r>
        <w:t>,</w:t>
      </w:r>
      <w:r w:rsidRPr="005A497D">
        <w:t xml:space="preserve"> and Balances are published </w:t>
      </w:r>
      <w:r>
        <w:t>on the</w:t>
      </w:r>
      <w:r w:rsidRPr="005A497D">
        <w:t xml:space="preserve"> DBM website (</w:t>
      </w:r>
      <w:hyperlink r:id="rId29" w:history="1">
        <w:r w:rsidRPr="005A497D">
          <w:rPr>
            <w:color w:val="000056"/>
            <w:u w:val="single"/>
          </w:rPr>
          <w:t>www.dbm.gov.ph</w:t>
        </w:r>
      </w:hyperlink>
      <w:r w:rsidRPr="005A497D">
        <w:t>).</w:t>
      </w:r>
    </w:p>
    <w:p w14:paraId="76C9A78D" w14:textId="77777777" w:rsidR="001762EE" w:rsidRPr="005A497D" w:rsidRDefault="001762EE" w:rsidP="00166968">
      <w:pPr>
        <w:pStyle w:val="NormalWeb"/>
        <w:autoSpaceDE w:val="0"/>
        <w:autoSpaceDN w:val="0"/>
        <w:adjustRightInd w:val="0"/>
        <w:spacing w:before="0" w:beforeAutospacing="0" w:after="0" w:afterAutospacing="0"/>
        <w:contextualSpacing/>
        <w:jc w:val="both"/>
      </w:pPr>
    </w:p>
    <w:p w14:paraId="312DD245" w14:textId="33BFC64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2E411E">
        <w:t xml:space="preserve">Timely submission remains a challenge. The status </w:t>
      </w:r>
      <w:r>
        <w:t>on</w:t>
      </w:r>
      <w:r w:rsidRPr="002E411E">
        <w:t xml:space="preserve"> submission</w:t>
      </w:r>
      <w:r>
        <w:t>s of Budget and Financial Accountability Reports</w:t>
      </w:r>
      <w:r w:rsidRPr="002E411E">
        <w:t xml:space="preserve"> generated from </w:t>
      </w:r>
      <w:r>
        <w:t xml:space="preserve">the DBM </w:t>
      </w:r>
      <w:r w:rsidRPr="002E411E">
        <w:t>U</w:t>
      </w:r>
      <w:r>
        <w:t xml:space="preserve">nified </w:t>
      </w:r>
      <w:r w:rsidRPr="002E411E">
        <w:t>R</w:t>
      </w:r>
      <w:r>
        <w:t xml:space="preserve">eporting </w:t>
      </w:r>
      <w:r w:rsidRPr="002E411E">
        <w:t>S</w:t>
      </w:r>
      <w:r>
        <w:t xml:space="preserve">ystem, </w:t>
      </w:r>
      <w:r w:rsidRPr="002E411E">
        <w:t xml:space="preserve">as of </w:t>
      </w:r>
      <w:r>
        <w:t>February 29</w:t>
      </w:r>
      <w:r w:rsidRPr="002E411E">
        <w:t>, 201</w:t>
      </w:r>
      <w:r>
        <w:t>6,</w:t>
      </w:r>
      <w:r w:rsidRPr="002E411E">
        <w:t xml:space="preserve"> </w:t>
      </w:r>
      <w:r>
        <w:t xml:space="preserve">for 2015 budget execution showed </w:t>
      </w:r>
      <w:r w:rsidRPr="002E411E">
        <w:t xml:space="preserve">that </w:t>
      </w:r>
      <w:r>
        <w:t xml:space="preserve">less than 20 percent </w:t>
      </w:r>
      <w:r w:rsidRPr="002E411E">
        <w:t xml:space="preserve">of line departments and agencies </w:t>
      </w:r>
      <w:r>
        <w:t>had submitted their reports for all the quarter ends. The report indicated non-submission or delay in compliance. The Commission on Audit also noted the same observations in most of departments’ annual audit reports for calendar year 2014</w:t>
      </w:r>
      <w:r w:rsidRPr="002E411E">
        <w:t>. Extensive delays in the submission undermine relevance of the information. Score</w:t>
      </w:r>
      <w:r>
        <w:t xml:space="preserve"> for Dimension 28.2</w:t>
      </w:r>
      <w:r w:rsidRPr="002E411E">
        <w:t xml:space="preserve"> is assessed at </w:t>
      </w:r>
      <w:r w:rsidRPr="005A497D">
        <w:t>“D”.</w:t>
      </w:r>
    </w:p>
    <w:p w14:paraId="45E87942" w14:textId="77777777" w:rsidR="001762EE" w:rsidRPr="005A497D" w:rsidRDefault="001762EE" w:rsidP="00BA0BF2">
      <w:pPr>
        <w:pStyle w:val="NormalWeb"/>
        <w:autoSpaceDE w:val="0"/>
        <w:autoSpaceDN w:val="0"/>
        <w:adjustRightInd w:val="0"/>
        <w:spacing w:before="0" w:beforeAutospacing="0" w:after="0" w:afterAutospacing="0"/>
        <w:contextualSpacing/>
        <w:jc w:val="both"/>
      </w:pPr>
    </w:p>
    <w:p w14:paraId="0280AACD" w14:textId="2E00B25A" w:rsidR="001762EE" w:rsidRPr="0025475E" w:rsidRDefault="001762EE" w:rsidP="00BA0BF2">
      <w:pPr>
        <w:pStyle w:val="FreeFormAAAAA"/>
        <w:jc w:val="both"/>
        <w:rPr>
          <w:b/>
          <w:i/>
          <w:sz w:val="24"/>
          <w:szCs w:val="24"/>
          <w:lang w:val="en-US"/>
        </w:rPr>
      </w:pPr>
      <w:r w:rsidRPr="0025475E">
        <w:rPr>
          <w:b/>
          <w:i/>
          <w:sz w:val="24"/>
          <w:szCs w:val="24"/>
          <w:lang w:val="en-US"/>
        </w:rPr>
        <w:t>Dimension 28.3 Accuracy of in-year budget reports</w:t>
      </w:r>
    </w:p>
    <w:p w14:paraId="635D241F" w14:textId="77777777" w:rsidR="001762EE" w:rsidRPr="001954A0" w:rsidRDefault="001762EE" w:rsidP="00BA0BF2">
      <w:pPr>
        <w:pStyle w:val="FreeFormAAAAA"/>
        <w:jc w:val="both"/>
        <w:rPr>
          <w:sz w:val="24"/>
          <w:szCs w:val="24"/>
          <w:lang w:val="en-US"/>
        </w:rPr>
      </w:pPr>
    </w:p>
    <w:p w14:paraId="1D253B70" w14:textId="3284D53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budget execution and accountability reports are prepared manually using spreadsheet. Although there is some level of data extraction from systems such as </w:t>
      </w:r>
      <w:r w:rsidRPr="000D0E8D">
        <w:rPr>
          <w:i/>
        </w:rPr>
        <w:t>e</w:t>
      </w:r>
      <w:r w:rsidRPr="005A497D">
        <w:t xml:space="preserve">Budget </w:t>
      </w:r>
      <w:r w:rsidR="00E27851">
        <w:t xml:space="preserve">System </w:t>
      </w:r>
      <w:r w:rsidRPr="005A497D">
        <w:t xml:space="preserve">and </w:t>
      </w:r>
      <w:r w:rsidRPr="000D0E8D">
        <w:rPr>
          <w:i/>
        </w:rPr>
        <w:t>e</w:t>
      </w:r>
      <w:r w:rsidRPr="005A497D">
        <w:t>NGAS, not all agencies and departments have fully rolled out these systems. Reliability of the information may be questionable considering the lack of appropriate control mechanisms to ensure accuracy and validity of financial data. As such, consolidation is entirely manual with supervisory review and authorization that does not fully mitigate the inherent risk of errors and omissions.</w:t>
      </w:r>
    </w:p>
    <w:p w14:paraId="3865FDAC" w14:textId="77777777" w:rsidR="001762EE" w:rsidRPr="005A497D" w:rsidRDefault="001762EE" w:rsidP="009C7EDE">
      <w:pPr>
        <w:pStyle w:val="NormalWeb"/>
        <w:autoSpaceDE w:val="0"/>
        <w:autoSpaceDN w:val="0"/>
        <w:adjustRightInd w:val="0"/>
        <w:spacing w:before="0" w:beforeAutospacing="0" w:after="0" w:afterAutospacing="0"/>
        <w:contextualSpacing/>
        <w:jc w:val="both"/>
      </w:pPr>
    </w:p>
    <w:p w14:paraId="3BC192FD" w14:textId="20622A0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Despite the limitations in accuracy and completeness of the reports, different operation bureaus in </w:t>
      </w:r>
      <w:r>
        <w:t>Department of Budget and Management</w:t>
      </w:r>
      <w:r w:rsidRPr="005A497D">
        <w:t xml:space="preserve"> </w:t>
      </w:r>
      <w:r>
        <w:t>use these reports</w:t>
      </w:r>
      <w:r w:rsidRPr="005A497D">
        <w:t xml:space="preserve"> for planning and monitoring. Score</w:t>
      </w:r>
      <w:r>
        <w:t xml:space="preserve"> for Dimension 28.3</w:t>
      </w:r>
      <w:r w:rsidRPr="005A497D">
        <w:t xml:space="preserve"> is assessed at “C”.</w:t>
      </w:r>
    </w:p>
    <w:p w14:paraId="591AA3D1" w14:textId="77777777" w:rsidR="0096547C" w:rsidRPr="005A497D" w:rsidRDefault="0096547C" w:rsidP="005F768F">
      <w:pPr>
        <w:pStyle w:val="Default"/>
        <w:rPr>
          <w:bCs/>
        </w:rPr>
      </w:pPr>
    </w:p>
    <w:p w14:paraId="489401F0" w14:textId="5C2A0134" w:rsidR="001762EE" w:rsidRDefault="001762EE" w:rsidP="00411651">
      <w:pPr>
        <w:pStyle w:val="Heading3"/>
      </w:pPr>
      <w:bookmarkStart w:id="266" w:name="_Toc454811721"/>
      <w:bookmarkStart w:id="267" w:name="_Toc454888865"/>
      <w:r w:rsidRPr="005A497D">
        <w:rPr>
          <w:rFonts w:eastAsiaTheme="minorHAnsi"/>
        </w:rPr>
        <w:t>PI-2</w:t>
      </w:r>
      <w:r>
        <w:rPr>
          <w:rFonts w:eastAsiaTheme="minorHAnsi"/>
        </w:rPr>
        <w:t>9</w:t>
      </w:r>
      <w:r w:rsidRPr="005A497D">
        <w:rPr>
          <w:rFonts w:eastAsiaTheme="minorHAnsi"/>
        </w:rPr>
        <w:t xml:space="preserve"> </w:t>
      </w:r>
      <w:r>
        <w:t>A</w:t>
      </w:r>
      <w:r w:rsidRPr="005A497D">
        <w:t>nnual financial reports</w:t>
      </w:r>
      <w:bookmarkEnd w:id="266"/>
      <w:bookmarkEnd w:id="267"/>
    </w:p>
    <w:p w14:paraId="240C3A19" w14:textId="77777777" w:rsidR="001762EE" w:rsidRPr="00BB26ED" w:rsidRDefault="001762EE" w:rsidP="00BB26ED"/>
    <w:p w14:paraId="711B2C60" w14:textId="46A8FEB8"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This indicator assesses the extent to which annual financial statements are complete, timely, and consistent with generally accepted accounting principles and standards. This is crucial for accountability and transparency in the public financial management system.</w:t>
      </w:r>
    </w:p>
    <w:p w14:paraId="3A825710" w14:textId="77777777" w:rsidR="001762EE" w:rsidRPr="005A497D" w:rsidRDefault="001762EE" w:rsidP="00A66DDB">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240"/>
        <w:gridCol w:w="810"/>
        <w:gridCol w:w="5306"/>
      </w:tblGrid>
      <w:tr w:rsidR="00324454" w:rsidRPr="005A497D" w14:paraId="604AF58B" w14:textId="77777777" w:rsidTr="00324454">
        <w:trPr>
          <w:trHeight w:val="397"/>
          <w:tblHeader/>
        </w:trPr>
        <w:tc>
          <w:tcPr>
            <w:tcW w:w="3240" w:type="dxa"/>
            <w:tcBorders>
              <w:top w:val="double" w:sz="4" w:space="0" w:color="auto"/>
            </w:tcBorders>
            <w:shd w:val="clear" w:color="auto" w:fill="D9D9D9"/>
            <w:vAlign w:val="center"/>
          </w:tcPr>
          <w:p w14:paraId="3552C1C7" w14:textId="77777777" w:rsidR="001762EE" w:rsidRPr="0025475E" w:rsidRDefault="001762EE" w:rsidP="00283AE6">
            <w:pPr>
              <w:spacing w:before="40" w:after="40"/>
              <w:jc w:val="center"/>
              <w:rPr>
                <w:b/>
                <w:i/>
                <w:sz w:val="22"/>
                <w:szCs w:val="22"/>
              </w:rPr>
            </w:pPr>
            <w:r w:rsidRPr="0025475E">
              <w:rPr>
                <w:b/>
                <w:i/>
                <w:sz w:val="22"/>
                <w:szCs w:val="22"/>
              </w:rPr>
              <w:t>Indicator / Dimension</w:t>
            </w:r>
          </w:p>
        </w:tc>
        <w:tc>
          <w:tcPr>
            <w:tcW w:w="810" w:type="dxa"/>
            <w:tcBorders>
              <w:top w:val="double" w:sz="4" w:space="0" w:color="auto"/>
            </w:tcBorders>
            <w:shd w:val="clear" w:color="auto" w:fill="D9D9D9"/>
            <w:vAlign w:val="center"/>
          </w:tcPr>
          <w:p w14:paraId="42E0B547" w14:textId="77777777" w:rsidR="001762EE" w:rsidRPr="0025475E" w:rsidRDefault="001762EE" w:rsidP="00283AE6">
            <w:pPr>
              <w:spacing w:before="40" w:after="40"/>
              <w:jc w:val="center"/>
              <w:rPr>
                <w:b/>
                <w:i/>
                <w:sz w:val="22"/>
                <w:szCs w:val="22"/>
              </w:rPr>
            </w:pPr>
            <w:r w:rsidRPr="0025475E">
              <w:rPr>
                <w:b/>
                <w:i/>
                <w:sz w:val="22"/>
                <w:szCs w:val="22"/>
              </w:rPr>
              <w:t>Score</w:t>
            </w:r>
          </w:p>
        </w:tc>
        <w:tc>
          <w:tcPr>
            <w:tcW w:w="5306" w:type="dxa"/>
            <w:tcBorders>
              <w:top w:val="double" w:sz="4" w:space="0" w:color="auto"/>
            </w:tcBorders>
            <w:shd w:val="clear" w:color="auto" w:fill="D9D9D9"/>
            <w:vAlign w:val="center"/>
          </w:tcPr>
          <w:p w14:paraId="4197314C" w14:textId="70F2996B" w:rsidR="001762EE" w:rsidRPr="0025475E" w:rsidRDefault="001762EE" w:rsidP="005108BC">
            <w:pPr>
              <w:spacing w:before="40" w:after="40"/>
              <w:jc w:val="center"/>
              <w:rPr>
                <w:b/>
                <w:i/>
                <w:sz w:val="22"/>
                <w:szCs w:val="22"/>
              </w:rPr>
            </w:pPr>
            <w:r w:rsidRPr="0025475E">
              <w:rPr>
                <w:b/>
                <w:i/>
                <w:sz w:val="22"/>
                <w:szCs w:val="22"/>
              </w:rPr>
              <w:t xml:space="preserve">Brief </w:t>
            </w:r>
            <w:r>
              <w:rPr>
                <w:b/>
                <w:i/>
                <w:sz w:val="22"/>
                <w:szCs w:val="22"/>
              </w:rPr>
              <w:t>e</w:t>
            </w:r>
            <w:r w:rsidRPr="0025475E">
              <w:rPr>
                <w:b/>
                <w:i/>
                <w:sz w:val="22"/>
                <w:szCs w:val="22"/>
              </w:rPr>
              <w:t>xplanation</w:t>
            </w:r>
          </w:p>
        </w:tc>
      </w:tr>
      <w:tr w:rsidR="00324454" w:rsidRPr="005A497D" w14:paraId="056163A3" w14:textId="77777777" w:rsidTr="00324454">
        <w:tc>
          <w:tcPr>
            <w:tcW w:w="3240" w:type="dxa"/>
            <w:tcBorders>
              <w:top w:val="double" w:sz="4" w:space="0" w:color="auto"/>
              <w:bottom w:val="single" w:sz="4" w:space="0" w:color="auto"/>
            </w:tcBorders>
          </w:tcPr>
          <w:p w14:paraId="36BAB388" w14:textId="39E2ABEF" w:rsidR="001762EE" w:rsidRPr="005A497D" w:rsidRDefault="001762EE" w:rsidP="00B37368">
            <w:pPr>
              <w:spacing w:before="40" w:after="40"/>
              <w:rPr>
                <w:sz w:val="22"/>
                <w:szCs w:val="22"/>
              </w:rPr>
            </w:pPr>
            <w:r w:rsidRPr="005A497D">
              <w:rPr>
                <w:b/>
                <w:bCs/>
                <w:sz w:val="22"/>
                <w:szCs w:val="22"/>
              </w:rPr>
              <w:t>PI-2</w:t>
            </w:r>
            <w:r>
              <w:rPr>
                <w:b/>
                <w:bCs/>
                <w:sz w:val="22"/>
                <w:szCs w:val="22"/>
              </w:rPr>
              <w:t>9</w:t>
            </w:r>
            <w:r w:rsidRPr="005A497D">
              <w:rPr>
                <w:b/>
                <w:bCs/>
                <w:sz w:val="22"/>
                <w:szCs w:val="22"/>
              </w:rPr>
              <w:t xml:space="preserve"> </w:t>
            </w:r>
            <w:r>
              <w:rPr>
                <w:b/>
                <w:bCs/>
                <w:sz w:val="22"/>
                <w:szCs w:val="22"/>
              </w:rPr>
              <w:t>A</w:t>
            </w:r>
            <w:r w:rsidRPr="005A497D">
              <w:rPr>
                <w:b/>
                <w:bCs/>
                <w:sz w:val="22"/>
                <w:szCs w:val="22"/>
              </w:rPr>
              <w:t>nnual financial reports</w:t>
            </w:r>
          </w:p>
        </w:tc>
        <w:tc>
          <w:tcPr>
            <w:tcW w:w="810" w:type="dxa"/>
            <w:tcBorders>
              <w:top w:val="double" w:sz="4" w:space="0" w:color="auto"/>
              <w:bottom w:val="single" w:sz="4" w:space="0" w:color="auto"/>
            </w:tcBorders>
          </w:tcPr>
          <w:p w14:paraId="338640AC" w14:textId="20FA842D" w:rsidR="001762EE" w:rsidRPr="005A497D" w:rsidRDefault="001762EE" w:rsidP="002A45AF">
            <w:pPr>
              <w:spacing w:before="40" w:after="40"/>
              <w:jc w:val="center"/>
              <w:rPr>
                <w:b/>
                <w:sz w:val="22"/>
                <w:szCs w:val="22"/>
              </w:rPr>
            </w:pPr>
            <w:r>
              <w:rPr>
                <w:b/>
                <w:sz w:val="22"/>
                <w:szCs w:val="22"/>
              </w:rPr>
              <w:t>C+</w:t>
            </w:r>
          </w:p>
        </w:tc>
        <w:tc>
          <w:tcPr>
            <w:tcW w:w="5306" w:type="dxa"/>
            <w:tcBorders>
              <w:top w:val="double" w:sz="4" w:space="0" w:color="auto"/>
              <w:bottom w:val="single" w:sz="4" w:space="0" w:color="auto"/>
            </w:tcBorders>
          </w:tcPr>
          <w:p w14:paraId="406BDF46" w14:textId="77777777" w:rsidR="001762EE" w:rsidRPr="005A497D" w:rsidRDefault="001762EE" w:rsidP="00A66DDB">
            <w:pPr>
              <w:spacing w:before="40" w:after="40"/>
              <w:rPr>
                <w:sz w:val="22"/>
                <w:szCs w:val="22"/>
              </w:rPr>
            </w:pPr>
            <w:r w:rsidRPr="005A497D">
              <w:rPr>
                <w:sz w:val="22"/>
                <w:szCs w:val="22"/>
              </w:rPr>
              <w:t>Overall rating based on M1 methodology.</w:t>
            </w:r>
          </w:p>
        </w:tc>
      </w:tr>
      <w:tr w:rsidR="00324454" w:rsidRPr="005A497D" w14:paraId="4FC9ED3B" w14:textId="77777777" w:rsidTr="00EC5DE8">
        <w:trPr>
          <w:trHeight w:val="1322"/>
        </w:trPr>
        <w:tc>
          <w:tcPr>
            <w:tcW w:w="3240" w:type="dxa"/>
            <w:tcBorders>
              <w:top w:val="single" w:sz="4" w:space="0" w:color="auto"/>
              <w:bottom w:val="single" w:sz="4" w:space="0" w:color="auto"/>
            </w:tcBorders>
          </w:tcPr>
          <w:p w14:paraId="04382A94" w14:textId="2AE86597" w:rsidR="001762EE" w:rsidRPr="005A497D" w:rsidRDefault="001762EE" w:rsidP="00DA3417">
            <w:pPr>
              <w:pStyle w:val="Default"/>
              <w:rPr>
                <w:sz w:val="22"/>
                <w:szCs w:val="22"/>
              </w:rPr>
            </w:pPr>
            <w:r>
              <w:rPr>
                <w:sz w:val="22"/>
                <w:szCs w:val="22"/>
              </w:rPr>
              <w:t>29.1</w:t>
            </w:r>
            <w:r w:rsidRPr="005A497D">
              <w:rPr>
                <w:sz w:val="22"/>
                <w:szCs w:val="22"/>
              </w:rPr>
              <w:t xml:space="preserve"> Completeness of </w:t>
            </w:r>
            <w:r>
              <w:rPr>
                <w:sz w:val="22"/>
                <w:szCs w:val="22"/>
              </w:rPr>
              <w:t>Annual Financial Report</w:t>
            </w:r>
            <w:r w:rsidRPr="005A497D">
              <w:rPr>
                <w:sz w:val="22"/>
                <w:szCs w:val="22"/>
              </w:rPr>
              <w:t>s</w:t>
            </w:r>
          </w:p>
        </w:tc>
        <w:tc>
          <w:tcPr>
            <w:tcW w:w="810" w:type="dxa"/>
            <w:tcBorders>
              <w:top w:val="single" w:sz="4" w:space="0" w:color="auto"/>
              <w:bottom w:val="single" w:sz="4" w:space="0" w:color="auto"/>
            </w:tcBorders>
          </w:tcPr>
          <w:p w14:paraId="79C61261" w14:textId="77777777" w:rsidR="001762EE" w:rsidRPr="005A497D" w:rsidRDefault="001762EE" w:rsidP="00460E88">
            <w:pPr>
              <w:jc w:val="center"/>
              <w:rPr>
                <w:sz w:val="22"/>
                <w:szCs w:val="22"/>
              </w:rPr>
            </w:pPr>
            <w:r w:rsidRPr="005A497D">
              <w:rPr>
                <w:sz w:val="22"/>
                <w:szCs w:val="22"/>
              </w:rPr>
              <w:t>B</w:t>
            </w:r>
          </w:p>
        </w:tc>
        <w:tc>
          <w:tcPr>
            <w:tcW w:w="5306" w:type="dxa"/>
            <w:tcBorders>
              <w:top w:val="single" w:sz="4" w:space="0" w:color="auto"/>
              <w:bottom w:val="single" w:sz="4" w:space="0" w:color="auto"/>
            </w:tcBorders>
          </w:tcPr>
          <w:p w14:paraId="3EBC104B" w14:textId="47BB67E7" w:rsidR="001762EE" w:rsidRPr="005A497D" w:rsidRDefault="001762EE" w:rsidP="00E27851">
            <w:pPr>
              <w:rPr>
                <w:rFonts w:asciiTheme="majorHAnsi" w:eastAsiaTheme="majorEastAsia" w:hAnsiTheme="majorHAnsi" w:cstheme="majorBidi"/>
                <w:b/>
                <w:bCs/>
                <w:i/>
                <w:iCs/>
                <w:color w:val="404040" w:themeColor="text1" w:themeTint="BF"/>
                <w:sz w:val="22"/>
                <w:szCs w:val="22"/>
              </w:rPr>
            </w:pPr>
            <w:r w:rsidRPr="005A497D">
              <w:rPr>
                <w:sz w:val="22"/>
                <w:szCs w:val="22"/>
              </w:rPr>
              <w:t xml:space="preserve">The Annual Financial Report includes information on revenue, expenditure, financial assets, financial liabilities, guarantees and long-term obligations. Comparison of budget with outturn is provided in ARAOD introduced in </w:t>
            </w:r>
            <w:r w:rsidR="00E27851">
              <w:rPr>
                <w:sz w:val="22"/>
                <w:szCs w:val="22"/>
              </w:rPr>
              <w:t xml:space="preserve">1997 and enhanced to ARAAOD in </w:t>
            </w:r>
            <w:r w:rsidRPr="005A497D">
              <w:rPr>
                <w:sz w:val="22"/>
                <w:szCs w:val="22"/>
              </w:rPr>
              <w:t>2014.</w:t>
            </w:r>
          </w:p>
        </w:tc>
      </w:tr>
      <w:tr w:rsidR="00324454" w:rsidRPr="005A497D" w14:paraId="1D68CDEB" w14:textId="77777777" w:rsidTr="00EC5DE8">
        <w:trPr>
          <w:trHeight w:val="890"/>
        </w:trPr>
        <w:tc>
          <w:tcPr>
            <w:tcW w:w="3240" w:type="dxa"/>
            <w:tcBorders>
              <w:top w:val="single" w:sz="4" w:space="0" w:color="auto"/>
              <w:bottom w:val="single" w:sz="4" w:space="0" w:color="auto"/>
            </w:tcBorders>
          </w:tcPr>
          <w:p w14:paraId="109EBE10" w14:textId="1546E46F" w:rsidR="001762EE" w:rsidRPr="005A497D" w:rsidRDefault="001762EE" w:rsidP="00B37368">
            <w:pPr>
              <w:pStyle w:val="Default"/>
              <w:rPr>
                <w:sz w:val="22"/>
                <w:szCs w:val="22"/>
              </w:rPr>
            </w:pPr>
            <w:r>
              <w:rPr>
                <w:sz w:val="22"/>
                <w:szCs w:val="22"/>
              </w:rPr>
              <w:t>29.2</w:t>
            </w:r>
            <w:r w:rsidRPr="005A497D">
              <w:rPr>
                <w:sz w:val="22"/>
                <w:szCs w:val="22"/>
              </w:rPr>
              <w:t xml:space="preserve"> </w:t>
            </w:r>
            <w:r>
              <w:rPr>
                <w:sz w:val="22"/>
                <w:szCs w:val="22"/>
              </w:rPr>
              <w:t>S</w:t>
            </w:r>
            <w:r w:rsidRPr="005A497D">
              <w:rPr>
                <w:sz w:val="22"/>
                <w:szCs w:val="22"/>
              </w:rPr>
              <w:t>ubmission of reports</w:t>
            </w:r>
            <w:r>
              <w:rPr>
                <w:sz w:val="22"/>
                <w:szCs w:val="22"/>
              </w:rPr>
              <w:t xml:space="preserve"> for external audit</w:t>
            </w:r>
          </w:p>
        </w:tc>
        <w:tc>
          <w:tcPr>
            <w:tcW w:w="810" w:type="dxa"/>
            <w:tcBorders>
              <w:top w:val="single" w:sz="4" w:space="0" w:color="auto"/>
              <w:bottom w:val="single" w:sz="4" w:space="0" w:color="auto"/>
            </w:tcBorders>
          </w:tcPr>
          <w:p w14:paraId="34EE262F" w14:textId="45AD73C3" w:rsidR="001762EE" w:rsidRPr="005A497D" w:rsidRDefault="001762EE" w:rsidP="00460E88">
            <w:pPr>
              <w:jc w:val="center"/>
              <w:rPr>
                <w:sz w:val="22"/>
                <w:szCs w:val="22"/>
              </w:rPr>
            </w:pPr>
            <w:r>
              <w:rPr>
                <w:sz w:val="22"/>
                <w:szCs w:val="22"/>
              </w:rPr>
              <w:t>C</w:t>
            </w:r>
          </w:p>
        </w:tc>
        <w:tc>
          <w:tcPr>
            <w:tcW w:w="5306" w:type="dxa"/>
            <w:tcBorders>
              <w:top w:val="single" w:sz="4" w:space="0" w:color="auto"/>
              <w:bottom w:val="single" w:sz="4" w:space="0" w:color="auto"/>
            </w:tcBorders>
          </w:tcPr>
          <w:p w14:paraId="2F3B9FA8" w14:textId="0398CF99" w:rsidR="001762EE" w:rsidRPr="005A497D" w:rsidRDefault="001762EE" w:rsidP="00493520">
            <w:pPr>
              <w:rPr>
                <w:sz w:val="22"/>
                <w:szCs w:val="22"/>
              </w:rPr>
            </w:pPr>
            <w:r>
              <w:rPr>
                <w:sz w:val="22"/>
                <w:szCs w:val="22"/>
              </w:rPr>
              <w:t>F</w:t>
            </w:r>
            <w:r w:rsidRPr="005A497D">
              <w:rPr>
                <w:sz w:val="22"/>
                <w:szCs w:val="22"/>
              </w:rPr>
              <w:t xml:space="preserve">inancial statements </w:t>
            </w:r>
            <w:r>
              <w:rPr>
                <w:sz w:val="22"/>
                <w:szCs w:val="22"/>
              </w:rPr>
              <w:t xml:space="preserve">of major spending agencies included in the report </w:t>
            </w:r>
            <w:r w:rsidRPr="005A497D">
              <w:rPr>
                <w:sz w:val="22"/>
                <w:szCs w:val="22"/>
              </w:rPr>
              <w:t xml:space="preserve">are submitted for audit within </w:t>
            </w:r>
            <w:r>
              <w:rPr>
                <w:sz w:val="22"/>
                <w:szCs w:val="22"/>
              </w:rPr>
              <w:t>nine</w:t>
            </w:r>
            <w:r w:rsidRPr="005A497D">
              <w:rPr>
                <w:sz w:val="22"/>
                <w:szCs w:val="22"/>
              </w:rPr>
              <w:t xml:space="preserve"> months of end of the fiscal year.</w:t>
            </w:r>
          </w:p>
        </w:tc>
      </w:tr>
      <w:tr w:rsidR="00324454" w:rsidRPr="005A497D" w14:paraId="456744AF" w14:textId="77777777" w:rsidTr="00EC5DE8">
        <w:trPr>
          <w:trHeight w:val="1340"/>
        </w:trPr>
        <w:tc>
          <w:tcPr>
            <w:tcW w:w="3240" w:type="dxa"/>
            <w:tcBorders>
              <w:top w:val="single" w:sz="4" w:space="0" w:color="auto"/>
              <w:bottom w:val="double" w:sz="4" w:space="0" w:color="auto"/>
            </w:tcBorders>
          </w:tcPr>
          <w:p w14:paraId="58B07AB3" w14:textId="796B0CBE" w:rsidR="001762EE" w:rsidRPr="005A497D" w:rsidRDefault="001762EE" w:rsidP="00B37368">
            <w:pPr>
              <w:pStyle w:val="Default"/>
              <w:rPr>
                <w:sz w:val="22"/>
                <w:szCs w:val="22"/>
              </w:rPr>
            </w:pPr>
            <w:r>
              <w:rPr>
                <w:sz w:val="22"/>
                <w:szCs w:val="22"/>
              </w:rPr>
              <w:t>29.3</w:t>
            </w:r>
            <w:r w:rsidRPr="005A497D">
              <w:rPr>
                <w:sz w:val="22"/>
                <w:szCs w:val="22"/>
              </w:rPr>
              <w:t xml:space="preserve"> </w:t>
            </w:r>
            <w:r>
              <w:rPr>
                <w:sz w:val="22"/>
                <w:szCs w:val="22"/>
              </w:rPr>
              <w:t>A</w:t>
            </w:r>
            <w:r w:rsidRPr="005A497D">
              <w:rPr>
                <w:sz w:val="22"/>
                <w:szCs w:val="22"/>
              </w:rPr>
              <w:t>ccounting standards</w:t>
            </w:r>
          </w:p>
        </w:tc>
        <w:tc>
          <w:tcPr>
            <w:tcW w:w="810" w:type="dxa"/>
            <w:tcBorders>
              <w:top w:val="single" w:sz="4" w:space="0" w:color="auto"/>
              <w:bottom w:val="double" w:sz="4" w:space="0" w:color="auto"/>
            </w:tcBorders>
          </w:tcPr>
          <w:p w14:paraId="05600610" w14:textId="07E341F3" w:rsidR="001762EE" w:rsidRPr="005A497D" w:rsidRDefault="001762EE" w:rsidP="002A45AF">
            <w:pPr>
              <w:jc w:val="center"/>
              <w:rPr>
                <w:sz w:val="22"/>
                <w:szCs w:val="22"/>
              </w:rPr>
            </w:pPr>
            <w:r>
              <w:rPr>
                <w:sz w:val="22"/>
                <w:szCs w:val="22"/>
              </w:rPr>
              <w:t>A</w:t>
            </w:r>
          </w:p>
        </w:tc>
        <w:tc>
          <w:tcPr>
            <w:tcW w:w="5306" w:type="dxa"/>
            <w:tcBorders>
              <w:top w:val="single" w:sz="4" w:space="0" w:color="auto"/>
              <w:bottom w:val="double" w:sz="4" w:space="0" w:color="auto"/>
            </w:tcBorders>
          </w:tcPr>
          <w:p w14:paraId="4FD54FE8" w14:textId="354C0D5E" w:rsidR="001762EE" w:rsidRPr="005A497D" w:rsidRDefault="001762EE" w:rsidP="00F36772">
            <w:pPr>
              <w:rPr>
                <w:sz w:val="22"/>
                <w:szCs w:val="22"/>
              </w:rPr>
            </w:pPr>
            <w:r w:rsidRPr="005A497D">
              <w:rPr>
                <w:sz w:val="22"/>
                <w:szCs w:val="22"/>
              </w:rPr>
              <w:t xml:space="preserve">In 2014, </w:t>
            </w:r>
            <w:r>
              <w:rPr>
                <w:sz w:val="22"/>
                <w:szCs w:val="22"/>
              </w:rPr>
              <w:t>CoA</w:t>
            </w:r>
            <w:r w:rsidRPr="005A497D">
              <w:rPr>
                <w:sz w:val="22"/>
                <w:szCs w:val="22"/>
              </w:rPr>
              <w:t xml:space="preserve"> adopted </w:t>
            </w:r>
            <w:r w:rsidR="00E27851">
              <w:rPr>
                <w:sz w:val="22"/>
                <w:szCs w:val="22"/>
              </w:rPr>
              <w:t xml:space="preserve">25 </w:t>
            </w:r>
            <w:r w:rsidRPr="005A497D">
              <w:rPr>
                <w:sz w:val="22"/>
                <w:szCs w:val="22"/>
              </w:rPr>
              <w:t>PPSAS based on IPSAS. In the previous years, NGAS was applied</w:t>
            </w:r>
            <w:r>
              <w:rPr>
                <w:sz w:val="22"/>
                <w:szCs w:val="22"/>
              </w:rPr>
              <w:t xml:space="preserve">. The 2014 audited financial statements of national government agencies included disclosure on compliance with PPSAS in the notes to financial statements. </w:t>
            </w:r>
          </w:p>
        </w:tc>
      </w:tr>
    </w:tbl>
    <w:p w14:paraId="538722EC" w14:textId="77777777" w:rsidR="00324454" w:rsidRPr="005A497D" w:rsidRDefault="00324454" w:rsidP="00A66DDB">
      <w:pPr>
        <w:pStyle w:val="FreeFormAAAA"/>
        <w:jc w:val="both"/>
        <w:rPr>
          <w:sz w:val="24"/>
          <w:szCs w:val="24"/>
          <w:lang w:val="en-US"/>
        </w:rPr>
      </w:pPr>
    </w:p>
    <w:p w14:paraId="3A4F775D" w14:textId="6EA68A9D" w:rsidR="001762EE" w:rsidRPr="0025475E" w:rsidRDefault="001762EE" w:rsidP="00967FE0">
      <w:pPr>
        <w:pStyle w:val="FreeFormAAAA"/>
        <w:jc w:val="both"/>
        <w:rPr>
          <w:b/>
          <w:i/>
          <w:sz w:val="24"/>
          <w:szCs w:val="24"/>
          <w:lang w:val="en-US"/>
        </w:rPr>
      </w:pPr>
      <w:r w:rsidRPr="0025475E">
        <w:rPr>
          <w:b/>
          <w:i/>
          <w:sz w:val="24"/>
          <w:szCs w:val="24"/>
          <w:lang w:val="en-US"/>
        </w:rPr>
        <w:t>Dimension 29.1 Completeness of annual financial reports</w:t>
      </w:r>
    </w:p>
    <w:p w14:paraId="4FCDE39B" w14:textId="77777777" w:rsidR="001762EE" w:rsidRPr="00BB26ED" w:rsidRDefault="001762EE" w:rsidP="00967FE0">
      <w:pPr>
        <w:pStyle w:val="FreeFormAAAA"/>
        <w:jc w:val="both"/>
        <w:rPr>
          <w:sz w:val="24"/>
          <w:szCs w:val="24"/>
          <w:lang w:val="en-US"/>
        </w:rPr>
      </w:pPr>
    </w:p>
    <w:p w14:paraId="15A3078D" w14:textId="0DEA4CE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Philippine Constitution </w:t>
      </w:r>
      <w:r>
        <w:t>(</w:t>
      </w:r>
      <w:r w:rsidRPr="005A497D">
        <w:t>Section 4, Article IX-D</w:t>
      </w:r>
      <w:r>
        <w:t>)</w:t>
      </w:r>
      <w:r w:rsidRPr="005A497D">
        <w:t xml:space="preserve"> mandates </w:t>
      </w:r>
      <w:r>
        <w:t>the Commission on Audit</w:t>
      </w:r>
      <w:r w:rsidRPr="005A497D">
        <w:t xml:space="preserve"> to submit to the President and Congress the Annual Financial Report of the </w:t>
      </w:r>
      <w:r>
        <w:t>G</w:t>
      </w:r>
      <w:r w:rsidRPr="005A497D">
        <w:t>overnment. Further, Section 41 of Presidential Decree No. 1445 of the Government Auditing Code of the Philippines, requires that an annual report on the financial condition and results of operations of all agencies of the government</w:t>
      </w:r>
      <w:r>
        <w:t>,</w:t>
      </w:r>
      <w:r w:rsidRPr="005A497D">
        <w:t xml:space="preserve"> which shall include recommendations of measures necessary to improve their efficiency and effectiveness</w:t>
      </w:r>
      <w:r>
        <w:t>,</w:t>
      </w:r>
      <w:r w:rsidRPr="005A497D">
        <w:t xml:space="preserve"> </w:t>
      </w:r>
      <w:r>
        <w:t>will</w:t>
      </w:r>
      <w:r w:rsidRPr="005A497D">
        <w:t xml:space="preserve"> be submitted not later than September 30 of each year.</w:t>
      </w:r>
    </w:p>
    <w:p w14:paraId="2A655AC1" w14:textId="77777777" w:rsidR="001762EE" w:rsidRPr="005A497D" w:rsidRDefault="001762EE" w:rsidP="00A37784">
      <w:pPr>
        <w:pStyle w:val="NormalWeb"/>
        <w:autoSpaceDE w:val="0"/>
        <w:autoSpaceDN w:val="0"/>
        <w:adjustRightInd w:val="0"/>
        <w:spacing w:before="0" w:beforeAutospacing="0" w:after="0" w:afterAutospacing="0"/>
        <w:contextualSpacing/>
        <w:jc w:val="both"/>
      </w:pPr>
    </w:p>
    <w:p w14:paraId="0D57703D" w14:textId="63756E5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Annual Financial Report</w:t>
      </w:r>
      <w:r w:rsidRPr="005A497D">
        <w:t xml:space="preserve"> is prepared to provide information on the total approved budget, total released allotments, obligations incurred</w:t>
      </w:r>
      <w:r>
        <w:t>,</w:t>
      </w:r>
      <w:r w:rsidRPr="005A497D">
        <w:t xml:space="preserve"> and the unused balance of the appropriations. It also provides vital information about the financial condition, cash inflows and outflows</w:t>
      </w:r>
      <w:r>
        <w:t>,</w:t>
      </w:r>
      <w:r w:rsidRPr="005A497D">
        <w:t xml:space="preserve"> and the results of operations of </w:t>
      </w:r>
      <w:r>
        <w:t>national government agencies</w:t>
      </w:r>
      <w:r w:rsidRPr="005A497D">
        <w:t xml:space="preserve">. Among the financial information in the </w:t>
      </w:r>
      <w:r>
        <w:t>Annual Financial Report</w:t>
      </w:r>
      <w:r w:rsidRPr="005A497D">
        <w:t xml:space="preserve"> </w:t>
      </w:r>
      <w:r>
        <w:t>prior to FY2014 are as follows</w:t>
      </w:r>
      <w:r w:rsidRPr="005A497D">
        <w:t>:</w:t>
      </w:r>
    </w:p>
    <w:p w14:paraId="6E798AA1" w14:textId="77777777" w:rsidR="001762EE" w:rsidRPr="005A497D" w:rsidRDefault="001762EE" w:rsidP="00A37784">
      <w:pPr>
        <w:pStyle w:val="NormalWeb"/>
        <w:autoSpaceDE w:val="0"/>
        <w:autoSpaceDN w:val="0"/>
        <w:adjustRightInd w:val="0"/>
        <w:spacing w:before="0" w:beforeAutospacing="0" w:after="0" w:afterAutospacing="0"/>
        <w:contextualSpacing/>
        <w:jc w:val="both"/>
      </w:pPr>
    </w:p>
    <w:p w14:paraId="47C844B7" w14:textId="1663D2B2"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Condensed Balance Sheet</w:t>
      </w:r>
      <w:r>
        <w:rPr>
          <w:rFonts w:ascii="Times New Roman" w:hAnsi="Times New Roman"/>
          <w:sz w:val="24"/>
          <w:szCs w:val="24"/>
        </w:rPr>
        <w:t>;</w:t>
      </w:r>
    </w:p>
    <w:p w14:paraId="6900EEA1" w14:textId="0E96AC64"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Condensed Statement of Income and Expenses</w:t>
      </w:r>
      <w:r>
        <w:rPr>
          <w:rFonts w:ascii="Times New Roman" w:hAnsi="Times New Roman"/>
          <w:sz w:val="24"/>
          <w:szCs w:val="24"/>
        </w:rPr>
        <w:t>;</w:t>
      </w:r>
    </w:p>
    <w:p w14:paraId="63CF81A2" w14:textId="456034DF"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Condensed Statement of Government Equity</w:t>
      </w:r>
      <w:r>
        <w:rPr>
          <w:rFonts w:ascii="Times New Roman" w:hAnsi="Times New Roman"/>
          <w:sz w:val="24"/>
          <w:szCs w:val="24"/>
        </w:rPr>
        <w:t>;</w:t>
      </w:r>
    </w:p>
    <w:p w14:paraId="2AAD1A51" w14:textId="16D91FDD"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Condensed Statement of Cash Flows</w:t>
      </w:r>
      <w:r>
        <w:rPr>
          <w:rFonts w:ascii="Times New Roman" w:hAnsi="Times New Roman"/>
          <w:sz w:val="24"/>
          <w:szCs w:val="24"/>
        </w:rPr>
        <w:t>;</w:t>
      </w:r>
    </w:p>
    <w:p w14:paraId="4DD74F92" w14:textId="22A81463"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Notes to Financial Statements</w:t>
      </w:r>
      <w:r>
        <w:rPr>
          <w:rFonts w:ascii="Times New Roman" w:hAnsi="Times New Roman"/>
          <w:sz w:val="24"/>
          <w:szCs w:val="24"/>
        </w:rPr>
        <w:t>;</w:t>
      </w:r>
    </w:p>
    <w:p w14:paraId="58146C14" w14:textId="2522EF29"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Financial Analyses of Balance Sheet Assets, Liabilities and Equity</w:t>
      </w:r>
      <w:r>
        <w:rPr>
          <w:rFonts w:ascii="Times New Roman" w:hAnsi="Times New Roman"/>
          <w:sz w:val="24"/>
          <w:szCs w:val="24"/>
        </w:rPr>
        <w:t>;</w:t>
      </w:r>
    </w:p>
    <w:p w14:paraId="22832584" w14:textId="483DBF87"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Financial Analyses of Statement of Income and Expenses</w:t>
      </w:r>
      <w:r>
        <w:rPr>
          <w:rFonts w:ascii="Times New Roman" w:hAnsi="Times New Roman"/>
          <w:sz w:val="24"/>
          <w:szCs w:val="24"/>
        </w:rPr>
        <w:t>;</w:t>
      </w:r>
    </w:p>
    <w:p w14:paraId="1C430229" w14:textId="03E96A66"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Financial Analyses of Cash Flows</w:t>
      </w:r>
      <w:r>
        <w:rPr>
          <w:rFonts w:ascii="Times New Roman" w:hAnsi="Times New Roman"/>
          <w:sz w:val="24"/>
          <w:szCs w:val="24"/>
        </w:rPr>
        <w:t>;</w:t>
      </w:r>
    </w:p>
    <w:p w14:paraId="51B6A421" w14:textId="17C11301"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National Government Debt</w:t>
      </w:r>
      <w:r>
        <w:rPr>
          <w:rFonts w:ascii="Times New Roman" w:hAnsi="Times New Roman"/>
          <w:sz w:val="24"/>
          <w:szCs w:val="24"/>
        </w:rPr>
        <w:t>; and</w:t>
      </w:r>
    </w:p>
    <w:p w14:paraId="66C35988" w14:textId="6502BE84" w:rsidR="001762EE" w:rsidRPr="005A497D" w:rsidRDefault="001762EE" w:rsidP="005A03CD">
      <w:pPr>
        <w:pStyle w:val="NoSpacing"/>
        <w:numPr>
          <w:ilvl w:val="0"/>
          <w:numId w:val="21"/>
        </w:numPr>
        <w:rPr>
          <w:rFonts w:ascii="Times New Roman" w:hAnsi="Times New Roman"/>
          <w:sz w:val="24"/>
          <w:szCs w:val="24"/>
        </w:rPr>
      </w:pPr>
      <w:r w:rsidRPr="005A497D">
        <w:rPr>
          <w:rFonts w:ascii="Times New Roman" w:hAnsi="Times New Roman"/>
          <w:sz w:val="24"/>
          <w:szCs w:val="24"/>
        </w:rPr>
        <w:t>Significant and Common Audit Observation and Recommendations</w:t>
      </w:r>
      <w:r>
        <w:rPr>
          <w:rFonts w:ascii="Times New Roman" w:hAnsi="Times New Roman"/>
          <w:sz w:val="24"/>
          <w:szCs w:val="24"/>
        </w:rPr>
        <w:t>.</w:t>
      </w:r>
    </w:p>
    <w:p w14:paraId="6F4EA48C" w14:textId="77777777" w:rsidR="001762EE" w:rsidRPr="005A497D" w:rsidRDefault="001762EE" w:rsidP="00A37784">
      <w:pPr>
        <w:pStyle w:val="NormalWeb2"/>
        <w:spacing w:before="0" w:after="0"/>
        <w:jc w:val="both"/>
        <w:rPr>
          <w:szCs w:val="24"/>
        </w:rPr>
      </w:pPr>
    </w:p>
    <w:p w14:paraId="3CF22496" w14:textId="4C211E7E" w:rsidR="001762EE" w:rsidRPr="00E34718" w:rsidRDefault="001762EE" w:rsidP="00F36772">
      <w:pPr>
        <w:pStyle w:val="NormalWeb"/>
        <w:numPr>
          <w:ilvl w:val="0"/>
          <w:numId w:val="6"/>
        </w:numPr>
        <w:autoSpaceDE w:val="0"/>
        <w:autoSpaceDN w:val="0"/>
        <w:adjustRightInd w:val="0"/>
        <w:spacing w:before="0" w:beforeAutospacing="0" w:after="0" w:afterAutospacing="0"/>
        <w:ind w:left="0" w:firstLine="0"/>
        <w:contextualSpacing/>
        <w:jc w:val="both"/>
        <w:rPr>
          <w:rFonts w:eastAsia="Calibri"/>
        </w:rPr>
      </w:pPr>
      <w:r w:rsidRPr="00E34718">
        <w:rPr>
          <w:rFonts w:eastAsia="Calibri"/>
        </w:rPr>
        <w:t xml:space="preserve">With the adoption of 25 PPSAS through </w:t>
      </w:r>
      <w:r>
        <w:rPr>
          <w:rFonts w:eastAsia="Calibri"/>
        </w:rPr>
        <w:t>CoA</w:t>
      </w:r>
      <w:r w:rsidRPr="00E34718">
        <w:rPr>
          <w:rFonts w:eastAsia="Calibri"/>
        </w:rPr>
        <w:t xml:space="preserve"> Resolution No. 2014-003</w:t>
      </w:r>
      <w:r>
        <w:rPr>
          <w:rFonts w:eastAsia="Calibri"/>
        </w:rPr>
        <w:t>,</w:t>
      </w:r>
      <w:r w:rsidRPr="00E34718">
        <w:rPr>
          <w:rFonts w:eastAsia="Calibri"/>
        </w:rPr>
        <w:t xml:space="preserve"> dated January 24, 2014, </w:t>
      </w:r>
      <w:r>
        <w:rPr>
          <w:rFonts w:eastAsia="Calibri"/>
        </w:rPr>
        <w:t>the Commission on Audit</w:t>
      </w:r>
      <w:r w:rsidRPr="00E34718">
        <w:rPr>
          <w:rFonts w:eastAsia="Calibri"/>
        </w:rPr>
        <w:t xml:space="preserve"> renamed and reformatted the four financial statements prescribed under the NGAS and required two more financial statements to be submitted by government agencies. The </w:t>
      </w:r>
      <w:r>
        <w:rPr>
          <w:rFonts w:eastAsia="Calibri"/>
        </w:rPr>
        <w:t xml:space="preserve">Annual Financial Report </w:t>
      </w:r>
      <w:r w:rsidRPr="00E34718">
        <w:rPr>
          <w:rFonts w:eastAsia="Calibri"/>
        </w:rPr>
        <w:t>for National Government Agencies for 2014 includes the following financial information:</w:t>
      </w:r>
    </w:p>
    <w:p w14:paraId="33E894AF" w14:textId="77777777" w:rsidR="001762EE" w:rsidRDefault="001762EE" w:rsidP="00493520">
      <w:pPr>
        <w:ind w:left="900" w:hanging="360"/>
        <w:rPr>
          <w:rFonts w:eastAsia="Calibri"/>
        </w:rPr>
      </w:pPr>
    </w:p>
    <w:p w14:paraId="3072518E" w14:textId="7BC673C6" w:rsidR="001762EE" w:rsidRPr="00E34718" w:rsidRDefault="001762EE" w:rsidP="00493520">
      <w:pPr>
        <w:ind w:left="900" w:hanging="360"/>
        <w:rPr>
          <w:rFonts w:eastAsia="Calibri"/>
        </w:rPr>
      </w:pPr>
      <w:r w:rsidRPr="00E34718">
        <w:rPr>
          <w:rFonts w:eastAsia="Calibri"/>
        </w:rPr>
        <w:t>a)</w:t>
      </w:r>
      <w:r>
        <w:rPr>
          <w:rFonts w:eastAsia="Calibri"/>
        </w:rPr>
        <w:tab/>
      </w:r>
      <w:r w:rsidRPr="00E34718">
        <w:rPr>
          <w:rFonts w:eastAsia="Calibri"/>
        </w:rPr>
        <w:t>Statement of Financial Position, showing current and non-current assets and liabilities</w:t>
      </w:r>
      <w:r>
        <w:rPr>
          <w:rFonts w:eastAsia="Calibri"/>
        </w:rPr>
        <w:t>;</w:t>
      </w:r>
    </w:p>
    <w:p w14:paraId="2CAF7DDE" w14:textId="7B8DE321" w:rsidR="001762EE" w:rsidRPr="00E34718" w:rsidRDefault="001762EE" w:rsidP="00493520">
      <w:pPr>
        <w:ind w:left="900" w:hanging="360"/>
        <w:rPr>
          <w:rFonts w:eastAsia="Calibri"/>
        </w:rPr>
      </w:pPr>
      <w:r w:rsidRPr="00E34718">
        <w:rPr>
          <w:rFonts w:eastAsia="Calibri"/>
        </w:rPr>
        <w:t>b)</w:t>
      </w:r>
      <w:r>
        <w:rPr>
          <w:rFonts w:eastAsia="Calibri"/>
        </w:rPr>
        <w:tab/>
      </w:r>
      <w:r w:rsidRPr="00E34718">
        <w:rPr>
          <w:rFonts w:eastAsia="Calibri"/>
        </w:rPr>
        <w:t xml:space="preserve">Statement of </w:t>
      </w:r>
      <w:r w:rsidR="00E27851">
        <w:rPr>
          <w:rFonts w:eastAsia="Calibri"/>
        </w:rPr>
        <w:t>Financial Performance</w:t>
      </w:r>
      <w:r>
        <w:rPr>
          <w:rFonts w:eastAsia="Calibri"/>
        </w:rPr>
        <w:t>;</w:t>
      </w:r>
    </w:p>
    <w:p w14:paraId="637C79D9" w14:textId="4F8F3D21" w:rsidR="001762EE" w:rsidRPr="00E34718" w:rsidRDefault="001762EE" w:rsidP="00493520">
      <w:pPr>
        <w:ind w:left="900" w:hanging="360"/>
        <w:rPr>
          <w:rFonts w:eastAsia="Calibri"/>
        </w:rPr>
      </w:pPr>
      <w:r w:rsidRPr="00E34718">
        <w:rPr>
          <w:rFonts w:eastAsia="Calibri"/>
        </w:rPr>
        <w:t>c)</w:t>
      </w:r>
      <w:r>
        <w:rPr>
          <w:rFonts w:eastAsia="Calibri"/>
        </w:rPr>
        <w:tab/>
      </w:r>
      <w:r w:rsidRPr="00E34718">
        <w:rPr>
          <w:rFonts w:eastAsia="Calibri"/>
        </w:rPr>
        <w:t>Statement of Cash Flows</w:t>
      </w:r>
      <w:r>
        <w:rPr>
          <w:rFonts w:eastAsia="Calibri"/>
        </w:rPr>
        <w:t>;</w:t>
      </w:r>
    </w:p>
    <w:p w14:paraId="395B6F9F" w14:textId="4528E95D" w:rsidR="001762EE" w:rsidRPr="00E34718" w:rsidRDefault="001762EE" w:rsidP="00493520">
      <w:pPr>
        <w:ind w:left="900" w:hanging="360"/>
        <w:rPr>
          <w:rFonts w:eastAsia="Calibri"/>
        </w:rPr>
      </w:pPr>
      <w:r w:rsidRPr="00E34718">
        <w:rPr>
          <w:rFonts w:eastAsia="Calibri"/>
        </w:rPr>
        <w:t>d)</w:t>
      </w:r>
      <w:r>
        <w:rPr>
          <w:rFonts w:eastAsia="Calibri"/>
        </w:rPr>
        <w:tab/>
      </w:r>
      <w:r w:rsidRPr="00E34718">
        <w:rPr>
          <w:rFonts w:eastAsia="Calibri"/>
        </w:rPr>
        <w:t>Statement of Changes in Net Assets/Equity</w:t>
      </w:r>
      <w:r>
        <w:rPr>
          <w:rFonts w:eastAsia="Calibri"/>
        </w:rPr>
        <w:t>;</w:t>
      </w:r>
    </w:p>
    <w:p w14:paraId="03D5EEEC" w14:textId="4D8D6E79" w:rsidR="001762EE" w:rsidRPr="00E34718" w:rsidRDefault="001762EE" w:rsidP="00493520">
      <w:pPr>
        <w:ind w:left="900" w:hanging="360"/>
        <w:rPr>
          <w:rFonts w:eastAsia="Calibri"/>
        </w:rPr>
      </w:pPr>
      <w:r w:rsidRPr="00E34718">
        <w:rPr>
          <w:rFonts w:eastAsia="Calibri"/>
        </w:rPr>
        <w:t>e)</w:t>
      </w:r>
      <w:r>
        <w:rPr>
          <w:rFonts w:eastAsia="Calibri"/>
        </w:rPr>
        <w:tab/>
      </w:r>
      <w:r w:rsidRPr="00E34718">
        <w:rPr>
          <w:rFonts w:eastAsia="Calibri"/>
        </w:rPr>
        <w:t>Statement of Comparison of Budget and Actual Amounts</w:t>
      </w:r>
      <w:r>
        <w:rPr>
          <w:rFonts w:eastAsia="Calibri"/>
        </w:rPr>
        <w:t>;</w:t>
      </w:r>
    </w:p>
    <w:p w14:paraId="413B8423" w14:textId="45D4020E" w:rsidR="001762EE" w:rsidRPr="00E34718" w:rsidRDefault="001762EE" w:rsidP="00493520">
      <w:pPr>
        <w:ind w:left="900" w:hanging="360"/>
        <w:rPr>
          <w:rFonts w:eastAsia="Calibri"/>
        </w:rPr>
      </w:pPr>
      <w:r w:rsidRPr="00E34718">
        <w:rPr>
          <w:rFonts w:eastAsia="Calibri"/>
        </w:rPr>
        <w:t>f)</w:t>
      </w:r>
      <w:r>
        <w:rPr>
          <w:rFonts w:eastAsia="Calibri"/>
        </w:rPr>
        <w:tab/>
      </w:r>
      <w:r w:rsidRPr="00E34718">
        <w:rPr>
          <w:rFonts w:eastAsia="Calibri"/>
        </w:rPr>
        <w:t>Notes to Financial Statements</w:t>
      </w:r>
      <w:r>
        <w:rPr>
          <w:rFonts w:eastAsia="Calibri"/>
        </w:rPr>
        <w:t>;</w:t>
      </w:r>
    </w:p>
    <w:p w14:paraId="23491998" w14:textId="4E1F3762" w:rsidR="001762EE" w:rsidRPr="00E34718" w:rsidRDefault="001762EE" w:rsidP="00493520">
      <w:pPr>
        <w:ind w:left="900" w:hanging="360"/>
        <w:rPr>
          <w:rFonts w:eastAsia="Calibri"/>
        </w:rPr>
      </w:pPr>
      <w:r w:rsidRPr="00E34718">
        <w:rPr>
          <w:rFonts w:eastAsia="Calibri"/>
        </w:rPr>
        <w:t>g)</w:t>
      </w:r>
      <w:r>
        <w:rPr>
          <w:rFonts w:eastAsia="Calibri"/>
        </w:rPr>
        <w:tab/>
      </w:r>
      <w:r w:rsidRPr="00E34718">
        <w:rPr>
          <w:rFonts w:eastAsia="Calibri"/>
        </w:rPr>
        <w:t>National Government Debt</w:t>
      </w:r>
      <w:r>
        <w:rPr>
          <w:rFonts w:eastAsia="Calibri"/>
        </w:rPr>
        <w:t>;</w:t>
      </w:r>
    </w:p>
    <w:p w14:paraId="46679EC1" w14:textId="6CA146DE" w:rsidR="001762EE" w:rsidRPr="00E34718" w:rsidRDefault="001762EE" w:rsidP="00493520">
      <w:pPr>
        <w:ind w:left="900" w:hanging="360"/>
        <w:rPr>
          <w:rFonts w:eastAsia="Calibri"/>
        </w:rPr>
      </w:pPr>
      <w:r w:rsidRPr="00E34718">
        <w:rPr>
          <w:rFonts w:eastAsia="Calibri"/>
        </w:rPr>
        <w:t>h)</w:t>
      </w:r>
      <w:r>
        <w:rPr>
          <w:rFonts w:eastAsia="Calibri"/>
        </w:rPr>
        <w:tab/>
      </w:r>
      <w:r w:rsidRPr="00E34718">
        <w:rPr>
          <w:rFonts w:eastAsia="Calibri"/>
        </w:rPr>
        <w:t>Significant and Common Audit Observations and Recommendations</w:t>
      </w:r>
      <w:r>
        <w:rPr>
          <w:rFonts w:eastAsia="Calibri"/>
        </w:rPr>
        <w:t>; and</w:t>
      </w:r>
    </w:p>
    <w:p w14:paraId="10423758" w14:textId="1A0411D9" w:rsidR="001762EE" w:rsidRDefault="001762EE" w:rsidP="00493520">
      <w:pPr>
        <w:pStyle w:val="NormalWeb2"/>
        <w:spacing w:before="0" w:after="0"/>
        <w:ind w:left="900" w:hanging="360"/>
        <w:jc w:val="both"/>
        <w:rPr>
          <w:rFonts w:eastAsia="Calibri"/>
          <w:color w:val="auto"/>
          <w:szCs w:val="24"/>
        </w:rPr>
      </w:pPr>
      <w:r w:rsidRPr="00E34718">
        <w:rPr>
          <w:rFonts w:eastAsia="Calibri"/>
          <w:color w:val="auto"/>
          <w:szCs w:val="24"/>
        </w:rPr>
        <w:t>i)</w:t>
      </w:r>
      <w:r>
        <w:rPr>
          <w:rFonts w:eastAsia="Calibri"/>
          <w:color w:val="auto"/>
          <w:szCs w:val="24"/>
        </w:rPr>
        <w:tab/>
      </w:r>
      <w:r w:rsidRPr="00E34718">
        <w:rPr>
          <w:rFonts w:eastAsia="Calibri"/>
          <w:color w:val="auto"/>
          <w:szCs w:val="24"/>
        </w:rPr>
        <w:t>Summary of Audit Opinions</w:t>
      </w:r>
      <w:r>
        <w:rPr>
          <w:rFonts w:eastAsia="Calibri"/>
          <w:color w:val="auto"/>
          <w:szCs w:val="24"/>
        </w:rPr>
        <w:t>.</w:t>
      </w:r>
    </w:p>
    <w:p w14:paraId="6F6AA9E4" w14:textId="77777777" w:rsidR="001762EE" w:rsidRPr="00AD0068" w:rsidRDefault="001762EE" w:rsidP="00493520">
      <w:pPr>
        <w:pStyle w:val="NormalWeb2"/>
        <w:spacing w:before="0" w:after="0"/>
        <w:ind w:left="900" w:hanging="360"/>
        <w:jc w:val="both"/>
        <w:rPr>
          <w:szCs w:val="24"/>
        </w:rPr>
      </w:pPr>
    </w:p>
    <w:p w14:paraId="370B8F83" w14:textId="2A228668" w:rsidR="001762EE" w:rsidRPr="005A497D" w:rsidRDefault="001762EE" w:rsidP="00402618">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w:t>
      </w:r>
      <w:r>
        <w:t xml:space="preserve">Bureau of </w:t>
      </w:r>
      <w:r w:rsidR="00E27851">
        <w:t xml:space="preserve">the </w:t>
      </w:r>
      <w:r>
        <w:t>Treasury maintains the n</w:t>
      </w:r>
      <w:r w:rsidRPr="005A497D">
        <w:t xml:space="preserve">ational </w:t>
      </w:r>
      <w:r>
        <w:t>g</w:t>
      </w:r>
      <w:r w:rsidRPr="005A497D">
        <w:t xml:space="preserve">overnment books. </w:t>
      </w:r>
      <w:r w:rsidRPr="00E34718">
        <w:t>The financial data is taken from payment and collection reports from the authorized government depository banks</w:t>
      </w:r>
      <w:r>
        <w:t xml:space="preserve"> and </w:t>
      </w:r>
      <w:r w:rsidRPr="00E34718">
        <w:t xml:space="preserve">authorized agent banks.  Under the NGAS, national government agencies maintained two sets of books (regular agency and </w:t>
      </w:r>
      <w:r>
        <w:t>national government</w:t>
      </w:r>
      <w:r w:rsidRPr="00E34718">
        <w:t xml:space="preserve"> books) and submitted two sets of financial statements</w:t>
      </w:r>
      <w:r>
        <w:t>,</w:t>
      </w:r>
      <w:r w:rsidRPr="00E34718">
        <w:t xml:space="preserve"> which were prepared by </w:t>
      </w:r>
      <w:r>
        <w:t>a</w:t>
      </w:r>
      <w:r w:rsidRPr="00E34718">
        <w:t xml:space="preserve">gency accountants in accordance with existing rules and regulations.  </w:t>
      </w:r>
      <w:r>
        <w:t>Since</w:t>
      </w:r>
      <w:r w:rsidRPr="00E34718">
        <w:t xml:space="preserve"> </w:t>
      </w:r>
      <w:r>
        <w:t>UACS</w:t>
      </w:r>
      <w:r w:rsidRPr="00E34718">
        <w:t xml:space="preserve"> adoption in 2014, national government agencies maintain books of accounts by fund cluster.  There are seven fund clusters provided in the UACS Manual.</w:t>
      </w:r>
      <w:r>
        <w:t xml:space="preserve"> </w:t>
      </w:r>
      <w:r w:rsidRPr="005A497D">
        <w:t xml:space="preserve">The financial data </w:t>
      </w:r>
      <w:r>
        <w:t xml:space="preserve">for the Annual Financial Report </w:t>
      </w:r>
      <w:r w:rsidRPr="005A497D">
        <w:t xml:space="preserve">is taken from </w:t>
      </w:r>
      <w:r>
        <w:t xml:space="preserve">audited </w:t>
      </w:r>
      <w:r w:rsidRPr="005A497D">
        <w:t xml:space="preserve">financial </w:t>
      </w:r>
      <w:r>
        <w:t>statements;</w:t>
      </w:r>
      <w:r w:rsidRPr="005A497D">
        <w:t xml:space="preserve"> </w:t>
      </w:r>
      <w:r>
        <w:t>the a</w:t>
      </w:r>
      <w:r w:rsidRPr="005A497D">
        <w:t xml:space="preserve">gency accountants </w:t>
      </w:r>
      <w:r>
        <w:t>prepare the reports</w:t>
      </w:r>
      <w:r w:rsidRPr="005A497D">
        <w:t xml:space="preserve"> in accordance with existing rules and regulations.</w:t>
      </w:r>
    </w:p>
    <w:p w14:paraId="518D69C8" w14:textId="77777777" w:rsidR="001762EE" w:rsidRPr="005A497D" w:rsidRDefault="001762EE" w:rsidP="009E4327">
      <w:pPr>
        <w:pStyle w:val="NormalWeb"/>
        <w:autoSpaceDE w:val="0"/>
        <w:autoSpaceDN w:val="0"/>
        <w:adjustRightInd w:val="0"/>
        <w:spacing w:before="0" w:beforeAutospacing="0" w:after="0" w:afterAutospacing="0"/>
        <w:contextualSpacing/>
        <w:jc w:val="both"/>
      </w:pPr>
    </w:p>
    <w:p w14:paraId="39200BA7" w14:textId="0164664E"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736878">
        <w:t>Misstatements identified during audit are discussed with management</w:t>
      </w:r>
      <w:r w:rsidR="00E27851" w:rsidRPr="00E27851">
        <w:t xml:space="preserve"> </w:t>
      </w:r>
      <w:r w:rsidR="00E27851">
        <w:t>during audit exit conferences</w:t>
      </w:r>
      <w:r w:rsidRPr="00736878">
        <w:t>, usually through</w:t>
      </w:r>
      <w:r>
        <w:t xml:space="preserve"> an</w:t>
      </w:r>
      <w:r w:rsidRPr="00736878">
        <w:t xml:space="preserve"> Audit Observations Memorandum (AOM).  Ideally, agency accountants adjust their books of accounts based on audit recommendations and submit adjusted financial statements.  </w:t>
      </w:r>
      <w:r>
        <w:t>H</w:t>
      </w:r>
      <w:r w:rsidRPr="00E34718">
        <w:t xml:space="preserve">owever, misstatements </w:t>
      </w:r>
      <w:r>
        <w:t>might be</w:t>
      </w:r>
      <w:r w:rsidRPr="00E34718">
        <w:t xml:space="preserve"> adjusted in the ensuing year particularly </w:t>
      </w:r>
      <w:r>
        <w:t xml:space="preserve">in cases </w:t>
      </w:r>
      <w:r w:rsidRPr="00E34718">
        <w:t>when there is no time</w:t>
      </w:r>
      <w:r>
        <w:t>, due to submission deadlines of audit reports,</w:t>
      </w:r>
      <w:r w:rsidRPr="00E34718">
        <w:t xml:space="preserve"> to </w:t>
      </w:r>
      <w:r>
        <w:t>make</w:t>
      </w:r>
      <w:r w:rsidRPr="00E34718">
        <w:t xml:space="preserve"> adjustments and submit </w:t>
      </w:r>
      <w:r>
        <w:t xml:space="preserve">the </w:t>
      </w:r>
      <w:r w:rsidRPr="00E34718">
        <w:t xml:space="preserve">adjusted </w:t>
      </w:r>
      <w:r>
        <w:t>financial statements</w:t>
      </w:r>
      <w:r w:rsidRPr="00E34718">
        <w:t xml:space="preserve"> to auditors.  Misstatements that remained unadjusted are considered by the auditors in rendering opinion, other than unqualified opinion, on the fairness of the presentation of the financial statements</w:t>
      </w:r>
      <w:r w:rsidRPr="003800DA">
        <w:rPr>
          <w:sz w:val="22"/>
          <w:szCs w:val="22"/>
        </w:rPr>
        <w:t>.</w:t>
      </w:r>
      <w:r>
        <w:rPr>
          <w:sz w:val="22"/>
          <w:szCs w:val="22"/>
        </w:rPr>
        <w:t xml:space="preserve"> </w:t>
      </w:r>
      <w:r w:rsidRPr="005A497D">
        <w:t>Many of these errors in the individual financial statements are material</w:t>
      </w:r>
      <w:r>
        <w:t>,</w:t>
      </w:r>
      <w:r w:rsidRPr="005A497D">
        <w:t xml:space="preserve"> </w:t>
      </w:r>
      <w:r>
        <w:t>resulting in qualified opinions</w:t>
      </w:r>
      <w:r w:rsidRPr="005A497D">
        <w:t xml:space="preserve"> and using them without the appropriate rectification leads to inaccurate reporting in the </w:t>
      </w:r>
      <w:r>
        <w:t>Annual Financial Report</w:t>
      </w:r>
      <w:r w:rsidRPr="005A497D">
        <w:t xml:space="preserve">. </w:t>
      </w:r>
      <w:r>
        <w:t>Furthermore</w:t>
      </w:r>
      <w:r w:rsidRPr="005A497D">
        <w:t>, the inter-agency balances are not adjusted</w:t>
      </w:r>
      <w:r>
        <w:t>,</w:t>
      </w:r>
      <w:r w:rsidRPr="005A497D">
        <w:t xml:space="preserve"> and thus the data is simply compiled rather than consolidated.</w:t>
      </w:r>
      <w:r w:rsidRPr="00402618">
        <w:t xml:space="preserve"> </w:t>
      </w:r>
      <w:r>
        <w:t xml:space="preserve">The Commission on Audit does not provide an overall audit opinion on the Annual Financial Report. Due to the qualified opinions on the majority of individual agency financial statements, integrity and completeness of overall financial data may not be ascertained. </w:t>
      </w:r>
      <w:r w:rsidRPr="005A497D">
        <w:t xml:space="preserve">Nevertheless, </w:t>
      </w:r>
      <w:r>
        <w:t xml:space="preserve">the Commission </w:t>
      </w:r>
      <w:r w:rsidRPr="005A497D">
        <w:t>mentioned that previous experiences disclosed no material discrepancies that may adversely affect the integrity of the overall financial data.</w:t>
      </w:r>
    </w:p>
    <w:p w14:paraId="1D6BD206" w14:textId="77777777" w:rsidR="001762EE" w:rsidRPr="005A497D" w:rsidRDefault="001762EE" w:rsidP="009E4327">
      <w:pPr>
        <w:pStyle w:val="NormalWeb"/>
        <w:autoSpaceDE w:val="0"/>
        <w:autoSpaceDN w:val="0"/>
        <w:adjustRightInd w:val="0"/>
        <w:spacing w:before="0" w:beforeAutospacing="0" w:after="0" w:afterAutospacing="0"/>
        <w:contextualSpacing/>
        <w:jc w:val="both"/>
      </w:pPr>
    </w:p>
    <w:p w14:paraId="4C64E72D" w14:textId="2780AA47" w:rsidR="001762EE" w:rsidRPr="005A497D" w:rsidRDefault="00E27851" w:rsidP="005A03CD">
      <w:pPr>
        <w:pStyle w:val="NormalWeb"/>
        <w:numPr>
          <w:ilvl w:val="0"/>
          <w:numId w:val="6"/>
        </w:numPr>
        <w:autoSpaceDE w:val="0"/>
        <w:autoSpaceDN w:val="0"/>
        <w:adjustRightInd w:val="0"/>
        <w:spacing w:before="0" w:beforeAutospacing="0" w:after="0" w:afterAutospacing="0"/>
        <w:ind w:left="0" w:firstLine="0"/>
        <w:contextualSpacing/>
        <w:jc w:val="both"/>
      </w:pPr>
      <w:r>
        <w:t>Starting 2014, t</w:t>
      </w:r>
      <w:r w:rsidR="001762EE" w:rsidRPr="005A497D">
        <w:t xml:space="preserve">he </w:t>
      </w:r>
      <w:r w:rsidR="001762EE">
        <w:t>Annual Financial Report</w:t>
      </w:r>
      <w:r w:rsidR="001762EE" w:rsidRPr="005A497D">
        <w:t xml:space="preserve"> include</w:t>
      </w:r>
      <w:r>
        <w:t>s</w:t>
      </w:r>
      <w:r w:rsidR="001762EE" w:rsidRPr="005A497D">
        <w:t xml:space="preserve"> a statement comparing the </w:t>
      </w:r>
      <w:r>
        <w:t xml:space="preserve">obligations </w:t>
      </w:r>
      <w:r w:rsidR="001762EE" w:rsidRPr="005A497D">
        <w:t xml:space="preserve">with the original budget. </w:t>
      </w:r>
      <w:r w:rsidR="001762EE">
        <w:t>However, p</w:t>
      </w:r>
      <w:r w:rsidR="001762EE" w:rsidRPr="00E34718">
        <w:t xml:space="preserve">ursuant to </w:t>
      </w:r>
      <w:r w:rsidR="001762EE">
        <w:t>RA</w:t>
      </w:r>
      <w:r w:rsidR="001762EE" w:rsidRPr="00E34718">
        <w:t xml:space="preserve"> No. 7226 dated March 12, 1992, </w:t>
      </w:r>
      <w:r w:rsidR="001762EE">
        <w:t>the Commission on Audi</w:t>
      </w:r>
      <w:r>
        <w:t>t</w:t>
      </w:r>
      <w:r w:rsidR="001762EE" w:rsidRPr="00E34718">
        <w:t xml:space="preserve"> prepares a separate report named Annual Report on Allotments, Obligations and Disbursements (ARAOD). In 2014, </w:t>
      </w:r>
      <w:r w:rsidR="001762EE">
        <w:t>the Commission</w:t>
      </w:r>
      <w:r w:rsidR="001762EE" w:rsidRPr="00E34718">
        <w:t xml:space="preserve"> prepared Annual Report on Appropriations, Allotments, Obligations and Disbursements (ARAAOD) in compliance with RA 7226 and Special Provision No. 6 on </w:t>
      </w:r>
      <w:r w:rsidR="001762EE">
        <w:t>the Commission on Audit</w:t>
      </w:r>
      <w:r w:rsidR="001762EE" w:rsidRPr="00E34718">
        <w:t xml:space="preserve"> in </w:t>
      </w:r>
      <w:r w:rsidR="001762EE">
        <w:t xml:space="preserve">the </w:t>
      </w:r>
      <w:r w:rsidR="001762EE" w:rsidRPr="00E34718">
        <w:t>Gen</w:t>
      </w:r>
      <w:r w:rsidR="001762EE">
        <w:t xml:space="preserve">eral Appropriations </w:t>
      </w:r>
      <w:r w:rsidR="001762EE" w:rsidRPr="0009005F">
        <w:t xml:space="preserve">Act of 2014.  The </w:t>
      </w:r>
      <w:r w:rsidR="001762EE" w:rsidRPr="00EC5DE8">
        <w:t>Budget and Financial Accountability Reports form the basis of this report as</w:t>
      </w:r>
      <w:r w:rsidR="001762EE">
        <w:rPr>
          <w:sz w:val="20"/>
          <w:szCs w:val="20"/>
        </w:rPr>
        <w:t xml:space="preserve"> </w:t>
      </w:r>
      <w:r w:rsidR="001762EE" w:rsidRPr="005A497D">
        <w:t xml:space="preserve">submitted to </w:t>
      </w:r>
      <w:r w:rsidR="001762EE">
        <w:t>the Commission on Audit</w:t>
      </w:r>
      <w:r w:rsidR="001762EE" w:rsidRPr="005A497D">
        <w:t xml:space="preserve"> and </w:t>
      </w:r>
      <w:r w:rsidR="001762EE">
        <w:t>Department of Budget and Management</w:t>
      </w:r>
      <w:r w:rsidR="001762EE" w:rsidRPr="005A497D">
        <w:t xml:space="preserve"> as outlined in the DBM</w:t>
      </w:r>
      <w:r w:rsidR="00B526C2">
        <w:t>/</w:t>
      </w:r>
      <w:r w:rsidR="001762EE">
        <w:t>CoA</w:t>
      </w:r>
      <w:r w:rsidR="001762EE" w:rsidRPr="005A497D">
        <w:t xml:space="preserve"> Joint Circular No. 2014-1</w:t>
      </w:r>
      <w:r w:rsidR="001762EE">
        <w:t>,</w:t>
      </w:r>
      <w:r w:rsidR="001762EE" w:rsidRPr="005A497D">
        <w:t xml:space="preserve"> dated July 2, 2014. The </w:t>
      </w:r>
      <w:r w:rsidR="001762EE">
        <w:t xml:space="preserve">2014 </w:t>
      </w:r>
      <w:r w:rsidR="001762EE" w:rsidRPr="005A497D">
        <w:t>ARAAOD was submitted to the President, Senate</w:t>
      </w:r>
      <w:r w:rsidR="001762EE">
        <w:t>,</w:t>
      </w:r>
      <w:r w:rsidR="001762EE" w:rsidRPr="005A497D">
        <w:t xml:space="preserve"> and </w:t>
      </w:r>
      <w:r w:rsidR="001762EE">
        <w:t>House of Representatives</w:t>
      </w:r>
      <w:r w:rsidR="001762EE" w:rsidRPr="005A497D">
        <w:t xml:space="preserve"> </w:t>
      </w:r>
      <w:r w:rsidR="001762EE">
        <w:t>o</w:t>
      </w:r>
      <w:r w:rsidR="001762EE" w:rsidRPr="005A497D">
        <w:t xml:space="preserve">n April </w:t>
      </w:r>
      <w:r w:rsidR="001762EE">
        <w:t xml:space="preserve">30, </w:t>
      </w:r>
      <w:r w:rsidR="001762EE" w:rsidRPr="005A497D">
        <w:t>2015.</w:t>
      </w:r>
    </w:p>
    <w:p w14:paraId="56058FA0" w14:textId="77777777" w:rsidR="001762EE" w:rsidRPr="005A497D" w:rsidRDefault="001762EE" w:rsidP="009E4327">
      <w:pPr>
        <w:pStyle w:val="NormalWeb"/>
        <w:autoSpaceDE w:val="0"/>
        <w:autoSpaceDN w:val="0"/>
        <w:adjustRightInd w:val="0"/>
        <w:spacing w:before="0" w:beforeAutospacing="0" w:after="0" w:afterAutospacing="0"/>
        <w:contextualSpacing/>
        <w:jc w:val="both"/>
      </w:pPr>
    </w:p>
    <w:p w14:paraId="2E63C4A5" w14:textId="4D10471A"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Considering the information contained in </w:t>
      </w:r>
      <w:r>
        <w:t>the Annual Financial Report</w:t>
      </w:r>
      <w:r w:rsidRPr="005A497D">
        <w:t xml:space="preserve"> and ARAAOD introduced in 2014, the score</w:t>
      </w:r>
      <w:r>
        <w:t xml:space="preserve"> for Dimension 29.1</w:t>
      </w:r>
      <w:r w:rsidRPr="005A497D">
        <w:t xml:space="preserve"> is assessed at “B”.</w:t>
      </w:r>
    </w:p>
    <w:p w14:paraId="447BA769" w14:textId="77777777" w:rsidR="001762EE" w:rsidRPr="005A497D" w:rsidRDefault="001762EE" w:rsidP="00967FE0">
      <w:pPr>
        <w:pStyle w:val="NormalWeb"/>
        <w:autoSpaceDE w:val="0"/>
        <w:autoSpaceDN w:val="0"/>
        <w:adjustRightInd w:val="0"/>
        <w:spacing w:before="0" w:beforeAutospacing="0" w:after="0" w:afterAutospacing="0"/>
        <w:contextualSpacing/>
        <w:jc w:val="both"/>
      </w:pPr>
    </w:p>
    <w:p w14:paraId="56D24D32" w14:textId="2A9122F2" w:rsidR="001762EE" w:rsidRPr="0025475E" w:rsidRDefault="001762EE" w:rsidP="00B75D9F">
      <w:pPr>
        <w:pStyle w:val="FreeFormAAAA"/>
        <w:jc w:val="both"/>
        <w:rPr>
          <w:b/>
          <w:i/>
          <w:sz w:val="24"/>
          <w:szCs w:val="24"/>
          <w:lang w:val="en-US"/>
        </w:rPr>
      </w:pPr>
      <w:r w:rsidRPr="0025475E">
        <w:rPr>
          <w:b/>
          <w:i/>
          <w:sz w:val="24"/>
          <w:szCs w:val="24"/>
          <w:lang w:val="en-US"/>
        </w:rPr>
        <w:t>Dimension 29.2 Submission of reports for external audit</w:t>
      </w:r>
    </w:p>
    <w:p w14:paraId="55DD973F" w14:textId="77777777" w:rsidR="001762EE" w:rsidRPr="00BB26ED" w:rsidRDefault="001762EE" w:rsidP="00B75D9F">
      <w:pPr>
        <w:pStyle w:val="FreeFormAAAA"/>
        <w:jc w:val="both"/>
        <w:rPr>
          <w:sz w:val="24"/>
          <w:szCs w:val="24"/>
          <w:lang w:val="en-US"/>
        </w:rPr>
      </w:pPr>
    </w:p>
    <w:p w14:paraId="5CE86023" w14:textId="3D2B2E8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annual financial statements of different departments and agencies are submitted to </w:t>
      </w:r>
      <w:r>
        <w:t>the Commission on Audit</w:t>
      </w:r>
      <w:r w:rsidRPr="005A497D">
        <w:t xml:space="preserve"> after close of the fiscal year. Based on records given by </w:t>
      </w:r>
      <w:r>
        <w:t xml:space="preserve">the Commission </w:t>
      </w:r>
      <w:r w:rsidRPr="005A497D">
        <w:t>on some selected departments and agencies for 201</w:t>
      </w:r>
      <w:r>
        <w:t>4</w:t>
      </w:r>
      <w:r w:rsidRPr="005A497D">
        <w:t xml:space="preserve">, the earliest </w:t>
      </w:r>
      <w:r>
        <w:t xml:space="preserve">agency </w:t>
      </w:r>
      <w:r w:rsidRPr="005A497D">
        <w:t xml:space="preserve">to submit was the </w:t>
      </w:r>
      <w:r>
        <w:t xml:space="preserve">Philippine Racing Commission </w:t>
      </w:r>
      <w:r w:rsidRPr="005A497D">
        <w:t xml:space="preserve">on January </w:t>
      </w:r>
      <w:r>
        <w:t>14</w:t>
      </w:r>
      <w:r w:rsidRPr="005A497D">
        <w:t>, 201</w:t>
      </w:r>
      <w:r>
        <w:t>5,</w:t>
      </w:r>
      <w:r w:rsidRPr="005A497D">
        <w:t xml:space="preserve"> while the last </w:t>
      </w:r>
      <w:r>
        <w:t>financial statements received were</w:t>
      </w:r>
      <w:r w:rsidRPr="005A497D">
        <w:t xml:space="preserve"> </w:t>
      </w:r>
      <w:r>
        <w:t xml:space="preserve">from </w:t>
      </w:r>
      <w:r w:rsidRPr="005A497D">
        <w:t xml:space="preserve">the </w:t>
      </w:r>
      <w:r>
        <w:t xml:space="preserve">Construction Industry Authority of the Philippines </w:t>
      </w:r>
      <w:r w:rsidRPr="005A497D">
        <w:t xml:space="preserve">on </w:t>
      </w:r>
      <w:r>
        <w:t>March 28</w:t>
      </w:r>
      <w:r w:rsidRPr="005A497D">
        <w:t>, 201</w:t>
      </w:r>
      <w:r>
        <w:t>6</w:t>
      </w:r>
      <w:r w:rsidRPr="005A497D">
        <w:t xml:space="preserve">. </w:t>
      </w:r>
      <w:r>
        <w:t xml:space="preserve">Submission of the financial statement of the major spending agencies fell within nine months of the end of the fiscal year. </w:t>
      </w:r>
      <w:r w:rsidRPr="005A497D">
        <w:t>Score</w:t>
      </w:r>
      <w:r>
        <w:t xml:space="preserve"> for Dimension 29.2</w:t>
      </w:r>
      <w:r w:rsidRPr="005A497D">
        <w:t xml:space="preserve"> is assessed at “</w:t>
      </w:r>
      <w:r>
        <w:t>C</w:t>
      </w:r>
      <w:r w:rsidRPr="005A497D">
        <w:t>”.</w:t>
      </w:r>
    </w:p>
    <w:p w14:paraId="59BD0AE9" w14:textId="77777777" w:rsidR="001762EE" w:rsidRPr="005A497D" w:rsidRDefault="001762EE" w:rsidP="00B75D9F">
      <w:pPr>
        <w:pStyle w:val="NormalWeb"/>
        <w:autoSpaceDE w:val="0"/>
        <w:autoSpaceDN w:val="0"/>
        <w:adjustRightInd w:val="0"/>
        <w:spacing w:before="0" w:beforeAutospacing="0" w:after="0" w:afterAutospacing="0"/>
        <w:contextualSpacing/>
        <w:jc w:val="both"/>
      </w:pPr>
    </w:p>
    <w:p w14:paraId="44587193" w14:textId="342A5B20" w:rsidR="001762EE" w:rsidRPr="0025475E" w:rsidRDefault="001762EE" w:rsidP="00B75D9F">
      <w:pPr>
        <w:pStyle w:val="FreeFormAAAA"/>
        <w:jc w:val="both"/>
        <w:rPr>
          <w:b/>
          <w:i/>
          <w:sz w:val="24"/>
          <w:szCs w:val="24"/>
          <w:lang w:val="en-US"/>
        </w:rPr>
      </w:pPr>
      <w:r w:rsidRPr="0025475E">
        <w:rPr>
          <w:b/>
          <w:i/>
          <w:sz w:val="24"/>
          <w:szCs w:val="24"/>
          <w:lang w:val="en-US"/>
        </w:rPr>
        <w:t xml:space="preserve">Dimension 29.3 Accounting standards </w:t>
      </w:r>
    </w:p>
    <w:p w14:paraId="6979C0F8" w14:textId="77777777" w:rsidR="001762EE" w:rsidRDefault="001762EE" w:rsidP="00BB26ED">
      <w:pPr>
        <w:pStyle w:val="NormalWeb"/>
        <w:autoSpaceDE w:val="0"/>
        <w:autoSpaceDN w:val="0"/>
        <w:adjustRightInd w:val="0"/>
        <w:spacing w:before="0" w:beforeAutospacing="0" w:after="0" w:afterAutospacing="0"/>
        <w:contextualSpacing/>
        <w:jc w:val="both"/>
      </w:pPr>
    </w:p>
    <w:p w14:paraId="1009E195" w14:textId="0E111BD2" w:rsidR="001762EE" w:rsidRPr="005A497D" w:rsidRDefault="001762EE" w:rsidP="00402618">
      <w:pPr>
        <w:pStyle w:val="NormalWeb"/>
        <w:numPr>
          <w:ilvl w:val="0"/>
          <w:numId w:val="6"/>
        </w:numPr>
        <w:autoSpaceDE w:val="0"/>
        <w:autoSpaceDN w:val="0"/>
        <w:adjustRightInd w:val="0"/>
        <w:spacing w:before="0" w:beforeAutospacing="0" w:after="0" w:afterAutospacing="0"/>
        <w:ind w:left="0" w:firstLine="0"/>
        <w:contextualSpacing/>
        <w:jc w:val="both"/>
      </w:pPr>
      <w:r w:rsidRPr="00E34718">
        <w:t>In CoA Resolution No. 2014-003</w:t>
      </w:r>
      <w:r>
        <w:t>,</w:t>
      </w:r>
      <w:r w:rsidRPr="00E34718">
        <w:t xml:space="preserve"> dated January 24, 2014, the Philippine Public Sector Accounting Standards were adopted shifting from the </w:t>
      </w:r>
      <w:r>
        <w:t xml:space="preserve">previously issued </w:t>
      </w:r>
      <w:r w:rsidRPr="00E34718">
        <w:t xml:space="preserve">State Accounting Standards. </w:t>
      </w:r>
      <w:r>
        <w:t xml:space="preserve">The </w:t>
      </w:r>
      <w:r w:rsidRPr="00E34718">
        <w:t xml:space="preserve">PPSAS are broadly consistent with the International Public Sector Accounting Standards (IPSAS) and are set by </w:t>
      </w:r>
      <w:r>
        <w:t>the Commission on Audit</w:t>
      </w:r>
      <w:r w:rsidRPr="00E34718">
        <w:t xml:space="preserve"> through its Public Sector Accounting Standards Board to harmonize the existing public sector accounting standards to the prevailing international standards.  As part of PPSAS, </w:t>
      </w:r>
      <w:r>
        <w:t>the Commission</w:t>
      </w:r>
      <w:r w:rsidRPr="00E34718">
        <w:t xml:space="preserve"> issued Philippine Application Guidance where</w:t>
      </w:r>
      <w:r>
        <w:t xml:space="preserve"> </w:t>
      </w:r>
      <w:r w:rsidRPr="00E34718">
        <w:t>international standard</w:t>
      </w:r>
      <w:r>
        <w:t>s</w:t>
      </w:r>
      <w:r w:rsidRPr="00E34718">
        <w:t xml:space="preserve"> </w:t>
      </w:r>
      <w:r>
        <w:t xml:space="preserve">are not applicable under </w:t>
      </w:r>
      <w:r w:rsidRPr="00E34718">
        <w:t xml:space="preserve">the Philippine regulatory or legislative environment.  </w:t>
      </w:r>
      <w:r>
        <w:t>Out of</w:t>
      </w:r>
      <w:r w:rsidRPr="00E34718">
        <w:t xml:space="preserve"> 32 IPSAS contained in the 2012 Edition of the Handbook of International Public </w:t>
      </w:r>
      <w:r>
        <w:t>Sector Accounting Pronouncements</w:t>
      </w:r>
      <w:r w:rsidRPr="00E34718">
        <w:t xml:space="preserve">, 28 were found applicable in the Philippine setting, and 25 </w:t>
      </w:r>
      <w:r>
        <w:t>had</w:t>
      </w:r>
      <w:r w:rsidRPr="00E34718">
        <w:t xml:space="preserve"> already </w:t>
      </w:r>
      <w:r>
        <w:t xml:space="preserve">been </w:t>
      </w:r>
      <w:r w:rsidRPr="00E34718">
        <w:t xml:space="preserve">implemented in 2014.  The remaining </w:t>
      </w:r>
      <w:r>
        <w:t>3</w:t>
      </w:r>
      <w:r w:rsidRPr="00E34718">
        <w:t xml:space="preserve"> in the 2012 </w:t>
      </w:r>
      <w:r>
        <w:t>Handbook</w:t>
      </w:r>
      <w:r w:rsidRPr="00E34718">
        <w:t xml:space="preserve">, as well as IPSAS in the 2015 </w:t>
      </w:r>
      <w:r>
        <w:t>Handbook</w:t>
      </w:r>
      <w:r w:rsidRPr="00E34718">
        <w:t>, are being evaluated for possible implementation in 2017.</w:t>
      </w:r>
      <w:r>
        <w:t xml:space="preserve"> Chart of accounts </w:t>
      </w:r>
      <w:r w:rsidR="00E27851">
        <w:t>and the NGAS Manual were</w:t>
      </w:r>
      <w:r>
        <w:t xml:space="preserve"> also revised in line with the change in accounting standards.</w:t>
      </w:r>
      <w:r w:rsidRPr="00E34718">
        <w:t xml:space="preserve"> </w:t>
      </w:r>
    </w:p>
    <w:p w14:paraId="661FC80D" w14:textId="77777777" w:rsidR="001762EE" w:rsidRPr="005A497D" w:rsidRDefault="001762EE" w:rsidP="00DA3417">
      <w:pPr>
        <w:pStyle w:val="NormalWeb"/>
        <w:autoSpaceDE w:val="0"/>
        <w:autoSpaceDN w:val="0"/>
        <w:adjustRightInd w:val="0"/>
        <w:spacing w:before="0" w:beforeAutospacing="0" w:after="0" w:afterAutospacing="0"/>
        <w:contextualSpacing/>
        <w:jc w:val="both"/>
      </w:pPr>
    </w:p>
    <w:p w14:paraId="0DDC9408" w14:textId="30DE9D0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E25642">
        <w:rPr>
          <w:u w:color="000000"/>
        </w:rPr>
        <w:t xml:space="preserve">The </w:t>
      </w:r>
      <w:r>
        <w:rPr>
          <w:u w:color="000000"/>
        </w:rPr>
        <w:t xml:space="preserve">CoA-issued </w:t>
      </w:r>
      <w:r w:rsidRPr="00E25642">
        <w:rPr>
          <w:u w:color="000000"/>
        </w:rPr>
        <w:t>audit report</w:t>
      </w:r>
      <w:r>
        <w:rPr>
          <w:u w:color="000000"/>
        </w:rPr>
        <w:t>s</w:t>
      </w:r>
      <w:r w:rsidRPr="00E25642">
        <w:rPr>
          <w:u w:color="000000"/>
        </w:rPr>
        <w:t xml:space="preserve"> include information on the basis of preparation of the financial statements. The disclosure on compliance to PPSAS and the </w:t>
      </w:r>
      <w:r>
        <w:rPr>
          <w:u w:color="000000"/>
        </w:rPr>
        <w:t>revised chart of accounts</w:t>
      </w:r>
      <w:r w:rsidRPr="00E25642">
        <w:rPr>
          <w:u w:color="000000"/>
        </w:rPr>
        <w:t xml:space="preserve"> </w:t>
      </w:r>
      <w:r>
        <w:rPr>
          <w:u w:color="000000"/>
        </w:rPr>
        <w:t>is</w:t>
      </w:r>
      <w:r w:rsidRPr="00E25642">
        <w:rPr>
          <w:u w:color="000000"/>
        </w:rPr>
        <w:t xml:space="preserve"> also included in the Notes to Financial Statements of the audited financial statements</w:t>
      </w:r>
      <w:r>
        <w:rPr>
          <w:u w:color="000000"/>
        </w:rPr>
        <w:t xml:space="preserve"> for CY2014</w:t>
      </w:r>
      <w:r w:rsidRPr="00E25642">
        <w:rPr>
          <w:u w:color="000000"/>
        </w:rPr>
        <w:t>. As indicated in the audit report</w:t>
      </w:r>
      <w:r w:rsidRPr="0056615F">
        <w:rPr>
          <w:u w:color="000000"/>
        </w:rPr>
        <w:t xml:space="preserve">s, </w:t>
      </w:r>
      <w:r w:rsidRPr="000E0691">
        <w:rPr>
          <w:u w:color="000000"/>
        </w:rPr>
        <w:t xml:space="preserve">reasons for modified opinions </w:t>
      </w:r>
      <w:r w:rsidRPr="00E25642">
        <w:rPr>
          <w:u w:color="000000"/>
        </w:rPr>
        <w:t xml:space="preserve">are due to misstatements/inaccuracies in the financial statements </w:t>
      </w:r>
      <w:r>
        <w:rPr>
          <w:u w:color="000000"/>
        </w:rPr>
        <w:t>and n</w:t>
      </w:r>
      <w:r w:rsidRPr="00E25642">
        <w:rPr>
          <w:u w:color="000000"/>
        </w:rPr>
        <w:t xml:space="preserve">ot due to major departure in the prescribed accounting standards. </w:t>
      </w:r>
      <w:r w:rsidRPr="005A497D">
        <w:rPr>
          <w:u w:color="000000"/>
        </w:rPr>
        <w:t>Score</w:t>
      </w:r>
      <w:r>
        <w:rPr>
          <w:u w:color="000000"/>
        </w:rPr>
        <w:t xml:space="preserve"> for Dimension 29.3</w:t>
      </w:r>
      <w:r w:rsidRPr="005A497D">
        <w:rPr>
          <w:u w:color="000000"/>
        </w:rPr>
        <w:t xml:space="preserve"> is assessed at “</w:t>
      </w:r>
      <w:r>
        <w:rPr>
          <w:u w:color="000000"/>
        </w:rPr>
        <w:t>A</w:t>
      </w:r>
      <w:r w:rsidRPr="005A497D">
        <w:rPr>
          <w:u w:color="000000"/>
        </w:rPr>
        <w:t>”</w:t>
      </w:r>
      <w:r>
        <w:rPr>
          <w:u w:color="000000"/>
        </w:rPr>
        <w:t xml:space="preserve"> since most IPSAS have been adopted and applied</w:t>
      </w:r>
      <w:r w:rsidRPr="005A497D">
        <w:rPr>
          <w:u w:color="000000"/>
        </w:rPr>
        <w:t>.</w:t>
      </w:r>
    </w:p>
    <w:p w14:paraId="6227C116" w14:textId="77777777" w:rsidR="001762EE" w:rsidRPr="005A497D" w:rsidRDefault="001762EE" w:rsidP="00B75D9F">
      <w:pPr>
        <w:pStyle w:val="NormalWeb"/>
        <w:autoSpaceDE w:val="0"/>
        <w:autoSpaceDN w:val="0"/>
        <w:adjustRightInd w:val="0"/>
        <w:spacing w:before="0" w:beforeAutospacing="0" w:after="0" w:afterAutospacing="0"/>
        <w:contextualSpacing/>
        <w:jc w:val="both"/>
      </w:pPr>
    </w:p>
    <w:p w14:paraId="2A274A75" w14:textId="1B1858B1" w:rsidR="001762EE" w:rsidRPr="0025475E" w:rsidRDefault="001762EE" w:rsidP="00B81677">
      <w:pPr>
        <w:pStyle w:val="Heading2"/>
        <w:jc w:val="both"/>
        <w:rPr>
          <w:rFonts w:ascii="Times New Roman" w:hAnsi="Times New Roman"/>
          <w:sz w:val="28"/>
          <w:szCs w:val="28"/>
        </w:rPr>
      </w:pPr>
      <w:bookmarkStart w:id="268" w:name="_Toc454811722"/>
      <w:bookmarkStart w:id="269" w:name="_Toc454888866"/>
      <w:r w:rsidRPr="0025475E">
        <w:rPr>
          <w:rFonts w:ascii="Times New Roman" w:hAnsi="Times New Roman"/>
          <w:sz w:val="28"/>
          <w:szCs w:val="28"/>
        </w:rPr>
        <w:t>Pillar VII. External Scrutiny and Audit</w:t>
      </w:r>
      <w:bookmarkEnd w:id="268"/>
      <w:bookmarkEnd w:id="269"/>
    </w:p>
    <w:p w14:paraId="406031E9" w14:textId="77777777" w:rsidR="001762EE" w:rsidRPr="005A497D" w:rsidRDefault="001762EE" w:rsidP="001F539B">
      <w:pPr>
        <w:pStyle w:val="Default"/>
        <w:rPr>
          <w:bCs/>
        </w:rPr>
      </w:pPr>
    </w:p>
    <w:p w14:paraId="45679574" w14:textId="4E7D9FDA" w:rsidR="001762EE" w:rsidRDefault="001762EE" w:rsidP="00411651">
      <w:pPr>
        <w:pStyle w:val="Heading3"/>
      </w:pPr>
      <w:bookmarkStart w:id="270" w:name="_Toc454811723"/>
      <w:bookmarkStart w:id="271" w:name="_Toc454888867"/>
      <w:r w:rsidRPr="005A497D">
        <w:t>PI-</w:t>
      </w:r>
      <w:r>
        <w:t>30</w:t>
      </w:r>
      <w:r w:rsidRPr="005A497D">
        <w:t xml:space="preserve"> </w:t>
      </w:r>
      <w:r>
        <w:t>E</w:t>
      </w:r>
      <w:r w:rsidRPr="005A497D">
        <w:t>xternal audit</w:t>
      </w:r>
      <w:bookmarkEnd w:id="270"/>
      <w:bookmarkEnd w:id="271"/>
    </w:p>
    <w:p w14:paraId="437632C9" w14:textId="77777777" w:rsidR="001762EE" w:rsidRPr="008D6D8C" w:rsidRDefault="001762EE" w:rsidP="008D6D8C"/>
    <w:p w14:paraId="31DD6CDE" w14:textId="57B7DBC0"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examines the characteristics of external audit. </w:t>
      </w:r>
    </w:p>
    <w:p w14:paraId="16A63F71" w14:textId="77777777" w:rsidR="001762EE" w:rsidRPr="005A497D" w:rsidRDefault="001762EE" w:rsidP="00D33D4E">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240"/>
        <w:gridCol w:w="900"/>
        <w:gridCol w:w="5216"/>
      </w:tblGrid>
      <w:tr w:rsidR="00324454" w:rsidRPr="008D0BED" w14:paraId="79DCDC8A" w14:textId="77777777" w:rsidTr="00EC5DE8">
        <w:trPr>
          <w:trHeight w:val="397"/>
          <w:tblHeader/>
        </w:trPr>
        <w:tc>
          <w:tcPr>
            <w:tcW w:w="3240" w:type="dxa"/>
            <w:tcBorders>
              <w:top w:val="double" w:sz="4" w:space="0" w:color="auto"/>
            </w:tcBorders>
            <w:shd w:val="clear" w:color="auto" w:fill="D9D9D9"/>
            <w:vAlign w:val="center"/>
          </w:tcPr>
          <w:p w14:paraId="02DC8DC6" w14:textId="77777777" w:rsidR="001762EE" w:rsidRPr="008D0BED" w:rsidRDefault="001762EE" w:rsidP="00956DE8">
            <w:pPr>
              <w:spacing w:before="40" w:after="40"/>
              <w:jc w:val="center"/>
              <w:rPr>
                <w:b/>
                <w:i/>
                <w:sz w:val="22"/>
                <w:szCs w:val="22"/>
              </w:rPr>
            </w:pPr>
            <w:r w:rsidRPr="008D0BED">
              <w:rPr>
                <w:b/>
                <w:i/>
                <w:sz w:val="22"/>
                <w:szCs w:val="22"/>
              </w:rPr>
              <w:t>Indicator / Dimension</w:t>
            </w:r>
          </w:p>
        </w:tc>
        <w:tc>
          <w:tcPr>
            <w:tcW w:w="900" w:type="dxa"/>
            <w:tcBorders>
              <w:top w:val="double" w:sz="4" w:space="0" w:color="auto"/>
            </w:tcBorders>
            <w:shd w:val="clear" w:color="auto" w:fill="D9D9D9"/>
            <w:vAlign w:val="center"/>
          </w:tcPr>
          <w:p w14:paraId="62378F7D" w14:textId="77777777" w:rsidR="001762EE" w:rsidRPr="008D0BED" w:rsidRDefault="001762EE" w:rsidP="00956DE8">
            <w:pPr>
              <w:spacing w:before="40" w:after="40"/>
              <w:jc w:val="center"/>
              <w:rPr>
                <w:b/>
                <w:i/>
                <w:sz w:val="22"/>
                <w:szCs w:val="22"/>
              </w:rPr>
            </w:pPr>
            <w:r w:rsidRPr="008D0BED">
              <w:rPr>
                <w:b/>
                <w:i/>
                <w:sz w:val="22"/>
                <w:szCs w:val="22"/>
              </w:rPr>
              <w:t>Score</w:t>
            </w:r>
          </w:p>
        </w:tc>
        <w:tc>
          <w:tcPr>
            <w:tcW w:w="5216" w:type="dxa"/>
            <w:tcBorders>
              <w:top w:val="double" w:sz="4" w:space="0" w:color="auto"/>
            </w:tcBorders>
            <w:shd w:val="clear" w:color="auto" w:fill="D9D9D9"/>
            <w:vAlign w:val="center"/>
          </w:tcPr>
          <w:p w14:paraId="08888ED9" w14:textId="77777777" w:rsidR="001762EE" w:rsidRPr="008D0BED" w:rsidRDefault="001762EE" w:rsidP="00956DE8">
            <w:pPr>
              <w:spacing w:before="40" w:after="40"/>
              <w:jc w:val="center"/>
              <w:rPr>
                <w:b/>
                <w:i/>
                <w:sz w:val="22"/>
                <w:szCs w:val="22"/>
              </w:rPr>
            </w:pPr>
            <w:r w:rsidRPr="008D0BED">
              <w:rPr>
                <w:b/>
                <w:i/>
                <w:sz w:val="22"/>
                <w:szCs w:val="22"/>
              </w:rPr>
              <w:t>Brief Explanation</w:t>
            </w:r>
          </w:p>
        </w:tc>
      </w:tr>
      <w:tr w:rsidR="00324454" w:rsidRPr="005A497D" w14:paraId="395A5E4E" w14:textId="77777777" w:rsidTr="00EC5DE8">
        <w:tc>
          <w:tcPr>
            <w:tcW w:w="3240" w:type="dxa"/>
            <w:tcBorders>
              <w:top w:val="double" w:sz="4" w:space="0" w:color="auto"/>
              <w:bottom w:val="single" w:sz="4" w:space="0" w:color="auto"/>
            </w:tcBorders>
          </w:tcPr>
          <w:p w14:paraId="2905A5CD" w14:textId="7A1E35A3" w:rsidR="001762EE" w:rsidRPr="005A497D" w:rsidRDefault="001762EE" w:rsidP="00637872">
            <w:pPr>
              <w:spacing w:before="40" w:after="40"/>
              <w:rPr>
                <w:sz w:val="22"/>
                <w:szCs w:val="22"/>
              </w:rPr>
            </w:pPr>
            <w:r w:rsidRPr="005A497D">
              <w:rPr>
                <w:b/>
                <w:bCs/>
                <w:sz w:val="22"/>
                <w:szCs w:val="22"/>
              </w:rPr>
              <w:t>PI-</w:t>
            </w:r>
            <w:r>
              <w:rPr>
                <w:b/>
                <w:bCs/>
                <w:sz w:val="22"/>
                <w:szCs w:val="22"/>
              </w:rPr>
              <w:t>30</w:t>
            </w:r>
            <w:r w:rsidRPr="005A497D">
              <w:rPr>
                <w:b/>
                <w:bCs/>
                <w:sz w:val="22"/>
                <w:szCs w:val="22"/>
              </w:rPr>
              <w:t xml:space="preserve"> </w:t>
            </w:r>
            <w:r>
              <w:rPr>
                <w:b/>
                <w:bCs/>
                <w:sz w:val="22"/>
                <w:szCs w:val="22"/>
              </w:rPr>
              <w:t>E</w:t>
            </w:r>
            <w:r w:rsidRPr="005A497D">
              <w:rPr>
                <w:b/>
                <w:bCs/>
                <w:sz w:val="22"/>
                <w:szCs w:val="22"/>
              </w:rPr>
              <w:t>xternal audit</w:t>
            </w:r>
          </w:p>
        </w:tc>
        <w:tc>
          <w:tcPr>
            <w:tcW w:w="900" w:type="dxa"/>
            <w:tcBorders>
              <w:top w:val="double" w:sz="4" w:space="0" w:color="auto"/>
              <w:bottom w:val="single" w:sz="4" w:space="0" w:color="auto"/>
            </w:tcBorders>
          </w:tcPr>
          <w:p w14:paraId="58B67320" w14:textId="7CB09FA9" w:rsidR="001762EE" w:rsidRPr="005A497D" w:rsidRDefault="001762EE" w:rsidP="00956DE8">
            <w:pPr>
              <w:spacing w:before="40" w:after="40"/>
              <w:jc w:val="center"/>
              <w:rPr>
                <w:b/>
                <w:sz w:val="22"/>
                <w:szCs w:val="22"/>
              </w:rPr>
            </w:pPr>
            <w:r>
              <w:rPr>
                <w:b/>
                <w:sz w:val="22"/>
                <w:szCs w:val="22"/>
              </w:rPr>
              <w:t>C</w:t>
            </w:r>
            <w:r w:rsidRPr="005A497D">
              <w:rPr>
                <w:b/>
                <w:sz w:val="22"/>
                <w:szCs w:val="22"/>
              </w:rPr>
              <w:t>+</w:t>
            </w:r>
          </w:p>
        </w:tc>
        <w:tc>
          <w:tcPr>
            <w:tcW w:w="5216" w:type="dxa"/>
            <w:tcBorders>
              <w:top w:val="double" w:sz="4" w:space="0" w:color="auto"/>
              <w:bottom w:val="single" w:sz="4" w:space="0" w:color="auto"/>
            </w:tcBorders>
          </w:tcPr>
          <w:p w14:paraId="6A6B81AB" w14:textId="77777777" w:rsidR="001762EE" w:rsidRPr="005A497D" w:rsidRDefault="001762EE" w:rsidP="00956DE8">
            <w:pPr>
              <w:spacing w:before="40" w:after="40"/>
              <w:rPr>
                <w:sz w:val="22"/>
                <w:szCs w:val="22"/>
              </w:rPr>
            </w:pPr>
            <w:r w:rsidRPr="005A497D">
              <w:rPr>
                <w:sz w:val="22"/>
                <w:szCs w:val="22"/>
              </w:rPr>
              <w:t>Overall rating based on M1 methodology.</w:t>
            </w:r>
          </w:p>
        </w:tc>
      </w:tr>
      <w:tr w:rsidR="00324454" w:rsidRPr="005A497D" w14:paraId="3F64B9D8" w14:textId="77777777" w:rsidTr="00EC5DE8">
        <w:trPr>
          <w:trHeight w:val="1610"/>
        </w:trPr>
        <w:tc>
          <w:tcPr>
            <w:tcW w:w="3240" w:type="dxa"/>
            <w:tcBorders>
              <w:top w:val="single" w:sz="4" w:space="0" w:color="auto"/>
              <w:bottom w:val="single" w:sz="4" w:space="0" w:color="auto"/>
            </w:tcBorders>
          </w:tcPr>
          <w:p w14:paraId="5AE0A05D" w14:textId="2E95A97B" w:rsidR="001762EE" w:rsidRPr="005A497D" w:rsidRDefault="001762EE" w:rsidP="00637872">
            <w:pPr>
              <w:pStyle w:val="Default"/>
              <w:rPr>
                <w:sz w:val="22"/>
                <w:szCs w:val="22"/>
              </w:rPr>
            </w:pPr>
            <w:r>
              <w:rPr>
                <w:sz w:val="22"/>
                <w:szCs w:val="22"/>
              </w:rPr>
              <w:t>30.1</w:t>
            </w:r>
            <w:r w:rsidRPr="005A497D">
              <w:rPr>
                <w:sz w:val="22"/>
                <w:szCs w:val="22"/>
              </w:rPr>
              <w:t xml:space="preserve"> </w:t>
            </w:r>
            <w:r>
              <w:rPr>
                <w:sz w:val="22"/>
                <w:szCs w:val="22"/>
              </w:rPr>
              <w:t>Audit c</w:t>
            </w:r>
            <w:r w:rsidRPr="005A497D">
              <w:rPr>
                <w:sz w:val="22"/>
                <w:szCs w:val="22"/>
              </w:rPr>
              <w:t>overage and standards</w:t>
            </w:r>
          </w:p>
        </w:tc>
        <w:tc>
          <w:tcPr>
            <w:tcW w:w="900" w:type="dxa"/>
            <w:tcBorders>
              <w:top w:val="single" w:sz="4" w:space="0" w:color="auto"/>
              <w:bottom w:val="single" w:sz="4" w:space="0" w:color="auto"/>
            </w:tcBorders>
          </w:tcPr>
          <w:p w14:paraId="7674FB4E" w14:textId="04B3336E" w:rsidR="001762EE" w:rsidRPr="005A497D" w:rsidRDefault="001762EE" w:rsidP="00950B2A">
            <w:pPr>
              <w:jc w:val="center"/>
              <w:rPr>
                <w:sz w:val="22"/>
                <w:szCs w:val="22"/>
              </w:rPr>
            </w:pPr>
            <w:r>
              <w:rPr>
                <w:sz w:val="22"/>
                <w:szCs w:val="22"/>
              </w:rPr>
              <w:t>C</w:t>
            </w:r>
          </w:p>
        </w:tc>
        <w:tc>
          <w:tcPr>
            <w:tcW w:w="5216" w:type="dxa"/>
            <w:tcBorders>
              <w:top w:val="single" w:sz="4" w:space="0" w:color="auto"/>
              <w:bottom w:val="single" w:sz="4" w:space="0" w:color="auto"/>
            </w:tcBorders>
          </w:tcPr>
          <w:p w14:paraId="00D9D248" w14:textId="37E35EBD" w:rsidR="001762EE" w:rsidRPr="005A497D" w:rsidRDefault="001762EE" w:rsidP="0093540A">
            <w:pPr>
              <w:rPr>
                <w:sz w:val="22"/>
                <w:szCs w:val="22"/>
              </w:rPr>
            </w:pPr>
            <w:r w:rsidRPr="005A497D">
              <w:rPr>
                <w:sz w:val="22"/>
                <w:szCs w:val="22"/>
              </w:rPr>
              <w:t>PPSSA, based on</w:t>
            </w:r>
            <w:r w:rsidRPr="005A497D">
              <w:t xml:space="preserve"> </w:t>
            </w:r>
            <w:r w:rsidRPr="005A497D">
              <w:rPr>
                <w:sz w:val="22"/>
                <w:szCs w:val="22"/>
              </w:rPr>
              <w:t>ISSAI, were adopted on January 29, 2013 and are applied for all audits. In 2011, a risk-based audit methodology was adopted. The scope of the audit covers the entire government</w:t>
            </w:r>
            <w:r>
              <w:rPr>
                <w:sz w:val="22"/>
                <w:szCs w:val="22"/>
              </w:rPr>
              <w:t xml:space="preserve"> </w:t>
            </w:r>
            <w:r w:rsidR="0093540A">
              <w:rPr>
                <w:sz w:val="22"/>
                <w:szCs w:val="22"/>
              </w:rPr>
              <w:t xml:space="preserve">but verification </w:t>
            </w:r>
            <w:r w:rsidR="001610D9">
              <w:rPr>
                <w:sz w:val="22"/>
                <w:szCs w:val="22"/>
              </w:rPr>
              <w:t>of revenues</w:t>
            </w:r>
            <w:r>
              <w:rPr>
                <w:sz w:val="22"/>
                <w:szCs w:val="22"/>
              </w:rPr>
              <w:t xml:space="preserve"> collected by BIR </w:t>
            </w:r>
            <w:r w:rsidR="0093540A">
              <w:rPr>
                <w:sz w:val="22"/>
                <w:szCs w:val="22"/>
              </w:rPr>
              <w:t xml:space="preserve">is not conducted </w:t>
            </w:r>
            <w:r>
              <w:rPr>
                <w:sz w:val="22"/>
                <w:szCs w:val="22"/>
              </w:rPr>
              <w:t>pending approved guidelines in audit of tax assessment</w:t>
            </w:r>
            <w:r w:rsidRPr="005A497D">
              <w:rPr>
                <w:sz w:val="22"/>
                <w:szCs w:val="22"/>
              </w:rPr>
              <w:t>.</w:t>
            </w:r>
          </w:p>
        </w:tc>
      </w:tr>
      <w:tr w:rsidR="00324454" w:rsidRPr="005A497D" w14:paraId="07A7F556" w14:textId="77777777" w:rsidTr="00EC5DE8">
        <w:trPr>
          <w:trHeight w:val="800"/>
        </w:trPr>
        <w:tc>
          <w:tcPr>
            <w:tcW w:w="3240" w:type="dxa"/>
            <w:tcBorders>
              <w:top w:val="single" w:sz="4" w:space="0" w:color="auto"/>
              <w:bottom w:val="single" w:sz="4" w:space="0" w:color="auto"/>
            </w:tcBorders>
          </w:tcPr>
          <w:p w14:paraId="163A7B53" w14:textId="41582C28" w:rsidR="001762EE" w:rsidRPr="005A497D" w:rsidRDefault="001762EE" w:rsidP="00637872">
            <w:pPr>
              <w:pStyle w:val="Default"/>
              <w:rPr>
                <w:sz w:val="22"/>
                <w:szCs w:val="22"/>
              </w:rPr>
            </w:pPr>
            <w:r>
              <w:rPr>
                <w:sz w:val="22"/>
                <w:szCs w:val="22"/>
              </w:rPr>
              <w:t>30.2</w:t>
            </w:r>
            <w:r w:rsidRPr="005A497D">
              <w:rPr>
                <w:sz w:val="22"/>
                <w:szCs w:val="22"/>
              </w:rPr>
              <w:t xml:space="preserve"> </w:t>
            </w:r>
            <w:r>
              <w:rPr>
                <w:sz w:val="22"/>
                <w:szCs w:val="22"/>
              </w:rPr>
              <w:t>S</w:t>
            </w:r>
            <w:r w:rsidRPr="005A497D">
              <w:rPr>
                <w:sz w:val="22"/>
                <w:szCs w:val="22"/>
              </w:rPr>
              <w:t>ubmission of audit reports to</w:t>
            </w:r>
            <w:r>
              <w:rPr>
                <w:sz w:val="22"/>
                <w:szCs w:val="22"/>
              </w:rPr>
              <w:t xml:space="preserve"> the </w:t>
            </w:r>
            <w:r w:rsidRPr="005A497D">
              <w:rPr>
                <w:sz w:val="22"/>
                <w:szCs w:val="22"/>
              </w:rPr>
              <w:t xml:space="preserve"> legislature</w:t>
            </w:r>
          </w:p>
        </w:tc>
        <w:tc>
          <w:tcPr>
            <w:tcW w:w="900" w:type="dxa"/>
            <w:tcBorders>
              <w:top w:val="single" w:sz="4" w:space="0" w:color="auto"/>
              <w:bottom w:val="single" w:sz="4" w:space="0" w:color="auto"/>
            </w:tcBorders>
          </w:tcPr>
          <w:p w14:paraId="5C99D4A6" w14:textId="0D924026" w:rsidR="001762EE" w:rsidRPr="005A497D" w:rsidRDefault="001762EE" w:rsidP="00950B2A">
            <w:pPr>
              <w:jc w:val="center"/>
              <w:rPr>
                <w:sz w:val="22"/>
                <w:szCs w:val="22"/>
              </w:rPr>
            </w:pPr>
            <w:r>
              <w:rPr>
                <w:sz w:val="22"/>
                <w:szCs w:val="22"/>
              </w:rPr>
              <w:t>C</w:t>
            </w:r>
          </w:p>
        </w:tc>
        <w:tc>
          <w:tcPr>
            <w:tcW w:w="5216" w:type="dxa"/>
            <w:tcBorders>
              <w:top w:val="single" w:sz="4" w:space="0" w:color="auto"/>
              <w:bottom w:val="single" w:sz="4" w:space="0" w:color="auto"/>
            </w:tcBorders>
          </w:tcPr>
          <w:p w14:paraId="147FD8AC" w14:textId="1CCBC8BD" w:rsidR="001762EE" w:rsidRPr="005A497D" w:rsidRDefault="001762EE" w:rsidP="008D6D8C">
            <w:pPr>
              <w:rPr>
                <w:sz w:val="22"/>
                <w:szCs w:val="22"/>
              </w:rPr>
            </w:pPr>
            <w:r w:rsidRPr="005A497D">
              <w:rPr>
                <w:sz w:val="22"/>
                <w:szCs w:val="22"/>
              </w:rPr>
              <w:t xml:space="preserve">Audit reports are submitted </w:t>
            </w:r>
            <w:r>
              <w:rPr>
                <w:sz w:val="22"/>
                <w:szCs w:val="22"/>
              </w:rPr>
              <w:t xml:space="preserve">to the head of the concerned department </w:t>
            </w:r>
            <w:r w:rsidRPr="005A497D">
              <w:rPr>
                <w:sz w:val="22"/>
                <w:szCs w:val="22"/>
              </w:rPr>
              <w:t xml:space="preserve">within 9 months of receipt of the financial reports for audit. </w:t>
            </w:r>
          </w:p>
        </w:tc>
      </w:tr>
      <w:tr w:rsidR="00324454" w:rsidRPr="005A497D" w14:paraId="66D0AE23" w14:textId="77777777" w:rsidTr="00EC5DE8">
        <w:trPr>
          <w:trHeight w:val="854"/>
        </w:trPr>
        <w:tc>
          <w:tcPr>
            <w:tcW w:w="3240" w:type="dxa"/>
            <w:tcBorders>
              <w:top w:val="single" w:sz="4" w:space="0" w:color="auto"/>
              <w:bottom w:val="single" w:sz="4" w:space="0" w:color="auto"/>
            </w:tcBorders>
          </w:tcPr>
          <w:p w14:paraId="517B9638" w14:textId="758F4B24" w:rsidR="001762EE" w:rsidRPr="005A497D" w:rsidRDefault="001762EE" w:rsidP="00637872">
            <w:pPr>
              <w:pStyle w:val="Default"/>
              <w:rPr>
                <w:sz w:val="22"/>
                <w:szCs w:val="22"/>
              </w:rPr>
            </w:pPr>
            <w:r>
              <w:rPr>
                <w:sz w:val="22"/>
                <w:szCs w:val="22"/>
              </w:rPr>
              <w:t>30.3</w:t>
            </w:r>
            <w:r w:rsidRPr="005A497D">
              <w:rPr>
                <w:sz w:val="22"/>
                <w:szCs w:val="22"/>
              </w:rPr>
              <w:t xml:space="preserve"> </w:t>
            </w:r>
            <w:r>
              <w:rPr>
                <w:sz w:val="22"/>
                <w:szCs w:val="22"/>
              </w:rPr>
              <w:t xml:space="preserve">External audit </w:t>
            </w:r>
            <w:r w:rsidRPr="005A497D">
              <w:rPr>
                <w:sz w:val="22"/>
                <w:szCs w:val="22"/>
              </w:rPr>
              <w:t>follow-up</w:t>
            </w:r>
          </w:p>
        </w:tc>
        <w:tc>
          <w:tcPr>
            <w:tcW w:w="900" w:type="dxa"/>
            <w:tcBorders>
              <w:top w:val="single" w:sz="4" w:space="0" w:color="auto"/>
              <w:bottom w:val="single" w:sz="4" w:space="0" w:color="auto"/>
            </w:tcBorders>
          </w:tcPr>
          <w:p w14:paraId="0D3EC21B" w14:textId="77777777" w:rsidR="001762EE" w:rsidRPr="005A497D" w:rsidRDefault="001762EE" w:rsidP="00950B2A">
            <w:pPr>
              <w:jc w:val="center"/>
              <w:rPr>
                <w:sz w:val="22"/>
                <w:szCs w:val="22"/>
              </w:rPr>
            </w:pPr>
            <w:r w:rsidRPr="005A497D">
              <w:rPr>
                <w:sz w:val="22"/>
                <w:szCs w:val="22"/>
              </w:rPr>
              <w:t>B</w:t>
            </w:r>
          </w:p>
        </w:tc>
        <w:tc>
          <w:tcPr>
            <w:tcW w:w="5216" w:type="dxa"/>
            <w:tcBorders>
              <w:top w:val="single" w:sz="4" w:space="0" w:color="auto"/>
              <w:bottom w:val="single" w:sz="4" w:space="0" w:color="auto"/>
            </w:tcBorders>
          </w:tcPr>
          <w:p w14:paraId="3BA93E88" w14:textId="5B031D7E" w:rsidR="001762EE" w:rsidRPr="005A497D" w:rsidRDefault="001762EE" w:rsidP="001769A8">
            <w:pPr>
              <w:rPr>
                <w:sz w:val="22"/>
                <w:szCs w:val="22"/>
              </w:rPr>
            </w:pPr>
            <w:r w:rsidRPr="005A497D">
              <w:rPr>
                <w:sz w:val="22"/>
                <w:szCs w:val="22"/>
              </w:rPr>
              <w:t>A formal response on recommendations is provided by management of audited entity</w:t>
            </w:r>
            <w:r>
              <w:rPr>
                <w:sz w:val="22"/>
                <w:szCs w:val="22"/>
              </w:rPr>
              <w:t>,</w:t>
            </w:r>
            <w:r w:rsidRPr="005A497D">
              <w:rPr>
                <w:sz w:val="22"/>
                <w:szCs w:val="22"/>
              </w:rPr>
              <w:t xml:space="preserve"> and action is taken on a majority of the recommendations. </w:t>
            </w:r>
          </w:p>
        </w:tc>
      </w:tr>
      <w:tr w:rsidR="00324454" w:rsidRPr="005A497D" w14:paraId="23B1A4C8" w14:textId="77777777" w:rsidTr="00EC5DE8">
        <w:trPr>
          <w:trHeight w:val="2177"/>
        </w:trPr>
        <w:tc>
          <w:tcPr>
            <w:tcW w:w="3240" w:type="dxa"/>
            <w:tcBorders>
              <w:top w:val="single" w:sz="4" w:space="0" w:color="auto"/>
              <w:bottom w:val="double" w:sz="4" w:space="0" w:color="auto"/>
            </w:tcBorders>
          </w:tcPr>
          <w:p w14:paraId="6EB56089" w14:textId="370D0245" w:rsidR="001762EE" w:rsidRPr="005A497D" w:rsidRDefault="001762EE" w:rsidP="00637872">
            <w:pPr>
              <w:pStyle w:val="Default"/>
              <w:rPr>
                <w:sz w:val="22"/>
                <w:szCs w:val="22"/>
              </w:rPr>
            </w:pPr>
            <w:r>
              <w:rPr>
                <w:sz w:val="22"/>
                <w:szCs w:val="22"/>
              </w:rPr>
              <w:t>30.4</w:t>
            </w:r>
            <w:r w:rsidRPr="005A497D">
              <w:rPr>
                <w:sz w:val="22"/>
                <w:szCs w:val="22"/>
              </w:rPr>
              <w:t xml:space="preserve"> </w:t>
            </w:r>
            <w:r>
              <w:rPr>
                <w:sz w:val="22"/>
                <w:szCs w:val="22"/>
              </w:rPr>
              <w:t xml:space="preserve">Supreme Audit Institution  (SAI) </w:t>
            </w:r>
            <w:r w:rsidRPr="005A497D">
              <w:rPr>
                <w:sz w:val="22"/>
                <w:szCs w:val="22"/>
              </w:rPr>
              <w:t>Independence</w:t>
            </w:r>
          </w:p>
        </w:tc>
        <w:tc>
          <w:tcPr>
            <w:tcW w:w="900" w:type="dxa"/>
            <w:tcBorders>
              <w:top w:val="single" w:sz="4" w:space="0" w:color="auto"/>
              <w:bottom w:val="double" w:sz="4" w:space="0" w:color="auto"/>
            </w:tcBorders>
          </w:tcPr>
          <w:p w14:paraId="3F455038" w14:textId="6530412F" w:rsidR="001762EE" w:rsidRPr="005A497D" w:rsidRDefault="001762EE" w:rsidP="00950B2A">
            <w:pPr>
              <w:jc w:val="center"/>
              <w:rPr>
                <w:sz w:val="22"/>
                <w:szCs w:val="22"/>
              </w:rPr>
            </w:pPr>
            <w:r>
              <w:rPr>
                <w:sz w:val="22"/>
                <w:szCs w:val="22"/>
              </w:rPr>
              <w:t>B</w:t>
            </w:r>
          </w:p>
        </w:tc>
        <w:tc>
          <w:tcPr>
            <w:tcW w:w="5216" w:type="dxa"/>
            <w:tcBorders>
              <w:top w:val="single" w:sz="4" w:space="0" w:color="auto"/>
              <w:bottom w:val="double" w:sz="4" w:space="0" w:color="auto"/>
            </w:tcBorders>
          </w:tcPr>
          <w:p w14:paraId="61235646" w14:textId="784248D7" w:rsidR="001762EE" w:rsidRPr="005A497D" w:rsidRDefault="001762EE" w:rsidP="0093540A">
            <w:pPr>
              <w:rPr>
                <w:sz w:val="22"/>
                <w:szCs w:val="22"/>
              </w:rPr>
            </w:pPr>
            <w:r>
              <w:rPr>
                <w:sz w:val="22"/>
                <w:szCs w:val="22"/>
              </w:rPr>
              <w:t>CoA’s</w:t>
            </w:r>
            <w:r w:rsidRPr="000A0A98">
              <w:rPr>
                <w:sz w:val="22"/>
                <w:szCs w:val="22"/>
              </w:rPr>
              <w:t xml:space="preserve"> independence regarding appointment/ removal of the Head is laid</w:t>
            </w:r>
            <w:r>
              <w:rPr>
                <w:sz w:val="22"/>
                <w:szCs w:val="22"/>
              </w:rPr>
              <w:t xml:space="preserve"> down in the Constitution and is </w:t>
            </w:r>
            <w:r w:rsidRPr="000A0A98">
              <w:rPr>
                <w:sz w:val="22"/>
                <w:szCs w:val="22"/>
              </w:rPr>
              <w:t xml:space="preserve">free from </w:t>
            </w:r>
            <w:r>
              <w:rPr>
                <w:sz w:val="22"/>
                <w:szCs w:val="22"/>
              </w:rPr>
              <w:t>E</w:t>
            </w:r>
            <w:r w:rsidRPr="000A0A98">
              <w:rPr>
                <w:sz w:val="22"/>
                <w:szCs w:val="22"/>
              </w:rPr>
              <w:t>xecutive’s interference from the planning of audit engagement, arrangement for publicizing reports, and approval and execution of budget.</w:t>
            </w:r>
            <w:r>
              <w:rPr>
                <w:sz w:val="22"/>
                <w:szCs w:val="22"/>
              </w:rPr>
              <w:t xml:space="preserve"> While there is </w:t>
            </w:r>
            <w:r w:rsidRPr="000A0A98">
              <w:rPr>
                <w:sz w:val="22"/>
                <w:szCs w:val="22"/>
              </w:rPr>
              <w:t>unrestricted access to information</w:t>
            </w:r>
            <w:r>
              <w:rPr>
                <w:sz w:val="22"/>
                <w:szCs w:val="22"/>
              </w:rPr>
              <w:t xml:space="preserve"> for expenditure</w:t>
            </w:r>
            <w:r w:rsidRPr="000A0A98">
              <w:rPr>
                <w:sz w:val="22"/>
                <w:szCs w:val="22"/>
              </w:rPr>
              <w:t xml:space="preserve">, </w:t>
            </w:r>
            <w:r>
              <w:rPr>
                <w:sz w:val="22"/>
                <w:szCs w:val="22"/>
              </w:rPr>
              <w:t>scope of audit for revenue collected by BIR (70% of revenues) is limited.</w:t>
            </w:r>
          </w:p>
        </w:tc>
      </w:tr>
    </w:tbl>
    <w:p w14:paraId="710B4EF7" w14:textId="77777777" w:rsidR="001762EE" w:rsidRPr="005A497D" w:rsidRDefault="001762EE" w:rsidP="00D33D4E">
      <w:pPr>
        <w:pStyle w:val="FreeFormAAAA"/>
        <w:jc w:val="both"/>
        <w:rPr>
          <w:sz w:val="24"/>
          <w:szCs w:val="24"/>
          <w:lang w:val="en-US"/>
        </w:rPr>
      </w:pPr>
    </w:p>
    <w:p w14:paraId="59E1506A" w14:textId="321C9E1B" w:rsidR="001762EE" w:rsidRPr="0025475E" w:rsidRDefault="001762EE" w:rsidP="00BE3DC2">
      <w:pPr>
        <w:pStyle w:val="BodyC"/>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b/>
          <w:i/>
          <w:szCs w:val="24"/>
        </w:rPr>
      </w:pPr>
      <w:r w:rsidRPr="0025475E">
        <w:rPr>
          <w:rFonts w:ascii="Times New Roman" w:hAnsi="Times New Roman"/>
          <w:b/>
          <w:i/>
          <w:szCs w:val="24"/>
        </w:rPr>
        <w:t>Dimension 30.1 Audit coverage and standards</w:t>
      </w:r>
    </w:p>
    <w:p w14:paraId="0954DDED" w14:textId="77777777" w:rsidR="001762EE" w:rsidRPr="005B04BF" w:rsidRDefault="001762EE" w:rsidP="00BE3DC2">
      <w:pPr>
        <w:pStyle w:val="BodyC"/>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i/>
          <w:szCs w:val="24"/>
        </w:rPr>
      </w:pPr>
    </w:p>
    <w:p w14:paraId="33D6E7EC" w14:textId="74F1408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Commission on Audit</w:t>
      </w:r>
      <w:r w:rsidRPr="005A497D">
        <w:t xml:space="preserve"> performs financial </w:t>
      </w:r>
      <w:r>
        <w:t xml:space="preserve">and compliance </w:t>
      </w:r>
      <w:r w:rsidRPr="005A497D">
        <w:t xml:space="preserve">audits of all </w:t>
      </w:r>
      <w:r>
        <w:t>national government agencies</w:t>
      </w:r>
      <w:r w:rsidRPr="005A497D">
        <w:t xml:space="preserve">, </w:t>
      </w:r>
      <w:r>
        <w:t>local government units</w:t>
      </w:r>
      <w:r w:rsidRPr="005A497D">
        <w:t>, and GOCCs. It also carries out value-for-money (performance audit)</w:t>
      </w:r>
      <w:r>
        <w:t>, fraud</w:t>
      </w:r>
      <w:r w:rsidRPr="005A497D">
        <w:t xml:space="preserve"> and other special audits.</w:t>
      </w:r>
    </w:p>
    <w:p w14:paraId="568C1469" w14:textId="77777777" w:rsidR="001762EE" w:rsidRPr="005A497D" w:rsidRDefault="001762EE" w:rsidP="00A54133">
      <w:pPr>
        <w:pStyle w:val="NormalWeb"/>
        <w:autoSpaceDE w:val="0"/>
        <w:autoSpaceDN w:val="0"/>
        <w:adjustRightInd w:val="0"/>
        <w:spacing w:before="0" w:beforeAutospacing="0" w:after="0" w:afterAutospacing="0"/>
        <w:contextualSpacing/>
        <w:jc w:val="both"/>
      </w:pPr>
    </w:p>
    <w:p w14:paraId="60BC1484" w14:textId="17BDB627" w:rsidR="001762EE" w:rsidRDefault="001762EE" w:rsidP="00461D02">
      <w:pPr>
        <w:pStyle w:val="NormalWeb"/>
        <w:numPr>
          <w:ilvl w:val="0"/>
          <w:numId w:val="6"/>
        </w:numPr>
        <w:autoSpaceDE w:val="0"/>
        <w:autoSpaceDN w:val="0"/>
        <w:adjustRightInd w:val="0"/>
        <w:spacing w:before="0" w:beforeAutospacing="0" w:after="0" w:afterAutospacing="0"/>
        <w:ind w:left="0" w:firstLine="0"/>
        <w:contextualSpacing/>
        <w:jc w:val="both"/>
      </w:pPr>
      <w:r w:rsidRPr="005A497D">
        <w:t>The audit is conducted according to Philippine Public Sector Standards on Auditing (PPSSA)</w:t>
      </w:r>
      <w:r>
        <w:t>,</w:t>
      </w:r>
      <w:r w:rsidRPr="005A497D">
        <w:t xml:space="preserve"> which were adopted through </w:t>
      </w:r>
      <w:r>
        <w:t>CoA</w:t>
      </w:r>
      <w:r w:rsidRPr="005A497D">
        <w:t xml:space="preserve"> Resolution</w:t>
      </w:r>
      <w:r w:rsidR="0093540A">
        <w:t>s</w:t>
      </w:r>
      <w:r w:rsidRPr="005A497D">
        <w:t xml:space="preserve"> </w:t>
      </w:r>
      <w:r w:rsidR="0093540A" w:rsidRPr="005A497D">
        <w:t>No. 2013-007</w:t>
      </w:r>
      <w:r w:rsidR="0093540A">
        <w:t xml:space="preserve">, 2014-011, and 2016-010, dated </w:t>
      </w:r>
      <w:r w:rsidR="0093540A" w:rsidRPr="005A497D">
        <w:t>January 29, 2013</w:t>
      </w:r>
      <w:r w:rsidR="0093540A">
        <w:t>,</w:t>
      </w:r>
      <w:r w:rsidR="0093540A" w:rsidRPr="005A497D">
        <w:t xml:space="preserve"> </w:t>
      </w:r>
      <w:r w:rsidR="0093540A">
        <w:t xml:space="preserve">May 7, 2014 and May 10, 2016, respectively, </w:t>
      </w:r>
      <w:r w:rsidRPr="005A497D">
        <w:t xml:space="preserve">to align with international standards. In 2011, </w:t>
      </w:r>
      <w:r>
        <w:t>the Commission on Audit</w:t>
      </w:r>
      <w:r w:rsidRPr="005A497D">
        <w:t xml:space="preserve"> shifted </w:t>
      </w:r>
      <w:r>
        <w:t>from</w:t>
      </w:r>
      <w:r w:rsidRPr="005A497D">
        <w:t xml:space="preserve"> the risk-based audit approach </w:t>
      </w:r>
      <w:r>
        <w:t>to</w:t>
      </w:r>
      <w:r w:rsidRPr="005A497D">
        <w:t xml:space="preserve"> the integrated results and risk-based audit methodology </w:t>
      </w:r>
      <w:r w:rsidR="0093540A">
        <w:t xml:space="preserve">and formulated </w:t>
      </w:r>
      <w:r w:rsidRPr="00D5766F">
        <w:t>the Forensic Audit Manual</w:t>
      </w:r>
      <w:r>
        <w:t xml:space="preserve">; with this approach the Commission would be able </w:t>
      </w:r>
      <w:r w:rsidRPr="00D5766F">
        <w:t xml:space="preserve">to integrate its different types of audits into a holistic audit methodology that </w:t>
      </w:r>
      <w:r>
        <w:t>would</w:t>
      </w:r>
      <w:r w:rsidRPr="00D5766F">
        <w:t xml:space="preserve"> take into consideration the projected and actual outputs and outcomes of programs, activities</w:t>
      </w:r>
      <w:r>
        <w:t>,</w:t>
      </w:r>
      <w:r w:rsidRPr="00D5766F">
        <w:t xml:space="preserve"> and projects of government agencies.</w:t>
      </w:r>
      <w:r>
        <w:t xml:space="preserve"> The </w:t>
      </w:r>
      <w:r w:rsidRPr="00E34718">
        <w:t>C</w:t>
      </w:r>
      <w:r>
        <w:t xml:space="preserve">ommission on Audit </w:t>
      </w:r>
      <w:r w:rsidRPr="00E34718">
        <w:t>developed the Integrated Result</w:t>
      </w:r>
      <w:r>
        <w:t xml:space="preserve">s and Risk-Based Audit Software, </w:t>
      </w:r>
      <w:r w:rsidRPr="00E34718">
        <w:t xml:space="preserve">a computer-based tool that state auditors employ in conducting their audit.  </w:t>
      </w:r>
      <w:r>
        <w:t>Training on this tool started in 2014 and is ongoing.</w:t>
      </w:r>
    </w:p>
    <w:p w14:paraId="34C5B9C5" w14:textId="2A6C03B1" w:rsidR="001762EE" w:rsidRPr="00E34718" w:rsidRDefault="001762EE" w:rsidP="00F71CA5">
      <w:pPr>
        <w:pStyle w:val="NormalWeb"/>
        <w:autoSpaceDE w:val="0"/>
        <w:autoSpaceDN w:val="0"/>
        <w:adjustRightInd w:val="0"/>
        <w:spacing w:before="0" w:beforeAutospacing="0" w:after="0" w:afterAutospacing="0"/>
        <w:contextualSpacing/>
        <w:jc w:val="both"/>
      </w:pPr>
      <w:r w:rsidRPr="00E34718">
        <w:t> </w:t>
      </w:r>
    </w:p>
    <w:p w14:paraId="56F7EB84" w14:textId="67B194D4"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Scope of the audit covers the entire government </w:t>
      </w:r>
      <w:r>
        <w:t>expenditures. Executive Order 38, issued in 1998, requires the Department of Finance and Bureau of Internal Revenue to adopt certain measures and audit procedures in coordination with the Commission on Audit to facilitate the conduct of audit of assessments, revenues, and receipts.</w:t>
      </w:r>
      <w:r>
        <w:rPr>
          <w:rStyle w:val="EndnoteReference"/>
        </w:rPr>
        <w:endnoteReference w:id="101"/>
      </w:r>
      <w:r>
        <w:t xml:space="preserve">  Pending issuance of the required guidelines for implementation of this Executive Order, the revenue audit is limited to verification of the collection and receipts, including remittances. The scope of audit conducted for the Bureau of Internal Revenue is therefore limited. S</w:t>
      </w:r>
      <w:r w:rsidRPr="005A497D">
        <w:t>core</w:t>
      </w:r>
      <w:r>
        <w:t xml:space="preserve"> for Dimension 30.1 </w:t>
      </w:r>
      <w:r w:rsidRPr="005A497D">
        <w:t>is assessed at “</w:t>
      </w:r>
      <w:r>
        <w:t>C</w:t>
      </w:r>
      <w:r w:rsidRPr="005A497D">
        <w:t>”.</w:t>
      </w:r>
    </w:p>
    <w:p w14:paraId="00130BF6" w14:textId="77777777" w:rsidR="001762EE" w:rsidRPr="005A497D" w:rsidRDefault="001762EE" w:rsidP="00BE3DC2">
      <w:pPr>
        <w:pStyle w:val="NormalWeb"/>
        <w:autoSpaceDE w:val="0"/>
        <w:autoSpaceDN w:val="0"/>
        <w:adjustRightInd w:val="0"/>
        <w:spacing w:before="0" w:beforeAutospacing="0" w:after="0" w:afterAutospacing="0"/>
        <w:contextualSpacing/>
        <w:jc w:val="both"/>
      </w:pPr>
    </w:p>
    <w:p w14:paraId="75BE8A25" w14:textId="4B8AA651" w:rsidR="001762EE" w:rsidRPr="0025475E" w:rsidRDefault="001762EE" w:rsidP="00BE3DC2">
      <w:pPr>
        <w:pStyle w:val="BodyC"/>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b/>
          <w:i/>
          <w:szCs w:val="24"/>
        </w:rPr>
      </w:pPr>
      <w:r w:rsidRPr="0025475E">
        <w:rPr>
          <w:rFonts w:ascii="Times New Roman" w:hAnsi="Times New Roman"/>
          <w:b/>
          <w:i/>
          <w:szCs w:val="24"/>
        </w:rPr>
        <w:t>Dimension 30.2 Submission of audit reports to legislature</w:t>
      </w:r>
    </w:p>
    <w:p w14:paraId="0136BD9B" w14:textId="77777777" w:rsidR="001762EE" w:rsidRPr="005B04BF" w:rsidRDefault="001762EE" w:rsidP="00BE3DC2">
      <w:pPr>
        <w:pStyle w:val="BodyC"/>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i/>
          <w:szCs w:val="24"/>
        </w:rPr>
      </w:pPr>
    </w:p>
    <w:p w14:paraId="29C6ACF9" w14:textId="4AF326B5" w:rsidR="001762EE"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The Commission on Audit submits the audit report to the secretary of the department or head of agency that is being audited. A copy is also submitted to the Speaker of the House of Representatives and Chair of the Senate. </w:t>
      </w:r>
      <w:r w:rsidRPr="005A497D">
        <w:t xml:space="preserve">This is usually done within 9 months after </w:t>
      </w:r>
      <w:r>
        <w:t>the Commission on Audit</w:t>
      </w:r>
      <w:r w:rsidRPr="005A497D">
        <w:t xml:space="preserve"> receives </w:t>
      </w:r>
      <w:r>
        <w:t>its</w:t>
      </w:r>
      <w:r w:rsidRPr="005A497D">
        <w:t xml:space="preserve"> financial reports for audit. The score</w:t>
      </w:r>
      <w:r>
        <w:t xml:space="preserve"> for Dimension 30.2</w:t>
      </w:r>
      <w:r w:rsidRPr="005A497D">
        <w:t xml:space="preserve"> is assessed at “</w:t>
      </w:r>
      <w:r>
        <w:t>C</w:t>
      </w:r>
      <w:r w:rsidRPr="005A497D">
        <w:t>”.</w:t>
      </w:r>
    </w:p>
    <w:p w14:paraId="3EED5865" w14:textId="77777777" w:rsidR="001762EE" w:rsidRDefault="001762EE" w:rsidP="005B04BF">
      <w:pPr>
        <w:pStyle w:val="NormalWeb"/>
        <w:autoSpaceDE w:val="0"/>
        <w:autoSpaceDN w:val="0"/>
        <w:adjustRightInd w:val="0"/>
        <w:spacing w:before="0" w:beforeAutospacing="0" w:after="0" w:afterAutospacing="0"/>
        <w:contextualSpacing/>
        <w:jc w:val="both"/>
      </w:pPr>
    </w:p>
    <w:p w14:paraId="67668887" w14:textId="76205DC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There is no legal requirement for submission of audit reports by </w:t>
      </w:r>
      <w:r>
        <w:t>Commission on Audit</w:t>
      </w:r>
      <w:r w:rsidRPr="005A497D">
        <w:t xml:space="preserve"> to the legislature. Both the 1987 Philippine Constitution and </w:t>
      </w:r>
      <w:r>
        <w:t>Presidential Decree</w:t>
      </w:r>
      <w:r w:rsidRPr="005A497D">
        <w:t xml:space="preserve"> 1445 require </w:t>
      </w:r>
      <w:r>
        <w:t>the Commission on Audit</w:t>
      </w:r>
      <w:r w:rsidRPr="005A497D">
        <w:t xml:space="preserve"> to only submit the </w:t>
      </w:r>
      <w:r>
        <w:t>Annual Financial Report,</w:t>
      </w:r>
      <w:r w:rsidRPr="005A497D">
        <w:t xml:space="preserve"> which does not include an audit opinion. </w:t>
      </w:r>
    </w:p>
    <w:p w14:paraId="45E69390" w14:textId="77777777" w:rsidR="001762EE" w:rsidRPr="005A497D" w:rsidRDefault="001762EE">
      <w:pPr>
        <w:pStyle w:val="NormalWeb"/>
        <w:autoSpaceDE w:val="0"/>
        <w:autoSpaceDN w:val="0"/>
        <w:adjustRightInd w:val="0"/>
        <w:spacing w:before="0" w:beforeAutospacing="0" w:after="0" w:afterAutospacing="0"/>
        <w:contextualSpacing/>
        <w:jc w:val="both"/>
      </w:pPr>
    </w:p>
    <w:p w14:paraId="39B7E39D" w14:textId="2D7CB463" w:rsidR="001762EE" w:rsidRPr="0025475E" w:rsidRDefault="001762EE" w:rsidP="00BE3DC2">
      <w:pPr>
        <w:pStyle w:val="BodyC"/>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b/>
          <w:i/>
          <w:szCs w:val="24"/>
        </w:rPr>
      </w:pPr>
      <w:r w:rsidRPr="0025475E">
        <w:rPr>
          <w:rFonts w:ascii="Times New Roman" w:hAnsi="Times New Roman"/>
          <w:b/>
          <w:i/>
          <w:szCs w:val="24"/>
        </w:rPr>
        <w:t xml:space="preserve">Dimension 30.3 External audit follow-up </w:t>
      </w:r>
    </w:p>
    <w:p w14:paraId="418FB47D" w14:textId="77777777" w:rsidR="001762EE" w:rsidRPr="005B04BF" w:rsidRDefault="001762EE" w:rsidP="00BE3DC2">
      <w:pPr>
        <w:pStyle w:val="BodyC"/>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Cs w:val="24"/>
        </w:rPr>
      </w:pPr>
    </w:p>
    <w:p w14:paraId="5EA3D1E1" w14:textId="11606491"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CoA</w:t>
      </w:r>
      <w:r w:rsidRPr="005A497D">
        <w:t xml:space="preserve"> audit observations and recommendations are presented to the management of </w:t>
      </w:r>
      <w:r>
        <w:t xml:space="preserve">the </w:t>
      </w:r>
      <w:r w:rsidRPr="005A497D">
        <w:t xml:space="preserve">audited entity through </w:t>
      </w:r>
      <w:r w:rsidR="0093540A">
        <w:t xml:space="preserve">Audit Observations Memorandum and </w:t>
      </w:r>
      <w:r w:rsidRPr="005A497D">
        <w:t>an exit conference</w:t>
      </w:r>
      <w:r>
        <w:t>;</w:t>
      </w:r>
      <w:r w:rsidRPr="005A497D">
        <w:t xml:space="preserve"> </w:t>
      </w:r>
      <w:r>
        <w:t xml:space="preserve">a </w:t>
      </w:r>
      <w:r w:rsidRPr="005A497D">
        <w:t xml:space="preserve">management response is solicited for inclusion in the </w:t>
      </w:r>
      <w:r>
        <w:t>CoA</w:t>
      </w:r>
      <w:r w:rsidRPr="005A497D">
        <w:t xml:space="preserve"> report. </w:t>
      </w:r>
      <w:r>
        <w:t xml:space="preserve">Responses are received in a timely manner to allow inclusion in the issued report. </w:t>
      </w:r>
      <w:r w:rsidRPr="005A497D">
        <w:t>An agency action plan is also submitted</w:t>
      </w:r>
      <w:r>
        <w:t>,</w:t>
      </w:r>
      <w:r w:rsidRPr="005A497D">
        <w:t xml:space="preserve"> which becomes the basis for follow-up and monitoring. During the course of the current year’s audit, status of implementation of prior year’s recommendations is assessed. This report is also made part of the current year’s audit report. Based on </w:t>
      </w:r>
      <w:r>
        <w:t>CoA</w:t>
      </w:r>
      <w:r w:rsidRPr="005A497D">
        <w:t>’s tally of the status of implementation of 201</w:t>
      </w:r>
      <w:r>
        <w:t>3</w:t>
      </w:r>
      <w:r w:rsidRPr="005A497D">
        <w:t xml:space="preserve"> audit recommendations, </w:t>
      </w:r>
      <w:r>
        <w:t>most recommendations</w:t>
      </w:r>
      <w:r w:rsidRPr="005A497D">
        <w:t xml:space="preserve"> have been fully or partially implemented</w:t>
      </w:r>
      <w:r>
        <w:t xml:space="preserve"> as summarized in Table 3.30</w:t>
      </w:r>
      <w:r w:rsidRPr="005A497D">
        <w:t>.</w:t>
      </w:r>
      <w:r>
        <w:t xml:space="preserve"> The score for Dimension 30.3 is assessed as “B”.</w:t>
      </w:r>
    </w:p>
    <w:p w14:paraId="4DB78864" w14:textId="77777777" w:rsidR="001762EE" w:rsidRPr="005A497D" w:rsidRDefault="001762EE" w:rsidP="009A060F">
      <w:pPr>
        <w:pStyle w:val="NormalWeb2"/>
        <w:spacing w:before="0" w:after="0"/>
        <w:jc w:val="both"/>
      </w:pPr>
    </w:p>
    <w:p w14:paraId="14F85480" w14:textId="686AD76D" w:rsidR="001762EE" w:rsidRPr="005A497D" w:rsidRDefault="001762EE" w:rsidP="001112A1">
      <w:pPr>
        <w:pStyle w:val="PEFATable"/>
        <w:spacing w:after="40"/>
        <w:jc w:val="both"/>
        <w:rPr>
          <w:sz w:val="24"/>
          <w:szCs w:val="24"/>
        </w:rPr>
      </w:pPr>
      <w:bookmarkStart w:id="272" w:name="_Toc454889266"/>
      <w:bookmarkStart w:id="273" w:name="_Toc446423395"/>
      <w:r w:rsidRPr="005A497D">
        <w:rPr>
          <w:sz w:val="24"/>
          <w:szCs w:val="24"/>
        </w:rPr>
        <w:t>Table 3.</w:t>
      </w:r>
      <w:r w:rsidR="00A85C58">
        <w:rPr>
          <w:sz w:val="24"/>
          <w:szCs w:val="24"/>
        </w:rPr>
        <w:t>24</w:t>
      </w:r>
      <w:r w:rsidRPr="005A497D">
        <w:rPr>
          <w:sz w:val="24"/>
          <w:szCs w:val="24"/>
        </w:rPr>
        <w:t>: Status of Implementation of 201</w:t>
      </w:r>
      <w:r>
        <w:rPr>
          <w:sz w:val="24"/>
          <w:szCs w:val="24"/>
        </w:rPr>
        <w:t>3</w:t>
      </w:r>
      <w:r w:rsidRPr="005A497D">
        <w:rPr>
          <w:sz w:val="24"/>
          <w:szCs w:val="24"/>
        </w:rPr>
        <w:t xml:space="preserve"> Audit Recommendations</w:t>
      </w:r>
      <w:bookmarkEnd w:id="272"/>
      <w:r w:rsidRPr="005A497D">
        <w:rPr>
          <w:sz w:val="24"/>
          <w:szCs w:val="24"/>
        </w:rPr>
        <w:t xml:space="preserve"> </w:t>
      </w:r>
      <w:bookmarkEnd w:id="273"/>
    </w:p>
    <w:tbl>
      <w:tblPr>
        <w:tblW w:w="9356"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shd w:val="clear" w:color="auto" w:fill="FFFFFF"/>
        <w:tblLayout w:type="fixed"/>
        <w:tblLook w:val="0000" w:firstRow="0" w:lastRow="0" w:firstColumn="0" w:lastColumn="0" w:noHBand="0" w:noVBand="0"/>
      </w:tblPr>
      <w:tblGrid>
        <w:gridCol w:w="3690"/>
        <w:gridCol w:w="1260"/>
        <w:gridCol w:w="1350"/>
        <w:gridCol w:w="1260"/>
        <w:gridCol w:w="1080"/>
        <w:gridCol w:w="716"/>
      </w:tblGrid>
      <w:tr w:rsidR="00E0051A" w:rsidRPr="005A497D" w14:paraId="6AA84A90" w14:textId="77777777" w:rsidTr="00E0051A">
        <w:trPr>
          <w:cantSplit/>
          <w:trHeight w:val="440"/>
          <w:tblHeader/>
        </w:trPr>
        <w:tc>
          <w:tcPr>
            <w:tcW w:w="3690" w:type="dxa"/>
            <w:tcBorders>
              <w:top w:val="double" w:sz="4" w:space="0" w:color="auto"/>
              <w:bottom w:val="double" w:sz="4" w:space="0" w:color="auto"/>
            </w:tcBorders>
            <w:shd w:val="clear" w:color="auto" w:fill="D9D9D9" w:themeFill="background1" w:themeFillShade="D9"/>
            <w:vAlign w:val="center"/>
          </w:tcPr>
          <w:p w14:paraId="08E6423E" w14:textId="77777777" w:rsidR="001762EE" w:rsidRPr="0025475E" w:rsidRDefault="001762EE" w:rsidP="005F79A5">
            <w:pPr>
              <w:pStyle w:val="FreeFormAB"/>
              <w:jc w:val="center"/>
              <w:rPr>
                <w:b/>
                <w:i/>
                <w:lang w:val="en-US"/>
              </w:rPr>
            </w:pPr>
            <w:r w:rsidRPr="0025475E">
              <w:rPr>
                <w:b/>
                <w:i/>
                <w:lang w:val="en-US"/>
              </w:rPr>
              <w:t>Agency</w:t>
            </w:r>
          </w:p>
        </w:tc>
        <w:tc>
          <w:tcPr>
            <w:tcW w:w="1260" w:type="dxa"/>
            <w:tcBorders>
              <w:top w:val="double" w:sz="4" w:space="0" w:color="auto"/>
              <w:bottom w:val="double" w:sz="4" w:space="0" w:color="auto"/>
            </w:tcBorders>
            <w:shd w:val="clear" w:color="auto" w:fill="D9D9D9" w:themeFill="background1" w:themeFillShade="D9"/>
            <w:vAlign w:val="center"/>
          </w:tcPr>
          <w:p w14:paraId="0487EABE" w14:textId="6D3CC86C" w:rsidR="001762EE" w:rsidRPr="0025475E" w:rsidRDefault="007075BA">
            <w:pPr>
              <w:pStyle w:val="FreeFormAB"/>
              <w:ind w:left="-85" w:right="-85"/>
              <w:jc w:val="center"/>
              <w:rPr>
                <w:b/>
                <w:i/>
                <w:lang w:val="en-US"/>
              </w:rPr>
            </w:pPr>
            <w:r>
              <w:rPr>
                <w:b/>
                <w:i/>
                <w:lang w:val="en-US"/>
              </w:rPr>
              <w:t>No. f</w:t>
            </w:r>
            <w:r w:rsidRPr="0025475E">
              <w:rPr>
                <w:b/>
                <w:i/>
                <w:lang w:val="en-US"/>
              </w:rPr>
              <w:t xml:space="preserve">ully </w:t>
            </w:r>
            <w:r w:rsidR="001762EE">
              <w:rPr>
                <w:b/>
                <w:i/>
                <w:lang w:val="en-US"/>
              </w:rPr>
              <w:t>i</w:t>
            </w:r>
            <w:r w:rsidR="001762EE" w:rsidRPr="0025475E">
              <w:rPr>
                <w:b/>
                <w:i/>
                <w:lang w:val="en-US"/>
              </w:rPr>
              <w:t>mplemented</w:t>
            </w:r>
          </w:p>
        </w:tc>
        <w:tc>
          <w:tcPr>
            <w:tcW w:w="1350" w:type="dxa"/>
            <w:tcBorders>
              <w:top w:val="double" w:sz="4" w:space="0" w:color="auto"/>
              <w:bottom w:val="double" w:sz="4" w:space="0" w:color="auto"/>
            </w:tcBorders>
            <w:shd w:val="clear" w:color="auto" w:fill="D9D9D9" w:themeFill="background1" w:themeFillShade="D9"/>
            <w:vAlign w:val="center"/>
          </w:tcPr>
          <w:p w14:paraId="6D45208F" w14:textId="4FE1C348" w:rsidR="001762EE" w:rsidRPr="0025475E" w:rsidRDefault="007075BA">
            <w:pPr>
              <w:pStyle w:val="FreeFormAB"/>
              <w:ind w:left="-85" w:right="-85"/>
              <w:jc w:val="center"/>
              <w:rPr>
                <w:b/>
                <w:i/>
                <w:lang w:val="en-US"/>
              </w:rPr>
            </w:pPr>
            <w:r>
              <w:rPr>
                <w:b/>
                <w:i/>
                <w:lang w:val="en-US"/>
              </w:rPr>
              <w:t>No. p</w:t>
            </w:r>
            <w:r w:rsidRPr="0025475E">
              <w:rPr>
                <w:b/>
                <w:i/>
                <w:lang w:val="en-US"/>
              </w:rPr>
              <w:t xml:space="preserve">artially </w:t>
            </w:r>
            <w:r w:rsidR="001762EE">
              <w:rPr>
                <w:b/>
                <w:i/>
                <w:lang w:val="en-US"/>
              </w:rPr>
              <w:t>i</w:t>
            </w:r>
            <w:r w:rsidR="001762EE" w:rsidRPr="0025475E">
              <w:rPr>
                <w:b/>
                <w:i/>
                <w:lang w:val="en-US"/>
              </w:rPr>
              <w:t>mplemented</w:t>
            </w:r>
          </w:p>
        </w:tc>
        <w:tc>
          <w:tcPr>
            <w:tcW w:w="1260" w:type="dxa"/>
            <w:tcBorders>
              <w:top w:val="double" w:sz="4" w:space="0" w:color="auto"/>
              <w:bottom w:val="double" w:sz="4" w:space="0" w:color="auto"/>
            </w:tcBorders>
            <w:shd w:val="clear" w:color="auto" w:fill="D9D9D9" w:themeFill="background1" w:themeFillShade="D9"/>
            <w:vAlign w:val="center"/>
          </w:tcPr>
          <w:p w14:paraId="0FFF0E3B" w14:textId="230D784D" w:rsidR="001762EE" w:rsidRPr="0025475E" w:rsidRDefault="007075BA">
            <w:pPr>
              <w:pStyle w:val="FreeFormAB"/>
              <w:ind w:left="-85" w:right="-85"/>
              <w:jc w:val="center"/>
              <w:rPr>
                <w:b/>
                <w:i/>
                <w:lang w:val="en-US"/>
              </w:rPr>
            </w:pPr>
            <w:r>
              <w:rPr>
                <w:b/>
                <w:i/>
                <w:lang w:val="en-US"/>
              </w:rPr>
              <w:t>No. n</w:t>
            </w:r>
            <w:r w:rsidRPr="0025475E">
              <w:rPr>
                <w:b/>
                <w:i/>
                <w:lang w:val="en-US"/>
              </w:rPr>
              <w:t xml:space="preserve">ot </w:t>
            </w:r>
            <w:r w:rsidR="001762EE">
              <w:rPr>
                <w:b/>
                <w:i/>
                <w:lang w:val="en-US"/>
              </w:rPr>
              <w:t>i</w:t>
            </w:r>
            <w:r w:rsidR="001762EE" w:rsidRPr="0025475E">
              <w:rPr>
                <w:b/>
                <w:i/>
                <w:lang w:val="en-US"/>
              </w:rPr>
              <w:t>mplemented</w:t>
            </w:r>
          </w:p>
        </w:tc>
        <w:tc>
          <w:tcPr>
            <w:tcW w:w="1080" w:type="dxa"/>
            <w:tcBorders>
              <w:top w:val="double" w:sz="4" w:space="0" w:color="auto"/>
              <w:bottom w:val="double" w:sz="4" w:space="0" w:color="auto"/>
            </w:tcBorders>
            <w:shd w:val="clear" w:color="auto" w:fill="D9D9D9" w:themeFill="background1" w:themeFillShade="D9"/>
            <w:vAlign w:val="center"/>
          </w:tcPr>
          <w:p w14:paraId="46D19FB6" w14:textId="6AF99347" w:rsidR="001762EE" w:rsidRPr="0025475E" w:rsidRDefault="007075BA">
            <w:pPr>
              <w:pStyle w:val="FreeFormAB"/>
              <w:ind w:left="-85" w:right="-85"/>
              <w:jc w:val="center"/>
              <w:rPr>
                <w:b/>
                <w:i/>
                <w:lang w:val="en-US"/>
              </w:rPr>
            </w:pPr>
            <w:r>
              <w:rPr>
                <w:b/>
                <w:i/>
                <w:lang w:val="en-US"/>
              </w:rPr>
              <w:t>Without</w:t>
            </w:r>
            <w:r w:rsidRPr="0025475E">
              <w:rPr>
                <w:b/>
                <w:i/>
                <w:lang w:val="en-US"/>
              </w:rPr>
              <w:t xml:space="preserve"> </w:t>
            </w:r>
            <w:r>
              <w:rPr>
                <w:b/>
                <w:i/>
                <w:lang w:val="en-US"/>
              </w:rPr>
              <w:t>s</w:t>
            </w:r>
            <w:r w:rsidRPr="0025475E">
              <w:rPr>
                <w:b/>
                <w:i/>
                <w:lang w:val="en-US"/>
              </w:rPr>
              <w:t xml:space="preserve">tatus </w:t>
            </w:r>
            <w:r>
              <w:rPr>
                <w:b/>
                <w:i/>
                <w:lang w:val="en-US"/>
              </w:rPr>
              <w:t>r</w:t>
            </w:r>
            <w:r w:rsidRPr="0025475E">
              <w:rPr>
                <w:b/>
                <w:i/>
                <w:lang w:val="en-US"/>
              </w:rPr>
              <w:t>eport</w:t>
            </w:r>
          </w:p>
        </w:tc>
        <w:tc>
          <w:tcPr>
            <w:tcW w:w="716" w:type="dxa"/>
            <w:tcBorders>
              <w:top w:val="double" w:sz="4" w:space="0" w:color="auto"/>
              <w:bottom w:val="double" w:sz="4" w:space="0" w:color="auto"/>
            </w:tcBorders>
            <w:shd w:val="clear" w:color="auto" w:fill="D9D9D9" w:themeFill="background1" w:themeFillShade="D9"/>
            <w:vAlign w:val="center"/>
          </w:tcPr>
          <w:p w14:paraId="72E8DE62" w14:textId="77777777" w:rsidR="001762EE" w:rsidRPr="0025475E" w:rsidRDefault="001762EE" w:rsidP="005F79A5">
            <w:pPr>
              <w:pStyle w:val="FreeFormAB"/>
              <w:ind w:left="-85" w:right="-85"/>
              <w:jc w:val="center"/>
              <w:rPr>
                <w:b/>
                <w:i/>
                <w:lang w:val="en-US"/>
              </w:rPr>
            </w:pPr>
            <w:r w:rsidRPr="0025475E">
              <w:rPr>
                <w:b/>
                <w:i/>
                <w:lang w:val="en-US"/>
              </w:rPr>
              <w:t>Total</w:t>
            </w:r>
          </w:p>
        </w:tc>
      </w:tr>
      <w:tr w:rsidR="00E0051A" w:rsidRPr="005A497D" w14:paraId="711F44C7" w14:textId="77777777" w:rsidTr="00E0051A">
        <w:trPr>
          <w:cantSplit/>
          <w:trHeight w:val="283"/>
        </w:trPr>
        <w:tc>
          <w:tcPr>
            <w:tcW w:w="3690" w:type="dxa"/>
            <w:tcBorders>
              <w:top w:val="double" w:sz="4" w:space="0" w:color="auto"/>
            </w:tcBorders>
            <w:shd w:val="clear" w:color="auto" w:fill="FFFFFF"/>
            <w:vAlign w:val="center"/>
          </w:tcPr>
          <w:p w14:paraId="554164FB" w14:textId="77777777" w:rsidR="001762EE" w:rsidRPr="00EC5DE8" w:rsidRDefault="001762EE" w:rsidP="005F79A5">
            <w:pPr>
              <w:pStyle w:val="FreeFormAB"/>
              <w:rPr>
                <w:sz w:val="18"/>
                <w:szCs w:val="18"/>
                <w:lang w:val="en-US"/>
              </w:rPr>
            </w:pPr>
            <w:r w:rsidRPr="00EC5DE8">
              <w:rPr>
                <w:sz w:val="18"/>
                <w:szCs w:val="18"/>
                <w:lang w:val="en-US"/>
              </w:rPr>
              <w:t>Department of Agrarian Reform</w:t>
            </w:r>
          </w:p>
        </w:tc>
        <w:tc>
          <w:tcPr>
            <w:tcW w:w="1260" w:type="dxa"/>
            <w:tcBorders>
              <w:top w:val="double" w:sz="4" w:space="0" w:color="auto"/>
            </w:tcBorders>
            <w:shd w:val="clear" w:color="auto" w:fill="FFFFFF"/>
            <w:vAlign w:val="center"/>
          </w:tcPr>
          <w:p w14:paraId="48CBD5E3" w14:textId="77777777" w:rsidR="001762EE" w:rsidRPr="00EC5DE8" w:rsidRDefault="001762EE" w:rsidP="005F79A5">
            <w:pPr>
              <w:pStyle w:val="FreeFormAB"/>
              <w:jc w:val="center"/>
              <w:rPr>
                <w:sz w:val="18"/>
                <w:szCs w:val="18"/>
                <w:lang w:val="en-US"/>
              </w:rPr>
            </w:pPr>
            <w:r w:rsidRPr="00EC5DE8">
              <w:rPr>
                <w:sz w:val="18"/>
                <w:szCs w:val="18"/>
                <w:lang w:val="en-US"/>
              </w:rPr>
              <w:t>10</w:t>
            </w:r>
          </w:p>
        </w:tc>
        <w:tc>
          <w:tcPr>
            <w:tcW w:w="1350" w:type="dxa"/>
            <w:tcBorders>
              <w:top w:val="double" w:sz="4" w:space="0" w:color="auto"/>
            </w:tcBorders>
            <w:shd w:val="clear" w:color="auto" w:fill="FFFFFF"/>
            <w:vAlign w:val="center"/>
          </w:tcPr>
          <w:p w14:paraId="4ED94419" w14:textId="77777777" w:rsidR="001762EE" w:rsidRPr="00EC5DE8" w:rsidRDefault="001762EE" w:rsidP="005F79A5">
            <w:pPr>
              <w:pStyle w:val="FreeFormAB"/>
              <w:jc w:val="center"/>
              <w:rPr>
                <w:sz w:val="18"/>
                <w:szCs w:val="18"/>
                <w:lang w:val="en-US"/>
              </w:rPr>
            </w:pPr>
            <w:r w:rsidRPr="00EC5DE8">
              <w:rPr>
                <w:sz w:val="18"/>
                <w:szCs w:val="18"/>
                <w:lang w:val="en-US"/>
              </w:rPr>
              <w:t>32</w:t>
            </w:r>
          </w:p>
        </w:tc>
        <w:tc>
          <w:tcPr>
            <w:tcW w:w="1260" w:type="dxa"/>
            <w:tcBorders>
              <w:top w:val="double" w:sz="4" w:space="0" w:color="auto"/>
            </w:tcBorders>
            <w:shd w:val="clear" w:color="auto" w:fill="FFFFFF"/>
            <w:vAlign w:val="center"/>
          </w:tcPr>
          <w:p w14:paraId="00165CBC" w14:textId="77777777" w:rsidR="001762EE" w:rsidRPr="00EC5DE8" w:rsidRDefault="001762EE" w:rsidP="005F79A5">
            <w:pPr>
              <w:pStyle w:val="FreeFormAB"/>
              <w:jc w:val="center"/>
              <w:rPr>
                <w:sz w:val="18"/>
                <w:szCs w:val="18"/>
                <w:lang w:val="en-US"/>
              </w:rPr>
            </w:pPr>
            <w:r w:rsidRPr="00EC5DE8">
              <w:rPr>
                <w:sz w:val="18"/>
                <w:szCs w:val="18"/>
                <w:lang w:val="en-US"/>
              </w:rPr>
              <w:t>78</w:t>
            </w:r>
          </w:p>
        </w:tc>
        <w:tc>
          <w:tcPr>
            <w:tcW w:w="1080" w:type="dxa"/>
            <w:tcBorders>
              <w:top w:val="double" w:sz="4" w:space="0" w:color="auto"/>
            </w:tcBorders>
            <w:shd w:val="clear" w:color="auto" w:fill="FFFFFF"/>
            <w:vAlign w:val="center"/>
          </w:tcPr>
          <w:p w14:paraId="74F0501E" w14:textId="579734B3"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tcBorders>
              <w:top w:val="double" w:sz="4" w:space="0" w:color="auto"/>
            </w:tcBorders>
            <w:shd w:val="clear" w:color="auto" w:fill="FFFFFF"/>
            <w:vAlign w:val="center"/>
          </w:tcPr>
          <w:p w14:paraId="423E751A" w14:textId="77777777" w:rsidR="001762EE" w:rsidRPr="00EC5DE8" w:rsidRDefault="001762EE" w:rsidP="005F79A5">
            <w:pPr>
              <w:pStyle w:val="FreeFormAB"/>
              <w:jc w:val="center"/>
              <w:rPr>
                <w:sz w:val="18"/>
                <w:szCs w:val="18"/>
                <w:lang w:val="en-US"/>
              </w:rPr>
            </w:pPr>
            <w:r w:rsidRPr="00EC5DE8">
              <w:rPr>
                <w:sz w:val="18"/>
                <w:szCs w:val="18"/>
                <w:lang w:val="en-US"/>
              </w:rPr>
              <w:t>120</w:t>
            </w:r>
          </w:p>
        </w:tc>
      </w:tr>
      <w:tr w:rsidR="00E0051A" w:rsidRPr="005A497D" w14:paraId="4AEE67BD" w14:textId="77777777" w:rsidTr="00E0051A">
        <w:trPr>
          <w:cantSplit/>
          <w:trHeight w:val="283"/>
        </w:trPr>
        <w:tc>
          <w:tcPr>
            <w:tcW w:w="3690" w:type="dxa"/>
            <w:shd w:val="clear" w:color="auto" w:fill="FFFFFF"/>
            <w:vAlign w:val="center"/>
          </w:tcPr>
          <w:p w14:paraId="579E7A6E" w14:textId="77777777" w:rsidR="001762EE" w:rsidRPr="00EC5DE8" w:rsidRDefault="001762EE" w:rsidP="005F79A5">
            <w:pPr>
              <w:pStyle w:val="FreeFormAB"/>
              <w:rPr>
                <w:sz w:val="18"/>
                <w:szCs w:val="18"/>
                <w:lang w:val="en-US"/>
              </w:rPr>
            </w:pPr>
            <w:r w:rsidRPr="00EC5DE8">
              <w:rPr>
                <w:sz w:val="18"/>
                <w:szCs w:val="18"/>
                <w:lang w:val="en-US"/>
              </w:rPr>
              <w:t>Department of Agriculture</w:t>
            </w:r>
          </w:p>
        </w:tc>
        <w:tc>
          <w:tcPr>
            <w:tcW w:w="1260" w:type="dxa"/>
            <w:shd w:val="clear" w:color="auto" w:fill="FFFFFF"/>
            <w:vAlign w:val="center"/>
          </w:tcPr>
          <w:p w14:paraId="75CBBCC7" w14:textId="77777777" w:rsidR="001762EE" w:rsidRPr="00EC5DE8" w:rsidRDefault="001762EE" w:rsidP="005F79A5">
            <w:pPr>
              <w:pStyle w:val="FreeFormAB"/>
              <w:jc w:val="center"/>
              <w:rPr>
                <w:sz w:val="18"/>
                <w:szCs w:val="18"/>
                <w:lang w:val="en-US"/>
              </w:rPr>
            </w:pPr>
            <w:r w:rsidRPr="00EC5DE8">
              <w:rPr>
                <w:sz w:val="18"/>
                <w:szCs w:val="18"/>
                <w:lang w:val="en-US"/>
              </w:rPr>
              <w:t>62</w:t>
            </w:r>
          </w:p>
        </w:tc>
        <w:tc>
          <w:tcPr>
            <w:tcW w:w="1350" w:type="dxa"/>
            <w:shd w:val="clear" w:color="auto" w:fill="FFFFFF"/>
            <w:vAlign w:val="center"/>
          </w:tcPr>
          <w:p w14:paraId="241610EF" w14:textId="77777777" w:rsidR="001762EE" w:rsidRPr="00EC5DE8" w:rsidRDefault="001762EE" w:rsidP="005F79A5">
            <w:pPr>
              <w:pStyle w:val="FreeFormAB"/>
              <w:jc w:val="center"/>
              <w:rPr>
                <w:sz w:val="18"/>
                <w:szCs w:val="18"/>
                <w:lang w:val="en-US"/>
              </w:rPr>
            </w:pPr>
            <w:r w:rsidRPr="00EC5DE8">
              <w:rPr>
                <w:sz w:val="18"/>
                <w:szCs w:val="18"/>
                <w:lang w:val="en-US"/>
              </w:rPr>
              <w:t>79</w:t>
            </w:r>
          </w:p>
        </w:tc>
        <w:tc>
          <w:tcPr>
            <w:tcW w:w="1260" w:type="dxa"/>
            <w:shd w:val="clear" w:color="auto" w:fill="FFFFFF"/>
            <w:vAlign w:val="center"/>
          </w:tcPr>
          <w:p w14:paraId="7D94775D" w14:textId="77777777" w:rsidR="001762EE" w:rsidRPr="00EC5DE8" w:rsidRDefault="001762EE" w:rsidP="005F79A5">
            <w:pPr>
              <w:pStyle w:val="FreeFormAB"/>
              <w:jc w:val="center"/>
              <w:rPr>
                <w:sz w:val="18"/>
                <w:szCs w:val="18"/>
                <w:lang w:val="en-US"/>
              </w:rPr>
            </w:pPr>
            <w:r w:rsidRPr="00EC5DE8">
              <w:rPr>
                <w:sz w:val="18"/>
                <w:szCs w:val="18"/>
                <w:lang w:val="en-US"/>
              </w:rPr>
              <w:t>53</w:t>
            </w:r>
          </w:p>
        </w:tc>
        <w:tc>
          <w:tcPr>
            <w:tcW w:w="1080" w:type="dxa"/>
            <w:shd w:val="clear" w:color="auto" w:fill="FFFFFF"/>
            <w:vAlign w:val="center"/>
          </w:tcPr>
          <w:p w14:paraId="43B4231F" w14:textId="5ECD9C2E"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70B42B4F" w14:textId="77777777" w:rsidR="001762EE" w:rsidRPr="00EC5DE8" w:rsidRDefault="001762EE" w:rsidP="005F79A5">
            <w:pPr>
              <w:pStyle w:val="FreeFormAB"/>
              <w:jc w:val="center"/>
              <w:rPr>
                <w:sz w:val="18"/>
                <w:szCs w:val="18"/>
                <w:lang w:val="en-US"/>
              </w:rPr>
            </w:pPr>
            <w:r w:rsidRPr="00EC5DE8">
              <w:rPr>
                <w:sz w:val="18"/>
                <w:szCs w:val="18"/>
                <w:lang w:val="en-US"/>
              </w:rPr>
              <w:t>194</w:t>
            </w:r>
          </w:p>
        </w:tc>
      </w:tr>
      <w:tr w:rsidR="00E0051A" w:rsidRPr="005A497D" w14:paraId="13F8F833" w14:textId="77777777" w:rsidTr="00E0051A">
        <w:trPr>
          <w:cantSplit/>
          <w:trHeight w:val="283"/>
        </w:trPr>
        <w:tc>
          <w:tcPr>
            <w:tcW w:w="3690" w:type="dxa"/>
            <w:shd w:val="clear" w:color="auto" w:fill="FFFFFF"/>
            <w:vAlign w:val="center"/>
          </w:tcPr>
          <w:p w14:paraId="370EA92F" w14:textId="77777777" w:rsidR="001762EE" w:rsidRPr="00EC5DE8" w:rsidRDefault="001762EE" w:rsidP="005F79A5">
            <w:pPr>
              <w:pStyle w:val="FreeFormAB"/>
              <w:rPr>
                <w:sz w:val="18"/>
                <w:szCs w:val="18"/>
                <w:lang w:val="en-US"/>
              </w:rPr>
            </w:pPr>
            <w:r w:rsidRPr="00EC5DE8">
              <w:rPr>
                <w:sz w:val="18"/>
                <w:szCs w:val="18"/>
                <w:lang w:val="en-US"/>
              </w:rPr>
              <w:t>Department of Budget and Management</w:t>
            </w:r>
          </w:p>
        </w:tc>
        <w:tc>
          <w:tcPr>
            <w:tcW w:w="1260" w:type="dxa"/>
            <w:shd w:val="clear" w:color="auto" w:fill="FFFFFF"/>
            <w:vAlign w:val="center"/>
          </w:tcPr>
          <w:p w14:paraId="487D3CA7" w14:textId="77777777" w:rsidR="001762EE" w:rsidRPr="00EC5DE8" w:rsidRDefault="001762EE" w:rsidP="005F79A5">
            <w:pPr>
              <w:pStyle w:val="FreeFormAB"/>
              <w:jc w:val="center"/>
              <w:rPr>
                <w:sz w:val="18"/>
                <w:szCs w:val="18"/>
                <w:lang w:val="en-US"/>
              </w:rPr>
            </w:pPr>
            <w:r w:rsidRPr="00EC5DE8">
              <w:rPr>
                <w:sz w:val="18"/>
                <w:szCs w:val="18"/>
                <w:lang w:val="en-US"/>
              </w:rPr>
              <w:t>8</w:t>
            </w:r>
          </w:p>
        </w:tc>
        <w:tc>
          <w:tcPr>
            <w:tcW w:w="1350" w:type="dxa"/>
            <w:shd w:val="clear" w:color="auto" w:fill="FFFFFF"/>
            <w:vAlign w:val="center"/>
          </w:tcPr>
          <w:p w14:paraId="078C9E93" w14:textId="77777777" w:rsidR="001762EE" w:rsidRPr="00EC5DE8" w:rsidRDefault="001762EE" w:rsidP="005F79A5">
            <w:pPr>
              <w:pStyle w:val="FreeFormAB"/>
              <w:jc w:val="center"/>
              <w:rPr>
                <w:sz w:val="18"/>
                <w:szCs w:val="18"/>
                <w:lang w:val="en-US"/>
              </w:rPr>
            </w:pPr>
            <w:r w:rsidRPr="00EC5DE8">
              <w:rPr>
                <w:sz w:val="18"/>
                <w:szCs w:val="18"/>
                <w:lang w:val="en-US"/>
              </w:rPr>
              <w:t>19</w:t>
            </w:r>
          </w:p>
        </w:tc>
        <w:tc>
          <w:tcPr>
            <w:tcW w:w="1260" w:type="dxa"/>
            <w:shd w:val="clear" w:color="auto" w:fill="FFFFFF"/>
            <w:vAlign w:val="center"/>
          </w:tcPr>
          <w:p w14:paraId="38AC20F4" w14:textId="77777777" w:rsidR="001762EE" w:rsidRPr="00EC5DE8" w:rsidRDefault="001762EE" w:rsidP="005F79A5">
            <w:pPr>
              <w:pStyle w:val="FreeFormAB"/>
              <w:jc w:val="center"/>
              <w:rPr>
                <w:sz w:val="18"/>
                <w:szCs w:val="18"/>
                <w:lang w:val="en-US"/>
              </w:rPr>
            </w:pPr>
            <w:r w:rsidRPr="00EC5DE8">
              <w:rPr>
                <w:sz w:val="18"/>
                <w:szCs w:val="18"/>
                <w:lang w:val="en-US"/>
              </w:rPr>
              <w:t>5</w:t>
            </w:r>
          </w:p>
        </w:tc>
        <w:tc>
          <w:tcPr>
            <w:tcW w:w="1080" w:type="dxa"/>
            <w:shd w:val="clear" w:color="auto" w:fill="FFFFFF"/>
            <w:vAlign w:val="center"/>
          </w:tcPr>
          <w:p w14:paraId="3E790948" w14:textId="10ED72CC"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4465E46D" w14:textId="77777777" w:rsidR="001762EE" w:rsidRPr="00EC5DE8" w:rsidRDefault="001762EE" w:rsidP="005F79A5">
            <w:pPr>
              <w:pStyle w:val="FreeFormAB"/>
              <w:jc w:val="center"/>
              <w:rPr>
                <w:sz w:val="18"/>
                <w:szCs w:val="18"/>
                <w:lang w:val="en-US"/>
              </w:rPr>
            </w:pPr>
            <w:r w:rsidRPr="00EC5DE8">
              <w:rPr>
                <w:sz w:val="18"/>
                <w:szCs w:val="18"/>
                <w:lang w:val="en-US"/>
              </w:rPr>
              <w:t>32</w:t>
            </w:r>
          </w:p>
        </w:tc>
      </w:tr>
      <w:tr w:rsidR="00E0051A" w:rsidRPr="005A497D" w14:paraId="771CBD6C" w14:textId="77777777" w:rsidTr="00E0051A">
        <w:trPr>
          <w:cantSplit/>
          <w:trHeight w:val="283"/>
        </w:trPr>
        <w:tc>
          <w:tcPr>
            <w:tcW w:w="3690" w:type="dxa"/>
            <w:shd w:val="clear" w:color="auto" w:fill="FFFFFF"/>
            <w:vAlign w:val="center"/>
          </w:tcPr>
          <w:p w14:paraId="515684C2" w14:textId="77777777" w:rsidR="001762EE" w:rsidRPr="00EC5DE8" w:rsidRDefault="001762EE" w:rsidP="005F79A5">
            <w:pPr>
              <w:pStyle w:val="FreeFormAB"/>
              <w:rPr>
                <w:sz w:val="18"/>
                <w:szCs w:val="18"/>
                <w:lang w:val="en-US"/>
              </w:rPr>
            </w:pPr>
            <w:r w:rsidRPr="00EC5DE8">
              <w:rPr>
                <w:sz w:val="18"/>
                <w:szCs w:val="18"/>
                <w:lang w:val="en-US"/>
              </w:rPr>
              <w:t>Department of Education</w:t>
            </w:r>
          </w:p>
        </w:tc>
        <w:tc>
          <w:tcPr>
            <w:tcW w:w="1260" w:type="dxa"/>
            <w:shd w:val="clear" w:color="auto" w:fill="FFFFFF"/>
            <w:vAlign w:val="center"/>
          </w:tcPr>
          <w:p w14:paraId="7F2FE435" w14:textId="355996FE" w:rsidR="001762EE" w:rsidRPr="00EC5DE8" w:rsidRDefault="001762EE" w:rsidP="005F79A5">
            <w:pPr>
              <w:pStyle w:val="FreeFormAB"/>
              <w:jc w:val="center"/>
              <w:rPr>
                <w:sz w:val="18"/>
                <w:szCs w:val="18"/>
                <w:lang w:val="en-US"/>
              </w:rPr>
            </w:pPr>
            <w:r w:rsidRPr="00EC5DE8">
              <w:rPr>
                <w:sz w:val="18"/>
                <w:szCs w:val="18"/>
                <w:lang w:val="en-US"/>
              </w:rPr>
              <w:t>-</w:t>
            </w:r>
          </w:p>
        </w:tc>
        <w:tc>
          <w:tcPr>
            <w:tcW w:w="1350" w:type="dxa"/>
            <w:shd w:val="clear" w:color="auto" w:fill="FFFFFF"/>
            <w:vAlign w:val="center"/>
          </w:tcPr>
          <w:p w14:paraId="6B52CE5F" w14:textId="77777777" w:rsidR="001762EE" w:rsidRPr="00EC5DE8" w:rsidRDefault="001762EE" w:rsidP="005F79A5">
            <w:pPr>
              <w:pStyle w:val="FreeFormAB"/>
              <w:jc w:val="center"/>
              <w:rPr>
                <w:sz w:val="18"/>
                <w:szCs w:val="18"/>
                <w:lang w:val="en-US"/>
              </w:rPr>
            </w:pPr>
            <w:r w:rsidRPr="00EC5DE8">
              <w:rPr>
                <w:sz w:val="18"/>
                <w:szCs w:val="18"/>
                <w:lang w:val="en-US"/>
              </w:rPr>
              <w:t>32</w:t>
            </w:r>
          </w:p>
        </w:tc>
        <w:tc>
          <w:tcPr>
            <w:tcW w:w="1260" w:type="dxa"/>
            <w:shd w:val="clear" w:color="auto" w:fill="FFFFFF"/>
            <w:vAlign w:val="center"/>
          </w:tcPr>
          <w:p w14:paraId="62C3FBEF" w14:textId="74CF2AD8" w:rsidR="001762EE" w:rsidRPr="00EC5DE8" w:rsidRDefault="001762EE" w:rsidP="005F79A5">
            <w:pPr>
              <w:pStyle w:val="FreeFormAB"/>
              <w:jc w:val="center"/>
              <w:rPr>
                <w:sz w:val="18"/>
                <w:szCs w:val="18"/>
                <w:lang w:val="en-US"/>
              </w:rPr>
            </w:pPr>
            <w:r w:rsidRPr="00EC5DE8">
              <w:rPr>
                <w:sz w:val="18"/>
                <w:szCs w:val="18"/>
                <w:lang w:val="en-US"/>
              </w:rPr>
              <w:t>-</w:t>
            </w:r>
          </w:p>
        </w:tc>
        <w:tc>
          <w:tcPr>
            <w:tcW w:w="1080" w:type="dxa"/>
            <w:shd w:val="clear" w:color="auto" w:fill="FFFFFF"/>
            <w:vAlign w:val="center"/>
          </w:tcPr>
          <w:p w14:paraId="13A4EF8C" w14:textId="0059A6AC"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39867AAB" w14:textId="77777777" w:rsidR="001762EE" w:rsidRPr="00EC5DE8" w:rsidRDefault="001762EE" w:rsidP="005F79A5">
            <w:pPr>
              <w:pStyle w:val="FreeFormAB"/>
              <w:jc w:val="center"/>
              <w:rPr>
                <w:sz w:val="18"/>
                <w:szCs w:val="18"/>
                <w:lang w:val="en-US"/>
              </w:rPr>
            </w:pPr>
            <w:r w:rsidRPr="00EC5DE8">
              <w:rPr>
                <w:sz w:val="18"/>
                <w:szCs w:val="18"/>
                <w:lang w:val="en-US"/>
              </w:rPr>
              <w:t>32</w:t>
            </w:r>
          </w:p>
        </w:tc>
      </w:tr>
      <w:tr w:rsidR="00E0051A" w:rsidRPr="005A497D" w14:paraId="015CC783" w14:textId="77777777" w:rsidTr="00E0051A">
        <w:trPr>
          <w:cantSplit/>
          <w:trHeight w:val="283"/>
        </w:trPr>
        <w:tc>
          <w:tcPr>
            <w:tcW w:w="3690" w:type="dxa"/>
            <w:shd w:val="clear" w:color="auto" w:fill="FFFFFF"/>
            <w:vAlign w:val="center"/>
          </w:tcPr>
          <w:p w14:paraId="249BC721" w14:textId="77777777" w:rsidR="001762EE" w:rsidRPr="00EC5DE8" w:rsidRDefault="001762EE" w:rsidP="005F79A5">
            <w:pPr>
              <w:pStyle w:val="FreeFormAB"/>
              <w:rPr>
                <w:sz w:val="18"/>
                <w:szCs w:val="18"/>
                <w:lang w:val="en-US"/>
              </w:rPr>
            </w:pPr>
            <w:r w:rsidRPr="00EC5DE8">
              <w:rPr>
                <w:sz w:val="18"/>
                <w:szCs w:val="18"/>
                <w:lang w:val="en-US"/>
              </w:rPr>
              <w:t>Department of Energy</w:t>
            </w:r>
          </w:p>
        </w:tc>
        <w:tc>
          <w:tcPr>
            <w:tcW w:w="1260" w:type="dxa"/>
            <w:shd w:val="clear" w:color="auto" w:fill="FFFFFF"/>
            <w:vAlign w:val="center"/>
          </w:tcPr>
          <w:p w14:paraId="0733103D" w14:textId="77777777" w:rsidR="001762EE" w:rsidRPr="00EC5DE8" w:rsidRDefault="001762EE" w:rsidP="005F79A5">
            <w:pPr>
              <w:pStyle w:val="FreeFormAB"/>
              <w:jc w:val="center"/>
              <w:rPr>
                <w:sz w:val="18"/>
                <w:szCs w:val="18"/>
                <w:lang w:val="en-US"/>
              </w:rPr>
            </w:pPr>
            <w:r w:rsidRPr="00EC5DE8">
              <w:rPr>
                <w:sz w:val="18"/>
                <w:szCs w:val="18"/>
                <w:lang w:val="en-US"/>
              </w:rPr>
              <w:t>10</w:t>
            </w:r>
          </w:p>
        </w:tc>
        <w:tc>
          <w:tcPr>
            <w:tcW w:w="1350" w:type="dxa"/>
            <w:shd w:val="clear" w:color="auto" w:fill="FFFFFF"/>
            <w:vAlign w:val="center"/>
          </w:tcPr>
          <w:p w14:paraId="4D02A011" w14:textId="77777777" w:rsidR="001762EE" w:rsidRPr="00EC5DE8" w:rsidRDefault="001762EE" w:rsidP="005F79A5">
            <w:pPr>
              <w:pStyle w:val="FreeFormAB"/>
              <w:jc w:val="center"/>
              <w:rPr>
                <w:sz w:val="18"/>
                <w:szCs w:val="18"/>
                <w:lang w:val="en-US"/>
              </w:rPr>
            </w:pPr>
            <w:r w:rsidRPr="00EC5DE8">
              <w:rPr>
                <w:sz w:val="18"/>
                <w:szCs w:val="18"/>
                <w:lang w:val="en-US"/>
              </w:rPr>
              <w:t>16</w:t>
            </w:r>
          </w:p>
        </w:tc>
        <w:tc>
          <w:tcPr>
            <w:tcW w:w="1260" w:type="dxa"/>
            <w:shd w:val="clear" w:color="auto" w:fill="FFFFFF"/>
            <w:vAlign w:val="center"/>
          </w:tcPr>
          <w:p w14:paraId="78C396F2" w14:textId="77777777" w:rsidR="001762EE" w:rsidRPr="00EC5DE8" w:rsidRDefault="001762EE" w:rsidP="005F79A5">
            <w:pPr>
              <w:pStyle w:val="FreeFormAB"/>
              <w:jc w:val="center"/>
              <w:rPr>
                <w:sz w:val="18"/>
                <w:szCs w:val="18"/>
                <w:lang w:val="en-US"/>
              </w:rPr>
            </w:pPr>
            <w:r w:rsidRPr="00EC5DE8">
              <w:rPr>
                <w:sz w:val="18"/>
                <w:szCs w:val="18"/>
                <w:lang w:val="en-US"/>
              </w:rPr>
              <w:t>11</w:t>
            </w:r>
          </w:p>
        </w:tc>
        <w:tc>
          <w:tcPr>
            <w:tcW w:w="1080" w:type="dxa"/>
            <w:shd w:val="clear" w:color="auto" w:fill="FFFFFF"/>
            <w:vAlign w:val="center"/>
          </w:tcPr>
          <w:p w14:paraId="0282BBE7" w14:textId="0A5BCE8F"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6C6F354D" w14:textId="77777777" w:rsidR="001762EE" w:rsidRPr="00EC5DE8" w:rsidRDefault="001762EE" w:rsidP="005F79A5">
            <w:pPr>
              <w:pStyle w:val="FreeFormAB"/>
              <w:jc w:val="center"/>
              <w:rPr>
                <w:sz w:val="18"/>
                <w:szCs w:val="18"/>
                <w:lang w:val="en-US"/>
              </w:rPr>
            </w:pPr>
            <w:r w:rsidRPr="00EC5DE8">
              <w:rPr>
                <w:sz w:val="18"/>
                <w:szCs w:val="18"/>
                <w:lang w:val="en-US"/>
              </w:rPr>
              <w:t>37</w:t>
            </w:r>
          </w:p>
        </w:tc>
      </w:tr>
      <w:tr w:rsidR="00E0051A" w:rsidRPr="005A497D" w14:paraId="0020D2A9" w14:textId="77777777" w:rsidTr="00E0051A">
        <w:trPr>
          <w:cantSplit/>
          <w:trHeight w:val="283"/>
        </w:trPr>
        <w:tc>
          <w:tcPr>
            <w:tcW w:w="3690" w:type="dxa"/>
            <w:shd w:val="clear" w:color="auto" w:fill="FFFFFF"/>
            <w:vAlign w:val="center"/>
          </w:tcPr>
          <w:p w14:paraId="5F5E8C6F" w14:textId="77777777" w:rsidR="001762EE" w:rsidRPr="00EC5DE8" w:rsidRDefault="001762EE" w:rsidP="005F79A5">
            <w:pPr>
              <w:pStyle w:val="FreeFormAB"/>
              <w:rPr>
                <w:sz w:val="18"/>
                <w:szCs w:val="18"/>
                <w:lang w:val="en-US"/>
              </w:rPr>
            </w:pPr>
            <w:r w:rsidRPr="00EC5DE8">
              <w:rPr>
                <w:sz w:val="18"/>
                <w:szCs w:val="18"/>
                <w:lang w:val="en-US"/>
              </w:rPr>
              <w:t>Department of Environment and Natural Resources</w:t>
            </w:r>
          </w:p>
        </w:tc>
        <w:tc>
          <w:tcPr>
            <w:tcW w:w="1260" w:type="dxa"/>
            <w:shd w:val="clear" w:color="auto" w:fill="FFFFFF"/>
            <w:vAlign w:val="center"/>
          </w:tcPr>
          <w:p w14:paraId="493E5FBB" w14:textId="77777777" w:rsidR="001762EE" w:rsidRPr="00EC5DE8" w:rsidRDefault="001762EE" w:rsidP="005F79A5">
            <w:pPr>
              <w:pStyle w:val="FreeFormAB"/>
              <w:jc w:val="center"/>
              <w:rPr>
                <w:sz w:val="18"/>
                <w:szCs w:val="18"/>
                <w:lang w:val="en-US"/>
              </w:rPr>
            </w:pPr>
            <w:r w:rsidRPr="00EC5DE8">
              <w:rPr>
                <w:sz w:val="18"/>
                <w:szCs w:val="18"/>
                <w:lang w:val="en-US"/>
              </w:rPr>
              <w:t>24</w:t>
            </w:r>
          </w:p>
        </w:tc>
        <w:tc>
          <w:tcPr>
            <w:tcW w:w="1350" w:type="dxa"/>
            <w:shd w:val="clear" w:color="auto" w:fill="FFFFFF"/>
            <w:vAlign w:val="center"/>
          </w:tcPr>
          <w:p w14:paraId="78EB7354" w14:textId="77777777" w:rsidR="001762EE" w:rsidRPr="00EC5DE8" w:rsidRDefault="001762EE" w:rsidP="005F79A5">
            <w:pPr>
              <w:pStyle w:val="FreeFormAB"/>
              <w:jc w:val="center"/>
              <w:rPr>
                <w:sz w:val="18"/>
                <w:szCs w:val="18"/>
                <w:lang w:val="en-US"/>
              </w:rPr>
            </w:pPr>
            <w:r w:rsidRPr="00EC5DE8">
              <w:rPr>
                <w:sz w:val="18"/>
                <w:szCs w:val="18"/>
                <w:lang w:val="en-US"/>
              </w:rPr>
              <w:t>86</w:t>
            </w:r>
          </w:p>
        </w:tc>
        <w:tc>
          <w:tcPr>
            <w:tcW w:w="1260" w:type="dxa"/>
            <w:shd w:val="clear" w:color="auto" w:fill="FFFFFF"/>
            <w:vAlign w:val="center"/>
          </w:tcPr>
          <w:p w14:paraId="7BB45B04" w14:textId="77777777" w:rsidR="001762EE" w:rsidRPr="00EC5DE8" w:rsidRDefault="001762EE" w:rsidP="005F79A5">
            <w:pPr>
              <w:pStyle w:val="FreeFormAB"/>
              <w:jc w:val="center"/>
              <w:rPr>
                <w:sz w:val="18"/>
                <w:szCs w:val="18"/>
                <w:lang w:val="en-US"/>
              </w:rPr>
            </w:pPr>
            <w:r w:rsidRPr="00EC5DE8">
              <w:rPr>
                <w:sz w:val="18"/>
                <w:szCs w:val="18"/>
                <w:lang w:val="en-US"/>
              </w:rPr>
              <w:t>10</w:t>
            </w:r>
          </w:p>
        </w:tc>
        <w:tc>
          <w:tcPr>
            <w:tcW w:w="1080" w:type="dxa"/>
            <w:shd w:val="clear" w:color="auto" w:fill="FFFFFF"/>
            <w:vAlign w:val="center"/>
          </w:tcPr>
          <w:p w14:paraId="5114B23F" w14:textId="77777777" w:rsidR="001762EE" w:rsidRPr="00EC5DE8" w:rsidRDefault="001762EE" w:rsidP="005F79A5">
            <w:pPr>
              <w:pStyle w:val="FreeFormAB"/>
              <w:jc w:val="center"/>
              <w:rPr>
                <w:sz w:val="18"/>
                <w:szCs w:val="18"/>
                <w:lang w:val="en-US"/>
              </w:rPr>
            </w:pPr>
            <w:r w:rsidRPr="00EC5DE8">
              <w:rPr>
                <w:sz w:val="18"/>
                <w:szCs w:val="18"/>
                <w:lang w:val="en-US"/>
              </w:rPr>
              <w:t>24</w:t>
            </w:r>
          </w:p>
        </w:tc>
        <w:tc>
          <w:tcPr>
            <w:tcW w:w="716" w:type="dxa"/>
            <w:shd w:val="clear" w:color="auto" w:fill="FFFFFF"/>
            <w:vAlign w:val="center"/>
          </w:tcPr>
          <w:p w14:paraId="2206F63A" w14:textId="77777777" w:rsidR="001762EE" w:rsidRPr="00EC5DE8" w:rsidRDefault="001762EE" w:rsidP="005F79A5">
            <w:pPr>
              <w:pStyle w:val="FreeFormAB"/>
              <w:jc w:val="center"/>
              <w:rPr>
                <w:sz w:val="18"/>
                <w:szCs w:val="18"/>
                <w:lang w:val="en-US"/>
              </w:rPr>
            </w:pPr>
            <w:r w:rsidRPr="00EC5DE8">
              <w:rPr>
                <w:sz w:val="18"/>
                <w:szCs w:val="18"/>
                <w:lang w:val="en-US"/>
              </w:rPr>
              <w:t>144</w:t>
            </w:r>
          </w:p>
        </w:tc>
      </w:tr>
      <w:tr w:rsidR="00E0051A" w:rsidRPr="005A497D" w14:paraId="34022AD9" w14:textId="77777777" w:rsidTr="00E0051A">
        <w:trPr>
          <w:cantSplit/>
          <w:trHeight w:val="283"/>
        </w:trPr>
        <w:tc>
          <w:tcPr>
            <w:tcW w:w="3690" w:type="dxa"/>
            <w:shd w:val="clear" w:color="auto" w:fill="FFFFFF"/>
            <w:vAlign w:val="center"/>
          </w:tcPr>
          <w:p w14:paraId="063E4ABB" w14:textId="77777777" w:rsidR="001762EE" w:rsidRPr="00EC5DE8" w:rsidRDefault="001762EE" w:rsidP="005F79A5">
            <w:pPr>
              <w:pStyle w:val="FreeFormAB"/>
              <w:rPr>
                <w:sz w:val="18"/>
                <w:szCs w:val="18"/>
                <w:lang w:val="en-US"/>
              </w:rPr>
            </w:pPr>
            <w:r w:rsidRPr="00EC5DE8">
              <w:rPr>
                <w:sz w:val="18"/>
                <w:szCs w:val="18"/>
                <w:lang w:val="en-US"/>
              </w:rPr>
              <w:t>Department of Foreign Affairs</w:t>
            </w:r>
          </w:p>
        </w:tc>
        <w:tc>
          <w:tcPr>
            <w:tcW w:w="1260" w:type="dxa"/>
            <w:shd w:val="clear" w:color="auto" w:fill="FFFFFF"/>
            <w:vAlign w:val="center"/>
          </w:tcPr>
          <w:p w14:paraId="1EC5974B" w14:textId="2C831D2F" w:rsidR="001762EE" w:rsidRPr="00EC5DE8" w:rsidRDefault="001762EE" w:rsidP="00F929BB">
            <w:pPr>
              <w:pStyle w:val="FreeFormAB"/>
              <w:jc w:val="center"/>
              <w:rPr>
                <w:sz w:val="18"/>
                <w:szCs w:val="18"/>
                <w:lang w:val="en-US"/>
              </w:rPr>
            </w:pPr>
            <w:r w:rsidRPr="00EC5DE8">
              <w:rPr>
                <w:sz w:val="18"/>
                <w:szCs w:val="18"/>
                <w:lang w:val="en-US"/>
              </w:rPr>
              <w:t>1</w:t>
            </w:r>
            <w:r w:rsidR="00F929BB">
              <w:rPr>
                <w:sz w:val="18"/>
                <w:szCs w:val="18"/>
                <w:lang w:val="en-US"/>
              </w:rPr>
              <w:t>0</w:t>
            </w:r>
          </w:p>
        </w:tc>
        <w:tc>
          <w:tcPr>
            <w:tcW w:w="1350" w:type="dxa"/>
            <w:shd w:val="clear" w:color="auto" w:fill="FFFFFF"/>
            <w:vAlign w:val="center"/>
          </w:tcPr>
          <w:p w14:paraId="1D49D24E" w14:textId="3D0360F3" w:rsidR="001762EE" w:rsidRPr="00EC5DE8" w:rsidRDefault="001762EE" w:rsidP="00F929BB">
            <w:pPr>
              <w:pStyle w:val="FreeFormAB"/>
              <w:jc w:val="center"/>
              <w:rPr>
                <w:sz w:val="18"/>
                <w:szCs w:val="18"/>
                <w:lang w:val="en-US"/>
              </w:rPr>
            </w:pPr>
            <w:r w:rsidRPr="00EC5DE8">
              <w:rPr>
                <w:sz w:val="18"/>
                <w:szCs w:val="18"/>
                <w:lang w:val="en-US"/>
              </w:rPr>
              <w:t>1</w:t>
            </w:r>
            <w:r w:rsidR="00F929BB">
              <w:rPr>
                <w:sz w:val="18"/>
                <w:szCs w:val="18"/>
                <w:lang w:val="en-US"/>
              </w:rPr>
              <w:t>4</w:t>
            </w:r>
          </w:p>
        </w:tc>
        <w:tc>
          <w:tcPr>
            <w:tcW w:w="1260" w:type="dxa"/>
            <w:shd w:val="clear" w:color="auto" w:fill="FFFFFF"/>
            <w:vAlign w:val="center"/>
          </w:tcPr>
          <w:p w14:paraId="3415B485" w14:textId="45AB320E" w:rsidR="001762EE" w:rsidRPr="00EC5DE8" w:rsidRDefault="00F929BB" w:rsidP="00F929BB">
            <w:pPr>
              <w:pStyle w:val="FreeFormAB"/>
              <w:jc w:val="center"/>
              <w:rPr>
                <w:sz w:val="18"/>
                <w:szCs w:val="18"/>
                <w:lang w:val="en-US"/>
              </w:rPr>
            </w:pPr>
            <w:r>
              <w:rPr>
                <w:sz w:val="18"/>
                <w:szCs w:val="18"/>
                <w:lang w:val="en-US"/>
              </w:rPr>
              <w:t>31</w:t>
            </w:r>
          </w:p>
        </w:tc>
        <w:tc>
          <w:tcPr>
            <w:tcW w:w="1080" w:type="dxa"/>
            <w:shd w:val="clear" w:color="auto" w:fill="FFFFFF"/>
            <w:vAlign w:val="center"/>
          </w:tcPr>
          <w:p w14:paraId="3FBB1AA9" w14:textId="7F0FEEA8"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07FA9A68" w14:textId="77777777" w:rsidR="001762EE" w:rsidRPr="00EC5DE8" w:rsidRDefault="001762EE" w:rsidP="005F79A5">
            <w:pPr>
              <w:pStyle w:val="FreeFormAB"/>
              <w:jc w:val="center"/>
              <w:rPr>
                <w:sz w:val="18"/>
                <w:szCs w:val="18"/>
                <w:lang w:val="en-US"/>
              </w:rPr>
            </w:pPr>
            <w:r w:rsidRPr="00EC5DE8">
              <w:rPr>
                <w:sz w:val="18"/>
                <w:szCs w:val="18"/>
                <w:lang w:val="en-US"/>
              </w:rPr>
              <w:t>55</w:t>
            </w:r>
          </w:p>
        </w:tc>
      </w:tr>
      <w:tr w:rsidR="00E0051A" w:rsidRPr="005A497D" w14:paraId="4E4BC9DD" w14:textId="77777777" w:rsidTr="00E0051A">
        <w:trPr>
          <w:cantSplit/>
          <w:trHeight w:val="283"/>
        </w:trPr>
        <w:tc>
          <w:tcPr>
            <w:tcW w:w="3690" w:type="dxa"/>
            <w:shd w:val="clear" w:color="auto" w:fill="FFFFFF"/>
            <w:vAlign w:val="center"/>
          </w:tcPr>
          <w:p w14:paraId="5232A0F8" w14:textId="77777777" w:rsidR="001762EE" w:rsidRPr="00EC5DE8" w:rsidRDefault="001762EE" w:rsidP="005F79A5">
            <w:pPr>
              <w:pStyle w:val="FreeFormAB"/>
              <w:rPr>
                <w:sz w:val="18"/>
                <w:szCs w:val="18"/>
                <w:lang w:val="en-US"/>
              </w:rPr>
            </w:pPr>
            <w:r w:rsidRPr="00EC5DE8">
              <w:rPr>
                <w:sz w:val="18"/>
                <w:szCs w:val="18"/>
                <w:lang w:val="en-US"/>
              </w:rPr>
              <w:t>Department of Finance</w:t>
            </w:r>
          </w:p>
        </w:tc>
        <w:tc>
          <w:tcPr>
            <w:tcW w:w="1260" w:type="dxa"/>
            <w:shd w:val="clear" w:color="auto" w:fill="FFFFFF"/>
            <w:vAlign w:val="center"/>
          </w:tcPr>
          <w:p w14:paraId="7B5637A3" w14:textId="77777777" w:rsidR="001762EE" w:rsidRPr="00EC5DE8" w:rsidRDefault="001762EE" w:rsidP="005F79A5">
            <w:pPr>
              <w:pStyle w:val="FreeFormAB"/>
              <w:jc w:val="center"/>
              <w:rPr>
                <w:sz w:val="18"/>
                <w:szCs w:val="18"/>
                <w:lang w:val="en-US"/>
              </w:rPr>
            </w:pPr>
            <w:r w:rsidRPr="00EC5DE8">
              <w:rPr>
                <w:sz w:val="18"/>
                <w:szCs w:val="18"/>
                <w:lang w:val="en-US"/>
              </w:rPr>
              <w:t>6</w:t>
            </w:r>
          </w:p>
        </w:tc>
        <w:tc>
          <w:tcPr>
            <w:tcW w:w="1350" w:type="dxa"/>
            <w:shd w:val="clear" w:color="auto" w:fill="FFFFFF"/>
            <w:vAlign w:val="center"/>
          </w:tcPr>
          <w:p w14:paraId="35A1577C" w14:textId="77777777" w:rsidR="001762EE" w:rsidRPr="00EC5DE8" w:rsidRDefault="001762EE" w:rsidP="005F79A5">
            <w:pPr>
              <w:pStyle w:val="FreeFormAB"/>
              <w:jc w:val="center"/>
              <w:rPr>
                <w:sz w:val="18"/>
                <w:szCs w:val="18"/>
                <w:lang w:val="en-US"/>
              </w:rPr>
            </w:pPr>
            <w:r w:rsidRPr="00EC5DE8">
              <w:rPr>
                <w:sz w:val="18"/>
                <w:szCs w:val="18"/>
                <w:lang w:val="en-US"/>
              </w:rPr>
              <w:t>6</w:t>
            </w:r>
          </w:p>
        </w:tc>
        <w:tc>
          <w:tcPr>
            <w:tcW w:w="1260" w:type="dxa"/>
            <w:shd w:val="clear" w:color="auto" w:fill="FFFFFF"/>
            <w:vAlign w:val="center"/>
          </w:tcPr>
          <w:p w14:paraId="09A5FFD9"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080" w:type="dxa"/>
            <w:shd w:val="clear" w:color="auto" w:fill="FFFFFF"/>
            <w:vAlign w:val="center"/>
          </w:tcPr>
          <w:p w14:paraId="4054EC77" w14:textId="21439FC8"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150079C2" w14:textId="77777777" w:rsidR="001762EE" w:rsidRPr="00EC5DE8" w:rsidRDefault="001762EE" w:rsidP="005F79A5">
            <w:pPr>
              <w:pStyle w:val="FreeFormAB"/>
              <w:jc w:val="center"/>
              <w:rPr>
                <w:sz w:val="18"/>
                <w:szCs w:val="18"/>
                <w:lang w:val="en-US"/>
              </w:rPr>
            </w:pPr>
            <w:r w:rsidRPr="00EC5DE8">
              <w:rPr>
                <w:sz w:val="18"/>
                <w:szCs w:val="18"/>
                <w:lang w:val="en-US"/>
              </w:rPr>
              <w:t>14</w:t>
            </w:r>
          </w:p>
        </w:tc>
      </w:tr>
      <w:tr w:rsidR="00E0051A" w:rsidRPr="005A497D" w14:paraId="0C073B1F" w14:textId="77777777" w:rsidTr="00E0051A">
        <w:trPr>
          <w:cantSplit/>
          <w:trHeight w:val="283"/>
        </w:trPr>
        <w:tc>
          <w:tcPr>
            <w:tcW w:w="3690" w:type="dxa"/>
            <w:shd w:val="clear" w:color="auto" w:fill="FFFFFF"/>
            <w:vAlign w:val="center"/>
          </w:tcPr>
          <w:p w14:paraId="4C8BFA94" w14:textId="77777777" w:rsidR="001762EE" w:rsidRPr="00EC5DE8" w:rsidRDefault="001762EE" w:rsidP="005F79A5">
            <w:pPr>
              <w:pStyle w:val="FreeFormAB"/>
              <w:rPr>
                <w:sz w:val="18"/>
                <w:szCs w:val="18"/>
                <w:lang w:val="en-US"/>
              </w:rPr>
            </w:pPr>
            <w:r w:rsidRPr="00EC5DE8">
              <w:rPr>
                <w:sz w:val="18"/>
                <w:szCs w:val="18"/>
                <w:lang w:val="en-US"/>
              </w:rPr>
              <w:t>Department of Health</w:t>
            </w:r>
          </w:p>
        </w:tc>
        <w:tc>
          <w:tcPr>
            <w:tcW w:w="1260" w:type="dxa"/>
            <w:shd w:val="clear" w:color="auto" w:fill="FFFFFF"/>
            <w:vAlign w:val="center"/>
          </w:tcPr>
          <w:p w14:paraId="3118CAB2" w14:textId="77777777" w:rsidR="001762EE" w:rsidRPr="00EC5DE8" w:rsidRDefault="001762EE" w:rsidP="005F79A5">
            <w:pPr>
              <w:pStyle w:val="FreeFormAB"/>
              <w:jc w:val="center"/>
              <w:rPr>
                <w:sz w:val="18"/>
                <w:szCs w:val="18"/>
                <w:lang w:val="en-US"/>
              </w:rPr>
            </w:pPr>
            <w:r w:rsidRPr="00EC5DE8">
              <w:rPr>
                <w:sz w:val="18"/>
                <w:szCs w:val="18"/>
                <w:lang w:val="en-US"/>
              </w:rPr>
              <w:t>29</w:t>
            </w:r>
          </w:p>
        </w:tc>
        <w:tc>
          <w:tcPr>
            <w:tcW w:w="1350" w:type="dxa"/>
            <w:shd w:val="clear" w:color="auto" w:fill="FFFFFF"/>
            <w:vAlign w:val="center"/>
          </w:tcPr>
          <w:p w14:paraId="1F24DAB8" w14:textId="77777777" w:rsidR="001762EE" w:rsidRPr="00EC5DE8" w:rsidRDefault="001762EE" w:rsidP="005F79A5">
            <w:pPr>
              <w:pStyle w:val="FreeFormAB"/>
              <w:jc w:val="center"/>
              <w:rPr>
                <w:sz w:val="18"/>
                <w:szCs w:val="18"/>
                <w:lang w:val="en-US"/>
              </w:rPr>
            </w:pPr>
            <w:r w:rsidRPr="00EC5DE8">
              <w:rPr>
                <w:sz w:val="18"/>
                <w:szCs w:val="18"/>
                <w:lang w:val="en-US"/>
              </w:rPr>
              <w:t>52</w:t>
            </w:r>
          </w:p>
        </w:tc>
        <w:tc>
          <w:tcPr>
            <w:tcW w:w="1260" w:type="dxa"/>
            <w:shd w:val="clear" w:color="auto" w:fill="FFFFFF"/>
            <w:vAlign w:val="center"/>
          </w:tcPr>
          <w:p w14:paraId="63E78654" w14:textId="77777777" w:rsidR="001762EE" w:rsidRPr="00EC5DE8" w:rsidRDefault="001762EE" w:rsidP="005F79A5">
            <w:pPr>
              <w:pStyle w:val="FreeFormAB"/>
              <w:jc w:val="center"/>
              <w:rPr>
                <w:sz w:val="18"/>
                <w:szCs w:val="18"/>
                <w:lang w:val="en-US"/>
              </w:rPr>
            </w:pPr>
            <w:r w:rsidRPr="00EC5DE8">
              <w:rPr>
                <w:sz w:val="18"/>
                <w:szCs w:val="18"/>
                <w:lang w:val="en-US"/>
              </w:rPr>
              <w:t>13</w:t>
            </w:r>
          </w:p>
        </w:tc>
        <w:tc>
          <w:tcPr>
            <w:tcW w:w="1080" w:type="dxa"/>
            <w:shd w:val="clear" w:color="auto" w:fill="FFFFFF"/>
            <w:vAlign w:val="center"/>
          </w:tcPr>
          <w:p w14:paraId="44193B47" w14:textId="77777777" w:rsidR="001762EE" w:rsidRPr="00EC5DE8" w:rsidRDefault="001762EE" w:rsidP="005F79A5">
            <w:pPr>
              <w:pStyle w:val="FreeFormAB"/>
              <w:jc w:val="center"/>
              <w:rPr>
                <w:sz w:val="18"/>
                <w:szCs w:val="18"/>
                <w:lang w:val="en-US"/>
              </w:rPr>
            </w:pPr>
            <w:r w:rsidRPr="00EC5DE8">
              <w:rPr>
                <w:sz w:val="18"/>
                <w:szCs w:val="18"/>
                <w:lang w:val="en-US"/>
              </w:rPr>
              <w:t>10</w:t>
            </w:r>
          </w:p>
        </w:tc>
        <w:tc>
          <w:tcPr>
            <w:tcW w:w="716" w:type="dxa"/>
            <w:shd w:val="clear" w:color="auto" w:fill="FFFFFF"/>
            <w:vAlign w:val="center"/>
          </w:tcPr>
          <w:p w14:paraId="1703E8D0" w14:textId="77777777" w:rsidR="001762EE" w:rsidRPr="00EC5DE8" w:rsidRDefault="001762EE" w:rsidP="005F79A5">
            <w:pPr>
              <w:pStyle w:val="FreeFormAB"/>
              <w:jc w:val="center"/>
              <w:rPr>
                <w:sz w:val="18"/>
                <w:szCs w:val="18"/>
                <w:lang w:val="en-US"/>
              </w:rPr>
            </w:pPr>
            <w:r w:rsidRPr="00EC5DE8">
              <w:rPr>
                <w:sz w:val="18"/>
                <w:szCs w:val="18"/>
                <w:lang w:val="en-US"/>
              </w:rPr>
              <w:t>104</w:t>
            </w:r>
          </w:p>
        </w:tc>
      </w:tr>
      <w:tr w:rsidR="00E0051A" w:rsidRPr="005A497D" w14:paraId="3EFB7E9E" w14:textId="77777777" w:rsidTr="00E0051A">
        <w:trPr>
          <w:cantSplit/>
          <w:trHeight w:val="283"/>
        </w:trPr>
        <w:tc>
          <w:tcPr>
            <w:tcW w:w="3690" w:type="dxa"/>
            <w:shd w:val="clear" w:color="auto" w:fill="FFFFFF"/>
            <w:vAlign w:val="center"/>
          </w:tcPr>
          <w:p w14:paraId="0C73D9A6" w14:textId="77777777" w:rsidR="001762EE" w:rsidRPr="00EC5DE8" w:rsidRDefault="001762EE" w:rsidP="005F79A5">
            <w:pPr>
              <w:pStyle w:val="FreeFormAB"/>
              <w:rPr>
                <w:sz w:val="18"/>
                <w:szCs w:val="18"/>
                <w:lang w:val="en-US"/>
              </w:rPr>
            </w:pPr>
            <w:r w:rsidRPr="00EC5DE8">
              <w:rPr>
                <w:sz w:val="18"/>
                <w:szCs w:val="18"/>
                <w:lang w:val="en-US"/>
              </w:rPr>
              <w:t>Department of Justice</w:t>
            </w:r>
          </w:p>
        </w:tc>
        <w:tc>
          <w:tcPr>
            <w:tcW w:w="1260" w:type="dxa"/>
            <w:shd w:val="clear" w:color="auto" w:fill="FFFFFF"/>
            <w:vAlign w:val="center"/>
          </w:tcPr>
          <w:p w14:paraId="5371706C" w14:textId="77777777" w:rsidR="001762EE" w:rsidRPr="00EC5DE8" w:rsidRDefault="001762EE" w:rsidP="005F79A5">
            <w:pPr>
              <w:pStyle w:val="FreeFormAB"/>
              <w:jc w:val="center"/>
              <w:rPr>
                <w:sz w:val="18"/>
                <w:szCs w:val="18"/>
                <w:lang w:val="en-US"/>
              </w:rPr>
            </w:pPr>
            <w:r w:rsidRPr="00EC5DE8">
              <w:rPr>
                <w:sz w:val="18"/>
                <w:szCs w:val="18"/>
                <w:lang w:val="en-US"/>
              </w:rPr>
              <w:t>5</w:t>
            </w:r>
          </w:p>
        </w:tc>
        <w:tc>
          <w:tcPr>
            <w:tcW w:w="1350" w:type="dxa"/>
            <w:shd w:val="clear" w:color="auto" w:fill="FFFFFF"/>
            <w:vAlign w:val="center"/>
          </w:tcPr>
          <w:p w14:paraId="41F2C523" w14:textId="77777777" w:rsidR="001762EE" w:rsidRPr="00EC5DE8" w:rsidRDefault="001762EE" w:rsidP="005F79A5">
            <w:pPr>
              <w:pStyle w:val="FreeFormAB"/>
              <w:jc w:val="center"/>
              <w:rPr>
                <w:sz w:val="18"/>
                <w:szCs w:val="18"/>
                <w:lang w:val="en-US"/>
              </w:rPr>
            </w:pPr>
            <w:r w:rsidRPr="00EC5DE8">
              <w:rPr>
                <w:sz w:val="18"/>
                <w:szCs w:val="18"/>
                <w:lang w:val="en-US"/>
              </w:rPr>
              <w:t>13</w:t>
            </w:r>
          </w:p>
        </w:tc>
        <w:tc>
          <w:tcPr>
            <w:tcW w:w="1260" w:type="dxa"/>
            <w:shd w:val="clear" w:color="auto" w:fill="FFFFFF"/>
            <w:vAlign w:val="center"/>
          </w:tcPr>
          <w:p w14:paraId="1981AAC1"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080" w:type="dxa"/>
            <w:shd w:val="clear" w:color="auto" w:fill="FFFFFF"/>
            <w:vAlign w:val="center"/>
          </w:tcPr>
          <w:p w14:paraId="1E807C31" w14:textId="3A55707B"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4229219E" w14:textId="77777777" w:rsidR="001762EE" w:rsidRPr="00EC5DE8" w:rsidRDefault="001762EE" w:rsidP="005F79A5">
            <w:pPr>
              <w:pStyle w:val="FreeFormAB"/>
              <w:jc w:val="center"/>
              <w:rPr>
                <w:sz w:val="18"/>
                <w:szCs w:val="18"/>
                <w:lang w:val="en-US"/>
              </w:rPr>
            </w:pPr>
            <w:r w:rsidRPr="00EC5DE8">
              <w:rPr>
                <w:sz w:val="18"/>
                <w:szCs w:val="18"/>
                <w:lang w:val="en-US"/>
              </w:rPr>
              <w:t>20</w:t>
            </w:r>
          </w:p>
        </w:tc>
      </w:tr>
      <w:tr w:rsidR="00E0051A" w:rsidRPr="005A497D" w14:paraId="0849302E" w14:textId="77777777" w:rsidTr="00E0051A">
        <w:trPr>
          <w:cantSplit/>
          <w:trHeight w:val="283"/>
        </w:trPr>
        <w:tc>
          <w:tcPr>
            <w:tcW w:w="3690" w:type="dxa"/>
            <w:shd w:val="clear" w:color="auto" w:fill="FFFFFF"/>
            <w:vAlign w:val="center"/>
          </w:tcPr>
          <w:p w14:paraId="51355388" w14:textId="77777777" w:rsidR="001762EE" w:rsidRPr="00EC5DE8" w:rsidRDefault="001762EE" w:rsidP="005F79A5">
            <w:pPr>
              <w:pStyle w:val="FreeFormAB"/>
              <w:rPr>
                <w:sz w:val="18"/>
                <w:szCs w:val="18"/>
                <w:lang w:val="en-US"/>
              </w:rPr>
            </w:pPr>
            <w:r w:rsidRPr="00EC5DE8">
              <w:rPr>
                <w:sz w:val="18"/>
                <w:szCs w:val="18"/>
                <w:lang w:val="en-US"/>
              </w:rPr>
              <w:t>Department of Interior and Local Government</w:t>
            </w:r>
          </w:p>
        </w:tc>
        <w:tc>
          <w:tcPr>
            <w:tcW w:w="1260" w:type="dxa"/>
            <w:shd w:val="clear" w:color="auto" w:fill="FFFFFF"/>
            <w:vAlign w:val="center"/>
          </w:tcPr>
          <w:p w14:paraId="05D263F9"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350" w:type="dxa"/>
            <w:shd w:val="clear" w:color="auto" w:fill="FFFFFF"/>
            <w:vAlign w:val="center"/>
          </w:tcPr>
          <w:p w14:paraId="7351F995" w14:textId="77777777" w:rsidR="001762EE" w:rsidRPr="00EC5DE8" w:rsidRDefault="001762EE" w:rsidP="005F79A5">
            <w:pPr>
              <w:pStyle w:val="FreeFormAB"/>
              <w:jc w:val="center"/>
              <w:rPr>
                <w:sz w:val="18"/>
                <w:szCs w:val="18"/>
                <w:lang w:val="en-US"/>
              </w:rPr>
            </w:pPr>
            <w:r w:rsidRPr="00EC5DE8">
              <w:rPr>
                <w:sz w:val="18"/>
                <w:szCs w:val="18"/>
                <w:lang w:val="en-US"/>
              </w:rPr>
              <w:t>13</w:t>
            </w:r>
          </w:p>
        </w:tc>
        <w:tc>
          <w:tcPr>
            <w:tcW w:w="1260" w:type="dxa"/>
            <w:shd w:val="clear" w:color="auto" w:fill="FFFFFF"/>
            <w:vAlign w:val="center"/>
          </w:tcPr>
          <w:p w14:paraId="2AE0B6D3"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080" w:type="dxa"/>
            <w:shd w:val="clear" w:color="auto" w:fill="FFFFFF"/>
            <w:vAlign w:val="center"/>
          </w:tcPr>
          <w:p w14:paraId="09D2937F" w14:textId="7AC8FAB1"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6E71369E" w14:textId="77777777" w:rsidR="001762EE" w:rsidRPr="00EC5DE8" w:rsidRDefault="001762EE" w:rsidP="005F79A5">
            <w:pPr>
              <w:pStyle w:val="FreeFormAB"/>
              <w:jc w:val="center"/>
              <w:rPr>
                <w:sz w:val="18"/>
                <w:szCs w:val="18"/>
                <w:lang w:val="en-US"/>
              </w:rPr>
            </w:pPr>
            <w:r w:rsidRPr="00EC5DE8">
              <w:rPr>
                <w:sz w:val="18"/>
                <w:szCs w:val="18"/>
                <w:lang w:val="en-US"/>
              </w:rPr>
              <w:t>17</w:t>
            </w:r>
          </w:p>
        </w:tc>
      </w:tr>
      <w:tr w:rsidR="00E0051A" w:rsidRPr="005A497D" w14:paraId="4B65E5A2" w14:textId="77777777" w:rsidTr="00E0051A">
        <w:trPr>
          <w:cantSplit/>
          <w:trHeight w:val="283"/>
        </w:trPr>
        <w:tc>
          <w:tcPr>
            <w:tcW w:w="3690" w:type="dxa"/>
            <w:shd w:val="clear" w:color="auto" w:fill="FFFFFF"/>
            <w:vAlign w:val="center"/>
          </w:tcPr>
          <w:p w14:paraId="7ACA1406" w14:textId="77777777" w:rsidR="001762EE" w:rsidRPr="00EC5DE8" w:rsidRDefault="001762EE" w:rsidP="005F79A5">
            <w:pPr>
              <w:pStyle w:val="FreeFormAB"/>
              <w:rPr>
                <w:sz w:val="18"/>
                <w:szCs w:val="18"/>
                <w:lang w:val="en-US"/>
              </w:rPr>
            </w:pPr>
            <w:r w:rsidRPr="00EC5DE8">
              <w:rPr>
                <w:sz w:val="18"/>
                <w:szCs w:val="18"/>
                <w:lang w:val="en-US"/>
              </w:rPr>
              <w:t>Department of Labor and Employment</w:t>
            </w:r>
          </w:p>
        </w:tc>
        <w:tc>
          <w:tcPr>
            <w:tcW w:w="1260" w:type="dxa"/>
            <w:shd w:val="clear" w:color="auto" w:fill="FFFFFF"/>
            <w:vAlign w:val="center"/>
          </w:tcPr>
          <w:p w14:paraId="356F16AD"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350" w:type="dxa"/>
            <w:shd w:val="clear" w:color="auto" w:fill="FFFFFF"/>
            <w:vAlign w:val="center"/>
          </w:tcPr>
          <w:p w14:paraId="01C5C54A" w14:textId="77777777" w:rsidR="001762EE" w:rsidRPr="00EC5DE8" w:rsidRDefault="001762EE" w:rsidP="005F79A5">
            <w:pPr>
              <w:pStyle w:val="FreeFormAB"/>
              <w:jc w:val="center"/>
              <w:rPr>
                <w:sz w:val="18"/>
                <w:szCs w:val="18"/>
                <w:lang w:val="en-US"/>
              </w:rPr>
            </w:pPr>
            <w:r w:rsidRPr="00EC5DE8">
              <w:rPr>
                <w:sz w:val="18"/>
                <w:szCs w:val="18"/>
                <w:lang w:val="en-US"/>
              </w:rPr>
              <w:t>23</w:t>
            </w:r>
          </w:p>
        </w:tc>
        <w:tc>
          <w:tcPr>
            <w:tcW w:w="1260" w:type="dxa"/>
            <w:shd w:val="clear" w:color="auto" w:fill="FFFFFF"/>
            <w:vAlign w:val="center"/>
          </w:tcPr>
          <w:p w14:paraId="1B2E6494" w14:textId="77777777" w:rsidR="001762EE" w:rsidRPr="00EC5DE8" w:rsidRDefault="001762EE" w:rsidP="005F79A5">
            <w:pPr>
              <w:pStyle w:val="FreeFormAB"/>
              <w:jc w:val="center"/>
              <w:rPr>
                <w:sz w:val="18"/>
                <w:szCs w:val="18"/>
                <w:lang w:val="en-US"/>
              </w:rPr>
            </w:pPr>
            <w:r w:rsidRPr="00EC5DE8">
              <w:rPr>
                <w:sz w:val="18"/>
                <w:szCs w:val="18"/>
                <w:lang w:val="en-US"/>
              </w:rPr>
              <w:t>3</w:t>
            </w:r>
          </w:p>
        </w:tc>
        <w:tc>
          <w:tcPr>
            <w:tcW w:w="1080" w:type="dxa"/>
            <w:shd w:val="clear" w:color="auto" w:fill="FFFFFF"/>
            <w:vAlign w:val="center"/>
          </w:tcPr>
          <w:p w14:paraId="5DD53A30" w14:textId="0B465A9B"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58262BA9" w14:textId="77777777" w:rsidR="001762EE" w:rsidRPr="00EC5DE8" w:rsidRDefault="001762EE" w:rsidP="005F79A5">
            <w:pPr>
              <w:pStyle w:val="FreeFormAB"/>
              <w:jc w:val="center"/>
              <w:rPr>
                <w:sz w:val="18"/>
                <w:szCs w:val="18"/>
                <w:lang w:val="en-US"/>
              </w:rPr>
            </w:pPr>
            <w:r w:rsidRPr="00EC5DE8">
              <w:rPr>
                <w:sz w:val="18"/>
                <w:szCs w:val="18"/>
                <w:lang w:val="en-US"/>
              </w:rPr>
              <w:t>28</w:t>
            </w:r>
          </w:p>
        </w:tc>
      </w:tr>
      <w:tr w:rsidR="00E0051A" w:rsidRPr="005A497D" w14:paraId="13126F43" w14:textId="77777777" w:rsidTr="00E0051A">
        <w:trPr>
          <w:cantSplit/>
          <w:trHeight w:val="283"/>
        </w:trPr>
        <w:tc>
          <w:tcPr>
            <w:tcW w:w="3690" w:type="dxa"/>
            <w:shd w:val="clear" w:color="auto" w:fill="FFFFFF"/>
            <w:vAlign w:val="center"/>
          </w:tcPr>
          <w:p w14:paraId="1F275FA1" w14:textId="77777777" w:rsidR="001762EE" w:rsidRPr="00EC5DE8" w:rsidRDefault="001762EE" w:rsidP="005F79A5">
            <w:pPr>
              <w:pStyle w:val="FreeFormAB"/>
              <w:rPr>
                <w:sz w:val="18"/>
                <w:szCs w:val="18"/>
                <w:lang w:val="en-US"/>
              </w:rPr>
            </w:pPr>
            <w:r w:rsidRPr="00EC5DE8">
              <w:rPr>
                <w:sz w:val="18"/>
                <w:szCs w:val="18"/>
                <w:lang w:val="en-US"/>
              </w:rPr>
              <w:t>Department of National Defense</w:t>
            </w:r>
          </w:p>
        </w:tc>
        <w:tc>
          <w:tcPr>
            <w:tcW w:w="1260" w:type="dxa"/>
            <w:shd w:val="clear" w:color="auto" w:fill="FFFFFF"/>
            <w:vAlign w:val="center"/>
          </w:tcPr>
          <w:p w14:paraId="448C6CEB" w14:textId="77777777" w:rsidR="001762EE" w:rsidRPr="00EC5DE8" w:rsidRDefault="001762EE" w:rsidP="005F79A5">
            <w:pPr>
              <w:pStyle w:val="FreeFormAB"/>
              <w:jc w:val="center"/>
              <w:rPr>
                <w:sz w:val="18"/>
                <w:szCs w:val="18"/>
                <w:lang w:val="en-US"/>
              </w:rPr>
            </w:pPr>
            <w:r w:rsidRPr="00EC5DE8">
              <w:rPr>
                <w:sz w:val="18"/>
                <w:szCs w:val="18"/>
                <w:lang w:val="en-US"/>
              </w:rPr>
              <w:t>1</w:t>
            </w:r>
          </w:p>
        </w:tc>
        <w:tc>
          <w:tcPr>
            <w:tcW w:w="1350" w:type="dxa"/>
            <w:shd w:val="clear" w:color="auto" w:fill="FFFFFF"/>
            <w:vAlign w:val="center"/>
          </w:tcPr>
          <w:p w14:paraId="5A3B4D82" w14:textId="77777777" w:rsidR="001762EE" w:rsidRPr="00EC5DE8" w:rsidRDefault="001762EE" w:rsidP="005F79A5">
            <w:pPr>
              <w:pStyle w:val="FreeFormAB"/>
              <w:jc w:val="center"/>
              <w:rPr>
                <w:sz w:val="18"/>
                <w:szCs w:val="18"/>
                <w:lang w:val="en-US"/>
              </w:rPr>
            </w:pPr>
            <w:r w:rsidRPr="00EC5DE8">
              <w:rPr>
                <w:sz w:val="18"/>
                <w:szCs w:val="18"/>
                <w:lang w:val="en-US"/>
              </w:rPr>
              <w:t>9</w:t>
            </w:r>
          </w:p>
        </w:tc>
        <w:tc>
          <w:tcPr>
            <w:tcW w:w="1260" w:type="dxa"/>
            <w:shd w:val="clear" w:color="auto" w:fill="FFFFFF"/>
            <w:vAlign w:val="center"/>
          </w:tcPr>
          <w:p w14:paraId="301961C6"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080" w:type="dxa"/>
            <w:shd w:val="clear" w:color="auto" w:fill="FFFFFF"/>
            <w:vAlign w:val="center"/>
          </w:tcPr>
          <w:p w14:paraId="58C8B1D5" w14:textId="250E9AFE"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265B2E78" w14:textId="77777777" w:rsidR="001762EE" w:rsidRPr="00EC5DE8" w:rsidRDefault="001762EE" w:rsidP="005F79A5">
            <w:pPr>
              <w:pStyle w:val="FreeFormAB"/>
              <w:jc w:val="center"/>
              <w:rPr>
                <w:sz w:val="18"/>
                <w:szCs w:val="18"/>
                <w:lang w:val="en-US"/>
              </w:rPr>
            </w:pPr>
            <w:r w:rsidRPr="00EC5DE8">
              <w:rPr>
                <w:sz w:val="18"/>
                <w:szCs w:val="18"/>
                <w:lang w:val="en-US"/>
              </w:rPr>
              <w:t>12</w:t>
            </w:r>
          </w:p>
        </w:tc>
      </w:tr>
      <w:tr w:rsidR="00E0051A" w:rsidRPr="005A497D" w14:paraId="51402D2F" w14:textId="77777777" w:rsidTr="00E0051A">
        <w:trPr>
          <w:cantSplit/>
          <w:trHeight w:val="283"/>
        </w:trPr>
        <w:tc>
          <w:tcPr>
            <w:tcW w:w="3690" w:type="dxa"/>
            <w:shd w:val="clear" w:color="auto" w:fill="FFFFFF"/>
            <w:vAlign w:val="center"/>
          </w:tcPr>
          <w:p w14:paraId="4543239F" w14:textId="77777777" w:rsidR="001762EE" w:rsidRPr="00EC5DE8" w:rsidRDefault="001762EE" w:rsidP="005F79A5">
            <w:pPr>
              <w:pStyle w:val="FreeFormAB"/>
              <w:rPr>
                <w:sz w:val="18"/>
                <w:szCs w:val="18"/>
                <w:lang w:val="en-US"/>
              </w:rPr>
            </w:pPr>
            <w:r w:rsidRPr="00EC5DE8">
              <w:rPr>
                <w:sz w:val="18"/>
                <w:szCs w:val="18"/>
                <w:lang w:val="en-US"/>
              </w:rPr>
              <w:t>Department of Public Works and Highways</w:t>
            </w:r>
          </w:p>
        </w:tc>
        <w:tc>
          <w:tcPr>
            <w:tcW w:w="1260" w:type="dxa"/>
            <w:shd w:val="clear" w:color="auto" w:fill="FFFFFF"/>
            <w:vAlign w:val="center"/>
          </w:tcPr>
          <w:p w14:paraId="3BBA7323"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350" w:type="dxa"/>
            <w:shd w:val="clear" w:color="auto" w:fill="FFFFFF"/>
            <w:vAlign w:val="center"/>
          </w:tcPr>
          <w:p w14:paraId="7ADFE086" w14:textId="77777777" w:rsidR="001762EE" w:rsidRPr="00EC5DE8" w:rsidRDefault="001762EE" w:rsidP="005F79A5">
            <w:pPr>
              <w:pStyle w:val="FreeFormAB"/>
              <w:jc w:val="center"/>
              <w:rPr>
                <w:sz w:val="18"/>
                <w:szCs w:val="18"/>
                <w:lang w:val="en-US"/>
              </w:rPr>
            </w:pPr>
            <w:r w:rsidRPr="00EC5DE8">
              <w:rPr>
                <w:sz w:val="18"/>
                <w:szCs w:val="18"/>
                <w:lang w:val="en-US"/>
              </w:rPr>
              <w:t>35</w:t>
            </w:r>
          </w:p>
        </w:tc>
        <w:tc>
          <w:tcPr>
            <w:tcW w:w="1260" w:type="dxa"/>
            <w:shd w:val="clear" w:color="auto" w:fill="FFFFFF"/>
            <w:vAlign w:val="center"/>
          </w:tcPr>
          <w:p w14:paraId="79B57A93" w14:textId="77777777" w:rsidR="001762EE" w:rsidRPr="00EC5DE8" w:rsidRDefault="001762EE" w:rsidP="005F79A5">
            <w:pPr>
              <w:pStyle w:val="FreeFormAB"/>
              <w:jc w:val="center"/>
              <w:rPr>
                <w:sz w:val="18"/>
                <w:szCs w:val="18"/>
                <w:lang w:val="en-US"/>
              </w:rPr>
            </w:pPr>
            <w:r w:rsidRPr="00EC5DE8">
              <w:rPr>
                <w:sz w:val="18"/>
                <w:szCs w:val="18"/>
                <w:lang w:val="en-US"/>
              </w:rPr>
              <w:t>4</w:t>
            </w:r>
          </w:p>
        </w:tc>
        <w:tc>
          <w:tcPr>
            <w:tcW w:w="1080" w:type="dxa"/>
            <w:shd w:val="clear" w:color="auto" w:fill="FFFFFF"/>
            <w:vAlign w:val="center"/>
          </w:tcPr>
          <w:p w14:paraId="422C4A05" w14:textId="3C5CBBF8"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38207BF5" w14:textId="77777777" w:rsidR="001762EE" w:rsidRPr="00EC5DE8" w:rsidRDefault="001762EE" w:rsidP="005F79A5">
            <w:pPr>
              <w:pStyle w:val="FreeFormAB"/>
              <w:jc w:val="center"/>
              <w:rPr>
                <w:sz w:val="18"/>
                <w:szCs w:val="18"/>
                <w:lang w:val="en-US"/>
              </w:rPr>
            </w:pPr>
            <w:r w:rsidRPr="00EC5DE8">
              <w:rPr>
                <w:sz w:val="18"/>
                <w:szCs w:val="18"/>
                <w:lang w:val="en-US"/>
              </w:rPr>
              <w:t>41</w:t>
            </w:r>
          </w:p>
        </w:tc>
      </w:tr>
      <w:tr w:rsidR="00E0051A" w:rsidRPr="005A497D" w14:paraId="59A9E045" w14:textId="77777777" w:rsidTr="00E0051A">
        <w:trPr>
          <w:cantSplit/>
          <w:trHeight w:val="283"/>
        </w:trPr>
        <w:tc>
          <w:tcPr>
            <w:tcW w:w="3690" w:type="dxa"/>
            <w:shd w:val="clear" w:color="auto" w:fill="FFFFFF"/>
            <w:vAlign w:val="center"/>
          </w:tcPr>
          <w:p w14:paraId="26125358" w14:textId="77777777" w:rsidR="001762EE" w:rsidRPr="00EC5DE8" w:rsidRDefault="001762EE" w:rsidP="005F79A5">
            <w:pPr>
              <w:pStyle w:val="FreeFormAB"/>
              <w:rPr>
                <w:sz w:val="18"/>
                <w:szCs w:val="18"/>
                <w:lang w:val="en-US"/>
              </w:rPr>
            </w:pPr>
            <w:r w:rsidRPr="00EC5DE8">
              <w:rPr>
                <w:sz w:val="18"/>
                <w:szCs w:val="18"/>
                <w:lang w:val="en-US"/>
              </w:rPr>
              <w:t>Department of Science and Technology</w:t>
            </w:r>
          </w:p>
        </w:tc>
        <w:tc>
          <w:tcPr>
            <w:tcW w:w="1260" w:type="dxa"/>
            <w:shd w:val="clear" w:color="auto" w:fill="FFFFFF"/>
            <w:vAlign w:val="center"/>
          </w:tcPr>
          <w:p w14:paraId="281426B2" w14:textId="77777777" w:rsidR="001762EE" w:rsidRPr="00EC5DE8" w:rsidRDefault="001762EE" w:rsidP="005F79A5">
            <w:pPr>
              <w:pStyle w:val="FreeFormAB"/>
              <w:jc w:val="center"/>
              <w:rPr>
                <w:sz w:val="18"/>
                <w:szCs w:val="18"/>
                <w:lang w:val="en-US"/>
              </w:rPr>
            </w:pPr>
            <w:r w:rsidRPr="00EC5DE8">
              <w:rPr>
                <w:sz w:val="18"/>
                <w:szCs w:val="18"/>
                <w:lang w:val="en-US"/>
              </w:rPr>
              <w:t>53</w:t>
            </w:r>
          </w:p>
        </w:tc>
        <w:tc>
          <w:tcPr>
            <w:tcW w:w="1350" w:type="dxa"/>
            <w:shd w:val="clear" w:color="auto" w:fill="FFFFFF"/>
            <w:vAlign w:val="center"/>
          </w:tcPr>
          <w:p w14:paraId="281D3855" w14:textId="77777777" w:rsidR="001762EE" w:rsidRPr="00EC5DE8" w:rsidRDefault="001762EE" w:rsidP="005F79A5">
            <w:pPr>
              <w:pStyle w:val="FreeFormAB"/>
              <w:jc w:val="center"/>
              <w:rPr>
                <w:sz w:val="18"/>
                <w:szCs w:val="18"/>
                <w:lang w:val="en-US"/>
              </w:rPr>
            </w:pPr>
            <w:r w:rsidRPr="00EC5DE8">
              <w:rPr>
                <w:sz w:val="18"/>
                <w:szCs w:val="18"/>
                <w:lang w:val="en-US"/>
              </w:rPr>
              <w:t>83</w:t>
            </w:r>
          </w:p>
        </w:tc>
        <w:tc>
          <w:tcPr>
            <w:tcW w:w="1260" w:type="dxa"/>
            <w:shd w:val="clear" w:color="auto" w:fill="FFFFFF"/>
            <w:vAlign w:val="center"/>
          </w:tcPr>
          <w:p w14:paraId="0406DB2A" w14:textId="77777777" w:rsidR="001762EE" w:rsidRPr="00EC5DE8" w:rsidRDefault="001762EE" w:rsidP="005F79A5">
            <w:pPr>
              <w:pStyle w:val="FreeFormAB"/>
              <w:jc w:val="center"/>
              <w:rPr>
                <w:sz w:val="18"/>
                <w:szCs w:val="18"/>
                <w:lang w:val="en-US"/>
              </w:rPr>
            </w:pPr>
            <w:r w:rsidRPr="00EC5DE8">
              <w:rPr>
                <w:sz w:val="18"/>
                <w:szCs w:val="18"/>
                <w:lang w:val="en-US"/>
              </w:rPr>
              <w:t>28</w:t>
            </w:r>
          </w:p>
        </w:tc>
        <w:tc>
          <w:tcPr>
            <w:tcW w:w="1080" w:type="dxa"/>
            <w:shd w:val="clear" w:color="auto" w:fill="FFFFFF"/>
            <w:vAlign w:val="center"/>
          </w:tcPr>
          <w:p w14:paraId="16129C46" w14:textId="4CA3EDB0"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6301DDE1" w14:textId="53AC0C84" w:rsidR="001762EE" w:rsidRPr="00EC5DE8" w:rsidRDefault="00F929BB" w:rsidP="005F79A5">
            <w:pPr>
              <w:pStyle w:val="FreeFormAB"/>
              <w:jc w:val="center"/>
              <w:rPr>
                <w:sz w:val="18"/>
                <w:szCs w:val="18"/>
                <w:lang w:val="en-US"/>
              </w:rPr>
            </w:pPr>
            <w:r>
              <w:rPr>
                <w:sz w:val="18"/>
                <w:szCs w:val="18"/>
                <w:lang w:val="en-US"/>
              </w:rPr>
              <w:t>164</w:t>
            </w:r>
          </w:p>
        </w:tc>
      </w:tr>
      <w:tr w:rsidR="00E0051A" w:rsidRPr="005A497D" w14:paraId="65FA1DB3" w14:textId="77777777" w:rsidTr="00E0051A">
        <w:trPr>
          <w:cantSplit/>
          <w:trHeight w:val="283"/>
        </w:trPr>
        <w:tc>
          <w:tcPr>
            <w:tcW w:w="3690" w:type="dxa"/>
            <w:shd w:val="clear" w:color="auto" w:fill="FFFFFF"/>
            <w:vAlign w:val="center"/>
          </w:tcPr>
          <w:p w14:paraId="650DA79B" w14:textId="77777777" w:rsidR="001762EE" w:rsidRPr="00EC5DE8" w:rsidRDefault="001762EE" w:rsidP="005F79A5">
            <w:pPr>
              <w:pStyle w:val="FreeFormAB"/>
              <w:rPr>
                <w:sz w:val="18"/>
                <w:szCs w:val="18"/>
                <w:lang w:val="en-US"/>
              </w:rPr>
            </w:pPr>
            <w:r w:rsidRPr="00EC5DE8">
              <w:rPr>
                <w:sz w:val="18"/>
                <w:szCs w:val="18"/>
                <w:lang w:val="en-US"/>
              </w:rPr>
              <w:t>Department of Social Welfare and Development</w:t>
            </w:r>
          </w:p>
        </w:tc>
        <w:tc>
          <w:tcPr>
            <w:tcW w:w="1260" w:type="dxa"/>
            <w:shd w:val="clear" w:color="auto" w:fill="FFFFFF"/>
            <w:vAlign w:val="center"/>
          </w:tcPr>
          <w:p w14:paraId="57E3DEC4" w14:textId="77777777" w:rsidR="001762EE" w:rsidRPr="00EC5DE8" w:rsidRDefault="001762EE" w:rsidP="005F79A5">
            <w:pPr>
              <w:pStyle w:val="FreeFormAB"/>
              <w:jc w:val="center"/>
              <w:rPr>
                <w:sz w:val="18"/>
                <w:szCs w:val="18"/>
                <w:lang w:val="en-US"/>
              </w:rPr>
            </w:pPr>
            <w:r w:rsidRPr="00EC5DE8">
              <w:rPr>
                <w:sz w:val="18"/>
                <w:szCs w:val="18"/>
                <w:lang w:val="en-US"/>
              </w:rPr>
              <w:t>32</w:t>
            </w:r>
          </w:p>
        </w:tc>
        <w:tc>
          <w:tcPr>
            <w:tcW w:w="1350" w:type="dxa"/>
            <w:shd w:val="clear" w:color="auto" w:fill="FFFFFF"/>
            <w:vAlign w:val="center"/>
          </w:tcPr>
          <w:p w14:paraId="5BE5EFE6" w14:textId="77777777" w:rsidR="001762EE" w:rsidRPr="00EC5DE8" w:rsidRDefault="001762EE" w:rsidP="005F79A5">
            <w:pPr>
              <w:pStyle w:val="FreeFormAB"/>
              <w:jc w:val="center"/>
              <w:rPr>
                <w:sz w:val="18"/>
                <w:szCs w:val="18"/>
                <w:lang w:val="en-US"/>
              </w:rPr>
            </w:pPr>
            <w:r w:rsidRPr="00EC5DE8">
              <w:rPr>
                <w:sz w:val="18"/>
                <w:szCs w:val="18"/>
                <w:lang w:val="en-US"/>
              </w:rPr>
              <w:t>52</w:t>
            </w:r>
          </w:p>
        </w:tc>
        <w:tc>
          <w:tcPr>
            <w:tcW w:w="1260" w:type="dxa"/>
            <w:shd w:val="clear" w:color="auto" w:fill="FFFFFF"/>
            <w:vAlign w:val="center"/>
          </w:tcPr>
          <w:p w14:paraId="1F313D92" w14:textId="77777777" w:rsidR="001762EE" w:rsidRPr="00EC5DE8" w:rsidRDefault="001762EE" w:rsidP="005F79A5">
            <w:pPr>
              <w:pStyle w:val="FreeFormAB"/>
              <w:jc w:val="center"/>
              <w:rPr>
                <w:sz w:val="18"/>
                <w:szCs w:val="18"/>
                <w:lang w:val="en-US"/>
              </w:rPr>
            </w:pPr>
            <w:r w:rsidRPr="00EC5DE8">
              <w:rPr>
                <w:sz w:val="18"/>
                <w:szCs w:val="18"/>
                <w:lang w:val="en-US"/>
              </w:rPr>
              <w:t>5</w:t>
            </w:r>
          </w:p>
        </w:tc>
        <w:tc>
          <w:tcPr>
            <w:tcW w:w="1080" w:type="dxa"/>
            <w:shd w:val="clear" w:color="auto" w:fill="FFFFFF"/>
            <w:vAlign w:val="center"/>
          </w:tcPr>
          <w:p w14:paraId="3F13DCE9" w14:textId="47E2558C"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780EAC6F" w14:textId="77777777" w:rsidR="001762EE" w:rsidRPr="00EC5DE8" w:rsidRDefault="001762EE" w:rsidP="005F79A5">
            <w:pPr>
              <w:pStyle w:val="FreeFormAB"/>
              <w:jc w:val="center"/>
              <w:rPr>
                <w:sz w:val="18"/>
                <w:szCs w:val="18"/>
                <w:lang w:val="en-US"/>
              </w:rPr>
            </w:pPr>
            <w:r w:rsidRPr="00EC5DE8">
              <w:rPr>
                <w:sz w:val="18"/>
                <w:szCs w:val="18"/>
                <w:lang w:val="en-US"/>
              </w:rPr>
              <w:t>89</w:t>
            </w:r>
          </w:p>
        </w:tc>
      </w:tr>
      <w:tr w:rsidR="00E0051A" w:rsidRPr="005A497D" w14:paraId="0FB6C933" w14:textId="77777777" w:rsidTr="00E0051A">
        <w:trPr>
          <w:cantSplit/>
          <w:trHeight w:val="283"/>
        </w:trPr>
        <w:tc>
          <w:tcPr>
            <w:tcW w:w="3690" w:type="dxa"/>
            <w:shd w:val="clear" w:color="auto" w:fill="FFFFFF"/>
            <w:vAlign w:val="center"/>
          </w:tcPr>
          <w:p w14:paraId="47525423" w14:textId="77777777" w:rsidR="001762EE" w:rsidRPr="00EC5DE8" w:rsidRDefault="001762EE" w:rsidP="005F79A5">
            <w:pPr>
              <w:pStyle w:val="FreeFormAB"/>
              <w:rPr>
                <w:sz w:val="18"/>
                <w:szCs w:val="18"/>
                <w:lang w:val="en-US"/>
              </w:rPr>
            </w:pPr>
            <w:r w:rsidRPr="00EC5DE8">
              <w:rPr>
                <w:sz w:val="18"/>
                <w:szCs w:val="18"/>
                <w:lang w:val="en-US"/>
              </w:rPr>
              <w:t>Department of Trade and Industry</w:t>
            </w:r>
          </w:p>
        </w:tc>
        <w:tc>
          <w:tcPr>
            <w:tcW w:w="1260" w:type="dxa"/>
            <w:shd w:val="clear" w:color="auto" w:fill="FFFFFF"/>
            <w:vAlign w:val="center"/>
          </w:tcPr>
          <w:p w14:paraId="3C72A313" w14:textId="77777777" w:rsidR="001762EE" w:rsidRPr="00EC5DE8" w:rsidRDefault="001762EE" w:rsidP="005F79A5">
            <w:pPr>
              <w:pStyle w:val="FreeFormAB"/>
              <w:jc w:val="center"/>
              <w:rPr>
                <w:sz w:val="18"/>
                <w:szCs w:val="18"/>
                <w:lang w:val="en-US"/>
              </w:rPr>
            </w:pPr>
            <w:r w:rsidRPr="00EC5DE8">
              <w:rPr>
                <w:sz w:val="18"/>
                <w:szCs w:val="18"/>
                <w:lang w:val="en-US"/>
              </w:rPr>
              <w:t>28</w:t>
            </w:r>
          </w:p>
        </w:tc>
        <w:tc>
          <w:tcPr>
            <w:tcW w:w="1350" w:type="dxa"/>
            <w:shd w:val="clear" w:color="auto" w:fill="FFFFFF"/>
            <w:vAlign w:val="center"/>
          </w:tcPr>
          <w:p w14:paraId="14E6DA02" w14:textId="77777777" w:rsidR="001762EE" w:rsidRPr="00EC5DE8" w:rsidRDefault="001762EE" w:rsidP="005F79A5">
            <w:pPr>
              <w:pStyle w:val="FreeFormAB"/>
              <w:jc w:val="center"/>
              <w:rPr>
                <w:sz w:val="18"/>
                <w:szCs w:val="18"/>
                <w:lang w:val="en-US"/>
              </w:rPr>
            </w:pPr>
            <w:r w:rsidRPr="00EC5DE8">
              <w:rPr>
                <w:sz w:val="18"/>
                <w:szCs w:val="18"/>
                <w:lang w:val="en-US"/>
              </w:rPr>
              <w:t>38</w:t>
            </w:r>
          </w:p>
        </w:tc>
        <w:tc>
          <w:tcPr>
            <w:tcW w:w="1260" w:type="dxa"/>
            <w:shd w:val="clear" w:color="auto" w:fill="FFFFFF"/>
            <w:vAlign w:val="center"/>
          </w:tcPr>
          <w:p w14:paraId="77464ADA" w14:textId="77777777" w:rsidR="001762EE" w:rsidRPr="00EC5DE8" w:rsidRDefault="001762EE" w:rsidP="005F79A5">
            <w:pPr>
              <w:pStyle w:val="FreeFormAB"/>
              <w:jc w:val="center"/>
              <w:rPr>
                <w:sz w:val="18"/>
                <w:szCs w:val="18"/>
                <w:lang w:val="en-US"/>
              </w:rPr>
            </w:pPr>
            <w:r w:rsidRPr="00EC5DE8">
              <w:rPr>
                <w:sz w:val="18"/>
                <w:szCs w:val="18"/>
                <w:lang w:val="en-US"/>
              </w:rPr>
              <w:t>13</w:t>
            </w:r>
          </w:p>
        </w:tc>
        <w:tc>
          <w:tcPr>
            <w:tcW w:w="1080" w:type="dxa"/>
            <w:shd w:val="clear" w:color="auto" w:fill="FFFFFF"/>
            <w:vAlign w:val="center"/>
          </w:tcPr>
          <w:p w14:paraId="5EB27C03" w14:textId="50F8C92E"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004C71CF" w14:textId="77777777" w:rsidR="001762EE" w:rsidRPr="00EC5DE8" w:rsidRDefault="001762EE" w:rsidP="005F79A5">
            <w:pPr>
              <w:pStyle w:val="FreeFormAB"/>
              <w:jc w:val="center"/>
              <w:rPr>
                <w:sz w:val="18"/>
                <w:szCs w:val="18"/>
                <w:lang w:val="en-US"/>
              </w:rPr>
            </w:pPr>
            <w:r w:rsidRPr="00EC5DE8">
              <w:rPr>
                <w:sz w:val="18"/>
                <w:szCs w:val="18"/>
                <w:lang w:val="en-US"/>
              </w:rPr>
              <w:t>79</w:t>
            </w:r>
          </w:p>
        </w:tc>
      </w:tr>
      <w:tr w:rsidR="00E0051A" w:rsidRPr="005A497D" w14:paraId="21313182" w14:textId="77777777" w:rsidTr="00E0051A">
        <w:trPr>
          <w:cantSplit/>
          <w:trHeight w:val="283"/>
        </w:trPr>
        <w:tc>
          <w:tcPr>
            <w:tcW w:w="3690" w:type="dxa"/>
            <w:shd w:val="clear" w:color="auto" w:fill="FFFFFF"/>
            <w:vAlign w:val="center"/>
          </w:tcPr>
          <w:p w14:paraId="72516971" w14:textId="77777777" w:rsidR="001762EE" w:rsidRPr="00EC5DE8" w:rsidRDefault="001762EE" w:rsidP="005F79A5">
            <w:pPr>
              <w:pStyle w:val="FreeFormAB"/>
              <w:rPr>
                <w:sz w:val="18"/>
                <w:szCs w:val="18"/>
                <w:lang w:val="en-US"/>
              </w:rPr>
            </w:pPr>
            <w:r w:rsidRPr="00EC5DE8">
              <w:rPr>
                <w:sz w:val="18"/>
                <w:szCs w:val="18"/>
                <w:lang w:val="en-US"/>
              </w:rPr>
              <w:t>Department of Transportation and Communications</w:t>
            </w:r>
          </w:p>
        </w:tc>
        <w:tc>
          <w:tcPr>
            <w:tcW w:w="1260" w:type="dxa"/>
            <w:shd w:val="clear" w:color="auto" w:fill="FFFFFF"/>
            <w:vAlign w:val="center"/>
          </w:tcPr>
          <w:p w14:paraId="3846F9EF" w14:textId="77777777" w:rsidR="001762EE" w:rsidRPr="00EC5DE8" w:rsidRDefault="001762EE" w:rsidP="005F79A5">
            <w:pPr>
              <w:pStyle w:val="FreeFormAB"/>
              <w:jc w:val="center"/>
              <w:rPr>
                <w:sz w:val="18"/>
                <w:szCs w:val="18"/>
                <w:lang w:val="en-US"/>
              </w:rPr>
            </w:pPr>
            <w:r w:rsidRPr="00EC5DE8">
              <w:rPr>
                <w:sz w:val="18"/>
                <w:szCs w:val="18"/>
                <w:lang w:val="en-US"/>
              </w:rPr>
              <w:t>12</w:t>
            </w:r>
          </w:p>
        </w:tc>
        <w:tc>
          <w:tcPr>
            <w:tcW w:w="1350" w:type="dxa"/>
            <w:shd w:val="clear" w:color="auto" w:fill="FFFFFF"/>
            <w:vAlign w:val="center"/>
          </w:tcPr>
          <w:p w14:paraId="15EF28CF" w14:textId="77777777" w:rsidR="001762EE" w:rsidRPr="00EC5DE8" w:rsidRDefault="001762EE" w:rsidP="005F79A5">
            <w:pPr>
              <w:pStyle w:val="FreeFormAB"/>
              <w:jc w:val="center"/>
              <w:rPr>
                <w:sz w:val="18"/>
                <w:szCs w:val="18"/>
                <w:lang w:val="en-US"/>
              </w:rPr>
            </w:pPr>
            <w:r w:rsidRPr="00EC5DE8">
              <w:rPr>
                <w:sz w:val="18"/>
                <w:szCs w:val="18"/>
                <w:lang w:val="en-US"/>
              </w:rPr>
              <w:t>19</w:t>
            </w:r>
          </w:p>
        </w:tc>
        <w:tc>
          <w:tcPr>
            <w:tcW w:w="1260" w:type="dxa"/>
            <w:shd w:val="clear" w:color="auto" w:fill="FFFFFF"/>
            <w:vAlign w:val="center"/>
          </w:tcPr>
          <w:p w14:paraId="12FD3EA8"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080" w:type="dxa"/>
            <w:shd w:val="clear" w:color="auto" w:fill="FFFFFF"/>
            <w:vAlign w:val="center"/>
          </w:tcPr>
          <w:p w14:paraId="18596204" w14:textId="734AC412"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3811E2A9" w14:textId="77777777" w:rsidR="001762EE" w:rsidRPr="00EC5DE8" w:rsidRDefault="001762EE" w:rsidP="005F79A5">
            <w:pPr>
              <w:pStyle w:val="FreeFormAB"/>
              <w:jc w:val="center"/>
              <w:rPr>
                <w:sz w:val="18"/>
                <w:szCs w:val="18"/>
                <w:lang w:val="en-US"/>
              </w:rPr>
            </w:pPr>
            <w:r w:rsidRPr="00EC5DE8">
              <w:rPr>
                <w:sz w:val="18"/>
                <w:szCs w:val="18"/>
                <w:lang w:val="en-US"/>
              </w:rPr>
              <w:t>33</w:t>
            </w:r>
          </w:p>
        </w:tc>
      </w:tr>
      <w:tr w:rsidR="00E0051A" w:rsidRPr="005A497D" w14:paraId="00D57D00" w14:textId="77777777" w:rsidTr="00E0051A">
        <w:trPr>
          <w:cantSplit/>
          <w:trHeight w:val="283"/>
        </w:trPr>
        <w:tc>
          <w:tcPr>
            <w:tcW w:w="3690" w:type="dxa"/>
            <w:shd w:val="clear" w:color="auto" w:fill="FFFFFF"/>
            <w:vAlign w:val="center"/>
          </w:tcPr>
          <w:p w14:paraId="7744FFF8" w14:textId="77777777" w:rsidR="001762EE" w:rsidRPr="00EC5DE8" w:rsidRDefault="001762EE" w:rsidP="005F79A5">
            <w:pPr>
              <w:pStyle w:val="FreeFormAB"/>
              <w:rPr>
                <w:sz w:val="18"/>
                <w:szCs w:val="18"/>
                <w:lang w:val="en-US"/>
              </w:rPr>
            </w:pPr>
            <w:r w:rsidRPr="00EC5DE8">
              <w:rPr>
                <w:sz w:val="18"/>
                <w:szCs w:val="18"/>
                <w:lang w:val="en-US"/>
              </w:rPr>
              <w:t>Department of Tourism</w:t>
            </w:r>
          </w:p>
        </w:tc>
        <w:tc>
          <w:tcPr>
            <w:tcW w:w="1260" w:type="dxa"/>
            <w:shd w:val="clear" w:color="auto" w:fill="FFFFFF"/>
            <w:vAlign w:val="center"/>
          </w:tcPr>
          <w:p w14:paraId="2D1CD2B1" w14:textId="77777777" w:rsidR="001762EE" w:rsidRPr="00EC5DE8" w:rsidRDefault="001762EE" w:rsidP="005F79A5">
            <w:pPr>
              <w:pStyle w:val="FreeFormAB"/>
              <w:jc w:val="center"/>
              <w:rPr>
                <w:sz w:val="18"/>
                <w:szCs w:val="18"/>
                <w:lang w:val="en-US"/>
              </w:rPr>
            </w:pPr>
            <w:r w:rsidRPr="00EC5DE8">
              <w:rPr>
                <w:sz w:val="18"/>
                <w:szCs w:val="18"/>
                <w:lang w:val="en-US"/>
              </w:rPr>
              <w:t>4</w:t>
            </w:r>
          </w:p>
        </w:tc>
        <w:tc>
          <w:tcPr>
            <w:tcW w:w="1350" w:type="dxa"/>
            <w:shd w:val="clear" w:color="auto" w:fill="FFFFFF"/>
            <w:vAlign w:val="center"/>
          </w:tcPr>
          <w:p w14:paraId="45CBA50B" w14:textId="77777777" w:rsidR="001762EE" w:rsidRPr="00EC5DE8" w:rsidRDefault="001762EE" w:rsidP="005F79A5">
            <w:pPr>
              <w:pStyle w:val="FreeFormAB"/>
              <w:jc w:val="center"/>
              <w:rPr>
                <w:sz w:val="18"/>
                <w:szCs w:val="18"/>
                <w:lang w:val="en-US"/>
              </w:rPr>
            </w:pPr>
            <w:r w:rsidRPr="00EC5DE8">
              <w:rPr>
                <w:sz w:val="18"/>
                <w:szCs w:val="18"/>
                <w:lang w:val="en-US"/>
              </w:rPr>
              <w:t>18</w:t>
            </w:r>
          </w:p>
        </w:tc>
        <w:tc>
          <w:tcPr>
            <w:tcW w:w="1260" w:type="dxa"/>
            <w:shd w:val="clear" w:color="auto" w:fill="FFFFFF"/>
            <w:vAlign w:val="center"/>
          </w:tcPr>
          <w:p w14:paraId="3087818C" w14:textId="77777777" w:rsidR="001762EE" w:rsidRPr="00EC5DE8" w:rsidRDefault="001762EE" w:rsidP="005F79A5">
            <w:pPr>
              <w:pStyle w:val="FreeFormAB"/>
              <w:jc w:val="center"/>
              <w:rPr>
                <w:sz w:val="18"/>
                <w:szCs w:val="18"/>
                <w:lang w:val="en-US"/>
              </w:rPr>
            </w:pPr>
            <w:r w:rsidRPr="00EC5DE8">
              <w:rPr>
                <w:sz w:val="18"/>
                <w:szCs w:val="18"/>
                <w:lang w:val="en-US"/>
              </w:rPr>
              <w:t>1</w:t>
            </w:r>
          </w:p>
        </w:tc>
        <w:tc>
          <w:tcPr>
            <w:tcW w:w="1080" w:type="dxa"/>
            <w:shd w:val="clear" w:color="auto" w:fill="FFFFFF"/>
            <w:vAlign w:val="center"/>
          </w:tcPr>
          <w:p w14:paraId="59819693" w14:textId="1650E8FE"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5B7A6084" w14:textId="77777777" w:rsidR="001762EE" w:rsidRPr="00EC5DE8" w:rsidRDefault="001762EE" w:rsidP="005F79A5">
            <w:pPr>
              <w:pStyle w:val="FreeFormAB"/>
              <w:jc w:val="center"/>
              <w:rPr>
                <w:sz w:val="18"/>
                <w:szCs w:val="18"/>
                <w:lang w:val="en-US"/>
              </w:rPr>
            </w:pPr>
            <w:r w:rsidRPr="00EC5DE8">
              <w:rPr>
                <w:sz w:val="18"/>
                <w:szCs w:val="18"/>
                <w:lang w:val="en-US"/>
              </w:rPr>
              <w:t>23</w:t>
            </w:r>
          </w:p>
        </w:tc>
      </w:tr>
      <w:tr w:rsidR="00E0051A" w:rsidRPr="005A497D" w14:paraId="2AE13805" w14:textId="77777777" w:rsidTr="00E0051A">
        <w:trPr>
          <w:cantSplit/>
          <w:trHeight w:val="283"/>
        </w:trPr>
        <w:tc>
          <w:tcPr>
            <w:tcW w:w="3690" w:type="dxa"/>
            <w:shd w:val="clear" w:color="auto" w:fill="FFFFFF"/>
            <w:vAlign w:val="center"/>
          </w:tcPr>
          <w:p w14:paraId="192922B3" w14:textId="77777777" w:rsidR="001762EE" w:rsidRPr="00EC5DE8" w:rsidRDefault="001762EE" w:rsidP="005F79A5">
            <w:pPr>
              <w:pStyle w:val="FreeFormAB"/>
              <w:rPr>
                <w:sz w:val="18"/>
                <w:szCs w:val="18"/>
                <w:lang w:val="en-US"/>
              </w:rPr>
            </w:pPr>
            <w:r w:rsidRPr="00EC5DE8">
              <w:rPr>
                <w:sz w:val="18"/>
                <w:szCs w:val="18"/>
                <w:lang w:val="en-US"/>
              </w:rPr>
              <w:t>Metropolitan Manila Development Authority</w:t>
            </w:r>
          </w:p>
        </w:tc>
        <w:tc>
          <w:tcPr>
            <w:tcW w:w="1260" w:type="dxa"/>
            <w:shd w:val="clear" w:color="auto" w:fill="FFFFFF"/>
            <w:vAlign w:val="center"/>
          </w:tcPr>
          <w:p w14:paraId="5A24DB42" w14:textId="77777777" w:rsidR="001762EE" w:rsidRPr="00EC5DE8" w:rsidRDefault="001762EE" w:rsidP="005F79A5">
            <w:pPr>
              <w:pStyle w:val="FreeFormAB"/>
              <w:jc w:val="center"/>
              <w:rPr>
                <w:sz w:val="18"/>
                <w:szCs w:val="18"/>
                <w:lang w:val="en-US"/>
              </w:rPr>
            </w:pPr>
            <w:r w:rsidRPr="00EC5DE8">
              <w:rPr>
                <w:sz w:val="18"/>
                <w:szCs w:val="18"/>
                <w:lang w:val="en-US"/>
              </w:rPr>
              <w:t>30</w:t>
            </w:r>
          </w:p>
        </w:tc>
        <w:tc>
          <w:tcPr>
            <w:tcW w:w="1350" w:type="dxa"/>
            <w:shd w:val="clear" w:color="auto" w:fill="FFFFFF"/>
            <w:vAlign w:val="center"/>
          </w:tcPr>
          <w:p w14:paraId="52FC5B17" w14:textId="77777777" w:rsidR="001762EE" w:rsidRPr="00EC5DE8" w:rsidRDefault="001762EE" w:rsidP="005F79A5">
            <w:pPr>
              <w:pStyle w:val="FreeFormAB"/>
              <w:jc w:val="center"/>
              <w:rPr>
                <w:sz w:val="18"/>
                <w:szCs w:val="18"/>
                <w:lang w:val="en-US"/>
              </w:rPr>
            </w:pPr>
            <w:r w:rsidRPr="00EC5DE8">
              <w:rPr>
                <w:sz w:val="18"/>
                <w:szCs w:val="18"/>
                <w:lang w:val="en-US"/>
              </w:rPr>
              <w:t>22</w:t>
            </w:r>
          </w:p>
        </w:tc>
        <w:tc>
          <w:tcPr>
            <w:tcW w:w="1260" w:type="dxa"/>
            <w:shd w:val="clear" w:color="auto" w:fill="FFFFFF"/>
            <w:vAlign w:val="center"/>
          </w:tcPr>
          <w:p w14:paraId="363F56ED" w14:textId="77777777" w:rsidR="001762EE" w:rsidRPr="00EC5DE8" w:rsidRDefault="001762EE" w:rsidP="005F79A5">
            <w:pPr>
              <w:pStyle w:val="FreeFormAB"/>
              <w:jc w:val="center"/>
              <w:rPr>
                <w:sz w:val="18"/>
                <w:szCs w:val="18"/>
                <w:lang w:val="en-US"/>
              </w:rPr>
            </w:pPr>
            <w:r w:rsidRPr="00EC5DE8">
              <w:rPr>
                <w:sz w:val="18"/>
                <w:szCs w:val="18"/>
                <w:lang w:val="en-US"/>
              </w:rPr>
              <w:t>8</w:t>
            </w:r>
          </w:p>
        </w:tc>
        <w:tc>
          <w:tcPr>
            <w:tcW w:w="1080" w:type="dxa"/>
            <w:shd w:val="clear" w:color="auto" w:fill="FFFFFF"/>
            <w:vAlign w:val="center"/>
          </w:tcPr>
          <w:p w14:paraId="36F68635" w14:textId="390714E4"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2A877D5E" w14:textId="77777777" w:rsidR="001762EE" w:rsidRPr="00EC5DE8" w:rsidRDefault="001762EE" w:rsidP="005F79A5">
            <w:pPr>
              <w:pStyle w:val="FreeFormAB"/>
              <w:jc w:val="center"/>
              <w:rPr>
                <w:sz w:val="18"/>
                <w:szCs w:val="18"/>
                <w:lang w:val="en-US"/>
              </w:rPr>
            </w:pPr>
            <w:r w:rsidRPr="00EC5DE8">
              <w:rPr>
                <w:sz w:val="18"/>
                <w:szCs w:val="18"/>
                <w:lang w:val="en-US"/>
              </w:rPr>
              <w:t>60</w:t>
            </w:r>
          </w:p>
        </w:tc>
      </w:tr>
      <w:tr w:rsidR="00E0051A" w:rsidRPr="005A497D" w14:paraId="697156FE" w14:textId="77777777" w:rsidTr="00E0051A">
        <w:trPr>
          <w:cantSplit/>
          <w:trHeight w:val="283"/>
        </w:trPr>
        <w:tc>
          <w:tcPr>
            <w:tcW w:w="3690" w:type="dxa"/>
            <w:shd w:val="clear" w:color="auto" w:fill="FFFFFF"/>
            <w:vAlign w:val="center"/>
          </w:tcPr>
          <w:p w14:paraId="1D2EEC7D" w14:textId="77777777" w:rsidR="001762EE" w:rsidRPr="00EC5DE8" w:rsidRDefault="001762EE" w:rsidP="005F79A5">
            <w:pPr>
              <w:pStyle w:val="FreeFormAB"/>
              <w:rPr>
                <w:sz w:val="18"/>
                <w:szCs w:val="18"/>
                <w:lang w:val="en-US"/>
              </w:rPr>
            </w:pPr>
            <w:r w:rsidRPr="00EC5DE8">
              <w:rPr>
                <w:sz w:val="18"/>
                <w:szCs w:val="18"/>
                <w:lang w:val="en-US"/>
              </w:rPr>
              <w:t>National Economic Development Authority</w:t>
            </w:r>
          </w:p>
        </w:tc>
        <w:tc>
          <w:tcPr>
            <w:tcW w:w="1260" w:type="dxa"/>
            <w:shd w:val="clear" w:color="auto" w:fill="FFFFFF"/>
            <w:vAlign w:val="center"/>
          </w:tcPr>
          <w:p w14:paraId="2C3334A1" w14:textId="7F006B08" w:rsidR="001762EE" w:rsidRPr="00EC5DE8" w:rsidRDefault="001762EE" w:rsidP="005F79A5">
            <w:pPr>
              <w:pStyle w:val="FreeFormAB"/>
              <w:jc w:val="center"/>
              <w:rPr>
                <w:sz w:val="18"/>
                <w:szCs w:val="18"/>
                <w:lang w:val="en-US"/>
              </w:rPr>
            </w:pPr>
            <w:r w:rsidRPr="00EC5DE8">
              <w:rPr>
                <w:sz w:val="18"/>
                <w:szCs w:val="18"/>
                <w:lang w:val="en-US"/>
              </w:rPr>
              <w:t>-</w:t>
            </w:r>
          </w:p>
        </w:tc>
        <w:tc>
          <w:tcPr>
            <w:tcW w:w="1350" w:type="dxa"/>
            <w:shd w:val="clear" w:color="auto" w:fill="FFFFFF"/>
            <w:vAlign w:val="center"/>
          </w:tcPr>
          <w:p w14:paraId="4376C753" w14:textId="77777777" w:rsidR="001762EE" w:rsidRPr="00EC5DE8" w:rsidRDefault="001762EE" w:rsidP="005F79A5">
            <w:pPr>
              <w:pStyle w:val="FreeFormAB"/>
              <w:jc w:val="center"/>
              <w:rPr>
                <w:sz w:val="18"/>
                <w:szCs w:val="18"/>
                <w:lang w:val="en-US"/>
              </w:rPr>
            </w:pPr>
            <w:r w:rsidRPr="00EC5DE8">
              <w:rPr>
                <w:sz w:val="18"/>
                <w:szCs w:val="18"/>
                <w:lang w:val="en-US"/>
              </w:rPr>
              <w:t>9</w:t>
            </w:r>
          </w:p>
        </w:tc>
        <w:tc>
          <w:tcPr>
            <w:tcW w:w="1260" w:type="dxa"/>
            <w:shd w:val="clear" w:color="auto" w:fill="FFFFFF"/>
            <w:vAlign w:val="center"/>
          </w:tcPr>
          <w:p w14:paraId="3EC995E4" w14:textId="77777777" w:rsidR="001762EE" w:rsidRPr="00EC5DE8" w:rsidRDefault="001762EE" w:rsidP="005F79A5">
            <w:pPr>
              <w:pStyle w:val="FreeFormAB"/>
              <w:jc w:val="center"/>
              <w:rPr>
                <w:sz w:val="18"/>
                <w:szCs w:val="18"/>
                <w:lang w:val="en-US"/>
              </w:rPr>
            </w:pPr>
            <w:r w:rsidRPr="00EC5DE8">
              <w:rPr>
                <w:sz w:val="18"/>
                <w:szCs w:val="18"/>
                <w:lang w:val="en-US"/>
              </w:rPr>
              <w:t>1</w:t>
            </w:r>
          </w:p>
        </w:tc>
        <w:tc>
          <w:tcPr>
            <w:tcW w:w="1080" w:type="dxa"/>
            <w:shd w:val="clear" w:color="auto" w:fill="FFFFFF"/>
            <w:vAlign w:val="center"/>
          </w:tcPr>
          <w:p w14:paraId="56882464" w14:textId="5FB946A4"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3FE904FE" w14:textId="77777777" w:rsidR="001762EE" w:rsidRPr="00EC5DE8" w:rsidRDefault="001762EE" w:rsidP="005F79A5">
            <w:pPr>
              <w:pStyle w:val="FreeFormAB"/>
              <w:jc w:val="center"/>
              <w:rPr>
                <w:sz w:val="18"/>
                <w:szCs w:val="18"/>
                <w:lang w:val="en-US"/>
              </w:rPr>
            </w:pPr>
            <w:r w:rsidRPr="00EC5DE8">
              <w:rPr>
                <w:sz w:val="18"/>
                <w:szCs w:val="18"/>
                <w:lang w:val="en-US"/>
              </w:rPr>
              <w:t>10</w:t>
            </w:r>
          </w:p>
        </w:tc>
      </w:tr>
      <w:tr w:rsidR="00E0051A" w:rsidRPr="005A497D" w14:paraId="54F6AD17" w14:textId="77777777" w:rsidTr="00E0051A">
        <w:trPr>
          <w:cantSplit/>
          <w:trHeight w:val="283"/>
        </w:trPr>
        <w:tc>
          <w:tcPr>
            <w:tcW w:w="3690" w:type="dxa"/>
            <w:shd w:val="clear" w:color="auto" w:fill="FFFFFF"/>
            <w:vAlign w:val="center"/>
          </w:tcPr>
          <w:p w14:paraId="3C233C7E" w14:textId="77777777" w:rsidR="001762EE" w:rsidRPr="00EC5DE8" w:rsidRDefault="001762EE" w:rsidP="005F79A5">
            <w:pPr>
              <w:pStyle w:val="FreeFormAB"/>
              <w:rPr>
                <w:sz w:val="18"/>
                <w:szCs w:val="18"/>
                <w:lang w:val="en-US"/>
              </w:rPr>
            </w:pPr>
            <w:r w:rsidRPr="00EC5DE8">
              <w:rPr>
                <w:sz w:val="18"/>
                <w:szCs w:val="18"/>
                <w:lang w:val="en-US"/>
              </w:rPr>
              <w:t>Philippine National Police</w:t>
            </w:r>
          </w:p>
        </w:tc>
        <w:tc>
          <w:tcPr>
            <w:tcW w:w="1260" w:type="dxa"/>
            <w:shd w:val="clear" w:color="auto" w:fill="FFFFFF"/>
            <w:vAlign w:val="center"/>
          </w:tcPr>
          <w:p w14:paraId="2ED48F08" w14:textId="77777777" w:rsidR="001762EE" w:rsidRPr="00EC5DE8" w:rsidRDefault="001762EE" w:rsidP="005F79A5">
            <w:pPr>
              <w:pStyle w:val="FreeFormAB"/>
              <w:jc w:val="center"/>
              <w:rPr>
                <w:sz w:val="18"/>
                <w:szCs w:val="18"/>
                <w:lang w:val="en-US"/>
              </w:rPr>
            </w:pPr>
            <w:r w:rsidRPr="00EC5DE8">
              <w:rPr>
                <w:sz w:val="18"/>
                <w:szCs w:val="18"/>
                <w:lang w:val="en-US"/>
              </w:rPr>
              <w:t>4</w:t>
            </w:r>
          </w:p>
        </w:tc>
        <w:tc>
          <w:tcPr>
            <w:tcW w:w="1350" w:type="dxa"/>
            <w:shd w:val="clear" w:color="auto" w:fill="FFFFFF"/>
            <w:vAlign w:val="center"/>
          </w:tcPr>
          <w:p w14:paraId="2B7FF6E8" w14:textId="77777777" w:rsidR="001762EE" w:rsidRPr="00EC5DE8" w:rsidRDefault="001762EE" w:rsidP="005F79A5">
            <w:pPr>
              <w:pStyle w:val="FreeFormAB"/>
              <w:jc w:val="center"/>
              <w:rPr>
                <w:sz w:val="18"/>
                <w:szCs w:val="18"/>
                <w:lang w:val="en-US"/>
              </w:rPr>
            </w:pPr>
            <w:r w:rsidRPr="00EC5DE8">
              <w:rPr>
                <w:sz w:val="18"/>
                <w:szCs w:val="18"/>
                <w:lang w:val="en-US"/>
              </w:rPr>
              <w:t>21</w:t>
            </w:r>
          </w:p>
        </w:tc>
        <w:tc>
          <w:tcPr>
            <w:tcW w:w="1260" w:type="dxa"/>
            <w:shd w:val="clear" w:color="auto" w:fill="FFFFFF"/>
            <w:vAlign w:val="center"/>
          </w:tcPr>
          <w:p w14:paraId="672FE351" w14:textId="77777777" w:rsidR="001762EE" w:rsidRPr="00EC5DE8" w:rsidRDefault="001762EE" w:rsidP="005F79A5">
            <w:pPr>
              <w:pStyle w:val="FreeFormAB"/>
              <w:jc w:val="center"/>
              <w:rPr>
                <w:sz w:val="18"/>
                <w:szCs w:val="18"/>
                <w:lang w:val="en-US"/>
              </w:rPr>
            </w:pPr>
            <w:r w:rsidRPr="00EC5DE8">
              <w:rPr>
                <w:sz w:val="18"/>
                <w:szCs w:val="18"/>
                <w:lang w:val="en-US"/>
              </w:rPr>
              <w:t>4</w:t>
            </w:r>
          </w:p>
        </w:tc>
        <w:tc>
          <w:tcPr>
            <w:tcW w:w="1080" w:type="dxa"/>
            <w:shd w:val="clear" w:color="auto" w:fill="FFFFFF"/>
            <w:vAlign w:val="center"/>
          </w:tcPr>
          <w:p w14:paraId="33308DBE" w14:textId="61D7FD48"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68BA7A67" w14:textId="77777777" w:rsidR="001762EE" w:rsidRPr="00EC5DE8" w:rsidRDefault="001762EE" w:rsidP="005F79A5">
            <w:pPr>
              <w:pStyle w:val="FreeFormAB"/>
              <w:jc w:val="center"/>
              <w:rPr>
                <w:sz w:val="18"/>
                <w:szCs w:val="18"/>
                <w:lang w:val="en-US"/>
              </w:rPr>
            </w:pPr>
            <w:r w:rsidRPr="00EC5DE8">
              <w:rPr>
                <w:sz w:val="18"/>
                <w:szCs w:val="18"/>
                <w:lang w:val="en-US"/>
              </w:rPr>
              <w:t>29</w:t>
            </w:r>
          </w:p>
        </w:tc>
      </w:tr>
      <w:tr w:rsidR="00E0051A" w:rsidRPr="005A497D" w14:paraId="67A70B84" w14:textId="77777777" w:rsidTr="00E0051A">
        <w:trPr>
          <w:cantSplit/>
          <w:trHeight w:val="283"/>
        </w:trPr>
        <w:tc>
          <w:tcPr>
            <w:tcW w:w="3690" w:type="dxa"/>
            <w:shd w:val="clear" w:color="auto" w:fill="FFFFFF"/>
            <w:vAlign w:val="center"/>
          </w:tcPr>
          <w:p w14:paraId="165B25DF" w14:textId="0394089A" w:rsidR="001762EE" w:rsidRPr="00EC5DE8" w:rsidRDefault="00E0051A" w:rsidP="005F79A5">
            <w:pPr>
              <w:pStyle w:val="FreeFormAB"/>
              <w:rPr>
                <w:sz w:val="18"/>
                <w:szCs w:val="18"/>
                <w:lang w:val="en-US"/>
              </w:rPr>
            </w:pPr>
            <w:r>
              <w:rPr>
                <w:sz w:val="18"/>
                <w:szCs w:val="18"/>
                <w:lang w:val="en-US"/>
              </w:rPr>
              <w:t>BIR</w:t>
            </w:r>
            <w:r w:rsidR="001762EE" w:rsidRPr="00EC5DE8">
              <w:rPr>
                <w:sz w:val="18"/>
                <w:szCs w:val="18"/>
                <w:lang w:val="en-US"/>
              </w:rPr>
              <w:t>-National Government Books</w:t>
            </w:r>
          </w:p>
        </w:tc>
        <w:tc>
          <w:tcPr>
            <w:tcW w:w="1260" w:type="dxa"/>
            <w:shd w:val="clear" w:color="auto" w:fill="FFFFFF"/>
            <w:vAlign w:val="center"/>
          </w:tcPr>
          <w:p w14:paraId="41C89FAC" w14:textId="77777777" w:rsidR="001762EE" w:rsidRPr="00EC5DE8" w:rsidRDefault="001762EE" w:rsidP="005F79A5">
            <w:pPr>
              <w:pStyle w:val="FreeFormAB"/>
              <w:jc w:val="center"/>
              <w:rPr>
                <w:sz w:val="18"/>
                <w:szCs w:val="18"/>
                <w:lang w:val="en-US"/>
              </w:rPr>
            </w:pPr>
            <w:r w:rsidRPr="00EC5DE8">
              <w:rPr>
                <w:sz w:val="18"/>
                <w:szCs w:val="18"/>
                <w:lang w:val="en-US"/>
              </w:rPr>
              <w:t>34</w:t>
            </w:r>
          </w:p>
        </w:tc>
        <w:tc>
          <w:tcPr>
            <w:tcW w:w="1350" w:type="dxa"/>
            <w:shd w:val="clear" w:color="auto" w:fill="FFFFFF"/>
            <w:vAlign w:val="center"/>
          </w:tcPr>
          <w:p w14:paraId="48A26426" w14:textId="77777777" w:rsidR="001762EE" w:rsidRPr="00EC5DE8" w:rsidDel="002D2C86" w:rsidRDefault="001762EE" w:rsidP="005F79A5">
            <w:pPr>
              <w:pStyle w:val="FreeFormAB"/>
              <w:jc w:val="center"/>
              <w:rPr>
                <w:sz w:val="18"/>
                <w:szCs w:val="18"/>
                <w:lang w:val="en-US"/>
              </w:rPr>
            </w:pPr>
            <w:r w:rsidRPr="00EC5DE8">
              <w:rPr>
                <w:sz w:val="18"/>
                <w:szCs w:val="18"/>
                <w:lang w:val="en-US"/>
              </w:rPr>
              <w:t>31</w:t>
            </w:r>
          </w:p>
        </w:tc>
        <w:tc>
          <w:tcPr>
            <w:tcW w:w="1260" w:type="dxa"/>
            <w:shd w:val="clear" w:color="auto" w:fill="FFFFFF"/>
            <w:vAlign w:val="center"/>
          </w:tcPr>
          <w:p w14:paraId="18E8D768" w14:textId="77777777" w:rsidR="001762EE" w:rsidRPr="00EC5DE8" w:rsidDel="002D2C86" w:rsidRDefault="001762EE" w:rsidP="005F79A5">
            <w:pPr>
              <w:pStyle w:val="FreeFormAB"/>
              <w:jc w:val="center"/>
              <w:rPr>
                <w:sz w:val="18"/>
                <w:szCs w:val="18"/>
                <w:lang w:val="en-US"/>
              </w:rPr>
            </w:pPr>
            <w:r w:rsidRPr="00EC5DE8">
              <w:rPr>
                <w:sz w:val="18"/>
                <w:szCs w:val="18"/>
                <w:lang w:val="en-US"/>
              </w:rPr>
              <w:t>6</w:t>
            </w:r>
          </w:p>
        </w:tc>
        <w:tc>
          <w:tcPr>
            <w:tcW w:w="1080" w:type="dxa"/>
            <w:shd w:val="clear" w:color="auto" w:fill="FFFFFF"/>
            <w:vAlign w:val="center"/>
          </w:tcPr>
          <w:p w14:paraId="379C5CD7" w14:textId="77777777" w:rsidR="001762EE" w:rsidRPr="00EC5DE8" w:rsidRDefault="001762EE" w:rsidP="005F79A5">
            <w:pPr>
              <w:pStyle w:val="FreeFormAB"/>
              <w:jc w:val="center"/>
              <w:rPr>
                <w:sz w:val="18"/>
                <w:szCs w:val="18"/>
                <w:lang w:val="en-US"/>
              </w:rPr>
            </w:pPr>
            <w:r w:rsidRPr="00EC5DE8">
              <w:rPr>
                <w:sz w:val="18"/>
                <w:szCs w:val="18"/>
                <w:lang w:val="en-US"/>
              </w:rPr>
              <w:t>14</w:t>
            </w:r>
          </w:p>
        </w:tc>
        <w:tc>
          <w:tcPr>
            <w:tcW w:w="716" w:type="dxa"/>
            <w:shd w:val="clear" w:color="auto" w:fill="FFFFFF"/>
            <w:vAlign w:val="center"/>
          </w:tcPr>
          <w:p w14:paraId="04A27675" w14:textId="77777777" w:rsidR="001762EE" w:rsidRPr="00EC5DE8" w:rsidDel="002D2C86" w:rsidRDefault="001762EE" w:rsidP="005F79A5">
            <w:pPr>
              <w:pStyle w:val="FreeFormAB"/>
              <w:jc w:val="center"/>
              <w:rPr>
                <w:sz w:val="18"/>
                <w:szCs w:val="18"/>
                <w:lang w:val="en-US"/>
              </w:rPr>
            </w:pPr>
            <w:r w:rsidRPr="00EC5DE8">
              <w:rPr>
                <w:sz w:val="18"/>
                <w:szCs w:val="18"/>
                <w:lang w:val="en-US"/>
              </w:rPr>
              <w:t>85</w:t>
            </w:r>
          </w:p>
        </w:tc>
      </w:tr>
      <w:tr w:rsidR="00E0051A" w:rsidRPr="005A497D" w14:paraId="055865D7" w14:textId="77777777" w:rsidTr="00E0051A">
        <w:trPr>
          <w:cantSplit/>
          <w:trHeight w:val="283"/>
        </w:trPr>
        <w:tc>
          <w:tcPr>
            <w:tcW w:w="3690" w:type="dxa"/>
            <w:shd w:val="clear" w:color="auto" w:fill="FFFFFF"/>
            <w:vAlign w:val="center"/>
          </w:tcPr>
          <w:p w14:paraId="0E71BCD2" w14:textId="611AAE85" w:rsidR="001762EE" w:rsidRPr="00EC5DE8" w:rsidRDefault="00E0051A" w:rsidP="005F79A5">
            <w:pPr>
              <w:pStyle w:val="FreeFormAB"/>
              <w:rPr>
                <w:sz w:val="18"/>
                <w:szCs w:val="18"/>
                <w:lang w:val="en-US"/>
              </w:rPr>
            </w:pPr>
            <w:r>
              <w:rPr>
                <w:sz w:val="18"/>
                <w:szCs w:val="18"/>
                <w:lang w:val="en-US"/>
              </w:rPr>
              <w:t>BIR</w:t>
            </w:r>
            <w:r w:rsidR="001762EE" w:rsidRPr="00EC5DE8">
              <w:rPr>
                <w:sz w:val="18"/>
                <w:szCs w:val="18"/>
                <w:lang w:val="en-US"/>
              </w:rPr>
              <w:t>-Regular Agency Books</w:t>
            </w:r>
          </w:p>
        </w:tc>
        <w:tc>
          <w:tcPr>
            <w:tcW w:w="1260" w:type="dxa"/>
            <w:shd w:val="clear" w:color="auto" w:fill="FFFFFF"/>
            <w:vAlign w:val="center"/>
          </w:tcPr>
          <w:p w14:paraId="3C656D0D" w14:textId="77777777" w:rsidR="001762EE" w:rsidRPr="00EC5DE8" w:rsidRDefault="001762EE" w:rsidP="005F79A5">
            <w:pPr>
              <w:pStyle w:val="FreeFormAB"/>
              <w:jc w:val="center"/>
              <w:rPr>
                <w:sz w:val="18"/>
                <w:szCs w:val="18"/>
                <w:lang w:val="en-US"/>
              </w:rPr>
            </w:pPr>
            <w:r w:rsidRPr="00EC5DE8">
              <w:rPr>
                <w:sz w:val="18"/>
                <w:szCs w:val="18"/>
                <w:lang w:val="en-US"/>
              </w:rPr>
              <w:t>21</w:t>
            </w:r>
          </w:p>
        </w:tc>
        <w:tc>
          <w:tcPr>
            <w:tcW w:w="1350" w:type="dxa"/>
            <w:shd w:val="clear" w:color="auto" w:fill="FFFFFF"/>
            <w:vAlign w:val="center"/>
          </w:tcPr>
          <w:p w14:paraId="1A155E5F" w14:textId="77777777" w:rsidR="001762EE" w:rsidRPr="00EC5DE8" w:rsidDel="002D2C86" w:rsidRDefault="001762EE" w:rsidP="005F79A5">
            <w:pPr>
              <w:pStyle w:val="FreeFormAB"/>
              <w:jc w:val="center"/>
              <w:rPr>
                <w:sz w:val="18"/>
                <w:szCs w:val="18"/>
                <w:lang w:val="en-US"/>
              </w:rPr>
            </w:pPr>
            <w:r w:rsidRPr="00EC5DE8">
              <w:rPr>
                <w:sz w:val="18"/>
                <w:szCs w:val="18"/>
                <w:lang w:val="en-US"/>
              </w:rPr>
              <w:t>45</w:t>
            </w:r>
          </w:p>
        </w:tc>
        <w:tc>
          <w:tcPr>
            <w:tcW w:w="1260" w:type="dxa"/>
            <w:shd w:val="clear" w:color="auto" w:fill="FFFFFF"/>
            <w:vAlign w:val="center"/>
          </w:tcPr>
          <w:p w14:paraId="40D22366" w14:textId="77777777" w:rsidR="001762EE" w:rsidRPr="00EC5DE8" w:rsidDel="002D2C86" w:rsidRDefault="001762EE" w:rsidP="005F79A5">
            <w:pPr>
              <w:pStyle w:val="FreeFormAB"/>
              <w:jc w:val="center"/>
              <w:rPr>
                <w:sz w:val="18"/>
                <w:szCs w:val="18"/>
                <w:lang w:val="en-US"/>
              </w:rPr>
            </w:pPr>
            <w:r w:rsidRPr="00EC5DE8">
              <w:rPr>
                <w:sz w:val="18"/>
                <w:szCs w:val="18"/>
                <w:lang w:val="en-US"/>
              </w:rPr>
              <w:t>8</w:t>
            </w:r>
          </w:p>
        </w:tc>
        <w:tc>
          <w:tcPr>
            <w:tcW w:w="1080" w:type="dxa"/>
            <w:shd w:val="clear" w:color="auto" w:fill="FFFFFF"/>
            <w:vAlign w:val="center"/>
          </w:tcPr>
          <w:p w14:paraId="58A4E56E" w14:textId="361CAF17"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4902A3F2" w14:textId="77777777" w:rsidR="001762EE" w:rsidRPr="00EC5DE8" w:rsidDel="002D2C86" w:rsidRDefault="001762EE" w:rsidP="005F79A5">
            <w:pPr>
              <w:pStyle w:val="FreeFormAB"/>
              <w:jc w:val="center"/>
              <w:rPr>
                <w:sz w:val="18"/>
                <w:szCs w:val="18"/>
                <w:lang w:val="en-US"/>
              </w:rPr>
            </w:pPr>
            <w:r w:rsidRPr="00EC5DE8">
              <w:rPr>
                <w:sz w:val="18"/>
                <w:szCs w:val="18"/>
                <w:lang w:val="en-US"/>
              </w:rPr>
              <w:t>74</w:t>
            </w:r>
          </w:p>
        </w:tc>
      </w:tr>
      <w:tr w:rsidR="00E0051A" w:rsidRPr="005A497D" w14:paraId="2FD27273" w14:textId="77777777" w:rsidTr="00E0051A">
        <w:trPr>
          <w:cantSplit/>
          <w:trHeight w:val="283"/>
        </w:trPr>
        <w:tc>
          <w:tcPr>
            <w:tcW w:w="3690" w:type="dxa"/>
            <w:shd w:val="clear" w:color="auto" w:fill="FFFFFF"/>
            <w:vAlign w:val="center"/>
          </w:tcPr>
          <w:p w14:paraId="2B47A44D" w14:textId="77777777" w:rsidR="001762EE" w:rsidRPr="00EC5DE8" w:rsidRDefault="001762EE" w:rsidP="005F79A5">
            <w:pPr>
              <w:pStyle w:val="FreeFormAB"/>
              <w:rPr>
                <w:sz w:val="18"/>
                <w:szCs w:val="18"/>
                <w:lang w:val="en-US"/>
              </w:rPr>
            </w:pPr>
            <w:r w:rsidRPr="00EC5DE8">
              <w:rPr>
                <w:sz w:val="18"/>
                <w:szCs w:val="18"/>
                <w:lang w:val="en-US"/>
              </w:rPr>
              <w:t>Bureau of Customs</w:t>
            </w:r>
          </w:p>
        </w:tc>
        <w:tc>
          <w:tcPr>
            <w:tcW w:w="1260" w:type="dxa"/>
            <w:shd w:val="clear" w:color="auto" w:fill="FFFFFF"/>
            <w:vAlign w:val="center"/>
          </w:tcPr>
          <w:p w14:paraId="7676E47A" w14:textId="77777777" w:rsidR="001762EE" w:rsidRPr="00EC5DE8" w:rsidRDefault="001762EE" w:rsidP="005F79A5">
            <w:pPr>
              <w:pStyle w:val="FreeFormAB"/>
              <w:jc w:val="center"/>
              <w:rPr>
                <w:sz w:val="18"/>
                <w:szCs w:val="18"/>
                <w:lang w:val="en-US"/>
              </w:rPr>
            </w:pPr>
            <w:r w:rsidRPr="00EC5DE8">
              <w:rPr>
                <w:sz w:val="18"/>
                <w:szCs w:val="18"/>
                <w:lang w:val="en-US"/>
              </w:rPr>
              <w:t>3</w:t>
            </w:r>
          </w:p>
        </w:tc>
        <w:tc>
          <w:tcPr>
            <w:tcW w:w="1350" w:type="dxa"/>
            <w:shd w:val="clear" w:color="auto" w:fill="FFFFFF"/>
            <w:vAlign w:val="center"/>
          </w:tcPr>
          <w:p w14:paraId="4A28199A" w14:textId="0A68FE18" w:rsidR="001762EE" w:rsidRPr="00EC5DE8" w:rsidDel="002D2C86" w:rsidRDefault="00F929BB" w:rsidP="005F79A5">
            <w:pPr>
              <w:pStyle w:val="FreeFormAB"/>
              <w:jc w:val="center"/>
              <w:rPr>
                <w:sz w:val="18"/>
                <w:szCs w:val="18"/>
                <w:lang w:val="en-US"/>
              </w:rPr>
            </w:pPr>
            <w:r>
              <w:rPr>
                <w:sz w:val="18"/>
                <w:szCs w:val="18"/>
                <w:lang w:val="en-US"/>
              </w:rPr>
              <w:t>124</w:t>
            </w:r>
          </w:p>
        </w:tc>
        <w:tc>
          <w:tcPr>
            <w:tcW w:w="1260" w:type="dxa"/>
            <w:shd w:val="clear" w:color="auto" w:fill="FFFFFF"/>
            <w:vAlign w:val="center"/>
          </w:tcPr>
          <w:p w14:paraId="7F6AF764" w14:textId="78E8A5E6" w:rsidR="001762EE" w:rsidRPr="00EC5DE8" w:rsidDel="002D2C86" w:rsidRDefault="00F929BB" w:rsidP="005F79A5">
            <w:pPr>
              <w:pStyle w:val="FreeFormAB"/>
              <w:jc w:val="center"/>
              <w:rPr>
                <w:sz w:val="18"/>
                <w:szCs w:val="18"/>
                <w:lang w:val="en-US"/>
              </w:rPr>
            </w:pPr>
            <w:r>
              <w:rPr>
                <w:sz w:val="18"/>
                <w:szCs w:val="18"/>
                <w:lang w:val="en-US"/>
              </w:rPr>
              <w:t>72</w:t>
            </w:r>
          </w:p>
        </w:tc>
        <w:tc>
          <w:tcPr>
            <w:tcW w:w="1080" w:type="dxa"/>
            <w:shd w:val="clear" w:color="auto" w:fill="FFFFFF"/>
            <w:vAlign w:val="center"/>
          </w:tcPr>
          <w:p w14:paraId="45A1BE59" w14:textId="0575C978"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69104275" w14:textId="103157D4" w:rsidR="001762EE" w:rsidRPr="00EC5DE8" w:rsidDel="002D2C86" w:rsidRDefault="00F929BB" w:rsidP="005F79A5">
            <w:pPr>
              <w:pStyle w:val="FreeFormAB"/>
              <w:jc w:val="center"/>
              <w:rPr>
                <w:sz w:val="18"/>
                <w:szCs w:val="18"/>
                <w:lang w:val="en-US"/>
              </w:rPr>
            </w:pPr>
            <w:r>
              <w:rPr>
                <w:sz w:val="18"/>
                <w:szCs w:val="18"/>
                <w:lang w:val="en-US"/>
              </w:rPr>
              <w:t>199</w:t>
            </w:r>
          </w:p>
        </w:tc>
      </w:tr>
      <w:tr w:rsidR="00E0051A" w:rsidRPr="005A497D" w14:paraId="73C12CF0" w14:textId="77777777" w:rsidTr="00E0051A">
        <w:trPr>
          <w:cantSplit/>
          <w:trHeight w:val="283"/>
        </w:trPr>
        <w:tc>
          <w:tcPr>
            <w:tcW w:w="3690" w:type="dxa"/>
            <w:shd w:val="clear" w:color="auto" w:fill="FFFFFF"/>
            <w:vAlign w:val="center"/>
          </w:tcPr>
          <w:p w14:paraId="377D677E" w14:textId="77777777" w:rsidR="001762EE" w:rsidRPr="00EC5DE8" w:rsidRDefault="001762EE" w:rsidP="005F79A5">
            <w:pPr>
              <w:pStyle w:val="FreeFormAB"/>
              <w:rPr>
                <w:sz w:val="18"/>
                <w:szCs w:val="18"/>
                <w:lang w:val="en-US"/>
              </w:rPr>
            </w:pPr>
            <w:r w:rsidRPr="00EC5DE8">
              <w:rPr>
                <w:sz w:val="18"/>
                <w:szCs w:val="18"/>
                <w:lang w:val="en-US"/>
              </w:rPr>
              <w:t>Office of the President</w:t>
            </w:r>
          </w:p>
        </w:tc>
        <w:tc>
          <w:tcPr>
            <w:tcW w:w="1260" w:type="dxa"/>
            <w:shd w:val="clear" w:color="auto" w:fill="FFFFFF"/>
            <w:vAlign w:val="center"/>
          </w:tcPr>
          <w:p w14:paraId="60F80BB6" w14:textId="77777777" w:rsidR="001762EE" w:rsidRPr="00EC5DE8" w:rsidRDefault="001762EE" w:rsidP="005F79A5">
            <w:pPr>
              <w:pStyle w:val="FreeFormAB"/>
              <w:jc w:val="center"/>
              <w:rPr>
                <w:sz w:val="18"/>
                <w:szCs w:val="18"/>
                <w:lang w:val="en-US"/>
              </w:rPr>
            </w:pPr>
            <w:r w:rsidRPr="00EC5DE8">
              <w:rPr>
                <w:sz w:val="18"/>
                <w:szCs w:val="18"/>
                <w:lang w:val="en-US"/>
              </w:rPr>
              <w:t>7</w:t>
            </w:r>
          </w:p>
        </w:tc>
        <w:tc>
          <w:tcPr>
            <w:tcW w:w="1350" w:type="dxa"/>
            <w:shd w:val="clear" w:color="auto" w:fill="FFFFFF"/>
            <w:vAlign w:val="center"/>
          </w:tcPr>
          <w:p w14:paraId="26E63523" w14:textId="77777777" w:rsidR="001762EE" w:rsidRPr="00EC5DE8" w:rsidRDefault="001762EE" w:rsidP="005F79A5">
            <w:pPr>
              <w:pStyle w:val="FreeFormAB"/>
              <w:jc w:val="center"/>
              <w:rPr>
                <w:sz w:val="18"/>
                <w:szCs w:val="18"/>
                <w:lang w:val="en-US"/>
              </w:rPr>
            </w:pPr>
            <w:r w:rsidRPr="00EC5DE8">
              <w:rPr>
                <w:sz w:val="18"/>
                <w:szCs w:val="18"/>
                <w:lang w:val="en-US"/>
              </w:rPr>
              <w:t>6</w:t>
            </w:r>
          </w:p>
        </w:tc>
        <w:tc>
          <w:tcPr>
            <w:tcW w:w="1260" w:type="dxa"/>
            <w:shd w:val="clear" w:color="auto" w:fill="FFFFFF"/>
            <w:vAlign w:val="center"/>
          </w:tcPr>
          <w:p w14:paraId="68914865" w14:textId="77777777" w:rsidR="001762EE" w:rsidRPr="00EC5DE8" w:rsidRDefault="001762EE" w:rsidP="005F79A5">
            <w:pPr>
              <w:pStyle w:val="FreeFormAB"/>
              <w:jc w:val="center"/>
              <w:rPr>
                <w:sz w:val="18"/>
                <w:szCs w:val="18"/>
                <w:lang w:val="en-US"/>
              </w:rPr>
            </w:pPr>
            <w:r w:rsidRPr="00EC5DE8">
              <w:rPr>
                <w:sz w:val="18"/>
                <w:szCs w:val="18"/>
                <w:lang w:val="en-US"/>
              </w:rPr>
              <w:t>9</w:t>
            </w:r>
          </w:p>
        </w:tc>
        <w:tc>
          <w:tcPr>
            <w:tcW w:w="1080" w:type="dxa"/>
            <w:shd w:val="clear" w:color="auto" w:fill="FFFFFF"/>
            <w:vAlign w:val="center"/>
          </w:tcPr>
          <w:p w14:paraId="28932BE0" w14:textId="12BEB858"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3106FA68" w14:textId="77777777" w:rsidR="001762EE" w:rsidRPr="00EC5DE8" w:rsidRDefault="001762EE" w:rsidP="005F79A5">
            <w:pPr>
              <w:pStyle w:val="FreeFormAB"/>
              <w:jc w:val="center"/>
              <w:rPr>
                <w:sz w:val="18"/>
                <w:szCs w:val="18"/>
                <w:lang w:val="en-US"/>
              </w:rPr>
            </w:pPr>
            <w:r w:rsidRPr="00EC5DE8">
              <w:rPr>
                <w:sz w:val="18"/>
                <w:szCs w:val="18"/>
                <w:lang w:val="en-US"/>
              </w:rPr>
              <w:t>22</w:t>
            </w:r>
          </w:p>
        </w:tc>
      </w:tr>
      <w:tr w:rsidR="00E0051A" w:rsidRPr="005A497D" w14:paraId="6670B77C" w14:textId="77777777" w:rsidTr="00E0051A">
        <w:trPr>
          <w:cantSplit/>
          <w:trHeight w:val="283"/>
        </w:trPr>
        <w:tc>
          <w:tcPr>
            <w:tcW w:w="3690" w:type="dxa"/>
            <w:shd w:val="clear" w:color="auto" w:fill="FFFFFF"/>
            <w:vAlign w:val="center"/>
          </w:tcPr>
          <w:p w14:paraId="54E5E620" w14:textId="77777777" w:rsidR="001762EE" w:rsidRPr="00EC5DE8" w:rsidRDefault="001762EE" w:rsidP="005F79A5">
            <w:pPr>
              <w:pStyle w:val="FreeFormAB"/>
              <w:rPr>
                <w:sz w:val="18"/>
                <w:szCs w:val="18"/>
                <w:lang w:val="en-US"/>
              </w:rPr>
            </w:pPr>
            <w:r w:rsidRPr="00EC5DE8">
              <w:rPr>
                <w:sz w:val="18"/>
                <w:szCs w:val="18"/>
                <w:lang w:val="en-US"/>
              </w:rPr>
              <w:t>Office of the Vice-President</w:t>
            </w:r>
          </w:p>
        </w:tc>
        <w:tc>
          <w:tcPr>
            <w:tcW w:w="1260" w:type="dxa"/>
            <w:shd w:val="clear" w:color="auto" w:fill="FFFFFF"/>
            <w:vAlign w:val="center"/>
          </w:tcPr>
          <w:p w14:paraId="12BA4C0B" w14:textId="77777777" w:rsidR="001762EE" w:rsidRPr="00EC5DE8" w:rsidRDefault="001762EE" w:rsidP="005F79A5">
            <w:pPr>
              <w:pStyle w:val="FreeFormAB"/>
              <w:jc w:val="center"/>
              <w:rPr>
                <w:sz w:val="18"/>
                <w:szCs w:val="18"/>
                <w:lang w:val="en-US"/>
              </w:rPr>
            </w:pPr>
            <w:r w:rsidRPr="00EC5DE8">
              <w:rPr>
                <w:sz w:val="18"/>
                <w:szCs w:val="18"/>
                <w:lang w:val="en-US"/>
              </w:rPr>
              <w:t>2</w:t>
            </w:r>
          </w:p>
        </w:tc>
        <w:tc>
          <w:tcPr>
            <w:tcW w:w="1350" w:type="dxa"/>
            <w:shd w:val="clear" w:color="auto" w:fill="FFFFFF"/>
            <w:vAlign w:val="center"/>
          </w:tcPr>
          <w:p w14:paraId="1004037D" w14:textId="77777777" w:rsidR="001762EE" w:rsidRPr="00EC5DE8" w:rsidRDefault="001762EE" w:rsidP="005F79A5">
            <w:pPr>
              <w:pStyle w:val="FreeFormAB"/>
              <w:jc w:val="center"/>
              <w:rPr>
                <w:sz w:val="18"/>
                <w:szCs w:val="18"/>
                <w:lang w:val="en-US"/>
              </w:rPr>
            </w:pPr>
            <w:r w:rsidRPr="00EC5DE8">
              <w:rPr>
                <w:sz w:val="18"/>
                <w:szCs w:val="18"/>
                <w:lang w:val="en-US"/>
              </w:rPr>
              <w:t>1</w:t>
            </w:r>
          </w:p>
        </w:tc>
        <w:tc>
          <w:tcPr>
            <w:tcW w:w="1260" w:type="dxa"/>
            <w:shd w:val="clear" w:color="auto" w:fill="FFFFFF"/>
            <w:vAlign w:val="center"/>
          </w:tcPr>
          <w:p w14:paraId="05067C73" w14:textId="77777777" w:rsidR="001762EE" w:rsidRPr="00EC5DE8" w:rsidRDefault="001762EE" w:rsidP="005F79A5">
            <w:pPr>
              <w:pStyle w:val="FreeFormAB"/>
              <w:jc w:val="center"/>
              <w:rPr>
                <w:sz w:val="18"/>
                <w:szCs w:val="18"/>
                <w:lang w:val="en-US"/>
              </w:rPr>
            </w:pPr>
            <w:r w:rsidRPr="00EC5DE8">
              <w:rPr>
                <w:sz w:val="18"/>
                <w:szCs w:val="18"/>
                <w:lang w:val="en-US"/>
              </w:rPr>
              <w:t>3</w:t>
            </w:r>
          </w:p>
        </w:tc>
        <w:tc>
          <w:tcPr>
            <w:tcW w:w="1080" w:type="dxa"/>
            <w:shd w:val="clear" w:color="auto" w:fill="FFFFFF"/>
            <w:vAlign w:val="center"/>
          </w:tcPr>
          <w:p w14:paraId="64E0F76E" w14:textId="39B2C0D7"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258124E2" w14:textId="77777777" w:rsidR="001762EE" w:rsidRPr="00EC5DE8" w:rsidRDefault="001762EE" w:rsidP="005F79A5">
            <w:pPr>
              <w:pStyle w:val="FreeFormAB"/>
              <w:jc w:val="center"/>
              <w:rPr>
                <w:sz w:val="18"/>
                <w:szCs w:val="18"/>
                <w:lang w:val="en-US"/>
              </w:rPr>
            </w:pPr>
            <w:r w:rsidRPr="00EC5DE8">
              <w:rPr>
                <w:sz w:val="18"/>
                <w:szCs w:val="18"/>
                <w:lang w:val="en-US"/>
              </w:rPr>
              <w:t>6</w:t>
            </w:r>
          </w:p>
        </w:tc>
      </w:tr>
      <w:tr w:rsidR="00E0051A" w:rsidRPr="005A497D" w14:paraId="15E8DF2C" w14:textId="77777777" w:rsidTr="00E0051A">
        <w:trPr>
          <w:cantSplit/>
          <w:trHeight w:val="283"/>
        </w:trPr>
        <w:tc>
          <w:tcPr>
            <w:tcW w:w="3690" w:type="dxa"/>
            <w:shd w:val="clear" w:color="auto" w:fill="FFFFFF"/>
            <w:vAlign w:val="center"/>
          </w:tcPr>
          <w:p w14:paraId="0D3BF188" w14:textId="77777777" w:rsidR="001762EE" w:rsidRPr="00EC5DE8" w:rsidRDefault="001762EE" w:rsidP="005F79A5">
            <w:pPr>
              <w:pStyle w:val="FreeFormAB"/>
              <w:rPr>
                <w:sz w:val="18"/>
                <w:szCs w:val="18"/>
                <w:lang w:val="en-US"/>
              </w:rPr>
            </w:pPr>
            <w:r w:rsidRPr="00EC5DE8">
              <w:rPr>
                <w:sz w:val="18"/>
                <w:szCs w:val="18"/>
                <w:lang w:val="en-US"/>
              </w:rPr>
              <w:t>House of Representatives</w:t>
            </w:r>
          </w:p>
        </w:tc>
        <w:tc>
          <w:tcPr>
            <w:tcW w:w="1260" w:type="dxa"/>
            <w:shd w:val="clear" w:color="auto" w:fill="FFFFFF"/>
            <w:vAlign w:val="center"/>
          </w:tcPr>
          <w:p w14:paraId="4FADADF2" w14:textId="77777777" w:rsidR="001762EE" w:rsidRPr="00EC5DE8" w:rsidRDefault="001762EE" w:rsidP="005F79A5">
            <w:pPr>
              <w:pStyle w:val="FreeFormAB"/>
              <w:jc w:val="center"/>
              <w:rPr>
                <w:sz w:val="18"/>
                <w:szCs w:val="18"/>
                <w:lang w:val="en-US"/>
              </w:rPr>
            </w:pPr>
            <w:r w:rsidRPr="00EC5DE8">
              <w:rPr>
                <w:sz w:val="18"/>
                <w:szCs w:val="18"/>
                <w:lang w:val="en-US"/>
              </w:rPr>
              <w:t>3</w:t>
            </w:r>
          </w:p>
        </w:tc>
        <w:tc>
          <w:tcPr>
            <w:tcW w:w="1350" w:type="dxa"/>
            <w:shd w:val="clear" w:color="auto" w:fill="FFFFFF"/>
            <w:vAlign w:val="center"/>
          </w:tcPr>
          <w:p w14:paraId="54F6F7F3" w14:textId="585D7890" w:rsidR="001762EE" w:rsidRPr="00EC5DE8" w:rsidRDefault="001762EE" w:rsidP="005F79A5">
            <w:pPr>
              <w:pStyle w:val="FreeFormAB"/>
              <w:jc w:val="center"/>
              <w:rPr>
                <w:sz w:val="18"/>
                <w:szCs w:val="18"/>
                <w:lang w:val="en-US"/>
              </w:rPr>
            </w:pPr>
            <w:r w:rsidRPr="00EC5DE8">
              <w:rPr>
                <w:sz w:val="18"/>
                <w:szCs w:val="18"/>
                <w:lang w:val="en-US"/>
              </w:rPr>
              <w:t>-</w:t>
            </w:r>
          </w:p>
        </w:tc>
        <w:tc>
          <w:tcPr>
            <w:tcW w:w="1260" w:type="dxa"/>
            <w:shd w:val="clear" w:color="auto" w:fill="FFFFFF"/>
            <w:vAlign w:val="center"/>
          </w:tcPr>
          <w:p w14:paraId="219319B8" w14:textId="77777777" w:rsidR="001762EE" w:rsidRPr="00EC5DE8" w:rsidRDefault="001762EE" w:rsidP="005F79A5">
            <w:pPr>
              <w:pStyle w:val="FreeFormAB"/>
              <w:jc w:val="center"/>
              <w:rPr>
                <w:sz w:val="18"/>
                <w:szCs w:val="18"/>
                <w:lang w:val="en-US"/>
              </w:rPr>
            </w:pPr>
            <w:r w:rsidRPr="00EC5DE8">
              <w:rPr>
                <w:sz w:val="18"/>
                <w:szCs w:val="18"/>
                <w:lang w:val="en-US"/>
              </w:rPr>
              <w:t>1</w:t>
            </w:r>
          </w:p>
        </w:tc>
        <w:tc>
          <w:tcPr>
            <w:tcW w:w="1080" w:type="dxa"/>
            <w:shd w:val="clear" w:color="auto" w:fill="FFFFFF"/>
            <w:vAlign w:val="center"/>
          </w:tcPr>
          <w:p w14:paraId="234E65A9" w14:textId="199CCCC7"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119ED89E" w14:textId="77777777" w:rsidR="001762EE" w:rsidRPr="00EC5DE8" w:rsidRDefault="001762EE" w:rsidP="005F79A5">
            <w:pPr>
              <w:pStyle w:val="FreeFormAB"/>
              <w:jc w:val="center"/>
              <w:rPr>
                <w:sz w:val="18"/>
                <w:szCs w:val="18"/>
                <w:lang w:val="en-US"/>
              </w:rPr>
            </w:pPr>
            <w:r w:rsidRPr="00EC5DE8">
              <w:rPr>
                <w:sz w:val="18"/>
                <w:szCs w:val="18"/>
                <w:lang w:val="en-US"/>
              </w:rPr>
              <w:t>4</w:t>
            </w:r>
          </w:p>
        </w:tc>
      </w:tr>
      <w:tr w:rsidR="00E0051A" w:rsidRPr="005A497D" w14:paraId="75912D7C" w14:textId="77777777" w:rsidTr="00E0051A">
        <w:trPr>
          <w:cantSplit/>
          <w:trHeight w:val="283"/>
        </w:trPr>
        <w:tc>
          <w:tcPr>
            <w:tcW w:w="3690" w:type="dxa"/>
            <w:shd w:val="clear" w:color="auto" w:fill="FFFFFF"/>
            <w:vAlign w:val="center"/>
          </w:tcPr>
          <w:p w14:paraId="21C65030" w14:textId="77777777" w:rsidR="001762EE" w:rsidRPr="00EC5DE8" w:rsidRDefault="001762EE" w:rsidP="005F79A5">
            <w:pPr>
              <w:pStyle w:val="FreeFormAB"/>
              <w:rPr>
                <w:sz w:val="18"/>
                <w:szCs w:val="18"/>
                <w:lang w:val="en-US"/>
              </w:rPr>
            </w:pPr>
            <w:r w:rsidRPr="00EC5DE8">
              <w:rPr>
                <w:sz w:val="18"/>
                <w:szCs w:val="18"/>
                <w:lang w:val="en-US"/>
              </w:rPr>
              <w:t>Senate of the Philippines</w:t>
            </w:r>
          </w:p>
        </w:tc>
        <w:tc>
          <w:tcPr>
            <w:tcW w:w="1260" w:type="dxa"/>
            <w:shd w:val="clear" w:color="auto" w:fill="FFFFFF"/>
            <w:vAlign w:val="center"/>
          </w:tcPr>
          <w:p w14:paraId="4FFEF390" w14:textId="77777777" w:rsidR="001762EE" w:rsidRPr="00EC5DE8" w:rsidRDefault="001762EE" w:rsidP="005F79A5">
            <w:pPr>
              <w:pStyle w:val="FreeFormAB"/>
              <w:jc w:val="center"/>
              <w:rPr>
                <w:sz w:val="18"/>
                <w:szCs w:val="18"/>
                <w:lang w:val="en-US"/>
              </w:rPr>
            </w:pPr>
            <w:r w:rsidRPr="00EC5DE8">
              <w:rPr>
                <w:sz w:val="18"/>
                <w:szCs w:val="18"/>
                <w:lang w:val="en-US"/>
              </w:rPr>
              <w:t>1</w:t>
            </w:r>
          </w:p>
        </w:tc>
        <w:tc>
          <w:tcPr>
            <w:tcW w:w="1350" w:type="dxa"/>
            <w:shd w:val="clear" w:color="auto" w:fill="FFFFFF"/>
            <w:vAlign w:val="center"/>
          </w:tcPr>
          <w:p w14:paraId="02D2C903" w14:textId="77777777" w:rsidR="001762EE" w:rsidRPr="00EC5DE8" w:rsidRDefault="001762EE" w:rsidP="005F79A5">
            <w:pPr>
              <w:pStyle w:val="FreeFormAB"/>
              <w:jc w:val="center"/>
              <w:rPr>
                <w:sz w:val="18"/>
                <w:szCs w:val="18"/>
                <w:lang w:val="en-US"/>
              </w:rPr>
            </w:pPr>
            <w:r w:rsidRPr="00EC5DE8">
              <w:rPr>
                <w:sz w:val="18"/>
                <w:szCs w:val="18"/>
                <w:lang w:val="en-US"/>
              </w:rPr>
              <w:t>5</w:t>
            </w:r>
          </w:p>
        </w:tc>
        <w:tc>
          <w:tcPr>
            <w:tcW w:w="1260" w:type="dxa"/>
            <w:shd w:val="clear" w:color="auto" w:fill="FFFFFF"/>
            <w:vAlign w:val="center"/>
          </w:tcPr>
          <w:p w14:paraId="6B762891" w14:textId="5926C756" w:rsidR="001762EE" w:rsidRPr="00EC5DE8" w:rsidRDefault="001762EE" w:rsidP="005F79A5">
            <w:pPr>
              <w:pStyle w:val="FreeFormAB"/>
              <w:jc w:val="center"/>
              <w:rPr>
                <w:sz w:val="18"/>
                <w:szCs w:val="18"/>
                <w:lang w:val="en-US"/>
              </w:rPr>
            </w:pPr>
            <w:r w:rsidRPr="00EC5DE8">
              <w:rPr>
                <w:sz w:val="18"/>
                <w:szCs w:val="18"/>
                <w:lang w:val="en-US"/>
              </w:rPr>
              <w:t>-</w:t>
            </w:r>
          </w:p>
        </w:tc>
        <w:tc>
          <w:tcPr>
            <w:tcW w:w="1080" w:type="dxa"/>
            <w:shd w:val="clear" w:color="auto" w:fill="FFFFFF"/>
            <w:vAlign w:val="center"/>
          </w:tcPr>
          <w:p w14:paraId="2EFF3086" w14:textId="2F68AB83" w:rsidR="001762EE" w:rsidRPr="00EC5DE8" w:rsidRDefault="001762EE" w:rsidP="005F79A5">
            <w:pPr>
              <w:pStyle w:val="FreeFormAB"/>
              <w:jc w:val="center"/>
              <w:rPr>
                <w:sz w:val="18"/>
                <w:szCs w:val="18"/>
                <w:lang w:val="en-US"/>
              </w:rPr>
            </w:pPr>
            <w:r w:rsidRPr="00EC5DE8">
              <w:rPr>
                <w:sz w:val="18"/>
                <w:szCs w:val="18"/>
                <w:lang w:val="en-US"/>
              </w:rPr>
              <w:t>-</w:t>
            </w:r>
          </w:p>
        </w:tc>
        <w:tc>
          <w:tcPr>
            <w:tcW w:w="716" w:type="dxa"/>
            <w:shd w:val="clear" w:color="auto" w:fill="FFFFFF"/>
            <w:vAlign w:val="center"/>
          </w:tcPr>
          <w:p w14:paraId="0EF55A2D" w14:textId="77777777" w:rsidR="001762EE" w:rsidRPr="00EC5DE8" w:rsidRDefault="001762EE" w:rsidP="005F79A5">
            <w:pPr>
              <w:pStyle w:val="FreeFormAB"/>
              <w:jc w:val="center"/>
              <w:rPr>
                <w:sz w:val="18"/>
                <w:szCs w:val="18"/>
                <w:lang w:val="en-US"/>
              </w:rPr>
            </w:pPr>
            <w:r w:rsidRPr="00EC5DE8">
              <w:rPr>
                <w:sz w:val="18"/>
                <w:szCs w:val="18"/>
                <w:lang w:val="en-US"/>
              </w:rPr>
              <w:t>6</w:t>
            </w:r>
          </w:p>
        </w:tc>
      </w:tr>
      <w:tr w:rsidR="00E0051A" w:rsidRPr="005A497D" w14:paraId="18B2A0B4" w14:textId="77777777" w:rsidTr="00E0051A">
        <w:trPr>
          <w:cantSplit/>
          <w:trHeight w:val="283"/>
        </w:trPr>
        <w:tc>
          <w:tcPr>
            <w:tcW w:w="3690" w:type="dxa"/>
            <w:shd w:val="clear" w:color="auto" w:fill="FFFFFF"/>
            <w:vAlign w:val="center"/>
          </w:tcPr>
          <w:p w14:paraId="5D8AF6A4" w14:textId="77777777" w:rsidR="001762EE" w:rsidRPr="00EC5DE8" w:rsidRDefault="001762EE" w:rsidP="005F79A5">
            <w:pPr>
              <w:pStyle w:val="FreeFormAB"/>
              <w:rPr>
                <w:b/>
                <w:sz w:val="18"/>
                <w:szCs w:val="18"/>
                <w:lang w:val="en-US"/>
              </w:rPr>
            </w:pPr>
            <w:r w:rsidRPr="00EC5DE8">
              <w:rPr>
                <w:b/>
                <w:sz w:val="18"/>
                <w:szCs w:val="18"/>
                <w:lang w:val="en-US"/>
              </w:rPr>
              <w:t>TOTAL</w:t>
            </w:r>
          </w:p>
        </w:tc>
        <w:tc>
          <w:tcPr>
            <w:tcW w:w="1260" w:type="dxa"/>
            <w:shd w:val="clear" w:color="auto" w:fill="FFFFFF"/>
            <w:vAlign w:val="center"/>
          </w:tcPr>
          <w:p w14:paraId="3724D083" w14:textId="50030973" w:rsidR="001762EE" w:rsidRPr="00EC5DE8" w:rsidRDefault="001762EE" w:rsidP="005F79A5">
            <w:pPr>
              <w:pStyle w:val="FreeFormAB"/>
              <w:jc w:val="center"/>
              <w:rPr>
                <w:b/>
                <w:sz w:val="18"/>
                <w:szCs w:val="18"/>
                <w:lang w:val="en-US"/>
              </w:rPr>
            </w:pPr>
            <w:r w:rsidRPr="00EC5DE8">
              <w:rPr>
                <w:b/>
                <w:sz w:val="18"/>
                <w:szCs w:val="18"/>
                <w:lang w:val="en-US"/>
              </w:rPr>
              <w:t>40</w:t>
            </w:r>
            <w:r w:rsidR="00F929BB">
              <w:rPr>
                <w:b/>
                <w:sz w:val="18"/>
                <w:szCs w:val="18"/>
                <w:lang w:val="en-US"/>
              </w:rPr>
              <w:t>5</w:t>
            </w:r>
          </w:p>
        </w:tc>
        <w:tc>
          <w:tcPr>
            <w:tcW w:w="1350" w:type="dxa"/>
            <w:shd w:val="clear" w:color="auto" w:fill="FFFFFF"/>
            <w:vAlign w:val="center"/>
          </w:tcPr>
          <w:p w14:paraId="1A6010C0" w14:textId="1F8E6BC7" w:rsidR="001762EE" w:rsidRPr="00EC5DE8" w:rsidRDefault="001762EE" w:rsidP="005F79A5">
            <w:pPr>
              <w:pStyle w:val="FreeFormAB"/>
              <w:jc w:val="center"/>
              <w:rPr>
                <w:b/>
                <w:sz w:val="18"/>
                <w:szCs w:val="18"/>
                <w:lang w:val="en-US"/>
              </w:rPr>
            </w:pPr>
            <w:r w:rsidRPr="00EC5DE8">
              <w:rPr>
                <w:b/>
                <w:sz w:val="18"/>
                <w:szCs w:val="18"/>
                <w:lang w:val="en-US"/>
              </w:rPr>
              <w:t>90</w:t>
            </w:r>
            <w:r w:rsidR="00F929BB">
              <w:rPr>
                <w:b/>
                <w:sz w:val="18"/>
                <w:szCs w:val="18"/>
                <w:lang w:val="en-US"/>
              </w:rPr>
              <w:t>3</w:t>
            </w:r>
          </w:p>
        </w:tc>
        <w:tc>
          <w:tcPr>
            <w:tcW w:w="1260" w:type="dxa"/>
            <w:shd w:val="clear" w:color="auto" w:fill="FFFFFF"/>
            <w:vAlign w:val="center"/>
          </w:tcPr>
          <w:p w14:paraId="726F6373" w14:textId="35C97375" w:rsidR="001762EE" w:rsidRPr="00EC5DE8" w:rsidRDefault="001762EE" w:rsidP="005F79A5">
            <w:pPr>
              <w:pStyle w:val="FreeFormAB"/>
              <w:jc w:val="center"/>
              <w:rPr>
                <w:b/>
                <w:sz w:val="18"/>
                <w:szCs w:val="18"/>
                <w:lang w:val="en-US"/>
              </w:rPr>
            </w:pPr>
            <w:r w:rsidRPr="00EC5DE8">
              <w:rPr>
                <w:b/>
                <w:sz w:val="18"/>
                <w:szCs w:val="18"/>
                <w:lang w:val="en-US"/>
              </w:rPr>
              <w:t>37</w:t>
            </w:r>
            <w:r w:rsidR="00F929BB">
              <w:rPr>
                <w:b/>
                <w:sz w:val="18"/>
                <w:szCs w:val="18"/>
                <w:lang w:val="en-US"/>
              </w:rPr>
              <w:t>7</w:t>
            </w:r>
          </w:p>
        </w:tc>
        <w:tc>
          <w:tcPr>
            <w:tcW w:w="1080" w:type="dxa"/>
            <w:shd w:val="clear" w:color="auto" w:fill="FFFFFF"/>
            <w:vAlign w:val="center"/>
          </w:tcPr>
          <w:p w14:paraId="36471A7B" w14:textId="77777777" w:rsidR="001762EE" w:rsidRPr="00EC5DE8" w:rsidRDefault="001762EE" w:rsidP="005F79A5">
            <w:pPr>
              <w:pStyle w:val="FreeFormAB"/>
              <w:jc w:val="center"/>
              <w:rPr>
                <w:b/>
                <w:sz w:val="18"/>
                <w:szCs w:val="18"/>
                <w:lang w:val="en-US"/>
              </w:rPr>
            </w:pPr>
            <w:r w:rsidRPr="00EC5DE8">
              <w:rPr>
                <w:b/>
                <w:sz w:val="18"/>
                <w:szCs w:val="18"/>
                <w:lang w:val="en-US"/>
              </w:rPr>
              <w:t>48</w:t>
            </w:r>
          </w:p>
        </w:tc>
        <w:tc>
          <w:tcPr>
            <w:tcW w:w="716" w:type="dxa"/>
            <w:shd w:val="clear" w:color="auto" w:fill="FFFFFF"/>
            <w:vAlign w:val="center"/>
          </w:tcPr>
          <w:p w14:paraId="60CFA325" w14:textId="77777777" w:rsidR="001762EE" w:rsidRPr="00EC5DE8" w:rsidRDefault="001762EE" w:rsidP="005F79A5">
            <w:pPr>
              <w:pStyle w:val="FreeFormAB"/>
              <w:jc w:val="center"/>
              <w:rPr>
                <w:b/>
                <w:sz w:val="18"/>
                <w:szCs w:val="18"/>
                <w:lang w:val="en-US"/>
              </w:rPr>
            </w:pPr>
            <w:r w:rsidRPr="00EC5DE8">
              <w:rPr>
                <w:b/>
                <w:sz w:val="18"/>
                <w:szCs w:val="18"/>
                <w:lang w:val="en-US"/>
              </w:rPr>
              <w:t>1,733</w:t>
            </w:r>
          </w:p>
        </w:tc>
      </w:tr>
      <w:tr w:rsidR="00E0051A" w:rsidRPr="005A497D" w14:paraId="776E11C6" w14:textId="77777777" w:rsidTr="00E0051A">
        <w:trPr>
          <w:cantSplit/>
          <w:trHeight w:val="283"/>
        </w:trPr>
        <w:tc>
          <w:tcPr>
            <w:tcW w:w="3690" w:type="dxa"/>
            <w:shd w:val="clear" w:color="auto" w:fill="FFFFFF"/>
            <w:vAlign w:val="center"/>
          </w:tcPr>
          <w:p w14:paraId="17CBE033" w14:textId="77777777" w:rsidR="001762EE" w:rsidRPr="005A497D" w:rsidRDefault="001762EE" w:rsidP="005F79A5">
            <w:pPr>
              <w:pStyle w:val="FreeFormAB"/>
              <w:rPr>
                <w:lang w:val="en-US"/>
              </w:rPr>
            </w:pPr>
          </w:p>
        </w:tc>
        <w:tc>
          <w:tcPr>
            <w:tcW w:w="1260" w:type="dxa"/>
            <w:shd w:val="clear" w:color="auto" w:fill="FFFFFF"/>
            <w:vAlign w:val="center"/>
          </w:tcPr>
          <w:p w14:paraId="0364D0F5" w14:textId="77777777" w:rsidR="001762EE" w:rsidRPr="00EC5DE8" w:rsidRDefault="001762EE" w:rsidP="005F79A5">
            <w:pPr>
              <w:pStyle w:val="FreeFormAB"/>
              <w:jc w:val="center"/>
              <w:rPr>
                <w:sz w:val="18"/>
                <w:szCs w:val="18"/>
                <w:lang w:val="en-US"/>
              </w:rPr>
            </w:pPr>
            <w:r w:rsidRPr="00EC5DE8">
              <w:rPr>
                <w:sz w:val="18"/>
                <w:szCs w:val="18"/>
                <w:lang w:val="en-US"/>
              </w:rPr>
              <w:t>23%</w:t>
            </w:r>
          </w:p>
        </w:tc>
        <w:tc>
          <w:tcPr>
            <w:tcW w:w="1350" w:type="dxa"/>
            <w:shd w:val="clear" w:color="auto" w:fill="FFFFFF"/>
            <w:vAlign w:val="center"/>
          </w:tcPr>
          <w:p w14:paraId="4DB104F8" w14:textId="77777777" w:rsidR="001762EE" w:rsidRPr="00EC5DE8" w:rsidRDefault="001762EE" w:rsidP="005F79A5">
            <w:pPr>
              <w:pStyle w:val="FreeFormAB"/>
              <w:jc w:val="center"/>
              <w:rPr>
                <w:sz w:val="18"/>
                <w:szCs w:val="18"/>
                <w:lang w:val="en-US"/>
              </w:rPr>
            </w:pPr>
            <w:r w:rsidRPr="00EC5DE8">
              <w:rPr>
                <w:sz w:val="18"/>
                <w:szCs w:val="18"/>
                <w:lang w:val="en-US"/>
              </w:rPr>
              <w:t>52%</w:t>
            </w:r>
          </w:p>
        </w:tc>
        <w:tc>
          <w:tcPr>
            <w:tcW w:w="1260" w:type="dxa"/>
            <w:shd w:val="clear" w:color="auto" w:fill="FFFFFF"/>
            <w:vAlign w:val="center"/>
          </w:tcPr>
          <w:p w14:paraId="1B188041" w14:textId="77777777" w:rsidR="001762EE" w:rsidRPr="00EC5DE8" w:rsidRDefault="001762EE" w:rsidP="005F79A5">
            <w:pPr>
              <w:pStyle w:val="FreeFormAB"/>
              <w:jc w:val="center"/>
              <w:rPr>
                <w:sz w:val="18"/>
                <w:szCs w:val="18"/>
                <w:lang w:val="en-US"/>
              </w:rPr>
            </w:pPr>
            <w:r w:rsidRPr="00EC5DE8">
              <w:rPr>
                <w:sz w:val="18"/>
                <w:szCs w:val="18"/>
                <w:lang w:val="en-US"/>
              </w:rPr>
              <w:t>22%</w:t>
            </w:r>
          </w:p>
        </w:tc>
        <w:tc>
          <w:tcPr>
            <w:tcW w:w="1080" w:type="dxa"/>
            <w:shd w:val="clear" w:color="auto" w:fill="FFFFFF"/>
            <w:vAlign w:val="center"/>
          </w:tcPr>
          <w:p w14:paraId="15FCEF25" w14:textId="77777777" w:rsidR="001762EE" w:rsidRPr="00EC5DE8" w:rsidRDefault="001762EE" w:rsidP="005F79A5">
            <w:pPr>
              <w:pStyle w:val="FreeFormAB"/>
              <w:jc w:val="center"/>
              <w:rPr>
                <w:sz w:val="18"/>
                <w:szCs w:val="18"/>
                <w:lang w:val="en-US"/>
              </w:rPr>
            </w:pPr>
            <w:r w:rsidRPr="00EC5DE8">
              <w:rPr>
                <w:sz w:val="18"/>
                <w:szCs w:val="18"/>
                <w:lang w:val="en-US"/>
              </w:rPr>
              <w:t>3%</w:t>
            </w:r>
          </w:p>
        </w:tc>
        <w:tc>
          <w:tcPr>
            <w:tcW w:w="716" w:type="dxa"/>
            <w:shd w:val="clear" w:color="auto" w:fill="FFFFFF"/>
            <w:vAlign w:val="center"/>
          </w:tcPr>
          <w:p w14:paraId="236F1464" w14:textId="7C8090C8" w:rsidR="001762EE" w:rsidRPr="00EC5DE8" w:rsidRDefault="001762EE" w:rsidP="005F79A5">
            <w:pPr>
              <w:pStyle w:val="FreeFormAB"/>
              <w:jc w:val="center"/>
              <w:rPr>
                <w:sz w:val="18"/>
                <w:szCs w:val="18"/>
                <w:lang w:val="en-US"/>
              </w:rPr>
            </w:pPr>
            <w:r w:rsidRPr="00EC5DE8">
              <w:rPr>
                <w:sz w:val="18"/>
                <w:szCs w:val="18"/>
                <w:lang w:val="en-US"/>
              </w:rPr>
              <w:t>100%</w:t>
            </w:r>
          </w:p>
        </w:tc>
      </w:tr>
    </w:tbl>
    <w:p w14:paraId="0BD4ACB2" w14:textId="293E1CF4" w:rsidR="00F929BB" w:rsidRPr="00EC5DE8" w:rsidRDefault="001762EE" w:rsidP="00F929BB">
      <w:pPr>
        <w:pStyle w:val="FreeFormBA"/>
        <w:rPr>
          <w:sz w:val="18"/>
          <w:szCs w:val="18"/>
          <w:lang w:val="en-US"/>
        </w:rPr>
      </w:pPr>
      <w:r w:rsidRPr="00EC5DE8">
        <w:rPr>
          <w:i/>
          <w:sz w:val="18"/>
          <w:szCs w:val="18"/>
          <w:lang w:val="en-US"/>
        </w:rPr>
        <w:t>Source</w:t>
      </w:r>
      <w:r w:rsidRPr="00EC5DE8">
        <w:rPr>
          <w:sz w:val="18"/>
          <w:szCs w:val="18"/>
          <w:lang w:val="en-US"/>
        </w:rPr>
        <w:t xml:space="preserve">: </w:t>
      </w:r>
      <w:r w:rsidR="0067432A">
        <w:rPr>
          <w:sz w:val="18"/>
          <w:szCs w:val="18"/>
          <w:lang w:val="en-US"/>
        </w:rPr>
        <w:t xml:space="preserve">2014 CoA Annual Audit Reports; </w:t>
      </w:r>
      <w:r w:rsidR="00F929BB" w:rsidRPr="00EC5DE8">
        <w:rPr>
          <w:sz w:val="18"/>
          <w:szCs w:val="18"/>
          <w:lang w:val="en-US"/>
        </w:rPr>
        <w:t>CoA</w:t>
      </w:r>
      <w:r w:rsidR="00F929BB">
        <w:rPr>
          <w:sz w:val="18"/>
          <w:szCs w:val="18"/>
          <w:lang w:val="en-US"/>
        </w:rPr>
        <w:t xml:space="preserve"> Website (</w:t>
      </w:r>
      <w:r w:rsidR="00F929BB" w:rsidRPr="00447444">
        <w:rPr>
          <w:sz w:val="18"/>
          <w:szCs w:val="18"/>
          <w:lang w:val="en-US"/>
        </w:rPr>
        <w:t>http://www.coa.gov.ph/index.php/national-government-agencies/2014</w:t>
      </w:r>
      <w:r w:rsidR="00F929BB">
        <w:rPr>
          <w:sz w:val="18"/>
          <w:szCs w:val="18"/>
          <w:lang w:val="en-US"/>
        </w:rPr>
        <w:t>).</w:t>
      </w:r>
    </w:p>
    <w:p w14:paraId="7BF4A53B" w14:textId="77777777" w:rsidR="00E0051A" w:rsidRDefault="00E0051A" w:rsidP="00BE3DC2">
      <w:pPr>
        <w:pStyle w:val="FreeForm"/>
        <w:jc w:val="both"/>
        <w:rPr>
          <w:i/>
          <w:sz w:val="24"/>
          <w:szCs w:val="24"/>
          <w:lang w:val="en-US"/>
        </w:rPr>
      </w:pPr>
    </w:p>
    <w:p w14:paraId="26A4A3A5" w14:textId="6D18DF49" w:rsidR="001762EE" w:rsidRPr="0025475E" w:rsidRDefault="001762EE" w:rsidP="00BE3DC2">
      <w:pPr>
        <w:pStyle w:val="FreeForm"/>
        <w:jc w:val="both"/>
        <w:rPr>
          <w:b/>
          <w:i/>
          <w:sz w:val="24"/>
          <w:szCs w:val="24"/>
          <w:lang w:val="en-US"/>
        </w:rPr>
      </w:pPr>
      <w:r w:rsidRPr="0025475E">
        <w:rPr>
          <w:b/>
          <w:i/>
          <w:sz w:val="24"/>
          <w:szCs w:val="24"/>
          <w:lang w:val="en-US"/>
        </w:rPr>
        <w:t>Dimension 30.4 Supreme Audit Institution Independence</w:t>
      </w:r>
    </w:p>
    <w:p w14:paraId="38991BD8" w14:textId="77777777" w:rsidR="001762EE" w:rsidRPr="005B04BF" w:rsidRDefault="001762EE" w:rsidP="00BE3DC2">
      <w:pPr>
        <w:pStyle w:val="FreeForm"/>
        <w:jc w:val="both"/>
        <w:rPr>
          <w:i/>
          <w:sz w:val="24"/>
          <w:szCs w:val="24"/>
          <w:lang w:val="en-US"/>
        </w:rPr>
      </w:pPr>
    </w:p>
    <w:p w14:paraId="1526C996" w14:textId="0AA2833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Commission on Audit has at its head a chairperso</w:t>
      </w:r>
      <w:r w:rsidRPr="005A497D">
        <w:t xml:space="preserve">n and two </w:t>
      </w:r>
      <w:r>
        <w:t>c</w:t>
      </w:r>
      <w:r w:rsidRPr="005A497D">
        <w:t>ommissioners (together known as the Commission Proper)</w:t>
      </w:r>
      <w:r>
        <w:t>. Each of these members of the Commission Proper</w:t>
      </w:r>
      <w:r w:rsidRPr="005A497D">
        <w:t xml:space="preserve"> </w:t>
      </w:r>
      <w:r>
        <w:t>is</w:t>
      </w:r>
      <w:r w:rsidRPr="005A497D">
        <w:t xml:space="preserve"> appointed by the President</w:t>
      </w:r>
      <w:r>
        <w:t xml:space="preserve"> and</w:t>
      </w:r>
      <w:r w:rsidRPr="005A497D">
        <w:t xml:space="preserve"> subject to confirmation </w:t>
      </w:r>
      <w:r>
        <w:t>by</w:t>
      </w:r>
      <w:r w:rsidRPr="005A497D">
        <w:t xml:space="preserve"> </w:t>
      </w:r>
      <w:r>
        <w:t xml:space="preserve">the </w:t>
      </w:r>
      <w:r w:rsidRPr="005A497D">
        <w:t>Commission on Appointments</w:t>
      </w:r>
      <w:r>
        <w:t>, which</w:t>
      </w:r>
      <w:r w:rsidRPr="005A497D">
        <w:t xml:space="preserve"> is composed o</w:t>
      </w:r>
      <w:r>
        <w:t>f</w:t>
      </w:r>
      <w:r w:rsidRPr="005A497D">
        <w:t xml:space="preserve"> </w:t>
      </w:r>
      <w:r>
        <w:t>M</w:t>
      </w:r>
      <w:r w:rsidRPr="005A497D">
        <w:t xml:space="preserve">embers of Congress. Members of the Commission Proper each serve </w:t>
      </w:r>
      <w:r>
        <w:t>one, seven-year</w:t>
      </w:r>
      <w:r w:rsidRPr="005A497D">
        <w:t xml:space="preserve"> term</w:t>
      </w:r>
      <w:r>
        <w:t>; and cases requiring removal from office must</w:t>
      </w:r>
      <w:r w:rsidRPr="005A497D">
        <w:t xml:space="preserve"> be made </w:t>
      </w:r>
      <w:r>
        <w:t>by</w:t>
      </w:r>
      <w:r w:rsidRPr="005A497D">
        <w:t xml:space="preserve"> impeachment. Budget for </w:t>
      </w:r>
      <w:r>
        <w:t>the Commission on Audit</w:t>
      </w:r>
      <w:r w:rsidRPr="005A497D">
        <w:t xml:space="preserve"> is included in the </w:t>
      </w:r>
      <w:r>
        <w:t>General Appropriations Act,</w:t>
      </w:r>
      <w:r w:rsidRPr="005A497D">
        <w:t xml:space="preserve"> which undergoes legislative scrutiny. Budget execution is subject to the routine discipline of accounting and internal control rules. There have not been any recent instances of restrictions placed on </w:t>
      </w:r>
      <w:r>
        <w:t>CoA</w:t>
      </w:r>
      <w:r w:rsidRPr="005A497D">
        <w:t xml:space="preserve"> budget or </w:t>
      </w:r>
      <w:r w:rsidR="00F929BB">
        <w:t>funds flow. As provided in Article IX-A, Section 5 of the 1987 Philippine Constitution, CoA, being a constitutional commission, enjoys fiscal autonomy; thus, its approved annual appropriations shall be automatically and regularly released.</w:t>
      </w:r>
    </w:p>
    <w:p w14:paraId="0C102E67" w14:textId="77777777" w:rsidR="001762EE" w:rsidRPr="005A497D" w:rsidRDefault="001762EE" w:rsidP="00197DF8">
      <w:pPr>
        <w:pStyle w:val="NormalWeb"/>
        <w:autoSpaceDE w:val="0"/>
        <w:autoSpaceDN w:val="0"/>
        <w:adjustRightInd w:val="0"/>
        <w:spacing w:before="0" w:beforeAutospacing="0" w:after="0" w:afterAutospacing="0"/>
        <w:contextualSpacing/>
        <w:jc w:val="both"/>
      </w:pPr>
    </w:p>
    <w:p w14:paraId="63D0CDA7" w14:textId="4A8026B9"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Independence is composed of two main important aspects: independence in fact (real independence) and independence in appearance (perceived independence). An auditor’s objectivity must be beyond question. In this regard, there is a perceived conflict of interest in the function of </w:t>
      </w:r>
      <w:r>
        <w:t>the Commission on Audit</w:t>
      </w:r>
      <w:r w:rsidRPr="005A497D">
        <w:t xml:space="preserve"> being the auditor and accountant at the same time due to its </w:t>
      </w:r>
      <w:r>
        <w:t>C</w:t>
      </w:r>
      <w:r w:rsidRPr="005A497D">
        <w:t xml:space="preserve">onstitutional mandate </w:t>
      </w:r>
      <w:r>
        <w:t>(</w:t>
      </w:r>
      <w:r w:rsidRPr="005A497D">
        <w:t>Article IX-D, of the 1987 Philippine Constitution</w:t>
      </w:r>
      <w:r>
        <w:t>)</w:t>
      </w:r>
      <w:r w:rsidRPr="005A497D">
        <w:t xml:space="preserve"> which provides that:</w:t>
      </w:r>
    </w:p>
    <w:p w14:paraId="5C6E6E43" w14:textId="77777777" w:rsidR="001762EE" w:rsidRPr="005A497D" w:rsidRDefault="001762EE" w:rsidP="00197DF8">
      <w:pPr>
        <w:pStyle w:val="NormalWeb2"/>
        <w:spacing w:before="0" w:after="0"/>
        <w:jc w:val="both"/>
      </w:pPr>
    </w:p>
    <w:p w14:paraId="1388DE14" w14:textId="1AB963B7" w:rsidR="001762EE" w:rsidRPr="0025475E" w:rsidRDefault="001762EE" w:rsidP="00197DF8">
      <w:pPr>
        <w:pStyle w:val="NormalWeb2"/>
        <w:spacing w:before="0" w:after="0"/>
        <w:ind w:left="630" w:right="722"/>
        <w:jc w:val="both"/>
        <w:rPr>
          <w:sz w:val="20"/>
        </w:rPr>
      </w:pPr>
      <w:r w:rsidRPr="0025475E">
        <w:rPr>
          <w:sz w:val="20"/>
        </w:rPr>
        <w:t xml:space="preserve">The Commission on Audit shall have the power, authority and duty to examine, audit, and settle all accounts pertaining to the revenue and receipts of, and expenditures or uses of funds and property, owned or held in trust by, or pertaining to, the Government, or any of its subdivisions, agencies, or instrumentalities, including government-owned or controlled corporations with original charters, and on a post-audit basis: (a) constitutional bodies, commissions and offices that have been granted fiscal autonomy under this Constitution; (b) autonomous state colleges and universities; (c) other government-owned or controlled corporations and their subsidiaries; and (d) such non-governmental entities receiving subsidy or equity, directly or indirectly, from or through the Government, which are required by law or the granting institution to submit to such audit as a condition of subsidy or equity. However, where the internal control system of the audited agencies is inadequate, the Commission may adopt such measures, including temporary or special pre-audit, as are necessary and appropriate to correct the deficiencies. It shall keep the general accounts of the Government and, for such period as may be provided by law, preserve the vouchers and other supporting papers pertaining thereto. </w:t>
      </w:r>
      <w:r>
        <w:rPr>
          <w:sz w:val="20"/>
        </w:rPr>
        <w:t>[</w:t>
      </w:r>
      <w:r w:rsidRPr="0025475E">
        <w:rPr>
          <w:sz w:val="20"/>
        </w:rPr>
        <w:t>Section 2 (1)</w:t>
      </w:r>
      <w:r>
        <w:rPr>
          <w:sz w:val="20"/>
        </w:rPr>
        <w:t>]</w:t>
      </w:r>
    </w:p>
    <w:p w14:paraId="04BC61A9" w14:textId="77777777" w:rsidR="001762EE" w:rsidRPr="0025475E" w:rsidRDefault="001762EE" w:rsidP="00197DF8">
      <w:pPr>
        <w:pStyle w:val="NormalWeb2"/>
        <w:spacing w:before="0" w:after="0"/>
        <w:ind w:left="630" w:right="722"/>
        <w:jc w:val="both"/>
        <w:rPr>
          <w:sz w:val="20"/>
        </w:rPr>
      </w:pPr>
    </w:p>
    <w:p w14:paraId="49FB534E" w14:textId="2438445A" w:rsidR="001762EE" w:rsidRPr="0025475E" w:rsidRDefault="001762EE" w:rsidP="00197DF8">
      <w:pPr>
        <w:pStyle w:val="NormalWeb2"/>
        <w:spacing w:before="0" w:after="0"/>
        <w:ind w:left="630" w:right="722"/>
        <w:jc w:val="both"/>
        <w:rPr>
          <w:sz w:val="20"/>
        </w:rPr>
      </w:pPr>
      <w:r w:rsidRPr="0025475E">
        <w:rPr>
          <w:sz w:val="20"/>
        </w:rPr>
        <w:t>No law shall be passed exempting any entity of the Government or its subsidiaries in any guise whatever; or any investment of public funds, from the jurisdiction of the Commission on Audit. (Section 3)</w:t>
      </w:r>
    </w:p>
    <w:p w14:paraId="49B7B90B" w14:textId="77777777" w:rsidR="001762EE" w:rsidRPr="005A497D" w:rsidRDefault="001762EE" w:rsidP="00197DF8">
      <w:pPr>
        <w:pStyle w:val="NormalWeb"/>
        <w:autoSpaceDE w:val="0"/>
        <w:autoSpaceDN w:val="0"/>
        <w:adjustRightInd w:val="0"/>
        <w:spacing w:before="0" w:beforeAutospacing="0" w:after="0" w:afterAutospacing="0"/>
        <w:contextualSpacing/>
        <w:jc w:val="both"/>
      </w:pPr>
    </w:p>
    <w:p w14:paraId="0E0F78D8" w14:textId="178FBADB"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The Commission on Audit’s</w:t>
      </w:r>
      <w:r w:rsidRPr="00C11DB2">
        <w:t xml:space="preserve"> </w:t>
      </w:r>
      <w:r w:rsidRPr="005A497D">
        <w:t>independence regarding appointment</w:t>
      </w:r>
      <w:r>
        <w:t xml:space="preserve"> and </w:t>
      </w:r>
      <w:r w:rsidRPr="005A497D">
        <w:t xml:space="preserve">removal of the </w:t>
      </w:r>
      <w:r>
        <w:t>h</w:t>
      </w:r>
      <w:r w:rsidRPr="005A497D">
        <w:t xml:space="preserve">ead </w:t>
      </w:r>
      <w:r>
        <w:t xml:space="preserve">is laid down in the Constitution. It is free from Executive interference from the planning of audit engagement, arrangement for publicizing reports, and approval and </w:t>
      </w:r>
      <w:r w:rsidRPr="005A497D">
        <w:t>execution of budget</w:t>
      </w:r>
      <w:r>
        <w:t>.</w:t>
      </w:r>
      <w:r w:rsidRPr="005A497D">
        <w:t xml:space="preserve"> </w:t>
      </w:r>
      <w:r>
        <w:t>It</w:t>
      </w:r>
      <w:r w:rsidRPr="005A497D">
        <w:t xml:space="preserve"> has unrestricted access to information</w:t>
      </w:r>
      <w:r>
        <w:t xml:space="preserve"> related to expenditures; </w:t>
      </w:r>
      <w:r w:rsidRPr="00C11DB2">
        <w:t xml:space="preserve">but </w:t>
      </w:r>
      <w:r w:rsidRPr="00F71CA5">
        <w:t xml:space="preserve">as mentioned in </w:t>
      </w:r>
      <w:r>
        <w:t xml:space="preserve">PI-30.1, there is a scope limitation for the BIR-collected revenue considering that the audit does not include the assessments of all national revenue taxes, fees and charges of the Bureau of Internal Revenue. Several efforts have been made by the Commission on Audit to address the limitation in revenue audit, but these have yet to come to fruition. Minimal CoA staff are involved in preparing the Annual Financial Report, which is a compilation of the financial statements prepared by the departments. </w:t>
      </w:r>
      <w:r w:rsidRPr="005A497D">
        <w:t>The score</w:t>
      </w:r>
      <w:r>
        <w:t xml:space="preserve"> for Dimension 30.4</w:t>
      </w:r>
      <w:r w:rsidRPr="005A497D">
        <w:t xml:space="preserve"> is assessed at “</w:t>
      </w:r>
      <w:r>
        <w:t>B</w:t>
      </w:r>
      <w:r w:rsidRPr="005A497D">
        <w:t>”.</w:t>
      </w:r>
    </w:p>
    <w:p w14:paraId="029BB5DD" w14:textId="77777777" w:rsidR="001762EE" w:rsidRPr="005A497D" w:rsidRDefault="001762EE" w:rsidP="00197DF8">
      <w:pPr>
        <w:pStyle w:val="Default"/>
      </w:pPr>
    </w:p>
    <w:p w14:paraId="2A9C8606" w14:textId="4012B60D" w:rsidR="001762EE" w:rsidRDefault="001762EE" w:rsidP="00411651">
      <w:pPr>
        <w:pStyle w:val="Heading3"/>
      </w:pPr>
      <w:bookmarkStart w:id="274" w:name="_Toc454811724"/>
      <w:bookmarkStart w:id="275" w:name="_Toc454888868"/>
      <w:r w:rsidRPr="005A497D">
        <w:t>PI-3</w:t>
      </w:r>
      <w:r>
        <w:t>1</w:t>
      </w:r>
      <w:r w:rsidRPr="005A497D">
        <w:t xml:space="preserve"> Legislative scrutiny of audit reports</w:t>
      </w:r>
      <w:bookmarkEnd w:id="274"/>
      <w:bookmarkEnd w:id="275"/>
    </w:p>
    <w:p w14:paraId="5F83A0E5" w14:textId="77777777" w:rsidR="001762EE" w:rsidRPr="000A08CF" w:rsidRDefault="001762EE" w:rsidP="000A08CF"/>
    <w:p w14:paraId="51CE6A80" w14:textId="44746995"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t xml:space="preserve">This indicator focuses on legislative scrutiny of the audited financial reports of the national government, including institutional units, to the extent that either (a) they are required by law to submit audit reports to the legislature or (b) their parent or controlling unit must answer questions and take action on their behalf. </w:t>
      </w:r>
    </w:p>
    <w:p w14:paraId="76D88491" w14:textId="77777777" w:rsidR="001762EE" w:rsidRPr="005A497D" w:rsidRDefault="001762EE" w:rsidP="00D96044">
      <w:pPr>
        <w:pStyle w:val="NormalWeb"/>
        <w:autoSpaceDE w:val="0"/>
        <w:autoSpaceDN w:val="0"/>
        <w:adjustRightInd w:val="0"/>
        <w:spacing w:before="0" w:beforeAutospacing="0" w:after="0" w:afterAutospacing="0"/>
        <w:contextualSpacing/>
        <w:jc w:val="both"/>
      </w:pP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00"/>
        <w:gridCol w:w="1843"/>
        <w:gridCol w:w="3913"/>
      </w:tblGrid>
      <w:tr w:rsidR="001762EE" w:rsidRPr="005A497D" w14:paraId="550EC313" w14:textId="77777777" w:rsidTr="00956DE8">
        <w:trPr>
          <w:trHeight w:val="397"/>
        </w:trPr>
        <w:tc>
          <w:tcPr>
            <w:tcW w:w="3600" w:type="dxa"/>
            <w:tcBorders>
              <w:top w:val="double" w:sz="4" w:space="0" w:color="auto"/>
            </w:tcBorders>
            <w:shd w:val="clear" w:color="auto" w:fill="D9D9D9"/>
            <w:vAlign w:val="center"/>
          </w:tcPr>
          <w:p w14:paraId="6B62A73C" w14:textId="77777777" w:rsidR="001762EE" w:rsidRPr="0025475E" w:rsidRDefault="001762EE" w:rsidP="00956DE8">
            <w:pPr>
              <w:spacing w:before="40" w:after="40"/>
              <w:jc w:val="center"/>
              <w:rPr>
                <w:b/>
                <w:i/>
                <w:sz w:val="22"/>
                <w:szCs w:val="22"/>
              </w:rPr>
            </w:pPr>
            <w:r w:rsidRPr="0025475E">
              <w:rPr>
                <w:b/>
                <w:i/>
                <w:sz w:val="22"/>
                <w:szCs w:val="22"/>
              </w:rPr>
              <w:t>Indicator / Dimension</w:t>
            </w:r>
          </w:p>
        </w:tc>
        <w:tc>
          <w:tcPr>
            <w:tcW w:w="1843" w:type="dxa"/>
            <w:tcBorders>
              <w:top w:val="double" w:sz="4" w:space="0" w:color="auto"/>
            </w:tcBorders>
            <w:shd w:val="clear" w:color="auto" w:fill="D9D9D9"/>
            <w:vAlign w:val="center"/>
          </w:tcPr>
          <w:p w14:paraId="42B68CAD" w14:textId="77777777" w:rsidR="001762EE" w:rsidRPr="0025475E" w:rsidRDefault="001762EE" w:rsidP="00956DE8">
            <w:pPr>
              <w:spacing w:before="40" w:after="40"/>
              <w:jc w:val="center"/>
              <w:rPr>
                <w:b/>
                <w:i/>
                <w:sz w:val="22"/>
                <w:szCs w:val="22"/>
              </w:rPr>
            </w:pPr>
            <w:r w:rsidRPr="0025475E">
              <w:rPr>
                <w:b/>
                <w:i/>
                <w:sz w:val="22"/>
                <w:szCs w:val="22"/>
              </w:rPr>
              <w:t>Score</w:t>
            </w:r>
          </w:p>
        </w:tc>
        <w:tc>
          <w:tcPr>
            <w:tcW w:w="3913" w:type="dxa"/>
            <w:tcBorders>
              <w:top w:val="double" w:sz="4" w:space="0" w:color="auto"/>
            </w:tcBorders>
            <w:shd w:val="clear" w:color="auto" w:fill="D9D9D9"/>
            <w:vAlign w:val="center"/>
          </w:tcPr>
          <w:p w14:paraId="703FA7A1" w14:textId="4103457B" w:rsidR="001762EE" w:rsidRPr="0025475E" w:rsidRDefault="001762EE" w:rsidP="005108BC">
            <w:pPr>
              <w:spacing w:before="40" w:after="40"/>
              <w:jc w:val="center"/>
              <w:rPr>
                <w:b/>
                <w:i/>
                <w:sz w:val="22"/>
                <w:szCs w:val="22"/>
              </w:rPr>
            </w:pPr>
            <w:r w:rsidRPr="0025475E">
              <w:rPr>
                <w:b/>
                <w:i/>
                <w:sz w:val="22"/>
                <w:szCs w:val="22"/>
              </w:rPr>
              <w:t xml:space="preserve">Brief </w:t>
            </w:r>
            <w:r>
              <w:rPr>
                <w:b/>
                <w:i/>
                <w:sz w:val="22"/>
                <w:szCs w:val="22"/>
              </w:rPr>
              <w:t>e</w:t>
            </w:r>
            <w:r w:rsidRPr="0025475E">
              <w:rPr>
                <w:b/>
                <w:i/>
                <w:sz w:val="22"/>
                <w:szCs w:val="22"/>
              </w:rPr>
              <w:t>xplanation</w:t>
            </w:r>
          </w:p>
        </w:tc>
      </w:tr>
      <w:tr w:rsidR="001762EE" w:rsidRPr="005A497D" w14:paraId="71BC11D7" w14:textId="77777777" w:rsidTr="00956DE8">
        <w:tc>
          <w:tcPr>
            <w:tcW w:w="3600" w:type="dxa"/>
            <w:tcBorders>
              <w:top w:val="double" w:sz="4" w:space="0" w:color="auto"/>
              <w:bottom w:val="single" w:sz="4" w:space="0" w:color="auto"/>
            </w:tcBorders>
          </w:tcPr>
          <w:p w14:paraId="325E85D9" w14:textId="06A3C83D" w:rsidR="001762EE" w:rsidRPr="005A497D" w:rsidRDefault="001762EE" w:rsidP="001C072C">
            <w:pPr>
              <w:rPr>
                <w:sz w:val="22"/>
                <w:szCs w:val="22"/>
              </w:rPr>
            </w:pPr>
            <w:r w:rsidRPr="005A497D">
              <w:rPr>
                <w:b/>
                <w:bCs/>
                <w:sz w:val="22"/>
                <w:szCs w:val="22"/>
              </w:rPr>
              <w:t>PI-3</w:t>
            </w:r>
            <w:r>
              <w:rPr>
                <w:b/>
                <w:bCs/>
                <w:sz w:val="22"/>
                <w:szCs w:val="22"/>
              </w:rPr>
              <w:t>1</w:t>
            </w:r>
            <w:r w:rsidRPr="005A497D">
              <w:rPr>
                <w:b/>
                <w:bCs/>
                <w:sz w:val="22"/>
                <w:szCs w:val="22"/>
              </w:rPr>
              <w:t xml:space="preserve"> Legislative scrutiny of audit reports</w:t>
            </w:r>
          </w:p>
        </w:tc>
        <w:tc>
          <w:tcPr>
            <w:tcW w:w="1843" w:type="dxa"/>
            <w:tcBorders>
              <w:top w:val="double" w:sz="4" w:space="0" w:color="auto"/>
              <w:bottom w:val="single" w:sz="4" w:space="0" w:color="auto"/>
            </w:tcBorders>
          </w:tcPr>
          <w:p w14:paraId="6F41966B" w14:textId="77777777" w:rsidR="001762EE" w:rsidRPr="005A497D" w:rsidRDefault="001762EE" w:rsidP="001048F4">
            <w:pPr>
              <w:jc w:val="center"/>
              <w:rPr>
                <w:b/>
                <w:sz w:val="22"/>
                <w:szCs w:val="22"/>
              </w:rPr>
            </w:pPr>
            <w:r w:rsidRPr="005A497D">
              <w:rPr>
                <w:b/>
                <w:sz w:val="22"/>
                <w:szCs w:val="22"/>
              </w:rPr>
              <w:t>D</w:t>
            </w:r>
          </w:p>
        </w:tc>
        <w:tc>
          <w:tcPr>
            <w:tcW w:w="3913" w:type="dxa"/>
            <w:tcBorders>
              <w:top w:val="double" w:sz="4" w:space="0" w:color="auto"/>
              <w:bottom w:val="single" w:sz="4" w:space="0" w:color="auto"/>
            </w:tcBorders>
          </w:tcPr>
          <w:p w14:paraId="423476BD" w14:textId="54457A17" w:rsidR="001762EE" w:rsidRPr="005A497D" w:rsidRDefault="001762EE" w:rsidP="00254BAD">
            <w:pPr>
              <w:rPr>
                <w:sz w:val="22"/>
                <w:szCs w:val="22"/>
              </w:rPr>
            </w:pPr>
            <w:r w:rsidRPr="005A497D">
              <w:rPr>
                <w:sz w:val="22"/>
                <w:szCs w:val="22"/>
              </w:rPr>
              <w:t>Overall rating based on M</w:t>
            </w:r>
            <w:r>
              <w:rPr>
                <w:sz w:val="22"/>
                <w:szCs w:val="22"/>
              </w:rPr>
              <w:t>2</w:t>
            </w:r>
            <w:r w:rsidRPr="005A497D">
              <w:rPr>
                <w:sz w:val="22"/>
                <w:szCs w:val="22"/>
              </w:rPr>
              <w:t xml:space="preserve"> methodology.</w:t>
            </w:r>
          </w:p>
        </w:tc>
      </w:tr>
      <w:tr w:rsidR="001762EE" w:rsidRPr="005A497D" w14:paraId="3CA4D35D" w14:textId="77777777" w:rsidTr="000D0E8D">
        <w:trPr>
          <w:trHeight w:val="557"/>
        </w:trPr>
        <w:tc>
          <w:tcPr>
            <w:tcW w:w="3600" w:type="dxa"/>
            <w:tcBorders>
              <w:top w:val="single" w:sz="4" w:space="0" w:color="auto"/>
              <w:bottom w:val="single" w:sz="4" w:space="0" w:color="auto"/>
            </w:tcBorders>
          </w:tcPr>
          <w:p w14:paraId="5705557F" w14:textId="310285E9" w:rsidR="001762EE" w:rsidRPr="005A497D" w:rsidRDefault="001762EE" w:rsidP="00240E82">
            <w:pPr>
              <w:pStyle w:val="Default"/>
              <w:rPr>
                <w:sz w:val="22"/>
                <w:szCs w:val="22"/>
              </w:rPr>
            </w:pPr>
            <w:r>
              <w:rPr>
                <w:sz w:val="22"/>
                <w:szCs w:val="22"/>
              </w:rPr>
              <w:t>31.1</w:t>
            </w:r>
            <w:r w:rsidRPr="005A497D">
              <w:rPr>
                <w:sz w:val="22"/>
                <w:szCs w:val="22"/>
              </w:rPr>
              <w:t xml:space="preserve"> </w:t>
            </w:r>
            <w:r>
              <w:rPr>
                <w:sz w:val="22"/>
                <w:szCs w:val="22"/>
              </w:rPr>
              <w:t xml:space="preserve">Timing </w:t>
            </w:r>
            <w:r w:rsidRPr="005A497D">
              <w:rPr>
                <w:sz w:val="22"/>
                <w:szCs w:val="22"/>
              </w:rPr>
              <w:t>of audit report</w:t>
            </w:r>
            <w:r>
              <w:rPr>
                <w:sz w:val="22"/>
                <w:szCs w:val="22"/>
              </w:rPr>
              <w:t xml:space="preserve"> scrutiny </w:t>
            </w:r>
          </w:p>
        </w:tc>
        <w:tc>
          <w:tcPr>
            <w:tcW w:w="1843" w:type="dxa"/>
            <w:tcBorders>
              <w:top w:val="single" w:sz="4" w:space="0" w:color="auto"/>
              <w:bottom w:val="single" w:sz="4" w:space="0" w:color="auto"/>
            </w:tcBorders>
          </w:tcPr>
          <w:p w14:paraId="02ADD4AA" w14:textId="77777777" w:rsidR="001762EE" w:rsidRPr="005A497D" w:rsidRDefault="001762EE" w:rsidP="001048F4">
            <w:pPr>
              <w:jc w:val="center"/>
              <w:rPr>
                <w:sz w:val="22"/>
                <w:szCs w:val="22"/>
              </w:rPr>
            </w:pPr>
            <w:r w:rsidRPr="005A497D">
              <w:rPr>
                <w:sz w:val="22"/>
                <w:szCs w:val="22"/>
              </w:rPr>
              <w:t>D</w:t>
            </w:r>
          </w:p>
        </w:tc>
        <w:tc>
          <w:tcPr>
            <w:tcW w:w="3913" w:type="dxa"/>
            <w:tcBorders>
              <w:top w:val="single" w:sz="4" w:space="0" w:color="auto"/>
              <w:bottom w:val="single" w:sz="4" w:space="0" w:color="auto"/>
            </w:tcBorders>
          </w:tcPr>
          <w:p w14:paraId="61C423F8" w14:textId="0000250D" w:rsidR="001762EE" w:rsidRPr="005A497D" w:rsidRDefault="001762EE" w:rsidP="00F929BB">
            <w:pPr>
              <w:rPr>
                <w:sz w:val="22"/>
                <w:szCs w:val="22"/>
              </w:rPr>
            </w:pPr>
            <w:r w:rsidRPr="005A497D">
              <w:rPr>
                <w:sz w:val="22"/>
                <w:szCs w:val="22"/>
              </w:rPr>
              <w:t xml:space="preserve">There is no formal </w:t>
            </w:r>
            <w:r w:rsidR="00F929BB">
              <w:rPr>
                <w:sz w:val="22"/>
                <w:szCs w:val="22"/>
              </w:rPr>
              <w:t>scrutiny</w:t>
            </w:r>
            <w:r w:rsidR="00F929BB" w:rsidRPr="005A497D">
              <w:rPr>
                <w:sz w:val="22"/>
                <w:szCs w:val="22"/>
              </w:rPr>
              <w:t xml:space="preserve"> </w:t>
            </w:r>
            <w:r w:rsidRPr="005A497D">
              <w:rPr>
                <w:sz w:val="22"/>
                <w:szCs w:val="22"/>
              </w:rPr>
              <w:t>of audit reports by the legislature.</w:t>
            </w:r>
          </w:p>
        </w:tc>
      </w:tr>
      <w:tr w:rsidR="001762EE" w:rsidRPr="005A497D" w14:paraId="0CBD855D" w14:textId="77777777" w:rsidTr="00956DE8">
        <w:tc>
          <w:tcPr>
            <w:tcW w:w="3600" w:type="dxa"/>
            <w:tcBorders>
              <w:top w:val="single" w:sz="4" w:space="0" w:color="auto"/>
              <w:bottom w:val="single" w:sz="4" w:space="0" w:color="auto"/>
            </w:tcBorders>
          </w:tcPr>
          <w:p w14:paraId="1A4D6157" w14:textId="232A99D4" w:rsidR="001762EE" w:rsidRPr="005A497D" w:rsidRDefault="001762EE" w:rsidP="00240E82">
            <w:pPr>
              <w:pStyle w:val="Default"/>
              <w:rPr>
                <w:sz w:val="22"/>
                <w:szCs w:val="22"/>
              </w:rPr>
            </w:pPr>
            <w:r>
              <w:rPr>
                <w:sz w:val="22"/>
                <w:szCs w:val="22"/>
              </w:rPr>
              <w:t>31.2</w:t>
            </w:r>
            <w:r w:rsidRPr="005A497D">
              <w:rPr>
                <w:sz w:val="22"/>
                <w:szCs w:val="22"/>
              </w:rPr>
              <w:t xml:space="preserve"> </w:t>
            </w:r>
            <w:r>
              <w:rPr>
                <w:sz w:val="22"/>
                <w:szCs w:val="22"/>
              </w:rPr>
              <w:t>H</w:t>
            </w:r>
            <w:r w:rsidRPr="005A497D">
              <w:rPr>
                <w:sz w:val="22"/>
                <w:szCs w:val="22"/>
              </w:rPr>
              <w:t xml:space="preserve">earings on </w:t>
            </w:r>
            <w:r>
              <w:rPr>
                <w:sz w:val="22"/>
                <w:szCs w:val="22"/>
              </w:rPr>
              <w:t xml:space="preserve">audit </w:t>
            </w:r>
            <w:r w:rsidRPr="005A497D">
              <w:rPr>
                <w:sz w:val="22"/>
                <w:szCs w:val="22"/>
              </w:rPr>
              <w:t xml:space="preserve">findings </w:t>
            </w:r>
          </w:p>
        </w:tc>
        <w:tc>
          <w:tcPr>
            <w:tcW w:w="1843" w:type="dxa"/>
            <w:tcBorders>
              <w:top w:val="single" w:sz="4" w:space="0" w:color="auto"/>
              <w:bottom w:val="single" w:sz="4" w:space="0" w:color="auto"/>
            </w:tcBorders>
          </w:tcPr>
          <w:p w14:paraId="259C162E" w14:textId="2C64EA72" w:rsidR="001762EE" w:rsidRPr="005A497D" w:rsidRDefault="001762EE" w:rsidP="001048F4">
            <w:pPr>
              <w:jc w:val="center"/>
              <w:rPr>
                <w:sz w:val="22"/>
                <w:szCs w:val="22"/>
              </w:rPr>
            </w:pPr>
            <w:r w:rsidRPr="00745A8A">
              <w:rPr>
                <w:sz w:val="22"/>
                <w:szCs w:val="22"/>
              </w:rPr>
              <w:t>D</w:t>
            </w:r>
          </w:p>
        </w:tc>
        <w:tc>
          <w:tcPr>
            <w:tcW w:w="3913" w:type="dxa"/>
            <w:tcBorders>
              <w:top w:val="single" w:sz="4" w:space="0" w:color="auto"/>
              <w:bottom w:val="single" w:sz="4" w:space="0" w:color="auto"/>
            </w:tcBorders>
          </w:tcPr>
          <w:p w14:paraId="700BB8CD" w14:textId="3BB1CD27" w:rsidR="001762EE" w:rsidRPr="005A497D" w:rsidRDefault="001762EE" w:rsidP="00C11DB2">
            <w:pPr>
              <w:rPr>
                <w:sz w:val="22"/>
                <w:szCs w:val="22"/>
              </w:rPr>
            </w:pPr>
            <w:r>
              <w:rPr>
                <w:sz w:val="22"/>
                <w:szCs w:val="22"/>
              </w:rPr>
              <w:t xml:space="preserve">Not applicable considering PI-31.1. </w:t>
            </w:r>
            <w:r w:rsidRPr="005A497D">
              <w:rPr>
                <w:sz w:val="22"/>
                <w:szCs w:val="22"/>
              </w:rPr>
              <w:t>Observations from latest available audit reports are considered during review of budget proposals</w:t>
            </w:r>
            <w:r w:rsidR="00F929BB">
              <w:rPr>
                <w:sz w:val="22"/>
                <w:szCs w:val="22"/>
              </w:rPr>
              <w:t xml:space="preserve"> and legislative inquiries</w:t>
            </w:r>
            <w:r>
              <w:rPr>
                <w:sz w:val="22"/>
                <w:szCs w:val="22"/>
              </w:rPr>
              <w:t>;</w:t>
            </w:r>
            <w:r w:rsidRPr="005A497D">
              <w:rPr>
                <w:sz w:val="22"/>
                <w:szCs w:val="22"/>
              </w:rPr>
              <w:t xml:space="preserve"> there are no formal hearings for review of audit reports by the legislature.</w:t>
            </w:r>
          </w:p>
        </w:tc>
      </w:tr>
      <w:tr w:rsidR="001762EE" w:rsidRPr="005A497D" w14:paraId="078DFE39" w14:textId="77777777" w:rsidTr="001954A0">
        <w:trPr>
          <w:trHeight w:val="620"/>
        </w:trPr>
        <w:tc>
          <w:tcPr>
            <w:tcW w:w="3600" w:type="dxa"/>
            <w:tcBorders>
              <w:top w:val="single" w:sz="4" w:space="0" w:color="auto"/>
              <w:bottom w:val="single" w:sz="4" w:space="0" w:color="auto"/>
            </w:tcBorders>
          </w:tcPr>
          <w:p w14:paraId="5DB2020C" w14:textId="3570470A" w:rsidR="001762EE" w:rsidRPr="005A497D" w:rsidRDefault="001762EE" w:rsidP="00240E82">
            <w:pPr>
              <w:pStyle w:val="Default"/>
              <w:rPr>
                <w:sz w:val="22"/>
                <w:szCs w:val="22"/>
              </w:rPr>
            </w:pPr>
            <w:r>
              <w:rPr>
                <w:sz w:val="22"/>
                <w:szCs w:val="22"/>
              </w:rPr>
              <w:t>31.3</w:t>
            </w:r>
            <w:r w:rsidRPr="005A497D">
              <w:rPr>
                <w:sz w:val="22"/>
                <w:szCs w:val="22"/>
              </w:rPr>
              <w:t xml:space="preserve"> </w:t>
            </w:r>
            <w:r>
              <w:rPr>
                <w:sz w:val="22"/>
                <w:szCs w:val="22"/>
              </w:rPr>
              <w:t>R</w:t>
            </w:r>
            <w:r w:rsidRPr="005A497D">
              <w:rPr>
                <w:sz w:val="22"/>
                <w:szCs w:val="22"/>
              </w:rPr>
              <w:t>ecommend</w:t>
            </w:r>
            <w:r>
              <w:rPr>
                <w:sz w:val="22"/>
                <w:szCs w:val="22"/>
              </w:rPr>
              <w:t>ations on audit</w:t>
            </w:r>
            <w:r w:rsidRPr="005A497D">
              <w:rPr>
                <w:sz w:val="22"/>
                <w:szCs w:val="22"/>
              </w:rPr>
              <w:t xml:space="preserve"> by the legislature </w:t>
            </w:r>
          </w:p>
        </w:tc>
        <w:tc>
          <w:tcPr>
            <w:tcW w:w="1843" w:type="dxa"/>
            <w:tcBorders>
              <w:top w:val="single" w:sz="4" w:space="0" w:color="auto"/>
              <w:bottom w:val="single" w:sz="4" w:space="0" w:color="auto"/>
            </w:tcBorders>
          </w:tcPr>
          <w:p w14:paraId="11056838" w14:textId="58C45867" w:rsidR="001762EE" w:rsidRPr="005A497D" w:rsidRDefault="001762EE" w:rsidP="001048F4">
            <w:pPr>
              <w:jc w:val="center"/>
              <w:rPr>
                <w:sz w:val="22"/>
                <w:szCs w:val="22"/>
              </w:rPr>
            </w:pPr>
            <w:r w:rsidRPr="00745A8A">
              <w:rPr>
                <w:sz w:val="22"/>
                <w:szCs w:val="22"/>
              </w:rPr>
              <w:t>D</w:t>
            </w:r>
          </w:p>
        </w:tc>
        <w:tc>
          <w:tcPr>
            <w:tcW w:w="3913" w:type="dxa"/>
            <w:tcBorders>
              <w:top w:val="single" w:sz="4" w:space="0" w:color="auto"/>
              <w:bottom w:val="single" w:sz="4" w:space="0" w:color="auto"/>
            </w:tcBorders>
          </w:tcPr>
          <w:p w14:paraId="177BE85D" w14:textId="77777777" w:rsidR="001762EE" w:rsidRPr="005A497D" w:rsidRDefault="001762EE" w:rsidP="001048F4">
            <w:pPr>
              <w:rPr>
                <w:sz w:val="22"/>
                <w:szCs w:val="22"/>
              </w:rPr>
            </w:pPr>
            <w:r w:rsidRPr="005A497D">
              <w:rPr>
                <w:sz w:val="22"/>
                <w:szCs w:val="22"/>
              </w:rPr>
              <w:t>There is no such process in place.</w:t>
            </w:r>
          </w:p>
        </w:tc>
      </w:tr>
      <w:tr w:rsidR="001762EE" w:rsidRPr="005A497D" w14:paraId="43B3ED7F" w14:textId="77777777" w:rsidTr="00956DE8">
        <w:tc>
          <w:tcPr>
            <w:tcW w:w="3600" w:type="dxa"/>
            <w:tcBorders>
              <w:top w:val="single" w:sz="4" w:space="0" w:color="auto"/>
              <w:bottom w:val="double" w:sz="4" w:space="0" w:color="auto"/>
            </w:tcBorders>
          </w:tcPr>
          <w:p w14:paraId="6D5E7A4A" w14:textId="5FDF4D01" w:rsidR="001762EE" w:rsidRPr="005A497D" w:rsidRDefault="001762EE" w:rsidP="00240E82">
            <w:pPr>
              <w:pStyle w:val="Default"/>
              <w:rPr>
                <w:sz w:val="22"/>
                <w:szCs w:val="22"/>
              </w:rPr>
            </w:pPr>
            <w:r>
              <w:rPr>
                <w:sz w:val="22"/>
                <w:szCs w:val="22"/>
              </w:rPr>
              <w:t>31.4</w:t>
            </w:r>
            <w:r w:rsidRPr="005A497D">
              <w:rPr>
                <w:sz w:val="22"/>
                <w:szCs w:val="22"/>
              </w:rPr>
              <w:t xml:space="preserve"> Transparency of legislative scrutiny </w:t>
            </w:r>
            <w:r>
              <w:rPr>
                <w:sz w:val="22"/>
                <w:szCs w:val="22"/>
              </w:rPr>
              <w:t>of audit reports</w:t>
            </w:r>
          </w:p>
        </w:tc>
        <w:tc>
          <w:tcPr>
            <w:tcW w:w="1843" w:type="dxa"/>
            <w:tcBorders>
              <w:top w:val="single" w:sz="4" w:space="0" w:color="auto"/>
              <w:bottom w:val="double" w:sz="4" w:space="0" w:color="auto"/>
            </w:tcBorders>
          </w:tcPr>
          <w:p w14:paraId="5C8661D1" w14:textId="7F805EA0" w:rsidR="001762EE" w:rsidRPr="005A497D" w:rsidRDefault="001762EE" w:rsidP="001048F4">
            <w:pPr>
              <w:jc w:val="center"/>
              <w:rPr>
                <w:sz w:val="22"/>
                <w:szCs w:val="22"/>
              </w:rPr>
            </w:pPr>
            <w:r w:rsidRPr="00745A8A">
              <w:rPr>
                <w:sz w:val="22"/>
                <w:szCs w:val="22"/>
              </w:rPr>
              <w:t>D</w:t>
            </w:r>
          </w:p>
        </w:tc>
        <w:tc>
          <w:tcPr>
            <w:tcW w:w="3913" w:type="dxa"/>
            <w:tcBorders>
              <w:top w:val="single" w:sz="4" w:space="0" w:color="auto"/>
              <w:bottom w:val="double" w:sz="4" w:space="0" w:color="auto"/>
            </w:tcBorders>
          </w:tcPr>
          <w:p w14:paraId="2A636F5C" w14:textId="77777777" w:rsidR="001762EE" w:rsidRPr="005A497D" w:rsidRDefault="001762EE" w:rsidP="001048F4">
            <w:pPr>
              <w:rPr>
                <w:sz w:val="22"/>
                <w:szCs w:val="22"/>
              </w:rPr>
            </w:pPr>
            <w:r w:rsidRPr="005A497D">
              <w:rPr>
                <w:sz w:val="22"/>
                <w:szCs w:val="22"/>
              </w:rPr>
              <w:t>Since legislative scrutiny of audit reports does not occur, there is no hearing or report to be made available to public.</w:t>
            </w:r>
          </w:p>
        </w:tc>
      </w:tr>
    </w:tbl>
    <w:p w14:paraId="68AAE924" w14:textId="77777777" w:rsidR="001762EE" w:rsidRDefault="001762EE" w:rsidP="00D96044">
      <w:pPr>
        <w:pStyle w:val="FreeFormAAAA"/>
        <w:jc w:val="both"/>
        <w:rPr>
          <w:sz w:val="24"/>
          <w:szCs w:val="24"/>
          <w:lang w:val="en-US"/>
        </w:rPr>
      </w:pPr>
    </w:p>
    <w:p w14:paraId="37B8DC5B" w14:textId="77777777" w:rsidR="00745A8A" w:rsidRPr="005A497D" w:rsidRDefault="00745A8A" w:rsidP="00D96044">
      <w:pPr>
        <w:pStyle w:val="FreeFormAAAA"/>
        <w:jc w:val="both"/>
        <w:rPr>
          <w:sz w:val="24"/>
          <w:szCs w:val="24"/>
          <w:lang w:val="en-US"/>
        </w:rPr>
      </w:pPr>
    </w:p>
    <w:p w14:paraId="7FBEF945" w14:textId="722AEF5C" w:rsidR="001762EE" w:rsidRPr="0025475E" w:rsidRDefault="001762EE" w:rsidP="00D96044">
      <w:pPr>
        <w:pStyle w:val="FreeFormAAAA"/>
        <w:jc w:val="both"/>
        <w:rPr>
          <w:b/>
          <w:i/>
          <w:sz w:val="24"/>
          <w:szCs w:val="24"/>
          <w:lang w:val="en-US"/>
        </w:rPr>
      </w:pPr>
      <w:r w:rsidRPr="0025475E">
        <w:rPr>
          <w:b/>
          <w:i/>
          <w:sz w:val="24"/>
          <w:szCs w:val="24"/>
          <w:lang w:val="en-US"/>
        </w:rPr>
        <w:t xml:space="preserve">Dimension 31.1 Timing of audit report scrutiny </w:t>
      </w:r>
    </w:p>
    <w:p w14:paraId="143BA05B" w14:textId="77777777" w:rsidR="001762EE" w:rsidRPr="000A08CF" w:rsidRDefault="001762EE" w:rsidP="00D96044">
      <w:pPr>
        <w:pStyle w:val="FreeFormAAAA"/>
        <w:jc w:val="both"/>
        <w:rPr>
          <w:sz w:val="24"/>
          <w:szCs w:val="24"/>
          <w:lang w:val="en-US"/>
        </w:rPr>
      </w:pPr>
    </w:p>
    <w:p w14:paraId="5C6DBB2F" w14:textId="0B375547"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As indicated in PI-</w:t>
      </w:r>
      <w:r>
        <w:t>30.2</w:t>
      </w:r>
      <w:r w:rsidRPr="005A497D">
        <w:t xml:space="preserve">, </w:t>
      </w:r>
      <w:r>
        <w:t>the Commission on Audit</w:t>
      </w:r>
      <w:r w:rsidRPr="005A497D">
        <w:t xml:space="preserve"> transmits a copy of the audit reports issued to</w:t>
      </w:r>
      <w:r>
        <w:t xml:space="preserve"> departments and agencies and to both houses of Congress. T</w:t>
      </w:r>
      <w:r w:rsidRPr="005A497D">
        <w:t>here is no designated Committee in the form of a public accounts committee</w:t>
      </w:r>
      <w:r>
        <w:t>,</w:t>
      </w:r>
      <w:r w:rsidRPr="005A497D">
        <w:t xml:space="preserve"> which is specifically tasked to examine all these audit reports and question the audited entities regarding observations and issues raised therein. Score</w:t>
      </w:r>
      <w:r>
        <w:t xml:space="preserve"> for Dimension 31.1</w:t>
      </w:r>
      <w:r w:rsidRPr="005A497D">
        <w:t xml:space="preserve"> is assessed at “D”.</w:t>
      </w:r>
    </w:p>
    <w:p w14:paraId="78B2E24C" w14:textId="77777777" w:rsidR="001762EE" w:rsidRDefault="001762EE" w:rsidP="00A54133">
      <w:pPr>
        <w:pStyle w:val="NormalWeb2"/>
        <w:spacing w:before="0" w:after="0"/>
        <w:jc w:val="both"/>
      </w:pPr>
    </w:p>
    <w:p w14:paraId="148171C5" w14:textId="77777777" w:rsidR="00745A8A" w:rsidRPr="005A497D" w:rsidRDefault="00745A8A" w:rsidP="00A54133">
      <w:pPr>
        <w:pStyle w:val="NormalWeb2"/>
        <w:spacing w:before="0" w:after="0"/>
        <w:jc w:val="both"/>
      </w:pPr>
    </w:p>
    <w:p w14:paraId="01A070DA" w14:textId="7680BB3D" w:rsidR="001762EE" w:rsidRPr="0025475E" w:rsidRDefault="001762EE" w:rsidP="00306955">
      <w:pPr>
        <w:pStyle w:val="NormalWeb"/>
        <w:autoSpaceDE w:val="0"/>
        <w:autoSpaceDN w:val="0"/>
        <w:adjustRightInd w:val="0"/>
        <w:spacing w:before="0" w:beforeAutospacing="0" w:after="0" w:afterAutospacing="0"/>
        <w:contextualSpacing/>
        <w:jc w:val="both"/>
        <w:rPr>
          <w:rFonts w:eastAsia="ヒラギノ角ゴ Pro W3"/>
          <w:b/>
          <w:i/>
        </w:rPr>
      </w:pPr>
      <w:r w:rsidRPr="0025475E">
        <w:rPr>
          <w:rFonts w:eastAsia="ヒラギノ角ゴ Pro W3"/>
          <w:b/>
          <w:i/>
        </w:rPr>
        <w:t xml:space="preserve">Dimension 31.2 Hearings on audit findings </w:t>
      </w:r>
    </w:p>
    <w:p w14:paraId="06FB187A" w14:textId="77777777" w:rsidR="001762EE" w:rsidRPr="000A08CF" w:rsidRDefault="001762EE" w:rsidP="00306955">
      <w:pPr>
        <w:pStyle w:val="NormalWeb"/>
        <w:autoSpaceDE w:val="0"/>
        <w:autoSpaceDN w:val="0"/>
        <w:adjustRightInd w:val="0"/>
        <w:spacing w:before="0" w:beforeAutospacing="0" w:after="0" w:afterAutospacing="0"/>
        <w:contextualSpacing/>
        <w:jc w:val="both"/>
        <w:rPr>
          <w:rFonts w:eastAsia="ヒラギノ角ゴ Pro W3"/>
          <w:i/>
        </w:rPr>
      </w:pPr>
    </w:p>
    <w:p w14:paraId="03161CC3" w14:textId="6A1D15BD"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The legislature does not conduct </w:t>
      </w:r>
      <w:r>
        <w:t xml:space="preserve">periodic </w:t>
      </w:r>
      <w:r w:rsidRPr="005A497D">
        <w:t xml:space="preserve">committee hearings with </w:t>
      </w:r>
      <w:r>
        <w:t xml:space="preserve">CoA </w:t>
      </w:r>
      <w:r w:rsidRPr="005A497D">
        <w:t xml:space="preserve">representatives to explain observations and findings </w:t>
      </w:r>
      <w:r>
        <w:t>nor</w:t>
      </w:r>
      <w:r w:rsidRPr="005A497D">
        <w:t xml:space="preserve"> the auditee department to seek their explanation and plans of action. </w:t>
      </w:r>
      <w:r>
        <w:t>The Commission on Audit is often invited to attend</w:t>
      </w:r>
      <w:r w:rsidRPr="005A497D">
        <w:t xml:space="preserve"> the budget hearings</w:t>
      </w:r>
      <w:r>
        <w:t xml:space="preserve"> and other special investigations on an ad hoc basis where</w:t>
      </w:r>
      <w:r w:rsidRPr="005A497D">
        <w:t xml:space="preserve"> the latest available audit report is used as a resource</w:t>
      </w:r>
      <w:r>
        <w:t>. T</w:t>
      </w:r>
      <w:r w:rsidRPr="005A497D">
        <w:t xml:space="preserve">here is no regular process in place to systematically </w:t>
      </w:r>
      <w:r w:rsidR="001610D9" w:rsidRPr="005A497D">
        <w:t>receive</w:t>
      </w:r>
      <w:r w:rsidR="001610D9">
        <w:t xml:space="preserve"> and</w:t>
      </w:r>
      <w:r w:rsidR="00F929BB">
        <w:t xml:space="preserve"> </w:t>
      </w:r>
      <w:r w:rsidRPr="005A497D">
        <w:t>scrutinize</w:t>
      </w:r>
      <w:r>
        <w:t>,</w:t>
      </w:r>
      <w:r w:rsidRPr="005A497D">
        <w:t xml:space="preserve"> audit reports. </w:t>
      </w:r>
      <w:r>
        <w:t xml:space="preserve">In the absence of a legal requirement, Dimension 31.2 is </w:t>
      </w:r>
      <w:r w:rsidR="00745A8A">
        <w:t>assessed at “D”.</w:t>
      </w:r>
    </w:p>
    <w:p w14:paraId="44F64B70" w14:textId="77777777" w:rsidR="00745A8A" w:rsidRPr="005A497D" w:rsidRDefault="00745A8A" w:rsidP="00A54133">
      <w:pPr>
        <w:pStyle w:val="NormalWeb2"/>
        <w:spacing w:before="0" w:after="0"/>
        <w:jc w:val="both"/>
      </w:pPr>
    </w:p>
    <w:p w14:paraId="423CC06A" w14:textId="77777777" w:rsidR="00745A8A" w:rsidRDefault="00745A8A" w:rsidP="00306955">
      <w:pPr>
        <w:pStyle w:val="NormalWeb"/>
        <w:autoSpaceDE w:val="0"/>
        <w:autoSpaceDN w:val="0"/>
        <w:adjustRightInd w:val="0"/>
        <w:spacing w:before="0" w:beforeAutospacing="0" w:after="0" w:afterAutospacing="0"/>
        <w:contextualSpacing/>
        <w:jc w:val="both"/>
        <w:rPr>
          <w:rFonts w:eastAsia="ヒラギノ角ゴ Pro W3"/>
          <w:b/>
          <w:i/>
          <w:color w:val="000000"/>
        </w:rPr>
      </w:pPr>
    </w:p>
    <w:p w14:paraId="16BD07FF" w14:textId="49EA72A3" w:rsidR="001762EE" w:rsidRDefault="001762EE" w:rsidP="00306955">
      <w:pPr>
        <w:pStyle w:val="NormalWeb"/>
        <w:autoSpaceDE w:val="0"/>
        <w:autoSpaceDN w:val="0"/>
        <w:adjustRightInd w:val="0"/>
        <w:spacing w:before="0" w:beforeAutospacing="0" w:after="0" w:afterAutospacing="0"/>
        <w:contextualSpacing/>
        <w:jc w:val="both"/>
        <w:rPr>
          <w:rFonts w:eastAsia="ヒラギノ角ゴ Pro W3"/>
          <w:b/>
          <w:i/>
          <w:color w:val="000000"/>
        </w:rPr>
      </w:pPr>
      <w:r w:rsidRPr="0025475E">
        <w:rPr>
          <w:rFonts w:eastAsia="ヒラギノ角ゴ Pro W3"/>
          <w:b/>
          <w:i/>
          <w:color w:val="000000"/>
        </w:rPr>
        <w:t>Dimension 31.3 Recommendations on audit by the legislature</w:t>
      </w:r>
    </w:p>
    <w:p w14:paraId="2FAE7D3F" w14:textId="77777777" w:rsidR="00745A8A" w:rsidRPr="00745A8A" w:rsidRDefault="00745A8A" w:rsidP="00306955">
      <w:pPr>
        <w:pStyle w:val="NormalWeb"/>
        <w:autoSpaceDE w:val="0"/>
        <w:autoSpaceDN w:val="0"/>
        <w:adjustRightInd w:val="0"/>
        <w:spacing w:before="0" w:beforeAutospacing="0" w:after="0" w:afterAutospacing="0"/>
        <w:contextualSpacing/>
        <w:jc w:val="both"/>
        <w:rPr>
          <w:rFonts w:eastAsia="ヒラギノ角ゴ Pro W3"/>
          <w:b/>
          <w:i/>
          <w:color w:val="000000"/>
        </w:rPr>
      </w:pPr>
    </w:p>
    <w:p w14:paraId="3699F03C" w14:textId="7E40FCA2" w:rsidR="001762EE" w:rsidRPr="005A497D"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Since there is no formal review hearing for audit reports by either </w:t>
      </w:r>
      <w:r>
        <w:t>house of Congress,</w:t>
      </w:r>
      <w:r w:rsidRPr="005A497D">
        <w:t xml:space="preserve"> there are no recommended actions requiring follow-up for recommendation. </w:t>
      </w:r>
      <w:r>
        <w:t xml:space="preserve">Dimension 31.3 </w:t>
      </w:r>
      <w:r w:rsidR="00745A8A">
        <w:t>is assessed at “D”.</w:t>
      </w:r>
    </w:p>
    <w:p w14:paraId="4AA20863" w14:textId="77777777" w:rsidR="001762EE" w:rsidRPr="005A497D" w:rsidRDefault="001762EE" w:rsidP="00306955">
      <w:pPr>
        <w:pStyle w:val="NormalWeb"/>
        <w:autoSpaceDE w:val="0"/>
        <w:autoSpaceDN w:val="0"/>
        <w:adjustRightInd w:val="0"/>
        <w:spacing w:before="0" w:beforeAutospacing="0" w:after="0" w:afterAutospacing="0"/>
        <w:contextualSpacing/>
        <w:jc w:val="both"/>
      </w:pPr>
    </w:p>
    <w:p w14:paraId="45288898" w14:textId="4E5DD1A7" w:rsidR="001762EE" w:rsidRPr="0025475E" w:rsidRDefault="001762EE" w:rsidP="00306955">
      <w:pPr>
        <w:pStyle w:val="NormalWeb"/>
        <w:autoSpaceDE w:val="0"/>
        <w:autoSpaceDN w:val="0"/>
        <w:adjustRightInd w:val="0"/>
        <w:spacing w:before="0" w:beforeAutospacing="0" w:after="0" w:afterAutospacing="0"/>
        <w:contextualSpacing/>
        <w:jc w:val="both"/>
        <w:rPr>
          <w:rFonts w:eastAsia="ヒラギノ角ゴ Pro W3"/>
          <w:b/>
          <w:i/>
          <w:color w:val="000000"/>
        </w:rPr>
      </w:pPr>
      <w:r w:rsidRPr="0025475E">
        <w:rPr>
          <w:rFonts w:eastAsia="ヒラギノ角ゴ Pro W3"/>
          <w:b/>
          <w:i/>
          <w:color w:val="000000"/>
        </w:rPr>
        <w:t>Dimension 31.4 Transparency of the legislative scrutiny of audit reports</w:t>
      </w:r>
    </w:p>
    <w:p w14:paraId="62069064" w14:textId="77777777" w:rsidR="001762EE" w:rsidRPr="000A08CF" w:rsidRDefault="001762EE" w:rsidP="00306955">
      <w:pPr>
        <w:pStyle w:val="NormalWeb"/>
        <w:autoSpaceDE w:val="0"/>
        <w:autoSpaceDN w:val="0"/>
        <w:adjustRightInd w:val="0"/>
        <w:spacing w:before="0" w:beforeAutospacing="0" w:after="0" w:afterAutospacing="0"/>
        <w:contextualSpacing/>
        <w:jc w:val="both"/>
        <w:rPr>
          <w:rFonts w:eastAsia="ヒラギノ角ゴ Pro W3"/>
          <w:i/>
          <w:color w:val="000000"/>
        </w:rPr>
      </w:pPr>
    </w:p>
    <w:p w14:paraId="3F0D05C3" w14:textId="1EB157C9" w:rsidR="001762EE" w:rsidRPr="00745A8A" w:rsidRDefault="001762EE" w:rsidP="005A03CD">
      <w:pPr>
        <w:pStyle w:val="NormalWeb"/>
        <w:numPr>
          <w:ilvl w:val="0"/>
          <w:numId w:val="6"/>
        </w:numPr>
        <w:autoSpaceDE w:val="0"/>
        <w:autoSpaceDN w:val="0"/>
        <w:adjustRightInd w:val="0"/>
        <w:spacing w:before="0" w:beforeAutospacing="0" w:after="0" w:afterAutospacing="0"/>
        <w:ind w:left="0" w:firstLine="0"/>
        <w:contextualSpacing/>
        <w:jc w:val="both"/>
      </w:pPr>
      <w:r w:rsidRPr="005A497D">
        <w:t xml:space="preserve">Based </w:t>
      </w:r>
      <w:r>
        <w:t>on there being</w:t>
      </w:r>
      <w:r w:rsidRPr="005A497D">
        <w:t xml:space="preserve"> no committee hearing or committee report on scrutiny of audit reports, the issue of transparency of such function does not arise. </w:t>
      </w:r>
      <w:r>
        <w:t xml:space="preserve">Dimension 31.4 </w:t>
      </w:r>
      <w:r w:rsidR="00745A8A">
        <w:t>is assessed at “D”.</w:t>
      </w:r>
    </w:p>
    <w:p w14:paraId="71A2DBCF" w14:textId="77777777" w:rsidR="001762EE" w:rsidRPr="005A497D" w:rsidRDefault="001762EE" w:rsidP="00306955">
      <w:pPr>
        <w:jc w:val="both"/>
      </w:pPr>
    </w:p>
    <w:p w14:paraId="0FD78977" w14:textId="77777777" w:rsidR="001762EE" w:rsidRPr="005A497D" w:rsidRDefault="001762EE" w:rsidP="00306955">
      <w:pPr>
        <w:jc w:val="both"/>
      </w:pPr>
    </w:p>
    <w:p w14:paraId="5AC1580C" w14:textId="77777777" w:rsidR="001762EE" w:rsidRPr="005A497D" w:rsidRDefault="001762EE" w:rsidP="009A012D">
      <w:pPr>
        <w:rPr>
          <w:b/>
          <w:bCs/>
          <w:color w:val="4F81BD" w:themeColor="accent1"/>
        </w:rPr>
      </w:pPr>
      <w:bookmarkStart w:id="276" w:name="_Toc327949928"/>
      <w:r w:rsidRPr="005A497D">
        <w:br w:type="page"/>
      </w:r>
    </w:p>
    <w:p w14:paraId="465B9894" w14:textId="24A3D498" w:rsidR="001762EE" w:rsidRPr="005A497D" w:rsidRDefault="001762EE" w:rsidP="009A012D">
      <w:pPr>
        <w:pStyle w:val="Heading2"/>
        <w:rPr>
          <w:rFonts w:ascii="Times New Roman" w:hAnsi="Times New Roman"/>
          <w:sz w:val="32"/>
          <w:szCs w:val="32"/>
        </w:rPr>
      </w:pPr>
      <w:bookmarkStart w:id="277" w:name="_Toc454811725"/>
      <w:bookmarkStart w:id="278" w:name="_Toc454888869"/>
      <w:bookmarkEnd w:id="276"/>
      <w:r w:rsidRPr="005A497D">
        <w:rPr>
          <w:rFonts w:ascii="Times New Roman" w:hAnsi="Times New Roman"/>
          <w:sz w:val="32"/>
          <w:szCs w:val="32"/>
        </w:rPr>
        <w:t>Chapter 4</w:t>
      </w:r>
      <w:r>
        <w:rPr>
          <w:rFonts w:ascii="Times New Roman" w:hAnsi="Times New Roman"/>
          <w:sz w:val="32"/>
          <w:szCs w:val="32"/>
        </w:rPr>
        <w:t>.</w:t>
      </w:r>
      <w:r w:rsidRPr="005A497D">
        <w:rPr>
          <w:rFonts w:ascii="Times New Roman" w:hAnsi="Times New Roman"/>
          <w:sz w:val="32"/>
          <w:szCs w:val="32"/>
        </w:rPr>
        <w:t xml:space="preserve"> </w:t>
      </w:r>
      <w:r>
        <w:rPr>
          <w:rFonts w:ascii="Times New Roman" w:hAnsi="Times New Roman"/>
          <w:sz w:val="32"/>
          <w:szCs w:val="32"/>
        </w:rPr>
        <w:t xml:space="preserve">Conclusions of the </w:t>
      </w:r>
      <w:r w:rsidRPr="005A497D">
        <w:rPr>
          <w:rFonts w:ascii="Times New Roman" w:hAnsi="Times New Roman"/>
          <w:sz w:val="32"/>
          <w:szCs w:val="32"/>
        </w:rPr>
        <w:t xml:space="preserve">Analysis of </w:t>
      </w:r>
      <w:r>
        <w:rPr>
          <w:rFonts w:ascii="Times New Roman" w:hAnsi="Times New Roman"/>
          <w:sz w:val="32"/>
          <w:szCs w:val="32"/>
        </w:rPr>
        <w:t xml:space="preserve">PFM </w:t>
      </w:r>
      <w:r w:rsidRPr="005A497D">
        <w:rPr>
          <w:rFonts w:ascii="Times New Roman" w:hAnsi="Times New Roman"/>
          <w:sz w:val="32"/>
          <w:szCs w:val="32"/>
        </w:rPr>
        <w:t>Systems</w:t>
      </w:r>
      <w:bookmarkEnd w:id="277"/>
      <w:bookmarkEnd w:id="278"/>
    </w:p>
    <w:p w14:paraId="42F945E6" w14:textId="77777777" w:rsidR="001762EE" w:rsidRPr="005A497D" w:rsidRDefault="001762EE" w:rsidP="009A012D">
      <w:pPr>
        <w:pStyle w:val="Default"/>
      </w:pPr>
    </w:p>
    <w:p w14:paraId="63E6FC81" w14:textId="40D9F641" w:rsidR="001762EE" w:rsidRPr="00F427D6"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Chapter 4</w:t>
      </w:r>
      <w:r w:rsidRPr="00505A05">
        <w:t xml:space="preserve"> provides an integrated analysis on the basis of the information presented in th</w:t>
      </w:r>
      <w:r>
        <w:t xml:space="preserve">e preceding </w:t>
      </w:r>
      <w:r w:rsidR="00F929BB">
        <w:t>C</w:t>
      </w:r>
      <w:r>
        <w:t xml:space="preserve">hapters 2 and 3 </w:t>
      </w:r>
      <w:r w:rsidRPr="00ED4D9C">
        <w:t>and state</w:t>
      </w:r>
      <w:r>
        <w:t>s</w:t>
      </w:r>
      <w:r w:rsidRPr="00ED4D9C">
        <w:t xml:space="preserve"> overall conclusions on the performance of PFM systems. In particular, the analysis </w:t>
      </w:r>
      <w:r w:rsidRPr="00505A05">
        <w:t xml:space="preserve">assesses how the performance of PFM systems may impact the </w:t>
      </w:r>
      <w:r>
        <w:t xml:space="preserve">Government’s </w:t>
      </w:r>
      <w:r w:rsidRPr="00505A05">
        <w:t>ability to deliver intended fiscal and budgetary outcomes</w:t>
      </w:r>
      <w:r w:rsidRPr="006A3713">
        <w:t>. T</w:t>
      </w:r>
      <w:r w:rsidRPr="00F427D6">
        <w:t>he most important systemic weaknesses are identified in that respect</w:t>
      </w:r>
      <w:r w:rsidRPr="005A497D">
        <w:t>.</w:t>
      </w:r>
      <w:r w:rsidRPr="00610BCD">
        <w:t xml:space="preserve"> </w:t>
      </w:r>
    </w:p>
    <w:p w14:paraId="2F71C784" w14:textId="77777777" w:rsidR="001762EE" w:rsidRPr="005A497D" w:rsidRDefault="001762EE" w:rsidP="00346486">
      <w:pPr>
        <w:pStyle w:val="ListParagraph"/>
        <w:tabs>
          <w:tab w:val="left" w:pos="720"/>
        </w:tabs>
        <w:autoSpaceDE w:val="0"/>
        <w:autoSpaceDN w:val="0"/>
        <w:adjustRightInd w:val="0"/>
        <w:spacing w:after="0" w:line="240" w:lineRule="auto"/>
        <w:ind w:left="0" w:firstLine="0"/>
        <w:jc w:val="both"/>
      </w:pPr>
    </w:p>
    <w:p w14:paraId="3AFFE6F3" w14:textId="02929165" w:rsidR="001762EE" w:rsidRDefault="001762EE" w:rsidP="00346486">
      <w:pPr>
        <w:pStyle w:val="Heading3"/>
      </w:pPr>
      <w:bookmarkStart w:id="279" w:name="_Toc454811726"/>
      <w:bookmarkStart w:id="280" w:name="_Toc454888870"/>
      <w:r w:rsidRPr="005A497D">
        <w:t xml:space="preserve">4.1 Integrated </w:t>
      </w:r>
      <w:r>
        <w:t>a</w:t>
      </w:r>
      <w:r w:rsidRPr="005A497D">
        <w:t xml:space="preserve">ssessment </w:t>
      </w:r>
      <w:r>
        <w:t>of PFM performance</w:t>
      </w:r>
      <w:bookmarkEnd w:id="279"/>
      <w:bookmarkEnd w:id="280"/>
    </w:p>
    <w:p w14:paraId="064BC382" w14:textId="77777777" w:rsidR="001762EE" w:rsidRPr="00B34B88" w:rsidRDefault="001762EE" w:rsidP="00346486"/>
    <w:p w14:paraId="239813CA" w14:textId="35E29DF8" w:rsidR="001762EE" w:rsidRPr="00ED4D9C"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ED4D9C">
        <w:rPr>
          <w:lang w:val="en-AU"/>
        </w:rPr>
        <w:t>Th</w:t>
      </w:r>
      <w:r>
        <w:rPr>
          <w:lang w:val="en-AU"/>
        </w:rPr>
        <w:t xml:space="preserve">is section shows the </w:t>
      </w:r>
      <w:r w:rsidRPr="00ED4D9C">
        <w:rPr>
          <w:lang w:val="en-AU"/>
        </w:rPr>
        <w:t xml:space="preserve">implications </w:t>
      </w:r>
      <w:r>
        <w:rPr>
          <w:lang w:val="en-AU"/>
        </w:rPr>
        <w:t xml:space="preserve">of the assessment </w:t>
      </w:r>
      <w:r w:rsidRPr="00ED4D9C">
        <w:rPr>
          <w:lang w:val="en-AU"/>
        </w:rPr>
        <w:t>for the seven pillars of PFM performance</w:t>
      </w:r>
      <w:r>
        <w:rPr>
          <w:lang w:val="en-AU"/>
        </w:rPr>
        <w:t>:  b</w:t>
      </w:r>
      <w:r w:rsidRPr="00ED4D9C">
        <w:rPr>
          <w:lang w:val="en-AU"/>
        </w:rPr>
        <w:t>udget reliability</w:t>
      </w:r>
      <w:r>
        <w:rPr>
          <w:lang w:val="en-AU"/>
        </w:rPr>
        <w:t>, t</w:t>
      </w:r>
      <w:r w:rsidRPr="005B28B1">
        <w:rPr>
          <w:lang w:val="en-AU"/>
        </w:rPr>
        <w:t>ransparency of public finances</w:t>
      </w:r>
      <w:r>
        <w:rPr>
          <w:lang w:val="en-AU"/>
        </w:rPr>
        <w:t>, m</w:t>
      </w:r>
      <w:r w:rsidRPr="005B28B1">
        <w:rPr>
          <w:lang w:val="en-AU"/>
        </w:rPr>
        <w:t>anagement of assets and liabilities</w:t>
      </w:r>
      <w:r>
        <w:rPr>
          <w:lang w:val="en-AU"/>
        </w:rPr>
        <w:t>, p</w:t>
      </w:r>
      <w:r w:rsidRPr="00FD46E5">
        <w:rPr>
          <w:lang w:val="en-AU"/>
        </w:rPr>
        <w:t>olicy-based fiscal strategy and budgeting</w:t>
      </w:r>
      <w:r>
        <w:rPr>
          <w:lang w:val="en-AU"/>
        </w:rPr>
        <w:t>, p</w:t>
      </w:r>
      <w:r w:rsidRPr="00FD46E5">
        <w:rPr>
          <w:lang w:val="en-AU"/>
        </w:rPr>
        <w:t>redictability and control in budget execution</w:t>
      </w:r>
      <w:r>
        <w:rPr>
          <w:lang w:val="en-AU"/>
        </w:rPr>
        <w:t>, a</w:t>
      </w:r>
      <w:r w:rsidRPr="00FD46E5">
        <w:rPr>
          <w:lang w:val="en-AU"/>
        </w:rPr>
        <w:t>ccounting and reporting</w:t>
      </w:r>
      <w:r>
        <w:rPr>
          <w:lang w:val="en-AU"/>
        </w:rPr>
        <w:t>, and e</w:t>
      </w:r>
      <w:r w:rsidRPr="00FD46E5">
        <w:rPr>
          <w:lang w:val="en-AU"/>
        </w:rPr>
        <w:t>xternal scrutiny and audit</w:t>
      </w:r>
      <w:r>
        <w:rPr>
          <w:lang w:val="en-AU"/>
        </w:rPr>
        <w:t xml:space="preserve">. </w:t>
      </w:r>
    </w:p>
    <w:p w14:paraId="1C3C03C0" w14:textId="77777777" w:rsidR="001762EE" w:rsidRPr="00BC6B0F" w:rsidRDefault="001762EE" w:rsidP="00346486">
      <w:pPr>
        <w:pStyle w:val="ListParagraph"/>
        <w:tabs>
          <w:tab w:val="left" w:pos="720"/>
        </w:tabs>
        <w:autoSpaceDE w:val="0"/>
        <w:autoSpaceDN w:val="0"/>
        <w:adjustRightInd w:val="0"/>
        <w:spacing w:after="0" w:line="240" w:lineRule="auto"/>
        <w:ind w:left="0" w:firstLine="0"/>
        <w:jc w:val="both"/>
      </w:pPr>
    </w:p>
    <w:p w14:paraId="4568AEA6" w14:textId="293B9A52" w:rsidR="001762EE" w:rsidRPr="00ED4D9C"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lang w:val="en-AU"/>
        </w:rPr>
        <w:t>Pillar I, Budget reliability.</w:t>
      </w:r>
      <w:r>
        <w:rPr>
          <w:lang w:val="en-AU"/>
        </w:rPr>
        <w:t xml:space="preserve"> </w:t>
      </w:r>
      <w:r w:rsidRPr="003207BC">
        <w:rPr>
          <w:lang w:val="en-AU"/>
        </w:rPr>
        <w:t xml:space="preserve">The </w:t>
      </w:r>
      <w:r>
        <w:rPr>
          <w:lang w:val="en-AU"/>
        </w:rPr>
        <w:t xml:space="preserve">extent to which the </w:t>
      </w:r>
      <w:r w:rsidRPr="003207BC">
        <w:rPr>
          <w:lang w:val="en-AU"/>
        </w:rPr>
        <w:t>government budget is realistic and implemented as intended is measured by comparing actual revenue and expenditure with the original budget.</w:t>
      </w:r>
      <w:r>
        <w:rPr>
          <w:lang w:val="en-AU"/>
        </w:rPr>
        <w:t xml:space="preserve"> At the overall-level aggregate revenue prediction proved to be reliable, but not for the individual taxes. There was substantial under-performance in collections for taxes on goods and services and taxes for income, profit, and capital gains. Unreliable revenue estimating has substantial effects for the Government’s ability to deliver services and the indicator analysis showed that higher than budgeted collections for taxes on exports, and other non-tax proceeds, including remittances, provided balance for the revenue budget. This performance does not provide stability for confident revenue prediction and the revenue prediction processes in </w:t>
      </w:r>
      <w:r w:rsidRPr="003B64EF">
        <w:t xml:space="preserve">the Bureau of Internal Revenue and </w:t>
      </w:r>
      <w:r>
        <w:t xml:space="preserve">the </w:t>
      </w:r>
      <w:r w:rsidRPr="003B64EF">
        <w:t xml:space="preserve">Bureau of Customs </w:t>
      </w:r>
      <w:r>
        <w:t>merit further development.</w:t>
      </w:r>
    </w:p>
    <w:p w14:paraId="5C00DE3C"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285A8C06" w14:textId="3786B573"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Budget reliability at the overall level between budget allotment</w:t>
      </w:r>
      <w:r w:rsidR="00F929BB">
        <w:t>s</w:t>
      </w:r>
      <w:r>
        <w:t xml:space="preserve"> and obligations incurred was reasonable although </w:t>
      </w:r>
      <w:r w:rsidRPr="00D57E44">
        <w:t>the difference between allotment</w:t>
      </w:r>
      <w:r w:rsidR="00F929BB">
        <w:t>s</w:t>
      </w:r>
      <w:r w:rsidRPr="00D57E44">
        <w:t xml:space="preserve"> and obligations incurred increased</w:t>
      </w:r>
      <w:r>
        <w:t xml:space="preserve"> through 2012, 2013, and 2014. For </w:t>
      </w:r>
      <w:r w:rsidRPr="00BA48E8">
        <w:t xml:space="preserve">the </w:t>
      </w:r>
      <w:r>
        <w:t>Government</w:t>
      </w:r>
      <w:r w:rsidRPr="00BA48E8">
        <w:t xml:space="preserve">’s ability to pursue its policy objectives, as intended </w:t>
      </w:r>
      <w:r>
        <w:t>by</w:t>
      </w:r>
      <w:r w:rsidRPr="00BA48E8">
        <w:t xml:space="preserve"> the budget</w:t>
      </w:r>
      <w:r>
        <w:t xml:space="preserve"> allotments for </w:t>
      </w:r>
      <w:r w:rsidRPr="00BA48E8">
        <w:t>departments and agencies</w:t>
      </w:r>
      <w:r>
        <w:t>, performance was also less reasonable</w:t>
      </w:r>
      <w:r w:rsidRPr="00975BD9">
        <w:rPr>
          <w:rFonts w:eastAsia="Times New Roman"/>
        </w:rPr>
        <w:t xml:space="preserve"> </w:t>
      </w:r>
      <w:r w:rsidRPr="00975BD9">
        <w:t>with expenditure outturn by function and by economic type varying substantially from budget</w:t>
      </w:r>
      <w:r>
        <w:t>.</w:t>
      </w:r>
      <w:r w:rsidRPr="00975BD9">
        <w:t xml:space="preserve"> </w:t>
      </w:r>
      <w:r>
        <w:t xml:space="preserve"> Using</w:t>
      </w:r>
      <w:r w:rsidRPr="00880DE2">
        <w:t xml:space="preserve"> continuing appropriations </w:t>
      </w:r>
      <w:r>
        <w:t xml:space="preserve">that </w:t>
      </w:r>
      <w:r w:rsidRPr="00880DE2">
        <w:t>are difficult to identify separately in the accounting system</w:t>
      </w:r>
      <w:r>
        <w:t xml:space="preserve"> reduces the clarity of the budget because </w:t>
      </w:r>
      <w:r w:rsidRPr="00880DE2">
        <w:t>the expenditures remaining are not disaggregated between those covered by the current year appropriations and those incurred against continuing appropriations from previous years</w:t>
      </w:r>
      <w:r>
        <w:t>. The present degree of budget reliability does not provide the Government with a budget that is reliable enough to provide fiscal discipline and for agencies to plan the effective provision of services. The budget preparation arrangements need to be reviewed against best practices for budget clarity.</w:t>
      </w:r>
    </w:p>
    <w:p w14:paraId="34BA8F0F"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740EF3DC" w14:textId="07007152" w:rsidR="001762EE" w:rsidRPr="006A3713"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Pillar II</w:t>
      </w:r>
      <w:r w:rsidRPr="004521BD">
        <w:rPr>
          <w:b/>
        </w:rPr>
        <w:t>,</w:t>
      </w:r>
      <w:r w:rsidRPr="0025475E">
        <w:rPr>
          <w:b/>
        </w:rPr>
        <w:t xml:space="preserve"> Transparency</w:t>
      </w:r>
      <w:r w:rsidRPr="008B1E0E">
        <w:t>.</w:t>
      </w:r>
      <w:r>
        <w:t xml:space="preserve"> </w:t>
      </w:r>
      <w:r w:rsidRPr="00817FBF">
        <w:t>Information on public financial management is comprehensive, consistent, and accessible to users. This is achieved through comprehensive budget classification</w:t>
      </w:r>
      <w:r>
        <w:t>;</w:t>
      </w:r>
      <w:r w:rsidRPr="00817FBF">
        <w:t xml:space="preserve"> transparency of all government revenue and expenditure</w:t>
      </w:r>
      <w:r>
        <w:t>,</w:t>
      </w:r>
      <w:r w:rsidRPr="00817FBF">
        <w:t xml:space="preserve"> including intergovernmental transfers</w:t>
      </w:r>
      <w:r>
        <w:t>;</w:t>
      </w:r>
      <w:r w:rsidRPr="00817FBF">
        <w:t xml:space="preserve"> publi</w:t>
      </w:r>
      <w:r>
        <w:t xml:space="preserve">cation of </w:t>
      </w:r>
      <w:r w:rsidRPr="00817FBF">
        <w:t>information on service delivery performance</w:t>
      </w:r>
      <w:r>
        <w:t>;</w:t>
      </w:r>
      <w:r w:rsidRPr="00817FBF">
        <w:t xml:space="preserve"> and ready </w:t>
      </w:r>
      <w:r>
        <w:t xml:space="preserve">public </w:t>
      </w:r>
      <w:r w:rsidRPr="00817FBF">
        <w:t>access to fiscal and budget documentation.</w:t>
      </w:r>
      <w:r>
        <w:t xml:space="preserve"> </w:t>
      </w:r>
      <w:r w:rsidRPr="00F427D6">
        <w:t>Transparency helps</w:t>
      </w:r>
      <w:r w:rsidRPr="008D0B65">
        <w:t xml:space="preserve"> operations to</w:t>
      </w:r>
      <w:r w:rsidRPr="004174C0">
        <w:t xml:space="preserve"> take</w:t>
      </w:r>
      <w:r w:rsidRPr="00ED4D9C">
        <w:t xml:space="preserve"> place within the government fiscal policy framework</w:t>
      </w:r>
      <w:r>
        <w:t xml:space="preserve"> </w:t>
      </w:r>
      <w:r w:rsidRPr="006A3713">
        <w:t>under</w:t>
      </w:r>
      <w:r w:rsidRPr="00F427D6">
        <w:t xml:space="preserve"> adequate budget management and reporting arrangements. The Unified Accounts Code Structure </w:t>
      </w:r>
      <w:r w:rsidRPr="008D0B65">
        <w:t xml:space="preserve">initiated in 2014 </w:t>
      </w:r>
      <w:r w:rsidRPr="004174C0">
        <w:t xml:space="preserve">is a major step toward a classification system </w:t>
      </w:r>
      <w:r>
        <w:t>to</w:t>
      </w:r>
      <w:r w:rsidRPr="006A3713">
        <w:t xml:space="preserve"> track</w:t>
      </w:r>
      <w:r>
        <w:t xml:space="preserve"> transactions</w:t>
      </w:r>
      <w:r w:rsidRPr="006A3713">
        <w:t xml:space="preserve"> through the budg</w:t>
      </w:r>
      <w:r w:rsidRPr="00F427D6">
        <w:t>et cycle according to administrative, economic</w:t>
      </w:r>
      <w:r>
        <w:t>,</w:t>
      </w:r>
      <w:r w:rsidRPr="00F427D6">
        <w:t xml:space="preserve"> </w:t>
      </w:r>
      <w:r>
        <w:t xml:space="preserve">and program </w:t>
      </w:r>
      <w:r w:rsidRPr="006A3713">
        <w:t>categor</w:t>
      </w:r>
      <w:r>
        <w:t xml:space="preserve">ies as per </w:t>
      </w:r>
      <w:r w:rsidRPr="00D12CFF">
        <w:t>GFS/COFOG standards</w:t>
      </w:r>
      <w:r>
        <w:t>.  Currently, reporting by agencies is not yet fully compliant with the new system. The documentation provided to the legislature with the budget is sufficiently comprehensive to rate reasonably well on the PEFA indicator, but more information on fiscal risks and the budget implications of new policy initiatives</w:t>
      </w:r>
      <w:r w:rsidRPr="00187CA2">
        <w:t xml:space="preserve"> and major new public investments</w:t>
      </w:r>
      <w:r>
        <w:t xml:space="preserve"> will provide capacity for better fiscal discipline. </w:t>
      </w:r>
    </w:p>
    <w:p w14:paraId="7CAE2EB6"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4142FC9F" w14:textId="648446F0"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Any failures in reporting</w:t>
      </w:r>
      <w:r w:rsidRPr="00C87E31">
        <w:t xml:space="preserve"> </w:t>
      </w:r>
      <w:r>
        <w:t xml:space="preserve">of </w:t>
      </w:r>
      <w:r w:rsidRPr="00C87E31">
        <w:t xml:space="preserve">government </w:t>
      </w:r>
      <w:r>
        <w:t>activitie</w:t>
      </w:r>
      <w:r w:rsidRPr="00C87E31">
        <w:t>s</w:t>
      </w:r>
      <w:r>
        <w:t xml:space="preserve"> detract from</w:t>
      </w:r>
      <w:r w:rsidRPr="00C87E31">
        <w:t xml:space="preserve"> efficient allocation of resources </w:t>
      </w:r>
      <w:r>
        <w:t>and</w:t>
      </w:r>
      <w:r w:rsidRPr="00C87E31">
        <w:t xml:space="preserve"> fiscal </w:t>
      </w:r>
      <w:r>
        <w:t xml:space="preserve">discipline. The Government performs well on PFM indicators covering </w:t>
      </w:r>
      <w:r w:rsidRPr="003F7E4E">
        <w:t>the extent to which government revenue and expenditure are reported outside central government financial reports</w:t>
      </w:r>
      <w:r>
        <w:t xml:space="preserve"> and on the indicators covering </w:t>
      </w:r>
      <w:r w:rsidRPr="003F7E4E">
        <w:t>transfers to subnational government</w:t>
      </w:r>
      <w:r>
        <w:t xml:space="preserve">s. The Government assures full reporting through </w:t>
      </w:r>
      <w:r w:rsidRPr="00C87E31">
        <w:t>Administ</w:t>
      </w:r>
      <w:r>
        <w:t>rative Code Executive Order</w:t>
      </w:r>
      <w:r w:rsidRPr="00C87E31">
        <w:t xml:space="preserve"> 292</w:t>
      </w:r>
      <w:r>
        <w:t>,</w:t>
      </w:r>
      <w:r w:rsidRPr="00C87E31">
        <w:t xml:space="preserve"> </w:t>
      </w:r>
      <w:r>
        <w:t xml:space="preserve">which </w:t>
      </w:r>
      <w:r w:rsidRPr="00C87E31">
        <w:t>provides that all income and revenues of the government must accrue to the General Fund under the “one-fund” concept</w:t>
      </w:r>
      <w:r>
        <w:t xml:space="preserve">. </w:t>
      </w:r>
      <w:r w:rsidRPr="00C87E31">
        <w:t>The transactions are reported and disclosed in the annual audited report</w:t>
      </w:r>
      <w:r>
        <w:t xml:space="preserve">s of the national government agencies. </w:t>
      </w:r>
      <w:r w:rsidRPr="00FF2C97">
        <w:t xml:space="preserve">Resources </w:t>
      </w:r>
      <w:r>
        <w:t>that are</w:t>
      </w:r>
      <w:r w:rsidRPr="00FF2C97">
        <w:t xml:space="preserve"> transferred to </w:t>
      </w:r>
      <w:r>
        <w:t>local government unit</w:t>
      </w:r>
      <w:r w:rsidRPr="00FF2C97">
        <w:t xml:space="preserve">s </w:t>
      </w:r>
      <w:r>
        <w:t>are allocated according to</w:t>
      </w:r>
      <w:r w:rsidRPr="00FF2C97">
        <w:t xml:space="preserve"> clearly defined rules</w:t>
      </w:r>
      <w:r>
        <w:t xml:space="preserve"> managed by the Department of Budget and Management. T</w:t>
      </w:r>
      <w:r w:rsidRPr="00FF2C97">
        <w:t xml:space="preserve">he year-end </w:t>
      </w:r>
      <w:r>
        <w:t>Annual Financial Report prepared by the Commission on Audit for submission to the President and the Congres</w:t>
      </w:r>
      <w:r w:rsidRPr="006A3713">
        <w:t xml:space="preserve">s </w:t>
      </w:r>
      <w:r w:rsidRPr="00ED4D9C">
        <w:t>consolidates the revenue and expenditure fiscal dat</w:t>
      </w:r>
      <w:r>
        <w:t xml:space="preserve">a. </w:t>
      </w:r>
    </w:p>
    <w:p w14:paraId="41E22705"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3CA9E3E7" w14:textId="4655DA71" w:rsidR="001762EE" w:rsidRPr="00F87F7C" w:rsidRDefault="001762EE" w:rsidP="0025475E">
      <w:pPr>
        <w:pStyle w:val="ListParagraph"/>
        <w:numPr>
          <w:ilvl w:val="0"/>
          <w:numId w:val="8"/>
        </w:numPr>
        <w:tabs>
          <w:tab w:val="left" w:pos="720"/>
        </w:tabs>
        <w:autoSpaceDE w:val="0"/>
        <w:autoSpaceDN w:val="0"/>
        <w:adjustRightInd w:val="0"/>
        <w:spacing w:after="0" w:line="240" w:lineRule="auto"/>
        <w:ind w:left="0" w:firstLine="0"/>
        <w:jc w:val="both"/>
      </w:pPr>
      <w:r>
        <w:t xml:space="preserve">Effective budget execution requires that the Government receive comprehensive and accurate information on service delivery as per the intentions of the budget. </w:t>
      </w:r>
      <w:r w:rsidRPr="00B9111D">
        <w:t>Th</w:t>
      </w:r>
      <w:r>
        <w:t>e PEFA performance</w:t>
      </w:r>
      <w:r w:rsidRPr="00B9111D">
        <w:t xml:space="preserve"> indicator examines the extent to which information on resources received by service delivery units is collected</w:t>
      </w:r>
      <w:r>
        <w:t xml:space="preserve">, </w:t>
      </w:r>
      <w:r w:rsidRPr="00B9111D">
        <w:t>recorded</w:t>
      </w:r>
      <w:r>
        <w:t xml:space="preserve">, and reported in </w:t>
      </w:r>
      <w:r w:rsidRPr="00B9111D">
        <w:t xml:space="preserve">year-end reports. </w:t>
      </w:r>
      <w:r>
        <w:t>The indicator also looks for verification through</w:t>
      </w:r>
      <w:r w:rsidRPr="00B9111D">
        <w:t xml:space="preserve"> performance audits or evaluations. </w:t>
      </w:r>
      <w:r w:rsidRPr="00876972">
        <w:t xml:space="preserve">This indicator focuses on the availability, coverage, and timeliness of performance information on the delivery of public services and on the extent to which such information is likely to promote improvements in the effectiveness and operational efficiency of those services. It is also important for the legislature, government officials, and the general public to know whether budget resources reach service delivery units as planned. </w:t>
      </w:r>
      <w:r>
        <w:t xml:space="preserve">There are substantial difficulties for agencies in achieving good results in this area because of manual reporting processes. </w:t>
      </w:r>
      <w:r w:rsidRPr="00887241">
        <w:t xml:space="preserve">Performance results are </w:t>
      </w:r>
      <w:r>
        <w:t xml:space="preserve">intended to be </w:t>
      </w:r>
      <w:r w:rsidRPr="00887241">
        <w:t xml:space="preserve">shown in the </w:t>
      </w:r>
      <w:r>
        <w:t>a</w:t>
      </w:r>
      <w:r w:rsidRPr="00887241">
        <w:t xml:space="preserve">gency </w:t>
      </w:r>
      <w:r>
        <w:t xml:space="preserve">annual audit reports; but of </w:t>
      </w:r>
      <w:r w:rsidRPr="00887241">
        <w:t xml:space="preserve">the main service delivery functions, only Education presents performance results </w:t>
      </w:r>
      <w:r>
        <w:t>that</w:t>
      </w:r>
      <w:r w:rsidRPr="00887241">
        <w:t xml:space="preserve"> are comparable to the targets.</w:t>
      </w:r>
      <w:r>
        <w:t xml:space="preserve"> </w:t>
      </w:r>
      <w:r w:rsidRPr="00B848E8">
        <w:t>Delays in receipt of intended resources by service delivery units is not uncommon and is a fact noted in CoA audit reports. This is further exacerbated by the often incomplete and unreliable records in the field offices. The lack of an integrated computerized system contributes to the difficulty in consolidating and reporting information in a timely manner. Reconciliations between the records of the recipient unit and the downloading entity are often delayed</w:t>
      </w:r>
      <w:r w:rsidR="00A441B6">
        <w:t>.</w:t>
      </w:r>
      <w:r w:rsidRPr="00887241">
        <w:t xml:space="preserve"> </w:t>
      </w:r>
      <w:r>
        <w:t xml:space="preserve">These deficiencies constitute a major continuing PFM impediment and can only be addressed through developing a comprehensive, distributed, integrated accounting and performance information system. Such an investment would provide substantial returns in improvements in fiscal discipline and efficient service delivery against government intentions for its programs. </w:t>
      </w:r>
      <w:r w:rsidRPr="008D0B65">
        <w:rPr>
          <w:iCs/>
        </w:rPr>
        <w:t xml:space="preserve">The need for a </w:t>
      </w:r>
      <w:r w:rsidRPr="008D0B65">
        <w:t xml:space="preserve">government integrated financial management information system (GIFMIS) </w:t>
      </w:r>
      <w:r>
        <w:t>has been under consideration by the Government since 2009 and a PFM Committee is continuing the process. A project was awarded in November 2015 for a Budget and Treasury Management System as a scaled-down version of the eventual GIFMIS. It would be appropriate for continuing appraisals of the development of these systems to consider how the initial system and its extensions may rectify the deficiencies noted in this report.</w:t>
      </w:r>
    </w:p>
    <w:p w14:paraId="5C98F952"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73A1A7E9" w14:textId="345DAC0A"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EB5D34">
        <w:t xml:space="preserve">Fiscal transparency </w:t>
      </w:r>
      <w:r>
        <w:t xml:space="preserve">also </w:t>
      </w:r>
      <w:r w:rsidRPr="00EB5D34">
        <w:t>depends on whether information on government fiscal plans, positions, and performance is easily accessible to the general public</w:t>
      </w:r>
      <w:r>
        <w:t xml:space="preserve">. </w:t>
      </w:r>
      <w:r w:rsidRPr="00EB5D34">
        <w:t xml:space="preserve">The </w:t>
      </w:r>
      <w:r>
        <w:t>Government</w:t>
      </w:r>
      <w:r w:rsidRPr="00EB5D34">
        <w:t xml:space="preserve"> makes available to the public all the five basic elements and additional four elements of information</w:t>
      </w:r>
      <w:r>
        <w:t xml:space="preserve"> required by the PEFA indicator</w:t>
      </w:r>
      <w:r w:rsidRPr="00EB5D34">
        <w:t xml:space="preserve">, but the </w:t>
      </w:r>
      <w:r>
        <w:t xml:space="preserve">desired </w:t>
      </w:r>
      <w:r w:rsidRPr="00EB5D34">
        <w:t>timeframe</w:t>
      </w:r>
      <w:r>
        <w:t>s</w:t>
      </w:r>
      <w:r w:rsidRPr="00EB5D34">
        <w:t xml:space="preserve"> for in-year and annual budget execution reports </w:t>
      </w:r>
      <w:r>
        <w:t>are</w:t>
      </w:r>
      <w:r w:rsidRPr="00EB5D34">
        <w:t xml:space="preserve"> not met.</w:t>
      </w:r>
      <w:r>
        <w:t xml:space="preserve"> Accurate, comprehensive, i</w:t>
      </w:r>
      <w:r w:rsidRPr="00EB5D34">
        <w:t>n-year budget execution reports</w:t>
      </w:r>
      <w:r>
        <w:t xml:space="preserve"> should</w:t>
      </w:r>
      <w:r w:rsidRPr="00EB5D34">
        <w:t xml:space="preserve"> routinely</w:t>
      </w:r>
      <w:r>
        <w:t xml:space="preserve"> be</w:t>
      </w:r>
      <w:r w:rsidRPr="00EB5D34">
        <w:t xml:space="preserve"> made available to the public within one month of their issuance</w:t>
      </w:r>
      <w:r>
        <w:t>. Greater transparency on budget execution would be assisted by development of a more comprehensive accounting system.</w:t>
      </w:r>
    </w:p>
    <w:p w14:paraId="1BB38FC8" w14:textId="77777777" w:rsidR="001762EE" w:rsidRPr="008B1E0E" w:rsidRDefault="001762EE" w:rsidP="00346486">
      <w:pPr>
        <w:pStyle w:val="ListParagraph"/>
        <w:tabs>
          <w:tab w:val="left" w:pos="720"/>
        </w:tabs>
        <w:autoSpaceDE w:val="0"/>
        <w:autoSpaceDN w:val="0"/>
        <w:adjustRightInd w:val="0"/>
        <w:spacing w:after="0" w:line="240" w:lineRule="auto"/>
        <w:ind w:left="0" w:firstLine="0"/>
        <w:jc w:val="both"/>
      </w:pPr>
      <w:r>
        <w:t xml:space="preserve"> </w:t>
      </w:r>
    </w:p>
    <w:p w14:paraId="529FA221" w14:textId="0DDBF2CA"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Pillar III, Management of assets and liabilities.</w:t>
      </w:r>
      <w:r>
        <w:t xml:space="preserve"> The Government has a number of arrangements in place for the e</w:t>
      </w:r>
      <w:r w:rsidRPr="00C57014">
        <w:t>ffective management of assets and liabilities</w:t>
      </w:r>
      <w:r>
        <w:t>. Broadly, these</w:t>
      </w:r>
      <w:r w:rsidRPr="00C57014">
        <w:t xml:space="preserve"> </w:t>
      </w:r>
      <w:r>
        <w:t xml:space="preserve">are to </w:t>
      </w:r>
      <w:r w:rsidRPr="00C57014">
        <w:t>ensure that public investments provide value for money</w:t>
      </w:r>
      <w:r>
        <w:t>;</w:t>
      </w:r>
      <w:r w:rsidRPr="00C57014">
        <w:t xml:space="preserve"> assets are recorded and managed</w:t>
      </w:r>
      <w:r>
        <w:t xml:space="preserve">; </w:t>
      </w:r>
      <w:r w:rsidRPr="00C57014">
        <w:t>fiscal risks are identified</w:t>
      </w:r>
      <w:r>
        <w:t>;</w:t>
      </w:r>
      <w:r w:rsidRPr="00C57014">
        <w:t xml:space="preserve"> and debts and guarantees </w:t>
      </w:r>
      <w:r>
        <w:t>are prudently planned, approved,</w:t>
      </w:r>
      <w:r w:rsidRPr="00C57014">
        <w:t xml:space="preserve"> and monitored.</w:t>
      </w:r>
      <w:r>
        <w:t xml:space="preserve"> M</w:t>
      </w:r>
      <w:r w:rsidRPr="00957CC0">
        <w:t>onitor</w:t>
      </w:r>
      <w:r>
        <w:t>ing of</w:t>
      </w:r>
      <w:r w:rsidRPr="00957CC0">
        <w:t xml:space="preserve"> </w:t>
      </w:r>
      <w:r>
        <w:t xml:space="preserve">the </w:t>
      </w:r>
      <w:r w:rsidRPr="00957CC0">
        <w:t xml:space="preserve">financial positions of subnational governments </w:t>
      </w:r>
      <w:r>
        <w:t>and</w:t>
      </w:r>
      <w:r w:rsidRPr="00957CC0">
        <w:t xml:space="preserve"> public corporations</w:t>
      </w:r>
      <w:r>
        <w:t xml:space="preserve"> is achieved through publication of audited annual financial statements on a reasonably timely basis, although of the large number of barangays (v</w:t>
      </w:r>
      <w:r w:rsidRPr="008810D4">
        <w:t>illage, district</w:t>
      </w:r>
      <w:r>
        <w:t>,</w:t>
      </w:r>
      <w:r w:rsidRPr="008810D4">
        <w:t xml:space="preserve"> or ward</w:t>
      </w:r>
      <w:r>
        <w:t>) about 30 percent have not submitted financial statements for audit. The PEFA assessment found that the Government operates a number of coordinating agencies that provide effective monitoring of public investments by the central government, local government units, and GOCCs. P</w:t>
      </w:r>
      <w:r w:rsidRPr="000F2DCA">
        <w:t>roject investments</w:t>
      </w:r>
      <w:r>
        <w:t xml:space="preserve"> </w:t>
      </w:r>
      <w:r w:rsidRPr="000F2DCA">
        <w:t xml:space="preserve">above PhP 1 billion </w:t>
      </w:r>
      <w:r>
        <w:t xml:space="preserve">are reviewed by the </w:t>
      </w:r>
      <w:r w:rsidRPr="000F2DCA">
        <w:t>Investment Coordination Committee</w:t>
      </w:r>
      <w:r>
        <w:t xml:space="preserve">; local government units are reviewed by a BLGF-operated </w:t>
      </w:r>
      <w:r w:rsidRPr="005B04C0">
        <w:t>financial performance monitoring system</w:t>
      </w:r>
      <w:r>
        <w:t xml:space="preserve">; and GOCCs are reviewed by the </w:t>
      </w:r>
      <w:r w:rsidRPr="005B04C0">
        <w:t>Governance Commission for GOCCs</w:t>
      </w:r>
      <w:r>
        <w:t xml:space="preserve"> through</w:t>
      </w:r>
      <w:r w:rsidRPr="005B04C0">
        <w:t xml:space="preserve"> annual performance review</w:t>
      </w:r>
      <w:r>
        <w:t>,</w:t>
      </w:r>
      <w:r w:rsidRPr="005B04C0">
        <w:t xml:space="preserve"> quarterly monitoring</w:t>
      </w:r>
      <w:r>
        <w:t xml:space="preserve"> of targets, and issuance of</w:t>
      </w:r>
      <w:r w:rsidRPr="005B04C0">
        <w:t xml:space="preserve"> an </w:t>
      </w:r>
      <w:r>
        <w:t xml:space="preserve">audited </w:t>
      </w:r>
      <w:r w:rsidRPr="005B04C0">
        <w:t>annual report</w:t>
      </w:r>
      <w:r>
        <w:t>, generally within nine months of year end</w:t>
      </w:r>
      <w:r w:rsidRPr="005B04C0">
        <w:t xml:space="preserve">. </w:t>
      </w:r>
      <w:r>
        <w:t xml:space="preserve">  </w:t>
      </w:r>
    </w:p>
    <w:p w14:paraId="511BA7DA" w14:textId="77777777" w:rsidR="001762EE" w:rsidRDefault="001762EE" w:rsidP="00346486">
      <w:pPr>
        <w:pStyle w:val="ListParagraph"/>
        <w:tabs>
          <w:tab w:val="left" w:pos="720"/>
        </w:tabs>
        <w:autoSpaceDE w:val="0"/>
        <w:autoSpaceDN w:val="0"/>
        <w:adjustRightInd w:val="0"/>
        <w:spacing w:after="0" w:line="240" w:lineRule="auto"/>
        <w:ind w:left="0" w:firstLine="0"/>
        <w:jc w:val="both"/>
      </w:pPr>
      <w:r>
        <w:t xml:space="preserve"> </w:t>
      </w:r>
    </w:p>
    <w:p w14:paraId="7C0D8E36" w14:textId="331F1845" w:rsidR="001762EE" w:rsidRDefault="001762EE" w:rsidP="003A338A">
      <w:pPr>
        <w:pStyle w:val="ListParagraph"/>
        <w:numPr>
          <w:ilvl w:val="0"/>
          <w:numId w:val="8"/>
        </w:numPr>
        <w:tabs>
          <w:tab w:val="left" w:pos="720"/>
        </w:tabs>
        <w:autoSpaceDE w:val="0"/>
        <w:autoSpaceDN w:val="0"/>
        <w:adjustRightInd w:val="0"/>
        <w:spacing w:after="0" w:line="240" w:lineRule="auto"/>
        <w:ind w:left="0" w:firstLine="0"/>
        <w:jc w:val="both"/>
      </w:pPr>
      <w:r>
        <w:t xml:space="preserve">There are some deficiencies in </w:t>
      </w:r>
      <w:r w:rsidRPr="00ED4D9C">
        <w:t xml:space="preserve">central government </w:t>
      </w:r>
      <w:r>
        <w:t xml:space="preserve">monitoring of physical and </w:t>
      </w:r>
      <w:r w:rsidRPr="00ED4D9C">
        <w:t>financial asset</w:t>
      </w:r>
      <w:r>
        <w:t xml:space="preserve">s. Procedures are in place but audits find that they are not respected adequately with an absence of adequate asset registers and reports. More stringent management controls need to be exercised, and accounting systems need to be re-developed to be more user-friendly and effective. </w:t>
      </w:r>
      <w:r w:rsidRPr="00D2718A">
        <w:t>The procedures for competitive and transparent sale, transfer or disposal of non-financial assets</w:t>
      </w:r>
      <w:r>
        <w:t>,</w:t>
      </w:r>
      <w:r w:rsidRPr="00D2718A">
        <w:t xml:space="preserve"> and usage rights are established in legislation and generally respected.</w:t>
      </w:r>
      <w:r>
        <w:t xml:space="preserve"> M</w:t>
      </w:r>
      <w:r w:rsidRPr="00D2718A">
        <w:t>anagement practices, records, and controls</w:t>
      </w:r>
      <w:r>
        <w:t xml:space="preserve"> over </w:t>
      </w:r>
      <w:r w:rsidRPr="00D2718A">
        <w:t>domestic and foreign debt and guarantees</w:t>
      </w:r>
      <w:r>
        <w:t xml:space="preserve"> were found to be effective, but there was a need for the publication of a medium-term debt management strategy. </w:t>
      </w:r>
    </w:p>
    <w:p w14:paraId="2F15B3D1"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6EA018B0" w14:textId="3F13BFEF"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Pillar IV, Policy-based fiscal strategy</w:t>
      </w:r>
      <w:r w:rsidRPr="008B1E0E">
        <w:t>.</w:t>
      </w:r>
      <w:r>
        <w:t xml:space="preserve">  </w:t>
      </w:r>
      <w:r w:rsidRPr="00952D4F">
        <w:t>The</w:t>
      </w:r>
      <w:r>
        <w:t xml:space="preserve"> PEFA assessment found that the</w:t>
      </w:r>
      <w:r w:rsidRPr="00952D4F">
        <w:t xml:space="preserve"> fiscal strategy and the budget are prepared with due regard to government fiscal policies, strategic plans, and adequate macroeconomic and fiscal projections.</w:t>
      </w:r>
      <w:r>
        <w:t xml:space="preserve"> The policy basis for the budget is intended to ensure sustainability of the government’s fiscal strategy. This framing of the budget is then supported by downstream budget execution practices that achieve the policy intent through a medium-term expenditure framework. Arrangements for legislative scrutiny of the budget were found to work well but the </w:t>
      </w:r>
      <w:r w:rsidRPr="00CE3D32">
        <w:t>mid-year and year-end report</w:t>
      </w:r>
      <w:r>
        <w:t>s</w:t>
      </w:r>
      <w:r w:rsidRPr="00CE3D32">
        <w:t xml:space="preserve"> </w:t>
      </w:r>
      <w:r>
        <w:t>on</w:t>
      </w:r>
      <w:r w:rsidRPr="00CE3D32">
        <w:t xml:space="preserve"> progress of </w:t>
      </w:r>
      <w:r>
        <w:t>the</w:t>
      </w:r>
      <w:r w:rsidRPr="00CE3D32">
        <w:t xml:space="preserve"> fiscal strategy are not submitted to the legislature</w:t>
      </w:r>
      <w:r>
        <w:t xml:space="preserve">. </w:t>
      </w:r>
    </w:p>
    <w:p w14:paraId="0EE007E2"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439B2AF7" w14:textId="6E9BF4A8"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Pillar V</w:t>
      </w:r>
      <w:r w:rsidRPr="008B6071">
        <w:rPr>
          <w:b/>
        </w:rPr>
        <w:t>,</w:t>
      </w:r>
      <w:r w:rsidRPr="0025475E">
        <w:rPr>
          <w:b/>
        </w:rPr>
        <w:t xml:space="preserve"> Budget execution</w:t>
      </w:r>
      <w:r>
        <w:rPr>
          <w:b/>
          <w:i/>
        </w:rPr>
        <w:t>.</w:t>
      </w:r>
      <w:r>
        <w:t xml:space="preserve"> Downstream budget implementation through well-supported execution processes requires </w:t>
      </w:r>
      <w:r w:rsidRPr="0005416E">
        <w:t>a system of effective standards and internal controls ensuring that resources are obtained and used as intended</w:t>
      </w:r>
      <w:r>
        <w:t xml:space="preserve">. This area of the PEFA framework is the most critical to attaining the goals of </w:t>
      </w:r>
      <w:r w:rsidRPr="00887F94">
        <w:t>desirable budget outcomes: aggregate fiscal discipline, strategic allocation of resources, and efficient service delivery.</w:t>
      </w:r>
      <w:r>
        <w:t xml:space="preserve"> Administration and accounting procedures for revenue were found to be effective according to the PEFA performance criteria. On the expenditure side, the systems are in place for spending</w:t>
      </w:r>
      <w:r w:rsidRPr="00887F94">
        <w:t xml:space="preserve"> agencies </w:t>
      </w:r>
      <w:r>
        <w:t xml:space="preserve">to </w:t>
      </w:r>
      <w:r w:rsidRPr="00887F94">
        <w:t>receive reliable information on the availability of funds within which they can control commitments and make payments for non-financial assets, goods</w:t>
      </w:r>
      <w:r>
        <w:t>,</w:t>
      </w:r>
      <w:r w:rsidRPr="00887F94">
        <w:t xml:space="preserve"> and services.</w:t>
      </w:r>
      <w:r>
        <w:t xml:space="preserve"> </w:t>
      </w:r>
    </w:p>
    <w:p w14:paraId="32CC129C"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59F2AC15" w14:textId="71C5FB61"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 xml:space="preserve">Controls over procurement, payroll expenditure, and non-salary expenditure were found to have some weaknesses. These defects put at risk the sound basis established by the more effective up-stream budget-cycle processes; this advance needs investment in more automated systems to support staff in implementing more effective processes. The current processes do not meet PEFA higher score requirements for </w:t>
      </w:r>
      <w:r w:rsidRPr="00A25C95">
        <w:t xml:space="preserve">reconciliation </w:t>
      </w:r>
      <w:r>
        <w:t>among</w:t>
      </w:r>
      <w:r w:rsidRPr="00A25C95">
        <w:t xml:space="preserve"> approved staff lists</w:t>
      </w:r>
      <w:r>
        <w:t>;</w:t>
      </w:r>
      <w:r w:rsidRPr="00A25C95">
        <w:t xml:space="preserve"> </w:t>
      </w:r>
      <w:r w:rsidR="009D0CBA">
        <w:t>personnel</w:t>
      </w:r>
      <w:r w:rsidRPr="00A25C95">
        <w:t xml:space="preserve"> records and payroll data</w:t>
      </w:r>
      <w:r>
        <w:t>; i</w:t>
      </w:r>
      <w:r w:rsidRPr="00A25C95">
        <w:t>nternal controls o</w:t>
      </w:r>
      <w:r>
        <w:t>ver</w:t>
      </w:r>
      <w:r w:rsidRPr="00A25C95">
        <w:t xml:space="preserve"> changes to </w:t>
      </w:r>
      <w:r w:rsidR="009D0CBA">
        <w:t>personnel</w:t>
      </w:r>
      <w:r w:rsidRPr="00A25C95">
        <w:t xml:space="preserve"> records and payroll</w:t>
      </w:r>
      <w:r>
        <w:t>; p</w:t>
      </w:r>
      <w:r w:rsidRPr="00A25C95">
        <w:t>rocurement monitoring</w:t>
      </w:r>
      <w:r>
        <w:t>; u</w:t>
      </w:r>
      <w:r w:rsidRPr="00A25C95">
        <w:t>se of competitive procurement methods</w:t>
      </w:r>
      <w:r>
        <w:t>; p</w:t>
      </w:r>
      <w:r w:rsidRPr="00A25C95">
        <w:t>ublic access to complete, reliable</w:t>
      </w:r>
      <w:r>
        <w:t>,</w:t>
      </w:r>
      <w:r w:rsidRPr="00A25C95">
        <w:t xml:space="preserve"> and timely procurement information</w:t>
      </w:r>
      <w:r>
        <w:t xml:space="preserve">; </w:t>
      </w:r>
      <w:r w:rsidRPr="00A25C95">
        <w:t>procurement</w:t>
      </w:r>
      <w:r>
        <w:t>-</w:t>
      </w:r>
      <w:r w:rsidRPr="00A25C95">
        <w:t>complaint system</w:t>
      </w:r>
      <w:r>
        <w:t xml:space="preserve">; </w:t>
      </w:r>
      <w:r w:rsidRPr="00A25C95">
        <w:t>expenditure commitment controls</w:t>
      </w:r>
      <w:r>
        <w:t xml:space="preserve">; </w:t>
      </w:r>
      <w:r w:rsidRPr="00A25C95">
        <w:t>payments</w:t>
      </w:r>
      <w:r>
        <w:t xml:space="preserve"> controls; and coverage, timeliness and reporting of internal audit results. The Government’s achievement of its policy goals needs further investment in the basic systems for these common processes. The delays in conducting internal audit programs in an environment where internal controls are not working well need to be corrected by greater attention to internal audit processes and monitoring. The Government should consider establishing a Central Internal Audit Unit to provide support and monitoring of agencies’ internal audit arrangements. </w:t>
      </w:r>
    </w:p>
    <w:p w14:paraId="4DC0916C"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6F97B65F" w14:textId="7005CC10"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Pillar VI, Accounting and reporting</w:t>
      </w:r>
      <w:r w:rsidRPr="008B1E0E">
        <w:t>.</w:t>
      </w:r>
      <w:r>
        <w:t xml:space="preserve"> Defects were found in the performance of the accounting and reporting systems. It is critical that PFM systems are able to maintain a</w:t>
      </w:r>
      <w:r w:rsidRPr="004A33A9">
        <w:t>ccurate and reliable records and</w:t>
      </w:r>
      <w:r>
        <w:t xml:space="preserve"> disseminate appropriate reports</w:t>
      </w:r>
      <w:r w:rsidRPr="004A33A9">
        <w:t xml:space="preserve"> at appropriate times to meet decision-making, management, and </w:t>
      </w:r>
      <w:r>
        <w:t xml:space="preserve">statutory </w:t>
      </w:r>
      <w:r w:rsidRPr="004A33A9">
        <w:t>reporting needs</w:t>
      </w:r>
      <w:r>
        <w:t>. The current processes do not meet the PEFA higher-score requirements for bank reconciliations; advance account reconciliations; integrity of financial data, including adequacy of audit trails; timeliness and information quality of in-year budget execution reports; and reliability of departmental and government-wide annual financial reports prepared in accordance with accepted international accounting standards. Development of an integrated accounting and financial management system will enable budget execution to improve substantially through better decision-making and assured allocation and use of funds for the intended purposes of fiscal discipline and service delivery.</w:t>
      </w:r>
    </w:p>
    <w:p w14:paraId="2A3C480F"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65A53081" w14:textId="01FE5BC3" w:rsidR="001762EE" w:rsidRPr="005A497D"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Pillar VII, External scrutiny and audit.</w:t>
      </w:r>
      <w:r>
        <w:t xml:space="preserve"> The external audit arrangements, for which the Commission of Audit independently reviews and reports on p</w:t>
      </w:r>
      <w:r w:rsidRPr="006061B1">
        <w:t>ublic finances</w:t>
      </w:r>
      <w:r>
        <w:t>,</w:t>
      </w:r>
      <w:r w:rsidRPr="006061B1">
        <w:t xml:space="preserve"> </w:t>
      </w:r>
      <w:r>
        <w:t xml:space="preserve">were operating satisfactorily. There is no Public Accounts Committee to examine and </w:t>
      </w:r>
      <w:r w:rsidRPr="006061B1">
        <w:t xml:space="preserve">follow-up on the implementation of </w:t>
      </w:r>
      <w:r>
        <w:t xml:space="preserve">audit </w:t>
      </w:r>
      <w:r w:rsidRPr="006061B1">
        <w:t xml:space="preserve">recommendations for improvement by the </w:t>
      </w:r>
      <w:r>
        <w:t>E</w:t>
      </w:r>
      <w:r w:rsidRPr="006061B1">
        <w:t>xecutive</w:t>
      </w:r>
      <w:r>
        <w:t xml:space="preserve"> so this aspect of external scrutiny of the PFM system is absent. Action by the legislature to undertake this function is desirable. In its absence the function falls upon central agencies in the Executive. There is</w:t>
      </w:r>
      <w:r w:rsidRPr="00FE2ECF">
        <w:t xml:space="preserve"> </w:t>
      </w:r>
      <w:r>
        <w:t xml:space="preserve">a </w:t>
      </w:r>
      <w:r w:rsidRPr="00FE2ECF">
        <w:t xml:space="preserve">formal </w:t>
      </w:r>
      <w:r>
        <w:t xml:space="preserve">management </w:t>
      </w:r>
      <w:r w:rsidRPr="00FE2ECF">
        <w:t>response on recommendations of audited entit</w:t>
      </w:r>
      <w:r>
        <w:t>ies,</w:t>
      </w:r>
      <w:r w:rsidRPr="00FE2ECF">
        <w:t xml:space="preserve"> and action is taken on a majority of the recommendations.</w:t>
      </w:r>
      <w:r>
        <w:t xml:space="preserve"> However, legislative scrutiny is also highly desirable, and in its absence a higher standard of Executive response is needed. It would be desirable to strengthen the role of internal audit in assisting management with making system improvements identified by external audit reports.</w:t>
      </w:r>
    </w:p>
    <w:p w14:paraId="0D42A287" w14:textId="77777777" w:rsidR="001762EE" w:rsidRPr="005A497D" w:rsidRDefault="001762EE" w:rsidP="00346486">
      <w:pPr>
        <w:pStyle w:val="ListParagraph"/>
        <w:tabs>
          <w:tab w:val="left" w:pos="720"/>
        </w:tabs>
        <w:autoSpaceDE w:val="0"/>
        <w:autoSpaceDN w:val="0"/>
        <w:adjustRightInd w:val="0"/>
        <w:spacing w:after="0" w:line="240" w:lineRule="auto"/>
        <w:ind w:left="0" w:firstLine="0"/>
        <w:jc w:val="both"/>
      </w:pPr>
    </w:p>
    <w:p w14:paraId="5061CA77" w14:textId="68E1D4A0" w:rsidR="001762EE" w:rsidRDefault="001762EE" w:rsidP="00346486">
      <w:pPr>
        <w:pStyle w:val="Heading3"/>
      </w:pPr>
      <w:bookmarkStart w:id="281" w:name="_Toc454811727"/>
      <w:bookmarkStart w:id="282" w:name="_Toc454888871"/>
      <w:r w:rsidRPr="005A497D">
        <w:t xml:space="preserve">4.2 Effectiveness of the </w:t>
      </w:r>
      <w:r>
        <w:t>i</w:t>
      </w:r>
      <w:r w:rsidRPr="005A497D">
        <w:t xml:space="preserve">nternal </w:t>
      </w:r>
      <w:r>
        <w:t>c</w:t>
      </w:r>
      <w:r w:rsidRPr="005A497D">
        <w:t xml:space="preserve">ontrol </w:t>
      </w:r>
      <w:r>
        <w:t>f</w:t>
      </w:r>
      <w:r w:rsidRPr="005A497D">
        <w:t>ramework</w:t>
      </w:r>
      <w:bookmarkEnd w:id="281"/>
      <w:bookmarkEnd w:id="282"/>
    </w:p>
    <w:p w14:paraId="52A124A0" w14:textId="77777777" w:rsidR="001762EE" w:rsidRPr="00ED4D9C" w:rsidRDefault="001762EE" w:rsidP="00346486"/>
    <w:p w14:paraId="0B06EF76" w14:textId="2DF10541" w:rsidR="001762EE" w:rsidRPr="00BC6B0F"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640DB2">
        <w:t>An effective internal control system plays a vital role in addressing risks and providing reasonable assurance that operations meet the four control objectives: (</w:t>
      </w:r>
      <w:r>
        <w:t>a</w:t>
      </w:r>
      <w:r w:rsidRPr="00640DB2">
        <w:t>) operations are executed in an orderly, ethical, economical, efficient, and effective manner; (</w:t>
      </w:r>
      <w:r>
        <w:t>b</w:t>
      </w:r>
      <w:r w:rsidRPr="00640DB2">
        <w:t>) accountability obligations are fulfilled; (</w:t>
      </w:r>
      <w:r>
        <w:t>c</w:t>
      </w:r>
      <w:r w:rsidRPr="00640DB2">
        <w:t>) applicable laws and regulations are complied with; and (</w:t>
      </w:r>
      <w:r>
        <w:t>d</w:t>
      </w:r>
      <w:r w:rsidRPr="00640DB2">
        <w:t>) resources are safeguarded against loss, misuse</w:t>
      </w:r>
      <w:r>
        <w:t>,</w:t>
      </w:r>
      <w:r w:rsidRPr="00640DB2">
        <w:t xml:space="preserve"> and damage.</w:t>
      </w:r>
      <w:r>
        <w:t xml:space="preserve"> This </w:t>
      </w:r>
      <w:r w:rsidRPr="007B4293">
        <w:t>analysis assess</w:t>
      </w:r>
      <w:r>
        <w:t>es</w:t>
      </w:r>
      <w:r w:rsidRPr="007B4293">
        <w:t xml:space="preserve"> the extent to which </w:t>
      </w:r>
      <w:r>
        <w:t>the internal control system operating in the PFM system</w:t>
      </w:r>
      <w:r w:rsidRPr="007B4293">
        <w:t xml:space="preserve"> contributes to the achievement of those four control objectives, based on available information</w:t>
      </w:r>
      <w:r>
        <w:t xml:space="preserve"> obtained during the PEFA assessment, including other PFM studies applied by the Government</w:t>
      </w:r>
      <w:r w:rsidRPr="007B4293">
        <w:t>.</w:t>
      </w:r>
      <w:r>
        <w:t xml:space="preserve"> </w:t>
      </w:r>
      <w:r w:rsidRPr="007B4293">
        <w:t xml:space="preserve">Detailed findings concerning the main elements of the five internal control components are summarized in a table </w:t>
      </w:r>
      <w:r>
        <w:t xml:space="preserve">at </w:t>
      </w:r>
      <w:r w:rsidRPr="007B4293">
        <w:t xml:space="preserve">Annex 2 that also highlights </w:t>
      </w:r>
      <w:r>
        <w:t>the</w:t>
      </w:r>
      <w:r w:rsidRPr="007B4293">
        <w:t xml:space="preserve"> </w:t>
      </w:r>
      <w:r>
        <w:t xml:space="preserve">current perceived </w:t>
      </w:r>
      <w:r w:rsidRPr="007B4293">
        <w:t xml:space="preserve">gaps in </w:t>
      </w:r>
      <w:r>
        <w:t>the internal cont</w:t>
      </w:r>
      <w:r w:rsidRPr="007B4293">
        <w:t>rol system.</w:t>
      </w:r>
      <w:r>
        <w:t xml:space="preserve"> This section also uses the results of a</w:t>
      </w:r>
      <w:r w:rsidRPr="000D4DDD">
        <w:t xml:space="preserve"> study initiated by the World Bank at the request of the </w:t>
      </w:r>
      <w:r>
        <w:t xml:space="preserve">DBM </w:t>
      </w:r>
      <w:r w:rsidRPr="000D4DDD">
        <w:t xml:space="preserve">Secretary.  The </w:t>
      </w:r>
      <w:r w:rsidRPr="000D4DDD">
        <w:rPr>
          <w:bCs/>
        </w:rPr>
        <w:t xml:space="preserve">objective </w:t>
      </w:r>
      <w:r>
        <w:rPr>
          <w:bCs/>
        </w:rPr>
        <w:t xml:space="preserve">of the study </w:t>
      </w:r>
      <w:r w:rsidRPr="000D4DDD">
        <w:rPr>
          <w:bCs/>
        </w:rPr>
        <w:t>was to</w:t>
      </w:r>
      <w:r w:rsidRPr="000D4DDD">
        <w:t xml:space="preserve"> </w:t>
      </w:r>
      <w:r w:rsidRPr="000D4DDD">
        <w:rPr>
          <w:bCs/>
        </w:rPr>
        <w:t>review the existing financial control environment</w:t>
      </w:r>
      <w:r>
        <w:rPr>
          <w:bCs/>
        </w:rPr>
        <w:t xml:space="preserve"> by reviewing</w:t>
      </w:r>
      <w:r w:rsidRPr="000D4DDD">
        <w:rPr>
          <w:bCs/>
        </w:rPr>
        <w:t xml:space="preserve"> the existing </w:t>
      </w:r>
      <w:r>
        <w:rPr>
          <w:bCs/>
        </w:rPr>
        <w:t xml:space="preserve">DBM </w:t>
      </w:r>
      <w:r w:rsidRPr="000D4DDD">
        <w:rPr>
          <w:bCs/>
        </w:rPr>
        <w:t>policies and practices as well as selected line department</w:t>
      </w:r>
      <w:r>
        <w:rPr>
          <w:bCs/>
        </w:rPr>
        <w:t>s</w:t>
      </w:r>
      <w:r w:rsidRPr="000D4DDD">
        <w:rPr>
          <w:bCs/>
        </w:rPr>
        <w:t>.</w:t>
      </w:r>
    </w:p>
    <w:p w14:paraId="241D3379"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0F4C65E1" w14:textId="3F60CB40"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There are i</w:t>
      </w:r>
      <w:r w:rsidRPr="00F427D6">
        <w:t>nternational standards</w:t>
      </w:r>
      <w:r>
        <w:t xml:space="preserve"> (ISSAI GOV 9100, </w:t>
      </w:r>
      <w:r w:rsidRPr="0025475E">
        <w:rPr>
          <w:i/>
        </w:rPr>
        <w:t>Guidelines for Internal Control for the Public Sector</w:t>
      </w:r>
      <w:r>
        <w:t xml:space="preserve">, issued by the </w:t>
      </w:r>
      <w:r w:rsidRPr="00EB18DC">
        <w:t>International Organization of Supreme Audit</w:t>
      </w:r>
      <w:r>
        <w:t xml:space="preserve"> Institutions) that provide useful frameworks for control components, This analysis looks at the following:</w:t>
      </w:r>
    </w:p>
    <w:p w14:paraId="4CBF6E97" w14:textId="77777777" w:rsidR="001762EE" w:rsidRDefault="001762EE" w:rsidP="0025475E">
      <w:pPr>
        <w:pStyle w:val="ListParagraph"/>
        <w:tabs>
          <w:tab w:val="left" w:pos="720"/>
        </w:tabs>
        <w:autoSpaceDE w:val="0"/>
        <w:autoSpaceDN w:val="0"/>
        <w:adjustRightInd w:val="0"/>
        <w:spacing w:after="0" w:line="240" w:lineRule="auto"/>
        <w:ind w:left="0" w:firstLine="0"/>
        <w:jc w:val="both"/>
      </w:pPr>
    </w:p>
    <w:p w14:paraId="00ED0FB5" w14:textId="38D396C5" w:rsidR="001762EE" w:rsidRPr="0012738A" w:rsidRDefault="001762EE" w:rsidP="0012738A">
      <w:pPr>
        <w:pStyle w:val="ListParagraph"/>
        <w:numPr>
          <w:ilvl w:val="0"/>
          <w:numId w:val="46"/>
        </w:numPr>
        <w:tabs>
          <w:tab w:val="left" w:pos="720"/>
        </w:tabs>
        <w:autoSpaceDE w:val="0"/>
        <w:autoSpaceDN w:val="0"/>
        <w:adjustRightInd w:val="0"/>
        <w:ind w:left="720"/>
        <w:jc w:val="both"/>
      </w:pPr>
      <w:r w:rsidRPr="0012738A">
        <w:t>Control environment</w:t>
      </w:r>
      <w:r w:rsidR="00A441B6">
        <w:t>,</w:t>
      </w:r>
    </w:p>
    <w:p w14:paraId="21803140" w14:textId="284BD52A" w:rsidR="001762EE" w:rsidRPr="0012738A" w:rsidRDefault="001762EE" w:rsidP="0012738A">
      <w:pPr>
        <w:pStyle w:val="ListParagraph"/>
        <w:numPr>
          <w:ilvl w:val="0"/>
          <w:numId w:val="46"/>
        </w:numPr>
        <w:tabs>
          <w:tab w:val="left" w:pos="720"/>
        </w:tabs>
        <w:autoSpaceDE w:val="0"/>
        <w:autoSpaceDN w:val="0"/>
        <w:adjustRightInd w:val="0"/>
        <w:ind w:left="720"/>
        <w:jc w:val="both"/>
      </w:pPr>
      <w:r w:rsidRPr="0012738A">
        <w:t>Risk assessment</w:t>
      </w:r>
      <w:r w:rsidR="00A441B6">
        <w:t>,</w:t>
      </w:r>
    </w:p>
    <w:p w14:paraId="4DEE3B51" w14:textId="003D7EAF" w:rsidR="001762EE" w:rsidRPr="0012738A" w:rsidRDefault="001762EE" w:rsidP="0012738A">
      <w:pPr>
        <w:pStyle w:val="ListParagraph"/>
        <w:numPr>
          <w:ilvl w:val="0"/>
          <w:numId w:val="46"/>
        </w:numPr>
        <w:tabs>
          <w:tab w:val="left" w:pos="720"/>
        </w:tabs>
        <w:autoSpaceDE w:val="0"/>
        <w:autoSpaceDN w:val="0"/>
        <w:adjustRightInd w:val="0"/>
        <w:ind w:left="720"/>
        <w:jc w:val="both"/>
      </w:pPr>
      <w:r w:rsidRPr="0012738A">
        <w:t>Control activities</w:t>
      </w:r>
      <w:r w:rsidR="00A441B6">
        <w:t>,</w:t>
      </w:r>
    </w:p>
    <w:p w14:paraId="47667A50" w14:textId="5231AB8E" w:rsidR="001762EE" w:rsidRPr="0012738A" w:rsidRDefault="001762EE" w:rsidP="0012738A">
      <w:pPr>
        <w:pStyle w:val="ListParagraph"/>
        <w:numPr>
          <w:ilvl w:val="0"/>
          <w:numId w:val="46"/>
        </w:numPr>
        <w:tabs>
          <w:tab w:val="left" w:pos="720"/>
        </w:tabs>
        <w:autoSpaceDE w:val="0"/>
        <w:autoSpaceDN w:val="0"/>
        <w:adjustRightInd w:val="0"/>
        <w:ind w:left="720"/>
        <w:jc w:val="both"/>
      </w:pPr>
      <w:r w:rsidRPr="0012738A">
        <w:t>Information and communication</w:t>
      </w:r>
      <w:r w:rsidR="00A441B6">
        <w:t>,</w:t>
      </w:r>
      <w:r w:rsidR="00A441B6" w:rsidRPr="0012738A">
        <w:t xml:space="preserve"> </w:t>
      </w:r>
      <w:r w:rsidRPr="0012738A">
        <w:t xml:space="preserve">and </w:t>
      </w:r>
    </w:p>
    <w:p w14:paraId="416F362A" w14:textId="2264CF6A" w:rsidR="001762EE" w:rsidRPr="0012738A" w:rsidRDefault="001762EE" w:rsidP="0012738A">
      <w:pPr>
        <w:pStyle w:val="ListParagraph"/>
        <w:numPr>
          <w:ilvl w:val="0"/>
          <w:numId w:val="46"/>
        </w:numPr>
        <w:tabs>
          <w:tab w:val="left" w:pos="720"/>
        </w:tabs>
        <w:autoSpaceDE w:val="0"/>
        <w:autoSpaceDN w:val="0"/>
        <w:adjustRightInd w:val="0"/>
        <w:ind w:left="720"/>
        <w:jc w:val="both"/>
      </w:pPr>
      <w:r w:rsidRPr="0012738A">
        <w:t xml:space="preserve">Monitoring of the internal controls system. </w:t>
      </w:r>
    </w:p>
    <w:p w14:paraId="627DC0B3" w14:textId="0FFD7ED4" w:rsidR="001762EE" w:rsidRPr="00610BCD" w:rsidRDefault="001762EE" w:rsidP="00346486">
      <w:pPr>
        <w:tabs>
          <w:tab w:val="left" w:pos="720"/>
        </w:tabs>
        <w:autoSpaceDE w:val="0"/>
        <w:autoSpaceDN w:val="0"/>
        <w:adjustRightInd w:val="0"/>
        <w:jc w:val="both"/>
      </w:pPr>
      <w:r>
        <w:t>A companion</w:t>
      </w:r>
      <w:r w:rsidRPr="00610BCD">
        <w:t xml:space="preserve"> standard (ISSAI GOV 9120</w:t>
      </w:r>
      <w:r>
        <w:t>,</w:t>
      </w:r>
      <w:r w:rsidRPr="00610BCD">
        <w:t xml:space="preserve"> </w:t>
      </w:r>
      <w:r w:rsidRPr="0025475E">
        <w:rPr>
          <w:i/>
        </w:rPr>
        <w:t>Internal Control: Providing a Foundation for Accountability in Government</w:t>
      </w:r>
      <w:r w:rsidRPr="00610BCD">
        <w:t xml:space="preserve">) provides guidance as to the separate roles of managers and auditors in implementing control effectively. </w:t>
      </w:r>
    </w:p>
    <w:p w14:paraId="0D566BE5" w14:textId="77777777" w:rsidR="001762EE" w:rsidRPr="00F427D6" w:rsidRDefault="001762EE" w:rsidP="00346486">
      <w:pPr>
        <w:pStyle w:val="ListParagraph"/>
        <w:tabs>
          <w:tab w:val="left" w:pos="720"/>
        </w:tabs>
        <w:autoSpaceDE w:val="0"/>
        <w:autoSpaceDN w:val="0"/>
        <w:adjustRightInd w:val="0"/>
        <w:spacing w:after="0" w:line="240" w:lineRule="auto"/>
        <w:ind w:left="0" w:firstLine="0"/>
        <w:jc w:val="both"/>
      </w:pPr>
    </w:p>
    <w:p w14:paraId="4775F400" w14:textId="2972658B"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Control environment.</w:t>
      </w:r>
      <w:r>
        <w:rPr>
          <w:i/>
        </w:rPr>
        <w:t xml:space="preserve"> </w:t>
      </w:r>
      <w:r w:rsidRPr="0025475E">
        <w:t>The control environment</w:t>
      </w:r>
      <w:r>
        <w:t xml:space="preserve"> is set by the </w:t>
      </w:r>
      <w:r w:rsidRPr="0043088F">
        <w:t>National Guidelines on Internal Control Systems</w:t>
      </w:r>
      <w:r>
        <w:t xml:space="preserve"> (NGICS) issued in 2008 by Department of Budget and Management, supported by a </w:t>
      </w:r>
      <w:r w:rsidRPr="00311156">
        <w:rPr>
          <w:rFonts w:ascii="Cambria" w:eastAsia="Cambria" w:hAnsi="Cambria"/>
        </w:rPr>
        <w:t>Government Accounting and Audit Manual (GAAM</w:t>
      </w:r>
      <w:r w:rsidR="009E55E9" w:rsidRPr="00311156">
        <w:rPr>
          <w:rFonts w:ascii="Cambria" w:eastAsia="Cambria" w:hAnsi="Cambria"/>
        </w:rPr>
        <w:t>)</w:t>
      </w:r>
      <w:r w:rsidR="009E55E9">
        <w:rPr>
          <w:rFonts w:ascii="Cambria" w:eastAsia="Cambria" w:hAnsi="Cambria"/>
        </w:rPr>
        <w:t>, Volume III</w:t>
      </w:r>
      <w:r w:rsidRPr="00311156">
        <w:rPr>
          <w:rFonts w:ascii="Cambria" w:eastAsia="Cambria" w:hAnsi="Cambria"/>
        </w:rPr>
        <w:t xml:space="preserve"> issued in 1992</w:t>
      </w:r>
      <w:r>
        <w:rPr>
          <w:rFonts w:ascii="Cambria" w:eastAsia="Cambria" w:hAnsi="Cambria"/>
        </w:rPr>
        <w:t xml:space="preserve"> and </w:t>
      </w:r>
      <w:r>
        <w:t xml:space="preserve">an Internal Audit Service governed by </w:t>
      </w:r>
      <w:r w:rsidRPr="008F0A0D">
        <w:t>DBM Circular Letter No. 2008-05</w:t>
      </w:r>
      <w:r>
        <w:t>. This set of procedures would provide a basis for an effective system of internal control if the management and staff of government agencies were more energetically engaged in applying the guidelines. This PEFA assessment and multiple internal audit and external audit reports demonstrate that this is not yet the case. International guidance on effective internal control places most importance on t</w:t>
      </w:r>
      <w:r w:rsidRPr="00647741">
        <w:t xml:space="preserve">he </w:t>
      </w:r>
      <w:r w:rsidR="009D0CBA">
        <w:t>personal</w:t>
      </w:r>
      <w:r w:rsidRPr="00647741">
        <w:t xml:space="preserve"> and professional integrity and ethical values of management and staff, including a supportive attitude toward internal control constantly throughout the </w:t>
      </w:r>
      <w:r>
        <w:t>organization. As summarized in Annex 2, this requires that public sector authorities encourage a strong commitment to competence and that the top and middle management’s philosophy and operating style should set the tone for ethical application of internal control throughout the PFM system. Mechanisms for achieving this change include an organizational structure based on competence and program delivery and human resource management policies that reward ethical conduct and penalize misbehavior. This should be supported by IT systems that assist with the management and monitoring of program delivery. The most appropriate basis for a strong internal control regime is a comprehensive Public Finance Act that provides a legislated mandate.</w:t>
      </w:r>
    </w:p>
    <w:p w14:paraId="1AE6B187" w14:textId="77777777" w:rsidR="001762EE" w:rsidRDefault="001762EE" w:rsidP="0025475E">
      <w:pPr>
        <w:pStyle w:val="ListParagraph"/>
        <w:tabs>
          <w:tab w:val="left" w:pos="720"/>
        </w:tabs>
        <w:autoSpaceDE w:val="0"/>
        <w:autoSpaceDN w:val="0"/>
        <w:adjustRightInd w:val="0"/>
        <w:spacing w:after="0" w:line="240" w:lineRule="auto"/>
        <w:ind w:left="0" w:firstLine="0"/>
        <w:jc w:val="both"/>
      </w:pPr>
    </w:p>
    <w:p w14:paraId="131E8C9A" w14:textId="481B6760"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 xml:space="preserve">The 2011 World Bank draft study on financial accountability and control highlighted the potential for role ambiguity leading to </w:t>
      </w:r>
      <w:r w:rsidRPr="00453275">
        <w:t>inexact assignments of accountabilities</w:t>
      </w:r>
      <w:r>
        <w:t>.</w:t>
      </w:r>
      <w:r>
        <w:rPr>
          <w:rStyle w:val="EndnoteReference"/>
        </w:rPr>
        <w:endnoteReference w:id="102"/>
      </w:r>
      <w:r>
        <w:t xml:space="preserve"> As a result, it is more difficult to hold officers to account for control failures. The consequential potential for the spread of impunity prejudices control over service delivery and fiscal discipline more generally. The NGICS needs to be supported by PFM manuals that contain c</w:t>
      </w:r>
      <w:r w:rsidRPr="00453275">
        <w:t xml:space="preserve">lear and comprehensive codification of financial management rules and procedures, with explicit assignments of financial accountabilities </w:t>
      </w:r>
      <w:r>
        <w:t xml:space="preserve">and defined </w:t>
      </w:r>
      <w:r w:rsidRPr="00453275">
        <w:t>sanctions for different types of rule violation</w:t>
      </w:r>
      <w:r>
        <w:t xml:space="preserve"> and non-compliance</w:t>
      </w:r>
      <w:r w:rsidRPr="00453275">
        <w:t>.</w:t>
      </w:r>
      <w:r>
        <w:t xml:space="preserve"> An integrated financial management information system is required in order to do this well, as it provides automatic mechanisms for recording and reporting of budget performance progress as well as control of compliance.</w:t>
      </w:r>
    </w:p>
    <w:p w14:paraId="1604B94E"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4E459224" w14:textId="7CF4BE46"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8F0A0D">
        <w:t>The organizational structure</w:t>
      </w:r>
      <w:r>
        <w:t>s to support internal controls should</w:t>
      </w:r>
      <w:r w:rsidRPr="008F0A0D">
        <w:t xml:space="preserve"> include </w:t>
      </w:r>
      <w:r>
        <w:t xml:space="preserve">an </w:t>
      </w:r>
      <w:r w:rsidRPr="008F0A0D">
        <w:t xml:space="preserve">internal audit </w:t>
      </w:r>
      <w:r>
        <w:t xml:space="preserve">that is </w:t>
      </w:r>
      <w:r w:rsidRPr="008F0A0D">
        <w:t>independ</w:t>
      </w:r>
      <w:r>
        <w:t>ent from management, reports</w:t>
      </w:r>
      <w:r w:rsidRPr="008F0A0D">
        <w:t xml:space="preserve"> directly to the highest level of authority</w:t>
      </w:r>
      <w:r>
        <w:t>, and is reviewed by the legislature or the Commission on Audit</w:t>
      </w:r>
      <w:r w:rsidRPr="008F0A0D">
        <w:t>.</w:t>
      </w:r>
      <w:r>
        <w:t xml:space="preserve"> PI 26 assesses internal audit and found that </w:t>
      </w:r>
      <w:r w:rsidRPr="008F0A0D">
        <w:t>internal audit units</w:t>
      </w:r>
      <w:r>
        <w:t xml:space="preserve"> have been established in almost all</w:t>
      </w:r>
      <w:r w:rsidRPr="008F0A0D">
        <w:t xml:space="preserve"> central government agencies</w:t>
      </w:r>
      <w:r>
        <w:t xml:space="preserve">. Internal audit units </w:t>
      </w:r>
      <w:r w:rsidRPr="008F0A0D">
        <w:t xml:space="preserve">report directly to the </w:t>
      </w:r>
      <w:r>
        <w:t>h</w:t>
      </w:r>
      <w:r w:rsidRPr="008F0A0D">
        <w:t xml:space="preserve">ead of the </w:t>
      </w:r>
      <w:r>
        <w:t>a</w:t>
      </w:r>
      <w:r w:rsidRPr="008F0A0D">
        <w:t>gency</w:t>
      </w:r>
      <w:r>
        <w:t xml:space="preserve"> in most cases. This arrangement provides a satisfactory basis for an effective internal audit function but is not yet fully implemented. The assessment found that audit programs were sometimes delayed, and reports are not shared with the Department of Budget and Management and Commission on Audit. There is no central coordination in place.</w:t>
      </w:r>
    </w:p>
    <w:p w14:paraId="5E0460BE"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690047EA" w14:textId="24AE5659"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Risk assessment</w:t>
      </w:r>
      <w:r w:rsidRPr="0025475E">
        <w:t>.</w:t>
      </w:r>
      <w:r>
        <w:rPr>
          <w:i/>
        </w:rPr>
        <w:t xml:space="preserve"> </w:t>
      </w:r>
      <w:r w:rsidRPr="0025475E">
        <w:t>Risk</w:t>
      </w:r>
      <w:r>
        <w:t xml:space="preserve"> management processes are used to provide efficient methods for internal control effectiveness. An example of this is where the Commission on Audit</w:t>
      </w:r>
      <w:r w:rsidRPr="00985C53">
        <w:t xml:space="preserve"> performs audits on a set of transactions </w:t>
      </w:r>
      <w:r>
        <w:t xml:space="preserve">in accordance with </w:t>
      </w:r>
      <w:r w:rsidRPr="00985C53">
        <w:t>pre-defined high</w:t>
      </w:r>
      <w:r>
        <w:t>-</w:t>
      </w:r>
      <w:r w:rsidRPr="00985C53">
        <w:t>risk</w:t>
      </w:r>
      <w:r>
        <w:t xml:space="preserve"> criteria and performance audits using an integrated results and risk-based approach that satisfies some of the conditions for Dimension 30.1 (audit coverage and standards). Another is where internal audit units use risk-based audit plans for their work, but this process is not widely applied.  </w:t>
      </w:r>
    </w:p>
    <w:p w14:paraId="4AD3D59E"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3BB6E0AC" w14:textId="0E81C63F"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Control activities.</w:t>
      </w:r>
      <w:r>
        <w:t xml:space="preserve"> The PEFA assessment includes specific indicator dimensions on the expenditure side for internal controls over payroll (PI-23), non-salary expenditure (PI-25), and procurement (PI-24). </w:t>
      </w:r>
      <w:r w:rsidRPr="006A5AEA">
        <w:t xml:space="preserve"> </w:t>
      </w:r>
      <w:r>
        <w:t>A major impediment to management and staff effectiveness in applying internal controls is the absence of a Government-wide user-friendly, integrated, and controlled accounting system. The assessment for Dimension 25.2 (effectiveness of expenditure commitment controls) found that the a</w:t>
      </w:r>
      <w:r w:rsidRPr="006A5AEA">
        <w:t xml:space="preserve">bility of the recording and reporting functions to report on the segregation of expenditures and commitments by year of budget allocation is weak in the absence of an integrated system. </w:t>
      </w:r>
      <w:r>
        <w:t>The rating for Dimension 25.3 (compliance with controls for making payments) was affected by some</w:t>
      </w:r>
      <w:r w:rsidRPr="006A5AEA">
        <w:t xml:space="preserve"> non-compliance </w:t>
      </w:r>
      <w:r>
        <w:t xml:space="preserve">with controls </w:t>
      </w:r>
      <w:r w:rsidRPr="006A5AEA">
        <w:t xml:space="preserve">and </w:t>
      </w:r>
      <w:r>
        <w:t xml:space="preserve">modified audit opinions as reported by CoA audits. </w:t>
      </w:r>
    </w:p>
    <w:p w14:paraId="71D5EAE4"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36A126D0" w14:textId="1FA23B89"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 xml:space="preserve">Dimension 24.2 (use of competitive procurement methods) shows </w:t>
      </w:r>
      <w:r w:rsidRPr="00803675">
        <w:t xml:space="preserve">that in 2013 only </w:t>
      </w:r>
      <w:r>
        <w:t>74 percent</w:t>
      </w:r>
      <w:r w:rsidRPr="00803675">
        <w:t xml:space="preserve"> of the total value of </w:t>
      </w:r>
      <w:r>
        <w:t>contracts was</w:t>
      </w:r>
      <w:r w:rsidRPr="00803675">
        <w:t xml:space="preserve"> awarded through competitive bidding</w:t>
      </w:r>
      <w:r>
        <w:t xml:space="preserve">. </w:t>
      </w:r>
      <w:r w:rsidRPr="00803675">
        <w:t xml:space="preserve">A good procurement system ensures that procurement uses competitive methods, except </w:t>
      </w:r>
      <w:r>
        <w:t xml:space="preserve">for </w:t>
      </w:r>
      <w:r w:rsidRPr="00803675">
        <w:t xml:space="preserve">low-value procurement under an established and appropriate threshold. </w:t>
      </w:r>
      <w:r>
        <w:t>The relatively high proportion of procurement that is not subject to competitive bidding suggests that internal controls are not performing adequately in this area. Another major support for internal control is public access to information about procurement activities; two dimensions show these deficiencies. T</w:t>
      </w:r>
      <w:r w:rsidRPr="00B934F3">
        <w:t>here is no independent administrative procurement complaints system</w:t>
      </w:r>
      <w:r>
        <w:t xml:space="preserve"> (Dimension 24.4).</w:t>
      </w:r>
    </w:p>
    <w:p w14:paraId="5F5AC850"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38C37B3B" w14:textId="568F5854"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t xml:space="preserve">On </w:t>
      </w:r>
      <w:r w:rsidRPr="006A5AEA">
        <w:t xml:space="preserve">the </w:t>
      </w:r>
      <w:r>
        <w:t xml:space="preserve">revenue collection side, Dimension 19.3 </w:t>
      </w:r>
      <w:r w:rsidRPr="002E4CFC">
        <w:t xml:space="preserve">assesses whether sufficient controls are in place to deter evasion and ensure that instances of </w:t>
      </w:r>
      <w:r>
        <w:t>non-compliance</w:t>
      </w:r>
      <w:r w:rsidRPr="002E4CFC">
        <w:t xml:space="preserve"> are revealed</w:t>
      </w:r>
      <w:r>
        <w:t>, including through</w:t>
      </w:r>
      <w:r w:rsidRPr="002E4CFC">
        <w:t xml:space="preserve"> collusion with representatives within a revenue administration</w:t>
      </w:r>
      <w:r>
        <w:t xml:space="preserve">; and this rated well. As demonstrated by Dimension 3.2 (revenue composition outturn), the revenue collections for the major taxes are different from the budget projections for those taxes. These variations are a cause for considerable doubt over the adequacy of associated internal control systems for revenue. However, assessment under Dimension 19.2 (management of risks to revenue) shows that the Bureau of Internal Revenue has in place </w:t>
      </w:r>
      <w:r w:rsidRPr="004742CB">
        <w:t>a comprehensive end-to-end compliance improvement strategy for its risk management</w:t>
      </w:r>
      <w:r>
        <w:t xml:space="preserve">, which may lead to improvement. Dimension 19.4 – revenue arrears monitoring – did not rate well with </w:t>
      </w:r>
      <w:r w:rsidRPr="00D8184D">
        <w:t>arrears older than 12 months a</w:t>
      </w:r>
      <w:r>
        <w:t>t</w:t>
      </w:r>
      <w:r w:rsidRPr="00D8184D">
        <w:t xml:space="preserve"> more than 75</w:t>
      </w:r>
      <w:r>
        <w:t xml:space="preserve"> percent</w:t>
      </w:r>
      <w:r w:rsidRPr="00D8184D">
        <w:t xml:space="preserve"> of the total revenue arrears.</w:t>
      </w:r>
    </w:p>
    <w:p w14:paraId="3E5B5BED"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51E2769A" w14:textId="3FF4CA01"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Information and communication.</w:t>
      </w:r>
      <w:r>
        <w:t xml:space="preserve"> Transactions, procedures, and rules, all information needs to be</w:t>
      </w:r>
      <w:r w:rsidRPr="00AF4C0F">
        <w:t xml:space="preserve"> identified, captured</w:t>
      </w:r>
      <w:r>
        <w:t>,</w:t>
      </w:r>
      <w:r w:rsidRPr="00AF4C0F">
        <w:t xml:space="preserve"> and communicated in a form and timeframe that enables staff to carry out their internal control and </w:t>
      </w:r>
      <w:r>
        <w:t>program</w:t>
      </w:r>
      <w:r w:rsidRPr="00AF4C0F">
        <w:t xml:space="preserve"> responsibilities</w:t>
      </w:r>
      <w:r>
        <w:t xml:space="preserve">. </w:t>
      </w:r>
      <w:r w:rsidRPr="00AF4C0F">
        <w:t>Therefore, the internal control system and all transactions and significant events should be fully documented.</w:t>
      </w:r>
      <w:r>
        <w:t xml:space="preserve"> Computerized i</w:t>
      </w:r>
      <w:r w:rsidRPr="009C683A">
        <w:t>nformation systems</w:t>
      </w:r>
      <w:r>
        <w:t xml:space="preserve"> can</w:t>
      </w:r>
      <w:r w:rsidRPr="009C683A">
        <w:t xml:space="preserve"> produce reports that contain operational, financial and non-financial, and compliance-related information that make it possible to run and control the operation</w:t>
      </w:r>
      <w:r>
        <w:t xml:space="preserve"> to meet service delivery goals and maintain fiscal discipline</w:t>
      </w:r>
      <w:r w:rsidRPr="009C683A">
        <w:t>.</w:t>
      </w:r>
      <w:r>
        <w:t xml:space="preserve"> </w:t>
      </w:r>
    </w:p>
    <w:p w14:paraId="77ECD42C"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5394A135" w14:textId="0F379C85"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8D0B65">
        <w:t>The performance indicators for the accounting, reporting</w:t>
      </w:r>
      <w:r>
        <w:t>,</w:t>
      </w:r>
      <w:r w:rsidRPr="008D0B65">
        <w:t xml:space="preserve"> and recording system have low ratings under the current systems</w:t>
      </w:r>
      <w:r>
        <w:t>.</w:t>
      </w:r>
      <w:r w:rsidRPr="004174C0">
        <w:t xml:space="preserve"> </w:t>
      </w:r>
      <w:r>
        <w:t>In order for the various Government manuals for comprehensive PFM system management to rate higher on PEFA indicators,</w:t>
      </w:r>
      <w:r w:rsidRPr="004174C0">
        <w:t xml:space="preserve"> </w:t>
      </w:r>
      <w:r w:rsidRPr="00ED4D9C">
        <w:t>the accounting system needs to be fully appraised</w:t>
      </w:r>
      <w:r>
        <w:t xml:space="preserve"> for IFMIS</w:t>
      </w:r>
      <w:r w:rsidRPr="00ED4D9C">
        <w:t xml:space="preserve">. For </w:t>
      </w:r>
      <w:r>
        <w:t>D</w:t>
      </w:r>
      <w:r w:rsidRPr="00ED4D9C">
        <w:t xml:space="preserve">imension 12.1 </w:t>
      </w:r>
      <w:r>
        <w:t>(</w:t>
      </w:r>
      <w:r w:rsidRPr="00ED4D9C">
        <w:t>financial asset monitoring</w:t>
      </w:r>
      <w:r>
        <w:t>), the</w:t>
      </w:r>
      <w:r w:rsidRPr="00ED4D9C">
        <w:t xml:space="preserve"> </w:t>
      </w:r>
      <w:r>
        <w:t>Commission on Audit</w:t>
      </w:r>
      <w:r w:rsidRPr="00ED4D9C">
        <w:t xml:space="preserve"> has consistently raised </w:t>
      </w:r>
      <w:r>
        <w:t xml:space="preserve">issues </w:t>
      </w:r>
      <w:r w:rsidRPr="00ED4D9C">
        <w:t>resulting in qualified audit opinion</w:t>
      </w:r>
      <w:r>
        <w:t>s</w:t>
      </w:r>
      <w:r w:rsidRPr="00ED4D9C">
        <w:t xml:space="preserve"> with </w:t>
      </w:r>
      <w:r>
        <w:t xml:space="preserve">balance </w:t>
      </w:r>
      <w:r w:rsidRPr="00ED4D9C">
        <w:t>discrepancies, dormant accounts, non-recognition of interest income, investments without stock certificates</w:t>
      </w:r>
      <w:r>
        <w:t>,</w:t>
      </w:r>
      <w:r w:rsidRPr="00ED4D9C">
        <w:t xml:space="preserve"> and subsidiary ledger problems for foreign investments. </w:t>
      </w:r>
      <w:r>
        <w:t>F</w:t>
      </w:r>
      <w:r w:rsidRPr="00ED4D9C">
        <w:t xml:space="preserve">or </w:t>
      </w:r>
      <w:r>
        <w:t>D</w:t>
      </w:r>
      <w:r w:rsidRPr="00ED4D9C">
        <w:t xml:space="preserve">imension 12.2 </w:t>
      </w:r>
      <w:r>
        <w:t>(</w:t>
      </w:r>
      <w:r w:rsidRPr="00ED4D9C">
        <w:t>non-financial asset management</w:t>
      </w:r>
      <w:r>
        <w:t>),</w:t>
      </w:r>
      <w:r w:rsidRPr="00ED4D9C">
        <w:t xml:space="preserve"> insufficient records are maintained and verified for reliable </w:t>
      </w:r>
      <w:r>
        <w:t xml:space="preserve">compilation of </w:t>
      </w:r>
      <w:r w:rsidRPr="00ED4D9C">
        <w:t>end</w:t>
      </w:r>
      <w:r>
        <w:t>-</w:t>
      </w:r>
      <w:r w:rsidRPr="00ED4D9C">
        <w:t>of</w:t>
      </w:r>
      <w:r>
        <w:t>-</w:t>
      </w:r>
      <w:r w:rsidRPr="00ED4D9C">
        <w:t xml:space="preserve">year balances. For </w:t>
      </w:r>
      <w:r>
        <w:t>D</w:t>
      </w:r>
      <w:r w:rsidRPr="00ED4D9C">
        <w:t xml:space="preserve">imension 26.1 </w:t>
      </w:r>
      <w:r>
        <w:t>(</w:t>
      </w:r>
      <w:r w:rsidRPr="00ED4D9C">
        <w:t>regularity of bank reconciliations</w:t>
      </w:r>
      <w:r>
        <w:t>),</w:t>
      </w:r>
      <w:r w:rsidRPr="00ED4D9C">
        <w:t xml:space="preserve"> </w:t>
      </w:r>
      <w:r>
        <w:t>the Commission on Audit</w:t>
      </w:r>
      <w:r w:rsidRPr="00ED4D9C">
        <w:t xml:space="preserve"> </w:t>
      </w:r>
      <w:r>
        <w:t xml:space="preserve">has reported </w:t>
      </w:r>
      <w:r w:rsidRPr="00ED4D9C">
        <w:t>substantial deficiencies</w:t>
      </w:r>
      <w:r>
        <w:t>,</w:t>
      </w:r>
      <w:r w:rsidRPr="00ED4D9C">
        <w:t xml:space="preserve"> and balances are unreliable. For </w:t>
      </w:r>
      <w:r>
        <w:t>D</w:t>
      </w:r>
      <w:r w:rsidRPr="00ED4D9C">
        <w:t>imensions 2</w:t>
      </w:r>
      <w:r>
        <w:t>7</w:t>
      </w:r>
      <w:r w:rsidRPr="00ED4D9C">
        <w:t xml:space="preserve">.3 </w:t>
      </w:r>
      <w:r>
        <w:t>(</w:t>
      </w:r>
      <w:r w:rsidRPr="00ED4D9C">
        <w:t>clearance of advance accounts</w:t>
      </w:r>
      <w:r>
        <w:t>),</w:t>
      </w:r>
      <w:r w:rsidRPr="00ED4D9C">
        <w:t xml:space="preserve"> </w:t>
      </w:r>
      <w:r>
        <w:t>d</w:t>
      </w:r>
      <w:r w:rsidRPr="0034454E">
        <w:t>espite repeated efforts, significant advances remain outstanding long after the prescribed periods for settlement</w:t>
      </w:r>
      <w:r w:rsidRPr="00ED4D9C">
        <w:t xml:space="preserve">. For </w:t>
      </w:r>
      <w:r>
        <w:t>D</w:t>
      </w:r>
      <w:r w:rsidRPr="00ED4D9C">
        <w:t>imension 2</w:t>
      </w:r>
      <w:r>
        <w:t>7</w:t>
      </w:r>
      <w:r w:rsidRPr="00ED4D9C">
        <w:t xml:space="preserve">.4 </w:t>
      </w:r>
      <w:r>
        <w:t>(</w:t>
      </w:r>
      <w:r w:rsidRPr="00ED4D9C">
        <w:t>financial data integrity</w:t>
      </w:r>
      <w:r>
        <w:t xml:space="preserve"> processes),</w:t>
      </w:r>
      <w:r w:rsidRPr="00ED4D9C">
        <w:t xml:space="preserve"> </w:t>
      </w:r>
      <w:r>
        <w:t>CoA a</w:t>
      </w:r>
      <w:r w:rsidRPr="00ED4D9C">
        <w:t xml:space="preserve">udit opinions for government departments’ annual financial statements are rarely unqualified because of lack of appropriate control mechanisms to ensure accuracy and validity of financial data. For </w:t>
      </w:r>
      <w:r>
        <w:t>D</w:t>
      </w:r>
      <w:r w:rsidRPr="00ED4D9C">
        <w:t>imension 2</w:t>
      </w:r>
      <w:r>
        <w:t>8</w:t>
      </w:r>
      <w:r w:rsidRPr="00ED4D9C">
        <w:t xml:space="preserve">.3 </w:t>
      </w:r>
      <w:r>
        <w:t xml:space="preserve">(accuracy </w:t>
      </w:r>
      <w:r w:rsidRPr="00ED4D9C">
        <w:t>of the in-year budget reports</w:t>
      </w:r>
      <w:r>
        <w:t>),</w:t>
      </w:r>
      <w:r w:rsidRPr="00ED4D9C">
        <w:t xml:space="preserve"> the reports are prepared manually using spreadsheet. Although there is some level of data extraction from systems such as </w:t>
      </w:r>
      <w:r w:rsidRPr="000D0E8D">
        <w:rPr>
          <w:i/>
        </w:rPr>
        <w:t>e</w:t>
      </w:r>
      <w:r w:rsidRPr="00ED4D9C">
        <w:t xml:space="preserve">Budget </w:t>
      </w:r>
      <w:r w:rsidR="009E55E9">
        <w:t xml:space="preserve">System </w:t>
      </w:r>
      <w:r w:rsidR="001610D9" w:rsidRPr="00ED4D9C">
        <w:t>and,</w:t>
      </w:r>
      <w:r w:rsidRPr="00ED4D9C">
        <w:t xml:space="preserve"> not all agencies and departments have fully rolled out these systems. Reliability of the information</w:t>
      </w:r>
      <w:r>
        <w:t xml:space="preserve"> is</w:t>
      </w:r>
      <w:r w:rsidRPr="008D0B65">
        <w:t xml:space="preserve"> questionable considering the lack of appropriate control mechanisms to ensure accuracy and validity of financial data</w:t>
      </w:r>
      <w:r w:rsidRPr="004174C0">
        <w:t>.</w:t>
      </w:r>
    </w:p>
    <w:p w14:paraId="07F94699" w14:textId="77777777" w:rsidR="001762EE" w:rsidRPr="004174C0" w:rsidRDefault="001762EE" w:rsidP="00346486">
      <w:pPr>
        <w:pStyle w:val="ListParagraph"/>
        <w:tabs>
          <w:tab w:val="left" w:pos="720"/>
        </w:tabs>
        <w:autoSpaceDE w:val="0"/>
        <w:autoSpaceDN w:val="0"/>
        <w:adjustRightInd w:val="0"/>
        <w:spacing w:after="0" w:line="240" w:lineRule="auto"/>
        <w:ind w:left="0" w:firstLine="0"/>
        <w:jc w:val="both"/>
      </w:pPr>
    </w:p>
    <w:p w14:paraId="011614FB" w14:textId="17D58BC8"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Monitoring of the internal controls system</w:t>
      </w:r>
      <w:r w:rsidRPr="008B1E0E">
        <w:t>.</w:t>
      </w:r>
      <w:r>
        <w:t xml:space="preserve"> </w:t>
      </w:r>
      <w:r w:rsidRPr="00AE3338">
        <w:t>Monitoring arrangements are needed to ensure a strong internal control framework.</w:t>
      </w:r>
      <w:r>
        <w:t xml:space="preserve"> Several performance</w:t>
      </w:r>
      <w:r w:rsidRPr="00D73273">
        <w:t xml:space="preserve"> indicators found deficiencies in </w:t>
      </w:r>
      <w:r>
        <w:t xml:space="preserve">agencies’ </w:t>
      </w:r>
      <w:r w:rsidRPr="00D73273">
        <w:t xml:space="preserve">internal control that demonstrate a need for stronger internal audit action. </w:t>
      </w:r>
      <w:r>
        <w:t xml:space="preserve">Management has the primary responsibility for monitoring the effectiveness of its internal control procedures, especially by </w:t>
      </w:r>
      <w:r w:rsidRPr="00D73273">
        <w:t>continuously maintaining a positive internal control environment</w:t>
      </w:r>
      <w:r>
        <w:t xml:space="preserve">.  Management would be greatly supported in managing its internal controls if </w:t>
      </w:r>
      <w:r w:rsidRPr="00900A3F">
        <w:t>transactions and significant events are promptly recorded and properly classified.</w:t>
      </w:r>
      <w:r>
        <w:t xml:space="preserve"> For the Government, this would be assisted by improved IT systems. Many controls rely on </w:t>
      </w:r>
      <w:r w:rsidRPr="00900A3F">
        <w:t>the expectation that transactions and significant events are to be authorized and executed only by persons acting within the scope of their authority</w:t>
      </w:r>
      <w:r>
        <w:t>; and IT systems enable these controls to be systematically applied.</w:t>
      </w:r>
    </w:p>
    <w:p w14:paraId="472F99E7"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08302005" w14:textId="630AF512" w:rsidR="001762EE" w:rsidRPr="00BC6B0F"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BC6B0F">
        <w:t>Stronger action could also be facilitated by increased central oversight of internal audit activities. This</w:t>
      </w:r>
      <w:r>
        <w:t xml:space="preserve"> internal control</w:t>
      </w:r>
      <w:r w:rsidRPr="00BC6B0F">
        <w:t xml:space="preserve"> can be supplied through across</w:t>
      </w:r>
      <w:r>
        <w:t>-</w:t>
      </w:r>
      <w:r w:rsidRPr="00BC6B0F">
        <w:t>the</w:t>
      </w:r>
      <w:r>
        <w:t>-</w:t>
      </w:r>
      <w:r w:rsidRPr="00BC6B0F">
        <w:t xml:space="preserve">board external audit reviews of internal audit performance that are then reported to the </w:t>
      </w:r>
      <w:r>
        <w:t>l</w:t>
      </w:r>
      <w:r w:rsidRPr="00BC6B0F">
        <w:t xml:space="preserve">egislature for examination through the Public Accounts Committee. More generally, the implementation of internal controls across the public sector needs central coordination </w:t>
      </w:r>
      <w:r>
        <w:t xml:space="preserve">such as </w:t>
      </w:r>
      <w:r w:rsidRPr="00BC6B0F">
        <w:t xml:space="preserve">a single locus of responsibility for systematic review of compliance and a clear process for enforcing sanctions or penalties for instances of deviation. A Central Internal Audit Unit located in </w:t>
      </w:r>
      <w:r>
        <w:t>the Department of Budget and Management</w:t>
      </w:r>
      <w:r w:rsidRPr="00BC6B0F">
        <w:t xml:space="preserve"> should manage the Internal Audit Service and monitor the activities of the internal audit units</w:t>
      </w:r>
      <w:r>
        <w:t>. This arrangement would</w:t>
      </w:r>
      <w:r w:rsidRPr="00BC6B0F">
        <w:t xml:space="preserve"> provide assurance to the President through an annual report on whether internal controls </w:t>
      </w:r>
      <w:r>
        <w:t xml:space="preserve">were being </w:t>
      </w:r>
      <w:r w:rsidRPr="00BC6B0F">
        <w:t xml:space="preserve">properly managed. </w:t>
      </w:r>
    </w:p>
    <w:p w14:paraId="39490A60" w14:textId="77777777" w:rsidR="001762EE" w:rsidRPr="005A497D" w:rsidRDefault="001762EE" w:rsidP="00346486">
      <w:pPr>
        <w:pStyle w:val="ListParagraph"/>
        <w:tabs>
          <w:tab w:val="left" w:pos="720"/>
        </w:tabs>
        <w:autoSpaceDE w:val="0"/>
        <w:autoSpaceDN w:val="0"/>
        <w:adjustRightInd w:val="0"/>
        <w:spacing w:after="0" w:line="240" w:lineRule="auto"/>
        <w:ind w:left="0" w:firstLine="0"/>
        <w:jc w:val="both"/>
      </w:pPr>
    </w:p>
    <w:p w14:paraId="421FE54F" w14:textId="51F10096" w:rsidR="001762EE" w:rsidRDefault="001762EE" w:rsidP="00346486">
      <w:pPr>
        <w:pStyle w:val="Heading3"/>
      </w:pPr>
      <w:bookmarkStart w:id="283" w:name="_Toc454811728"/>
      <w:bookmarkStart w:id="284" w:name="_Toc454888872"/>
      <w:r w:rsidRPr="005A497D">
        <w:t xml:space="preserve">4.3 PFM </w:t>
      </w:r>
      <w:r>
        <w:t>s</w:t>
      </w:r>
      <w:r w:rsidRPr="005A497D">
        <w:t xml:space="preserve">trengths and </w:t>
      </w:r>
      <w:r>
        <w:t>w</w:t>
      </w:r>
      <w:r w:rsidRPr="005A497D">
        <w:t>eaknesses</w:t>
      </w:r>
      <w:bookmarkEnd w:id="283"/>
      <w:bookmarkEnd w:id="284"/>
    </w:p>
    <w:p w14:paraId="5CACD8C5" w14:textId="77777777" w:rsidR="001762EE" w:rsidRPr="00ED4D9C" w:rsidRDefault="001762EE" w:rsidP="00346486"/>
    <w:p w14:paraId="6E04EBEF" w14:textId="3172BF4F"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BC6B0F">
        <w:t>This section assesses the extent to which the PFM system</w:t>
      </w:r>
      <w:r>
        <w:t>,</w:t>
      </w:r>
      <w:r w:rsidRPr="00BC6B0F">
        <w:t xml:space="preserve"> as measured by the performance indicators</w:t>
      </w:r>
      <w:r>
        <w:t>,</w:t>
      </w:r>
      <w:r w:rsidRPr="00BC6B0F">
        <w:t xml:space="preserve"> constitutes an enabling factor for achieving the planned fiscal and budgetary outcomes </w:t>
      </w:r>
      <w:r>
        <w:t>that encompass</w:t>
      </w:r>
      <w:r w:rsidRPr="00BC6B0F">
        <w:t xml:space="preserve"> aggregate fiscal discipline, strategic allocation of resources, and efficient use of resources for service delivery.</w:t>
      </w:r>
      <w:r w:rsidRPr="00BC6B0F">
        <w:tab/>
      </w:r>
    </w:p>
    <w:p w14:paraId="4DDC1F04"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109ECB93" w14:textId="267A1C25"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Aggregate fiscal discipline</w:t>
      </w:r>
      <w:r w:rsidRPr="00BC6B0F">
        <w:t xml:space="preserve"> requires that the budget be delivered as planned, with effective systems for ensuring financial compliance by all staff engaged in PFM activities. </w:t>
      </w:r>
      <w:r>
        <w:t xml:space="preserve">The </w:t>
      </w:r>
      <w:r w:rsidRPr="00BC6B0F">
        <w:t xml:space="preserve">PFM functions that are focused on compliance must work well as measured by relevant PFM performance indicators. The most </w:t>
      </w:r>
      <w:r>
        <w:t>relevant</w:t>
      </w:r>
      <w:r w:rsidRPr="00BC6B0F">
        <w:t xml:space="preserve"> of these indicators and their assessment results indicate that compliance and fiscal discipline </w:t>
      </w:r>
      <w:r>
        <w:t xml:space="preserve">at the component level </w:t>
      </w:r>
      <w:r w:rsidRPr="00BC6B0F">
        <w:t xml:space="preserve">are </w:t>
      </w:r>
      <w:r>
        <w:t>inadequate,</w:t>
      </w:r>
      <w:r w:rsidRPr="00BC6B0F">
        <w:t xml:space="preserve"> and that performance needs significant changes to </w:t>
      </w:r>
      <w:r>
        <w:t xml:space="preserve">improve </w:t>
      </w:r>
      <w:r w:rsidRPr="00BC6B0F">
        <w:t>financial management systems</w:t>
      </w:r>
      <w:r>
        <w:t xml:space="preserve"> that support accounting and reporting</w:t>
      </w:r>
      <w:r w:rsidRPr="00BC6B0F">
        <w:t>:</w:t>
      </w:r>
    </w:p>
    <w:p w14:paraId="0C5C0DF7" w14:textId="77777777" w:rsidR="001762EE" w:rsidRPr="00BC6B0F" w:rsidRDefault="001762EE" w:rsidP="00A9553F">
      <w:pPr>
        <w:pStyle w:val="ListParagraph"/>
        <w:tabs>
          <w:tab w:val="left" w:pos="720"/>
        </w:tabs>
        <w:autoSpaceDE w:val="0"/>
        <w:autoSpaceDN w:val="0"/>
        <w:adjustRightInd w:val="0"/>
        <w:spacing w:after="0" w:line="240" w:lineRule="auto"/>
        <w:ind w:left="0" w:firstLine="0"/>
        <w:jc w:val="both"/>
      </w:pPr>
    </w:p>
    <w:p w14:paraId="36F48831" w14:textId="780D016A" w:rsidR="001762EE" w:rsidRDefault="001762EE" w:rsidP="00346486">
      <w:pPr>
        <w:pStyle w:val="ListParagraph"/>
        <w:numPr>
          <w:ilvl w:val="0"/>
          <w:numId w:val="24"/>
        </w:numPr>
        <w:tabs>
          <w:tab w:val="left" w:pos="720"/>
        </w:tabs>
        <w:autoSpaceDE w:val="0"/>
        <w:autoSpaceDN w:val="0"/>
        <w:adjustRightInd w:val="0"/>
        <w:spacing w:after="0" w:line="240" w:lineRule="auto"/>
        <w:ind w:left="720" w:hanging="270"/>
        <w:jc w:val="both"/>
      </w:pPr>
      <w:r w:rsidRPr="00745A8A">
        <w:rPr>
          <w:b/>
          <w:i/>
        </w:rPr>
        <w:t>In-year control of spending</w:t>
      </w:r>
      <w:r>
        <w:rPr>
          <w:i/>
        </w:rPr>
        <w:t>.</w:t>
      </w:r>
      <w:r>
        <w:t xml:space="preserve"> PI-1 (aggregate expenditure outturn) rated “D” and PI-2 (expenditure composition outturn) rated “D</w:t>
      </w:r>
      <w:r w:rsidR="00745A8A">
        <w:t>+</w:t>
      </w:r>
      <w:r>
        <w:t>”, implying a need for better information systems to support control and provide budget reliability, and more consistent and integrated reporting frameworks.</w:t>
      </w:r>
    </w:p>
    <w:p w14:paraId="5E1985B5"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142B5CA7" w14:textId="5A6F8C11" w:rsidR="001762EE" w:rsidRDefault="001762EE" w:rsidP="00346486">
      <w:pPr>
        <w:pStyle w:val="ListParagraph"/>
        <w:numPr>
          <w:ilvl w:val="0"/>
          <w:numId w:val="24"/>
        </w:numPr>
        <w:tabs>
          <w:tab w:val="left" w:pos="720"/>
        </w:tabs>
        <w:autoSpaceDE w:val="0"/>
        <w:autoSpaceDN w:val="0"/>
        <w:adjustRightInd w:val="0"/>
        <w:spacing w:after="0" w:line="240" w:lineRule="auto"/>
        <w:ind w:left="720" w:hanging="270"/>
        <w:jc w:val="both"/>
      </w:pPr>
      <w:r w:rsidRPr="00745A8A">
        <w:rPr>
          <w:b/>
          <w:i/>
        </w:rPr>
        <w:t>In-year control of taxes</w:t>
      </w:r>
      <w:r>
        <w:rPr>
          <w:i/>
        </w:rPr>
        <w:t>.</w:t>
      </w:r>
      <w:r>
        <w:t xml:space="preserve"> PI-3 Dimension 1 (aggregate revenue outturn) rated “A”, but PI-3 Dimension 2 (revenue composition outturn) rated “C”, demonstrating a problem for the individual taxes in that the collections do not match expectations</w:t>
      </w:r>
    </w:p>
    <w:p w14:paraId="5E8E3BB9"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119605DF" w14:textId="5D925579" w:rsidR="001762EE" w:rsidRDefault="001762EE" w:rsidP="00346486">
      <w:pPr>
        <w:pStyle w:val="ListParagraph"/>
        <w:numPr>
          <w:ilvl w:val="0"/>
          <w:numId w:val="24"/>
        </w:numPr>
        <w:tabs>
          <w:tab w:val="left" w:pos="720"/>
        </w:tabs>
        <w:autoSpaceDE w:val="0"/>
        <w:autoSpaceDN w:val="0"/>
        <w:adjustRightInd w:val="0"/>
        <w:spacing w:after="0" w:line="240" w:lineRule="auto"/>
        <w:ind w:left="720" w:hanging="270"/>
        <w:jc w:val="both"/>
      </w:pPr>
      <w:r w:rsidRPr="00745A8A">
        <w:rPr>
          <w:b/>
          <w:i/>
        </w:rPr>
        <w:t>Timely accounting and reporting</w:t>
      </w:r>
      <w:r>
        <w:rPr>
          <w:b/>
          <w:i/>
        </w:rPr>
        <w:t>.</w:t>
      </w:r>
      <w:r>
        <w:t xml:space="preserve"> PI-27 (financial data integrity) rated “C+” and PI-28 Dimension 2 (timing of in-year budget reports) rated “D”, both poor results that prejudice management capacity to exercise control over bank accounts and expenditures through the year. PI-29 (annual financial reports) rated “C+”, taken overall these results demonstrate the need for improvement in basic accounting systems that operate more effectively and with proper audit trails and reconciliations so that expenditure can be managed in accordance with budget intentions. Improved accounting is also needed to remedy the present position where several audit opinions on departmental annual accounts are qualified by the Commission on Audit.</w:t>
      </w:r>
    </w:p>
    <w:p w14:paraId="436BF170"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1F1A1CB9" w14:textId="19EC322A" w:rsidR="001762EE" w:rsidRDefault="001762EE" w:rsidP="00346486">
      <w:pPr>
        <w:pStyle w:val="ListParagraph"/>
        <w:numPr>
          <w:ilvl w:val="0"/>
          <w:numId w:val="24"/>
        </w:numPr>
        <w:tabs>
          <w:tab w:val="left" w:pos="720"/>
        </w:tabs>
        <w:autoSpaceDE w:val="0"/>
        <w:autoSpaceDN w:val="0"/>
        <w:adjustRightInd w:val="0"/>
        <w:spacing w:after="0" w:line="240" w:lineRule="auto"/>
        <w:ind w:left="720" w:hanging="270"/>
        <w:jc w:val="both"/>
      </w:pPr>
      <w:r w:rsidRPr="00745A8A">
        <w:rPr>
          <w:b/>
          <w:i/>
        </w:rPr>
        <w:t>Central control over cash</w:t>
      </w:r>
      <w:r>
        <w:t xml:space="preserve">. PI-21 Dimension 1 (consolidation of cash balances) rated “C”, but PI-21 Dimension 2 (cash forecasting and monitoring) rated “A”, mixed results with only ODA </w:t>
      </w:r>
      <w:r w:rsidR="00AF0E49">
        <w:t xml:space="preserve">and Trust </w:t>
      </w:r>
      <w:r>
        <w:t xml:space="preserve">funds </w:t>
      </w:r>
      <w:r w:rsidR="00AF0E49">
        <w:t xml:space="preserve">are </w:t>
      </w:r>
      <w:r>
        <w:t>yet to be incorporated into the consolidated cash balances for a strong performance.</w:t>
      </w:r>
    </w:p>
    <w:p w14:paraId="47CCA02D"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1029B651" w14:textId="482A2427" w:rsidR="001762EE" w:rsidRDefault="001762EE" w:rsidP="00346486">
      <w:pPr>
        <w:pStyle w:val="ListParagraph"/>
        <w:numPr>
          <w:ilvl w:val="0"/>
          <w:numId w:val="24"/>
        </w:numPr>
        <w:tabs>
          <w:tab w:val="left" w:pos="720"/>
        </w:tabs>
        <w:autoSpaceDE w:val="0"/>
        <w:autoSpaceDN w:val="0"/>
        <w:adjustRightInd w:val="0"/>
        <w:spacing w:after="0" w:line="240" w:lineRule="auto"/>
        <w:ind w:left="720"/>
        <w:jc w:val="both"/>
      </w:pPr>
      <w:r w:rsidRPr="00745A8A">
        <w:rPr>
          <w:b/>
          <w:i/>
        </w:rPr>
        <w:t>Adequate internal controls</w:t>
      </w:r>
      <w:r>
        <w:rPr>
          <w:b/>
          <w:i/>
        </w:rPr>
        <w:t>.</w:t>
      </w:r>
      <w:r w:rsidRPr="00056C7A">
        <w:t xml:space="preserve"> </w:t>
      </w:r>
      <w:r>
        <w:t xml:space="preserve">Both the indicator for </w:t>
      </w:r>
      <w:r w:rsidRPr="00056C7A">
        <w:t>payroll controls</w:t>
      </w:r>
      <w:r>
        <w:t xml:space="preserve"> and</w:t>
      </w:r>
      <w:r w:rsidRPr="00056C7A">
        <w:t xml:space="preserve"> </w:t>
      </w:r>
      <w:r>
        <w:t xml:space="preserve">for </w:t>
      </w:r>
      <w:r w:rsidRPr="006376E2">
        <w:t xml:space="preserve">non-salary expenditure controls rated </w:t>
      </w:r>
      <w:r>
        <w:t xml:space="preserve">“B+”, </w:t>
      </w:r>
      <w:r w:rsidRPr="006376E2">
        <w:t xml:space="preserve">indicating </w:t>
      </w:r>
      <w:r>
        <w:t xml:space="preserve">that the control framework is in place but is not providing appropriate control. </w:t>
      </w:r>
    </w:p>
    <w:p w14:paraId="2B43FE58" w14:textId="77777777" w:rsidR="001762EE" w:rsidRPr="006376E2" w:rsidRDefault="001762EE" w:rsidP="00346486">
      <w:pPr>
        <w:pStyle w:val="ListParagraph"/>
      </w:pPr>
    </w:p>
    <w:p w14:paraId="6A81434B" w14:textId="582CAFF2" w:rsidR="001762EE" w:rsidRPr="00411651" w:rsidRDefault="001762EE" w:rsidP="00346486">
      <w:pPr>
        <w:pStyle w:val="ListParagraph"/>
        <w:numPr>
          <w:ilvl w:val="0"/>
          <w:numId w:val="24"/>
        </w:numPr>
        <w:tabs>
          <w:tab w:val="left" w:pos="720"/>
        </w:tabs>
        <w:autoSpaceDE w:val="0"/>
        <w:autoSpaceDN w:val="0"/>
        <w:adjustRightInd w:val="0"/>
        <w:spacing w:after="0" w:line="240" w:lineRule="auto"/>
        <w:ind w:left="720"/>
        <w:jc w:val="both"/>
      </w:pPr>
      <w:r w:rsidRPr="00745A8A">
        <w:rPr>
          <w:b/>
          <w:i/>
        </w:rPr>
        <w:t>Adequate external controls</w:t>
      </w:r>
      <w:r>
        <w:t>.</w:t>
      </w:r>
      <w:r w:rsidRPr="00056C7A">
        <w:t xml:space="preserve"> PI</w:t>
      </w:r>
      <w:r>
        <w:t>-</w:t>
      </w:r>
      <w:r w:rsidRPr="00056C7A">
        <w:t xml:space="preserve">30 </w:t>
      </w:r>
      <w:r>
        <w:t>(</w:t>
      </w:r>
      <w:r w:rsidRPr="00056C7A">
        <w:t>external audit</w:t>
      </w:r>
      <w:r>
        <w:t>)</w:t>
      </w:r>
      <w:r w:rsidRPr="00056C7A">
        <w:t xml:space="preserve"> rated </w:t>
      </w:r>
      <w:r>
        <w:t>“C</w:t>
      </w:r>
      <w:r w:rsidRPr="00056C7A">
        <w:t>+</w:t>
      </w:r>
      <w:r>
        <w:t>” with an important scope deficiency in the audit of tax revenue,</w:t>
      </w:r>
      <w:r w:rsidRPr="00056C7A">
        <w:t xml:space="preserve"> </w:t>
      </w:r>
      <w:r>
        <w:t>and</w:t>
      </w:r>
      <w:r w:rsidRPr="00056C7A">
        <w:t xml:space="preserve"> PI</w:t>
      </w:r>
      <w:r>
        <w:t>-</w:t>
      </w:r>
      <w:r w:rsidRPr="00056C7A">
        <w:t xml:space="preserve">31 </w:t>
      </w:r>
      <w:r>
        <w:t>(</w:t>
      </w:r>
      <w:r w:rsidRPr="00056C7A">
        <w:t>legislative scrutiny of audit reports</w:t>
      </w:r>
      <w:r>
        <w:t>)</w:t>
      </w:r>
      <w:r w:rsidRPr="00056C7A">
        <w:t xml:space="preserve"> rated </w:t>
      </w:r>
      <w:r>
        <w:t>“</w:t>
      </w:r>
      <w:r w:rsidRPr="00056C7A">
        <w:t>D</w:t>
      </w:r>
      <w:r>
        <w:t>”</w:t>
      </w:r>
      <w:r w:rsidR="00A441B6">
        <w:t>.</w:t>
      </w:r>
      <w:r>
        <w:t xml:space="preserve"> T</w:t>
      </w:r>
      <w:r w:rsidRPr="00056C7A">
        <w:t xml:space="preserve">here is no Public Accounts Committee to routinely </w:t>
      </w:r>
      <w:r w:rsidR="00944B20">
        <w:t>scrutinize</w:t>
      </w:r>
      <w:r w:rsidR="00944B20" w:rsidRPr="00056C7A">
        <w:t xml:space="preserve"> </w:t>
      </w:r>
      <w:r w:rsidRPr="00056C7A">
        <w:t xml:space="preserve">audit reports and build on the good work of the </w:t>
      </w:r>
      <w:r>
        <w:t>Commission on Audit in reporting on the audit of expenditures and on defects in the adequacy of the financial statements of government agencies</w:t>
      </w:r>
      <w:r w:rsidRPr="00056C7A">
        <w:t>.</w:t>
      </w:r>
    </w:p>
    <w:p w14:paraId="7BFF7F77" w14:textId="77777777" w:rsidR="001762EE" w:rsidRDefault="001762EE" w:rsidP="00346486">
      <w:pPr>
        <w:pStyle w:val="ListParagraph"/>
        <w:tabs>
          <w:tab w:val="left" w:pos="720"/>
        </w:tabs>
        <w:autoSpaceDE w:val="0"/>
        <w:autoSpaceDN w:val="0"/>
        <w:adjustRightInd w:val="0"/>
        <w:spacing w:after="0" w:line="240" w:lineRule="auto"/>
        <w:ind w:left="360" w:firstLine="0"/>
        <w:jc w:val="both"/>
      </w:pPr>
    </w:p>
    <w:p w14:paraId="13C9F5AA" w14:textId="0562A833"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Strategic allocation of resources</w:t>
      </w:r>
      <w:r w:rsidRPr="008B1E0E">
        <w:t xml:space="preserve"> </w:t>
      </w:r>
      <w:r>
        <w:t xml:space="preserve">requires </w:t>
      </w:r>
      <w:r w:rsidRPr="00893EE9">
        <w:t>planning and executing the budget</w:t>
      </w:r>
      <w:r>
        <w:t xml:space="preserve"> to be </w:t>
      </w:r>
      <w:r w:rsidRPr="00893EE9">
        <w:t>in line with government priorities aimed at achieving policy objectives</w:t>
      </w:r>
      <w:r>
        <w:t>. The most relevant indicators and their ratings show that the upstream processes of budget formulation perform well but their program allocations are not fully applied because of defects in the downstream processes of in-year budget execution:</w:t>
      </w:r>
    </w:p>
    <w:p w14:paraId="5209D45F" w14:textId="77777777" w:rsidR="001762EE" w:rsidRDefault="001762EE" w:rsidP="00E35F02">
      <w:pPr>
        <w:pStyle w:val="ListParagraph"/>
        <w:tabs>
          <w:tab w:val="left" w:pos="720"/>
        </w:tabs>
        <w:autoSpaceDE w:val="0"/>
        <w:autoSpaceDN w:val="0"/>
        <w:adjustRightInd w:val="0"/>
        <w:spacing w:after="0" w:line="240" w:lineRule="auto"/>
        <w:ind w:left="0" w:firstLine="0"/>
        <w:jc w:val="both"/>
      </w:pPr>
    </w:p>
    <w:p w14:paraId="45E230EE" w14:textId="33339B3C" w:rsidR="001762EE" w:rsidRDefault="001762EE" w:rsidP="00346486">
      <w:pPr>
        <w:pStyle w:val="ListParagraph"/>
        <w:numPr>
          <w:ilvl w:val="0"/>
          <w:numId w:val="25"/>
        </w:numPr>
        <w:tabs>
          <w:tab w:val="left" w:pos="720"/>
        </w:tabs>
        <w:autoSpaceDE w:val="0"/>
        <w:autoSpaceDN w:val="0"/>
        <w:adjustRightInd w:val="0"/>
        <w:spacing w:after="0" w:line="240" w:lineRule="auto"/>
        <w:ind w:left="720" w:hanging="450"/>
        <w:jc w:val="both"/>
      </w:pPr>
      <w:r w:rsidRPr="00E35F02">
        <w:rPr>
          <w:b/>
          <w:i/>
        </w:rPr>
        <w:t>Well-managed policy based budget strategy</w:t>
      </w:r>
      <w:r>
        <w:t>. Indicators for fiscal strategy medium-term perspective in expenditure budgeting budget preparation process, legislative scrutiny of budgets,</w:t>
      </w:r>
      <w:r w:rsidRPr="00435CC2">
        <w:t xml:space="preserve"> </w:t>
      </w:r>
      <w:r>
        <w:t>and predictability of in-year resource allocation all rated well, demonstrating strength in the budget development process to set expenditure priorities in accord with government intentions.</w:t>
      </w:r>
    </w:p>
    <w:p w14:paraId="117C00D1"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5D380A0C" w14:textId="1FC198AA" w:rsidR="001762EE" w:rsidRDefault="001762EE" w:rsidP="00346486">
      <w:pPr>
        <w:pStyle w:val="ListParagraph"/>
        <w:numPr>
          <w:ilvl w:val="0"/>
          <w:numId w:val="25"/>
        </w:numPr>
        <w:tabs>
          <w:tab w:val="left" w:pos="720"/>
        </w:tabs>
        <w:autoSpaceDE w:val="0"/>
        <w:autoSpaceDN w:val="0"/>
        <w:adjustRightInd w:val="0"/>
        <w:spacing w:after="0" w:line="240" w:lineRule="auto"/>
        <w:ind w:left="720" w:hanging="450"/>
        <w:jc w:val="both"/>
      </w:pPr>
      <w:r w:rsidRPr="00745A8A">
        <w:rPr>
          <w:b/>
          <w:i/>
        </w:rPr>
        <w:t>Credible budget that is implemented as passed</w:t>
      </w:r>
      <w:r>
        <w:t>. PI-2 (expenditure composition outturn) rated “D+”, showing the final year-end result did not deliver the resource allocation intended at the beginning of the year</w:t>
      </w:r>
    </w:p>
    <w:p w14:paraId="49E64A12" w14:textId="77777777" w:rsidR="001762EE" w:rsidRDefault="001762EE" w:rsidP="00346486">
      <w:pPr>
        <w:pStyle w:val="ListParagraph"/>
        <w:spacing w:after="0" w:line="240" w:lineRule="auto"/>
        <w:ind w:left="720" w:firstLine="0"/>
      </w:pPr>
    </w:p>
    <w:p w14:paraId="22B47AF8" w14:textId="1F420023" w:rsidR="001762EE" w:rsidRDefault="001762EE" w:rsidP="00745A8A">
      <w:pPr>
        <w:pStyle w:val="ListParagraph"/>
        <w:numPr>
          <w:ilvl w:val="0"/>
          <w:numId w:val="25"/>
        </w:numPr>
        <w:spacing w:after="0" w:line="240" w:lineRule="auto"/>
        <w:ind w:left="720" w:hanging="450"/>
        <w:jc w:val="both"/>
      </w:pPr>
      <w:r w:rsidRPr="00745A8A">
        <w:rPr>
          <w:b/>
          <w:i/>
        </w:rPr>
        <w:t>Orderly execution of the budget with strong controls</w:t>
      </w:r>
      <w:r>
        <w:t>.</w:t>
      </w:r>
      <w:r w:rsidRPr="00D33924">
        <w:t xml:space="preserve"> </w:t>
      </w:r>
      <w:r>
        <w:t xml:space="preserve">The performance assessed for revenue and expenditure processes show mixed results with a need to review and improve the systems underlying delivery of the budget. The weak scores under accounting and reporting demonstrate the difficulty for budget managers to monitor and manage their budgets in the absence of basic tools for this purpose. Improvements would allow these managers to keep expenditure on track with budget intentions at the component level. Efficiency and economy may be improved with the establishment of an independent </w:t>
      </w:r>
      <w:r w:rsidR="00944B20">
        <w:t xml:space="preserve">procurement </w:t>
      </w:r>
      <w:r>
        <w:t>complaints mechanism, which would support more competitive bidding.</w:t>
      </w:r>
    </w:p>
    <w:p w14:paraId="00DE3B30" w14:textId="77777777" w:rsidR="001762EE" w:rsidRDefault="001762EE" w:rsidP="00346486">
      <w:pPr>
        <w:pStyle w:val="ListParagraph"/>
        <w:spacing w:after="0" w:line="240" w:lineRule="auto"/>
        <w:ind w:left="720" w:firstLine="0"/>
      </w:pPr>
    </w:p>
    <w:p w14:paraId="689151AA" w14:textId="1049D613" w:rsidR="001762EE" w:rsidRDefault="001762EE" w:rsidP="00745A8A">
      <w:pPr>
        <w:pStyle w:val="ListParagraph"/>
        <w:numPr>
          <w:ilvl w:val="0"/>
          <w:numId w:val="25"/>
        </w:numPr>
        <w:spacing w:after="0" w:line="240" w:lineRule="auto"/>
        <w:ind w:left="720" w:hanging="450"/>
        <w:jc w:val="both"/>
      </w:pPr>
      <w:r w:rsidRPr="00745A8A">
        <w:rPr>
          <w:b/>
          <w:i/>
        </w:rPr>
        <w:t>Fiscal risks, assets and liabilities are well managed</w:t>
      </w:r>
      <w:r>
        <w:t>. PI-10 (fiscal risk reporting) rated “B”, PI-11 (investment management) rated “B+”, PI-12 (asset management) rated “C+” and P-13 (debt management) rated “B”, generally a strong performance in managing assets and liabilities but with weaknesses in the systems for monitoring financial assets leading to control weaknesses and qualified audit opinions.</w:t>
      </w:r>
    </w:p>
    <w:p w14:paraId="29F6CD90"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7C38D457" w14:textId="4FA95512"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pPr>
      <w:r w:rsidRPr="0025475E">
        <w:rPr>
          <w:b/>
        </w:rPr>
        <w:t>Efficient service delivery</w:t>
      </w:r>
      <w:r w:rsidRPr="00091F26">
        <w:t xml:space="preserve"> requires that actual spending match budget allocations, resources are available for service delivery as planned</w:t>
      </w:r>
      <w:r>
        <w:t>,</w:t>
      </w:r>
      <w:r w:rsidRPr="00091F26">
        <w:t xml:space="preserve"> and costs are minimized.</w:t>
      </w:r>
      <w:r>
        <w:t xml:space="preserve"> </w:t>
      </w:r>
      <w:r w:rsidRPr="00304BBB">
        <w:t>Non-compliance with the budget may lead to a shift across expenditure categories</w:t>
      </w:r>
      <w:r>
        <w:t>. The most relevant indicators and their ratings show an appropriate budget development process but inadequate performance in budget execution:</w:t>
      </w:r>
    </w:p>
    <w:p w14:paraId="6F1D4F93" w14:textId="77777777" w:rsidR="001762EE" w:rsidRDefault="001762EE" w:rsidP="00E35F02">
      <w:pPr>
        <w:pStyle w:val="ListParagraph"/>
        <w:tabs>
          <w:tab w:val="left" w:pos="720"/>
        </w:tabs>
        <w:autoSpaceDE w:val="0"/>
        <w:autoSpaceDN w:val="0"/>
        <w:adjustRightInd w:val="0"/>
        <w:spacing w:after="0" w:line="240" w:lineRule="auto"/>
        <w:ind w:left="0" w:firstLine="0"/>
        <w:jc w:val="both"/>
      </w:pPr>
    </w:p>
    <w:p w14:paraId="2B37154D" w14:textId="01586865" w:rsidR="001762EE" w:rsidRDefault="001762EE" w:rsidP="00346486">
      <w:pPr>
        <w:pStyle w:val="ListParagraph"/>
        <w:numPr>
          <w:ilvl w:val="0"/>
          <w:numId w:val="26"/>
        </w:numPr>
        <w:tabs>
          <w:tab w:val="left" w:pos="720"/>
        </w:tabs>
        <w:autoSpaceDE w:val="0"/>
        <w:autoSpaceDN w:val="0"/>
        <w:adjustRightInd w:val="0"/>
        <w:spacing w:after="0" w:line="240" w:lineRule="auto"/>
        <w:ind w:left="720"/>
        <w:jc w:val="both"/>
      </w:pPr>
      <w:r w:rsidRPr="00745A8A">
        <w:rPr>
          <w:b/>
          <w:i/>
        </w:rPr>
        <w:t>Credible budget that is implemented as passed</w:t>
      </w:r>
      <w:r>
        <w:rPr>
          <w:b/>
          <w:i/>
        </w:rPr>
        <w:t>.</w:t>
      </w:r>
      <w:r>
        <w:t xml:space="preserve"> PI-2 (expenditure composition outturn) rated “D</w:t>
      </w:r>
      <w:r w:rsidR="00745A8A">
        <w:t>+</w:t>
      </w:r>
      <w:r>
        <w:t>”, a major concern for service delivery as this indicator is crucial for providing the resources needed to meet the policy intentions for the various economic sectors</w:t>
      </w:r>
    </w:p>
    <w:p w14:paraId="7B390303"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55357456" w14:textId="00765130" w:rsidR="001762EE" w:rsidRDefault="001762EE" w:rsidP="00346486">
      <w:pPr>
        <w:pStyle w:val="ListParagraph"/>
        <w:numPr>
          <w:ilvl w:val="0"/>
          <w:numId w:val="26"/>
        </w:numPr>
        <w:tabs>
          <w:tab w:val="left" w:pos="720"/>
        </w:tabs>
        <w:autoSpaceDE w:val="0"/>
        <w:autoSpaceDN w:val="0"/>
        <w:adjustRightInd w:val="0"/>
        <w:spacing w:after="0" w:line="240" w:lineRule="auto"/>
        <w:ind w:left="720"/>
        <w:jc w:val="both"/>
      </w:pPr>
      <w:r w:rsidRPr="00745A8A">
        <w:rPr>
          <w:b/>
          <w:i/>
        </w:rPr>
        <w:t>Transparent budget information</w:t>
      </w:r>
      <w:r>
        <w:t>. PI-4 (budget classification) rated “C”, PI-5 (comprehensive budget documentation) rated “A”, PI-8 (performance information for service delivery) rated “B+”, and PI-9 (public access to fiscal information) rated “B”, generally providing a good performance in delivering on the constitutional requirement for transparency of information on public finances.</w:t>
      </w:r>
    </w:p>
    <w:p w14:paraId="7EBCF6F5"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325B0E8A" w14:textId="0713C009" w:rsidR="001762EE" w:rsidRDefault="001762EE" w:rsidP="00346486">
      <w:pPr>
        <w:pStyle w:val="ListParagraph"/>
        <w:numPr>
          <w:ilvl w:val="0"/>
          <w:numId w:val="26"/>
        </w:numPr>
        <w:tabs>
          <w:tab w:val="left" w:pos="720"/>
        </w:tabs>
        <w:autoSpaceDE w:val="0"/>
        <w:autoSpaceDN w:val="0"/>
        <w:adjustRightInd w:val="0"/>
        <w:spacing w:after="0" w:line="240" w:lineRule="auto"/>
        <w:ind w:left="720"/>
        <w:jc w:val="both"/>
      </w:pPr>
      <w:r w:rsidRPr="00745A8A">
        <w:rPr>
          <w:b/>
          <w:i/>
        </w:rPr>
        <w:t>Policy-based budgeting with a multi-year perspective</w:t>
      </w:r>
      <w:r>
        <w:t>. PI-17 (budget preparation process) and PI-16 (medium-term perspective) rated “A”, again providing a sound basis for the budget in setting service delivery plans.</w:t>
      </w:r>
    </w:p>
    <w:p w14:paraId="6A498F95" w14:textId="77777777" w:rsidR="001762EE" w:rsidRDefault="001762EE" w:rsidP="00346486">
      <w:pPr>
        <w:pStyle w:val="ListParagraph"/>
        <w:tabs>
          <w:tab w:val="left" w:pos="720"/>
        </w:tabs>
        <w:autoSpaceDE w:val="0"/>
        <w:autoSpaceDN w:val="0"/>
        <w:adjustRightInd w:val="0"/>
        <w:spacing w:after="0" w:line="240" w:lineRule="auto"/>
        <w:ind w:left="720" w:firstLine="0"/>
        <w:jc w:val="both"/>
      </w:pPr>
    </w:p>
    <w:p w14:paraId="231643F6" w14:textId="6681A1C0" w:rsidR="001762EE" w:rsidRDefault="001762EE" w:rsidP="00346486">
      <w:pPr>
        <w:pStyle w:val="ListParagraph"/>
        <w:numPr>
          <w:ilvl w:val="0"/>
          <w:numId w:val="26"/>
        </w:numPr>
        <w:tabs>
          <w:tab w:val="left" w:pos="720"/>
        </w:tabs>
        <w:autoSpaceDE w:val="0"/>
        <w:autoSpaceDN w:val="0"/>
        <w:adjustRightInd w:val="0"/>
        <w:spacing w:after="0" w:line="240" w:lineRule="auto"/>
        <w:ind w:left="720"/>
        <w:jc w:val="both"/>
      </w:pPr>
      <w:r w:rsidRPr="00745A8A">
        <w:rPr>
          <w:b/>
          <w:i/>
        </w:rPr>
        <w:t>Competitive tendering processes</w:t>
      </w:r>
      <w:r>
        <w:rPr>
          <w:b/>
          <w:i/>
        </w:rPr>
        <w:t>.</w:t>
      </w:r>
      <w:r>
        <w:t xml:space="preserve"> PI-24 (procurement management) rated “C+”, demonstrating a need to be more stringent in using competition and independent review of complaints to deliver services at best cost and quality.</w:t>
      </w:r>
    </w:p>
    <w:p w14:paraId="2839FF5F"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5406B288" w14:textId="29C1D80D" w:rsidR="001762EE" w:rsidRPr="002478A2"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478A2">
        <w:t>These results show</w:t>
      </w:r>
      <w:r>
        <w:t xml:space="preserve"> overall</w:t>
      </w:r>
      <w:r w:rsidRPr="002478A2">
        <w:t xml:space="preserve"> that the </w:t>
      </w:r>
      <w:r>
        <w:t>Government</w:t>
      </w:r>
      <w:r w:rsidRPr="002478A2">
        <w:t xml:space="preserve"> has established strong</w:t>
      </w:r>
      <w:r>
        <w:t xml:space="preserve"> and</w:t>
      </w:r>
      <w:r w:rsidRPr="002478A2">
        <w:t xml:space="preserve"> effective budget development processes</w:t>
      </w:r>
      <w:r>
        <w:t>. However, the budget is not delivered in accordance with the plans, and the</w:t>
      </w:r>
      <w:r w:rsidRPr="002478A2">
        <w:t xml:space="preserve"> budget execution process </w:t>
      </w:r>
      <w:r>
        <w:t>fails to deliver both</w:t>
      </w:r>
      <w:r w:rsidRPr="002478A2">
        <w:t xml:space="preserve"> at the aggregate level </w:t>
      </w:r>
      <w:r>
        <w:t>and the component level</w:t>
      </w:r>
      <w:r w:rsidRPr="002478A2">
        <w:t xml:space="preserve">. At the detailed level there is substantial variability between plans and outcomes for both the revenue targets and the expenditure breakdowns. The PFM Committee </w:t>
      </w:r>
      <w:r>
        <w:t xml:space="preserve">is addressing the </w:t>
      </w:r>
      <w:r w:rsidRPr="002478A2">
        <w:t xml:space="preserve">downstream processes with its plans for implementing improved </w:t>
      </w:r>
      <w:r>
        <w:t>GIFMIS</w:t>
      </w:r>
      <w:r w:rsidRPr="002478A2">
        <w:t xml:space="preserve">. The </w:t>
      </w:r>
      <w:r>
        <w:t>Government</w:t>
      </w:r>
      <w:r w:rsidRPr="002478A2">
        <w:t xml:space="preserve"> has in place relatively effective internal audit and external audit arrangements that are supplying management with information on where controls are failing, but </w:t>
      </w:r>
      <w:r>
        <w:t>there is</w:t>
      </w:r>
      <w:r w:rsidRPr="002478A2">
        <w:t xml:space="preserve"> insufficient response to prevent continuing internal control deficiencies. </w:t>
      </w:r>
    </w:p>
    <w:p w14:paraId="1FFBEF23" w14:textId="77777777" w:rsidR="001762EE" w:rsidRPr="002478A2"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6650165C" w14:textId="72B4DBEE" w:rsidR="001762EE" w:rsidRPr="00C066C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478A2">
        <w:t xml:space="preserve">Management </w:t>
      </w:r>
      <w:r>
        <w:t>should take</w:t>
      </w:r>
      <w:r w:rsidRPr="002478A2">
        <w:t xml:space="preserve"> suitable actions </w:t>
      </w:r>
      <w:r>
        <w:t>with</w:t>
      </w:r>
      <w:r w:rsidRPr="002478A2">
        <w:t xml:space="preserve"> </w:t>
      </w:r>
      <w:r>
        <w:t xml:space="preserve">continued development of </w:t>
      </w:r>
      <w:r w:rsidRPr="002478A2">
        <w:t xml:space="preserve">the proposed information systems being considered by the PFM Committee. At present with only limited IT systems the core PFM functions are being adversely affected by an ineffective </w:t>
      </w:r>
      <w:r>
        <w:t>reporting</w:t>
      </w:r>
      <w:r w:rsidRPr="002478A2">
        <w:t xml:space="preserve"> environment. These </w:t>
      </w:r>
      <w:r>
        <w:t xml:space="preserve">information system </w:t>
      </w:r>
      <w:r w:rsidRPr="002478A2">
        <w:t xml:space="preserve">issues also need to be addressed through stronger </w:t>
      </w:r>
      <w:r>
        <w:t xml:space="preserve">PFM </w:t>
      </w:r>
      <w:r w:rsidRPr="002478A2">
        <w:t>organizational arrangements, best supported by an appropriate law</w:t>
      </w:r>
      <w:r>
        <w:t>.</w:t>
      </w:r>
      <w:r>
        <w:rPr>
          <w:rStyle w:val="EndnoteReference"/>
        </w:rPr>
        <w:endnoteReference w:id="103"/>
      </w:r>
      <w:r w:rsidRPr="002478A2">
        <w:t xml:space="preserve"> </w:t>
      </w:r>
    </w:p>
    <w:p w14:paraId="4BF7C0C1" w14:textId="77777777" w:rsidR="001762EE" w:rsidRDefault="001762EE" w:rsidP="00C066CE">
      <w:pPr>
        <w:tabs>
          <w:tab w:val="left" w:pos="720"/>
        </w:tabs>
        <w:autoSpaceDE w:val="0"/>
        <w:autoSpaceDN w:val="0"/>
        <w:adjustRightInd w:val="0"/>
        <w:jc w:val="both"/>
      </w:pPr>
    </w:p>
    <w:p w14:paraId="5B784898" w14:textId="074949FC" w:rsidR="001762EE" w:rsidRPr="009C4F30" w:rsidRDefault="001762EE" w:rsidP="00F31059">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478A2">
        <w:t xml:space="preserve">In summary </w:t>
      </w:r>
      <w:r w:rsidRPr="002478A2">
        <w:rPr>
          <w:lang w:val="en-AU"/>
        </w:rPr>
        <w:t>the PFM Committee should focus on strengthening the IT basis of PFM, developing the accounting system to an adequate level specified by international standards, and reinforcing the regulatory framework governing the PFM system.</w:t>
      </w:r>
      <w:r>
        <w:rPr>
          <w:lang w:val="en-AU"/>
        </w:rPr>
        <w:t xml:space="preserve"> Guidance on design is available from the World Bank’s handbook on IFMIS.</w:t>
      </w:r>
      <w:r>
        <w:rPr>
          <w:rStyle w:val="EndnoteReference"/>
          <w:lang w:val="en-AU"/>
        </w:rPr>
        <w:endnoteReference w:id="104"/>
      </w:r>
      <w:r>
        <w:rPr>
          <w:lang w:val="en-AU"/>
        </w:rPr>
        <w:t xml:space="preserve"> </w:t>
      </w:r>
      <w:r w:rsidRPr="002478A2">
        <w:t xml:space="preserve">An </w:t>
      </w:r>
      <w:r>
        <w:t>IFMIS</w:t>
      </w:r>
      <w:r w:rsidRPr="002478A2">
        <w:t xml:space="preserve"> offers the </w:t>
      </w:r>
      <w:r>
        <w:t>Government</w:t>
      </w:r>
      <w:r w:rsidRPr="002478A2">
        <w:t xml:space="preserve"> significant benefits in managing public monies more effectively, including greater financial control, improved monitoring of the government’s cash position and better planning for future requirements, better fiscal report</w:t>
      </w:r>
      <w:r>
        <w:t>ing, and timely availability of a complete set of data to form a reliable basis</w:t>
      </w:r>
      <w:r w:rsidRPr="002478A2">
        <w:t xml:space="preserve"> for budget formulation. The establishment of an effective system also contributes directly to improving t</w:t>
      </w:r>
      <w:r>
        <w:t>ransparency and accountability.</w:t>
      </w:r>
    </w:p>
    <w:p w14:paraId="3085DCD7" w14:textId="77777777" w:rsidR="001762EE" w:rsidRDefault="001762EE" w:rsidP="00346486">
      <w:pPr>
        <w:pStyle w:val="ListParagraph"/>
        <w:tabs>
          <w:tab w:val="left" w:pos="720"/>
        </w:tabs>
        <w:autoSpaceDE w:val="0"/>
        <w:autoSpaceDN w:val="0"/>
        <w:adjustRightInd w:val="0"/>
        <w:spacing w:after="0" w:line="240" w:lineRule="auto"/>
        <w:ind w:left="0" w:firstLine="0"/>
        <w:jc w:val="both"/>
      </w:pPr>
    </w:p>
    <w:p w14:paraId="1A75F3FB" w14:textId="4636EFEF" w:rsidR="001762EE" w:rsidRPr="001954A0" w:rsidRDefault="001762EE" w:rsidP="00346486">
      <w:pPr>
        <w:pStyle w:val="Heading3"/>
      </w:pPr>
      <w:bookmarkStart w:id="285" w:name="_Toc454811729"/>
      <w:bookmarkStart w:id="286" w:name="_Toc454888873"/>
      <w:r w:rsidRPr="001954A0">
        <w:t xml:space="preserve">4.4 </w:t>
      </w:r>
      <w:r w:rsidRPr="00EF4024">
        <w:t xml:space="preserve">Performance </w:t>
      </w:r>
      <w:r>
        <w:t>c</w:t>
      </w:r>
      <w:r w:rsidRPr="00EF4024">
        <w:t xml:space="preserve">hanges since </w:t>
      </w:r>
      <w:r>
        <w:t>the 2010</w:t>
      </w:r>
      <w:r w:rsidRPr="00EF4024">
        <w:t xml:space="preserve"> </w:t>
      </w:r>
      <w:r>
        <w:t>a</w:t>
      </w:r>
      <w:r w:rsidRPr="00EF4024">
        <w:t>ssessment</w:t>
      </w:r>
      <w:bookmarkEnd w:id="285"/>
      <w:bookmarkEnd w:id="286"/>
    </w:p>
    <w:p w14:paraId="3A1DAFC9" w14:textId="77777777" w:rsidR="001762EE" w:rsidRPr="009C4F30"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1FED966D" w14:textId="1A8A6743"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Pr>
          <w:lang w:val="en-AU"/>
        </w:rPr>
        <w:t>The 2010</w:t>
      </w:r>
      <w:r w:rsidRPr="00747C5B">
        <w:rPr>
          <w:lang w:val="en-AU"/>
        </w:rPr>
        <w:t xml:space="preserve"> PEFA assessment was intended to serve as a baseline for</w:t>
      </w:r>
      <w:r>
        <w:rPr>
          <w:lang w:val="en-AU"/>
        </w:rPr>
        <w:t xml:space="preserve"> </w:t>
      </w:r>
      <w:r w:rsidRPr="00747C5B">
        <w:rPr>
          <w:lang w:val="en-AU"/>
        </w:rPr>
        <w:t xml:space="preserve">monitoring subsequent progress in improving the </w:t>
      </w:r>
      <w:r>
        <w:rPr>
          <w:lang w:val="en-AU"/>
        </w:rPr>
        <w:t>performance of PF</w:t>
      </w:r>
      <w:r w:rsidRPr="00747C5B">
        <w:rPr>
          <w:lang w:val="en-AU"/>
        </w:rPr>
        <w:t>M</w:t>
      </w:r>
      <w:r>
        <w:rPr>
          <w:lang w:val="en-AU"/>
        </w:rPr>
        <w:t xml:space="preserve"> systems in the Philippines</w:t>
      </w:r>
      <w:r w:rsidRPr="00747C5B">
        <w:rPr>
          <w:lang w:val="en-AU"/>
        </w:rPr>
        <w:t>.</w:t>
      </w:r>
      <w:r>
        <w:rPr>
          <w:lang w:val="en-AU"/>
        </w:rPr>
        <w:t xml:space="preserve"> The current assessment provides the opportunity to do this, serving as a successive assessment but also a baseline for the future. The 2010 report included a summary assessment that identified various departures from accepted international good practices at that time. It is convenient to examine progress in rectifying these matters and identify where further progress is needed.</w:t>
      </w:r>
    </w:p>
    <w:p w14:paraId="78B0965B" w14:textId="77777777" w:rsidR="001762EE"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74A56013" w14:textId="16272356" w:rsidR="001762EE" w:rsidRPr="00F112CC" w:rsidRDefault="001762EE" w:rsidP="002436C9">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F112CC">
        <w:rPr>
          <w:b/>
          <w:bCs/>
          <w:i/>
          <w:iCs/>
        </w:rPr>
        <w:t>Budget reliability</w:t>
      </w:r>
      <w:r>
        <w:rPr>
          <w:b/>
          <w:bCs/>
          <w:i/>
          <w:iCs/>
        </w:rPr>
        <w:t>.</w:t>
      </w:r>
      <w:r w:rsidRPr="00F112CC">
        <w:rPr>
          <w:b/>
          <w:bCs/>
          <w:i/>
          <w:iCs/>
        </w:rPr>
        <w:t xml:space="preserve"> </w:t>
      </w:r>
      <w:r w:rsidRPr="002905FF">
        <w:rPr>
          <w:lang w:val="en-AU"/>
        </w:rPr>
        <w:t xml:space="preserve">Credibility of budget expenditure forecasts could not be assessed in the 2010 report because the </w:t>
      </w:r>
      <w:r>
        <w:rPr>
          <w:lang w:val="en-AU"/>
        </w:rPr>
        <w:t xml:space="preserve">review </w:t>
      </w:r>
      <w:r w:rsidRPr="002905FF">
        <w:rPr>
          <w:lang w:val="en-AU"/>
        </w:rPr>
        <w:t xml:space="preserve">period had frequent budget re-enactments and the budget system could not provide reliable data on original expenditure appropriations. This has improved in 2016 with </w:t>
      </w:r>
      <w:r>
        <w:rPr>
          <w:lang w:val="en-AU"/>
        </w:rPr>
        <w:t xml:space="preserve">budgets being enacted before the start of the fiscal year; but data on actual expenditures in a comparable format is still elusive. Instead the current assessment bases the analysis on the data available for committed amounts. The “D” </w:t>
      </w:r>
      <w:r w:rsidRPr="002905FF">
        <w:rPr>
          <w:lang w:val="en-AU"/>
        </w:rPr>
        <w:t xml:space="preserve">rating </w:t>
      </w:r>
      <w:r>
        <w:rPr>
          <w:lang w:val="en-AU"/>
        </w:rPr>
        <w:t xml:space="preserve">is secured </w:t>
      </w:r>
      <w:r w:rsidRPr="002905FF">
        <w:rPr>
          <w:lang w:val="en-AU"/>
        </w:rPr>
        <w:t xml:space="preserve">for aggregate expenditure </w:t>
      </w:r>
      <w:r>
        <w:rPr>
          <w:lang w:val="en-AU"/>
        </w:rPr>
        <w:t>outturn</w:t>
      </w:r>
      <w:r w:rsidRPr="002905FF">
        <w:rPr>
          <w:lang w:val="en-AU"/>
        </w:rPr>
        <w:t>. However</w:t>
      </w:r>
      <w:r>
        <w:rPr>
          <w:lang w:val="en-AU"/>
        </w:rPr>
        <w:t>,</w:t>
      </w:r>
      <w:r w:rsidRPr="002905FF">
        <w:rPr>
          <w:lang w:val="en-AU"/>
        </w:rPr>
        <w:t xml:space="preserve"> the budget system continues to cause difficulties in the measurement of expenditure budgets due to the substantial use of allocations to Special Purpose Funds. This reduces the capacity of the PFM system to manage resource allocation intentions and creates risks for fiscal discipline as evidenced by the </w:t>
      </w:r>
      <w:r>
        <w:rPr>
          <w:lang w:val="en-AU"/>
        </w:rPr>
        <w:t>“D”</w:t>
      </w:r>
      <w:r w:rsidRPr="002905FF">
        <w:rPr>
          <w:lang w:val="en-AU"/>
        </w:rPr>
        <w:t xml:space="preserve"> score for expenditure composition </w:t>
      </w:r>
      <w:r>
        <w:rPr>
          <w:lang w:val="en-AU"/>
        </w:rPr>
        <w:t>outturn</w:t>
      </w:r>
      <w:r w:rsidRPr="002905FF">
        <w:rPr>
          <w:lang w:val="en-AU"/>
        </w:rPr>
        <w:t>.</w:t>
      </w:r>
      <w:r>
        <w:rPr>
          <w:bCs/>
          <w:iCs/>
        </w:rPr>
        <w:t xml:space="preserve"> </w:t>
      </w:r>
      <w:r w:rsidRPr="00F112CC">
        <w:rPr>
          <w:bCs/>
          <w:iCs/>
        </w:rPr>
        <w:t xml:space="preserve">The 2010 report </w:t>
      </w:r>
      <w:r>
        <w:rPr>
          <w:bCs/>
          <w:iCs/>
        </w:rPr>
        <w:t>also noted</w:t>
      </w:r>
      <w:r w:rsidRPr="00F112CC">
        <w:rPr>
          <w:bCs/>
          <w:iCs/>
        </w:rPr>
        <w:t xml:space="preserve"> that revenue forecasts were relatively realistic. This position has deteriorated somewhat as the 2016 assessment shows significant differences between estimates and outturns for the major revenue sources creating risks to expenditure financing and the consequent service delivery that can be funded. </w:t>
      </w:r>
    </w:p>
    <w:p w14:paraId="0763AD6B" w14:textId="77777777" w:rsidR="001762EE"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1600A6BC" w14:textId="4F8C1643"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6376E2">
        <w:rPr>
          <w:b/>
          <w:bCs/>
          <w:i/>
          <w:iCs/>
        </w:rPr>
        <w:t xml:space="preserve"> </w:t>
      </w:r>
      <w:r w:rsidRPr="002905FF">
        <w:rPr>
          <w:b/>
          <w:i/>
          <w:lang w:val="en-AU"/>
        </w:rPr>
        <w:t>Transparency of public finances</w:t>
      </w:r>
      <w:r>
        <w:rPr>
          <w:lang w:val="en-AU"/>
        </w:rPr>
        <w:t>.</w:t>
      </w:r>
      <w:r w:rsidRPr="002905FF">
        <w:rPr>
          <w:lang w:val="en-AU"/>
        </w:rPr>
        <w:t xml:space="preserve"> Comprehensiveness and transparency of budget reporting in the 2010 report was compromised by defects in the chart of accounts used for expenditure reporting and lack of a public consolidated budget execution report in accordance with the classification used for the budget. The 2016 assessment found that the situation had been rectified. The Unified Accounts Code Structure was </w:t>
      </w:r>
      <w:r>
        <w:rPr>
          <w:lang w:val="en-AU"/>
        </w:rPr>
        <w:t>adop</w:t>
      </w:r>
      <w:r w:rsidRPr="002905FF">
        <w:rPr>
          <w:lang w:val="en-AU"/>
        </w:rPr>
        <w:t xml:space="preserve">ted in 2014 for budget formulation, execution and reporting. It applies the GFS administrative and economic classification. The National Expenditure Program provides the prior year’s </w:t>
      </w:r>
      <w:r>
        <w:rPr>
          <w:lang w:val="en-AU"/>
        </w:rPr>
        <w:t>outturn</w:t>
      </w:r>
      <w:r w:rsidRPr="002905FF">
        <w:rPr>
          <w:lang w:val="en-AU"/>
        </w:rPr>
        <w:t>, revised budget for the current year</w:t>
      </w:r>
      <w:r>
        <w:rPr>
          <w:lang w:val="en-AU"/>
        </w:rPr>
        <w:t>,</w:t>
      </w:r>
      <w:r w:rsidRPr="002905FF">
        <w:rPr>
          <w:lang w:val="en-AU"/>
        </w:rPr>
        <w:t xml:space="preserve"> and proposed budget for the next year on an obligation basis. The Budget Expenditure and Sources of Finance </w:t>
      </w:r>
      <w:r>
        <w:rPr>
          <w:lang w:val="en-AU"/>
        </w:rPr>
        <w:t>R</w:t>
      </w:r>
      <w:r w:rsidRPr="002905FF">
        <w:rPr>
          <w:lang w:val="en-AU"/>
        </w:rPr>
        <w:t>eport provides details of expenditure and revenue on a functional basis and per organizational entity (prior year, adjusted budget for the current year, and budget year on an obligation basis).</w:t>
      </w:r>
      <w:r>
        <w:rPr>
          <w:lang w:val="en-AU"/>
        </w:rPr>
        <w:t xml:space="preserve"> </w:t>
      </w:r>
      <w:r w:rsidRPr="00F112CC">
        <w:rPr>
          <w:lang w:val="en-AU"/>
        </w:rPr>
        <w:t xml:space="preserve">The 2010 report noted </w:t>
      </w:r>
      <w:r w:rsidRPr="002905FF">
        <w:rPr>
          <w:lang w:val="en-AU"/>
        </w:rPr>
        <w:t>inadequate data on resources made available to primary service delivery units. Funds utilization reports required by the PFM arrangements were not being provided</w:t>
      </w:r>
      <w:r>
        <w:rPr>
          <w:lang w:val="en-AU"/>
        </w:rPr>
        <w:t>,</w:t>
      </w:r>
      <w:r w:rsidRPr="002905FF">
        <w:rPr>
          <w:lang w:val="en-AU"/>
        </w:rPr>
        <w:t xml:space="preserve"> and the lack of computer applications was seen as an impediment to speedy resolution of the problem. In 2016 the situation has not been resolved. </w:t>
      </w:r>
      <w:r>
        <w:rPr>
          <w:lang w:val="en-AU"/>
        </w:rPr>
        <w:t xml:space="preserve"> </w:t>
      </w:r>
      <w:r w:rsidRPr="002905FF">
        <w:rPr>
          <w:lang w:val="en-AU"/>
        </w:rPr>
        <w:t>A continued lack of integrated systems and automation limits the ability to monitor at a central level.</w:t>
      </w:r>
    </w:p>
    <w:p w14:paraId="32092B00" w14:textId="77777777" w:rsidR="001762EE" w:rsidRPr="002905FF"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24C37B63" w14:textId="021BE7C8"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905FF">
        <w:rPr>
          <w:b/>
          <w:i/>
          <w:lang w:val="en-AU"/>
        </w:rPr>
        <w:t>Management of assets and liabilities</w:t>
      </w:r>
      <w:r>
        <w:rPr>
          <w:b/>
          <w:i/>
          <w:lang w:val="en-AU"/>
        </w:rPr>
        <w:t>.</w:t>
      </w:r>
      <w:r w:rsidRPr="002905FF">
        <w:rPr>
          <w:lang w:val="en-AU"/>
        </w:rPr>
        <w:t xml:space="preserve"> The 2010 report found overall monitoring of fiscal risks from </w:t>
      </w:r>
      <w:r>
        <w:rPr>
          <w:lang w:val="en-AU"/>
        </w:rPr>
        <w:t xml:space="preserve">GOCCs to be </w:t>
      </w:r>
      <w:r w:rsidRPr="002905FF">
        <w:rPr>
          <w:lang w:val="en-AU"/>
        </w:rPr>
        <w:t>deficient in quality. Since that report</w:t>
      </w:r>
      <w:r>
        <w:rPr>
          <w:lang w:val="en-AU"/>
        </w:rPr>
        <w:t>,</w:t>
      </w:r>
      <w:r w:rsidRPr="002905FF">
        <w:rPr>
          <w:lang w:val="en-AU"/>
        </w:rPr>
        <w:t xml:space="preserve"> the </w:t>
      </w:r>
      <w:r>
        <w:rPr>
          <w:lang w:val="en-AU"/>
        </w:rPr>
        <w:t>Government in 2011</w:t>
      </w:r>
      <w:r w:rsidRPr="002905FF">
        <w:rPr>
          <w:lang w:val="en-AU"/>
        </w:rPr>
        <w:t xml:space="preserve"> established the Governance Commission for GOCCs with a focus on ensuring commercial viability. </w:t>
      </w:r>
      <w:r>
        <w:rPr>
          <w:lang w:val="en-AU"/>
        </w:rPr>
        <w:t>The Commission</w:t>
      </w:r>
      <w:r w:rsidRPr="002905FF">
        <w:rPr>
          <w:lang w:val="en-AU"/>
        </w:rPr>
        <w:t xml:space="preserve"> collects information on </w:t>
      </w:r>
      <w:r>
        <w:rPr>
          <w:lang w:val="en-AU"/>
        </w:rPr>
        <w:t>GOCC’s</w:t>
      </w:r>
      <w:r w:rsidRPr="002905FF">
        <w:rPr>
          <w:lang w:val="en-AU"/>
        </w:rPr>
        <w:t xml:space="preserve"> financial performance on a quarterly basis, publishes an annual report with consolidated information, and includes a condensed version in the </w:t>
      </w:r>
      <w:r>
        <w:rPr>
          <w:lang w:val="en-AU"/>
        </w:rPr>
        <w:t>Government</w:t>
      </w:r>
      <w:r w:rsidRPr="002905FF">
        <w:rPr>
          <w:lang w:val="en-AU"/>
        </w:rPr>
        <w:t xml:space="preserve">-wide Fiscal Risks Statement. </w:t>
      </w:r>
    </w:p>
    <w:p w14:paraId="7A615D61" w14:textId="77777777" w:rsidR="001762EE" w:rsidRPr="002905FF"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044838F8" w14:textId="2A95D2AE"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905FF">
        <w:rPr>
          <w:b/>
          <w:i/>
          <w:lang w:val="en-AU"/>
        </w:rPr>
        <w:t>Policy-based fiscal strategy and reporting</w:t>
      </w:r>
      <w:r>
        <w:rPr>
          <w:lang w:val="en-AU"/>
        </w:rPr>
        <w:t>.</w:t>
      </w:r>
      <w:r w:rsidRPr="002905FF">
        <w:rPr>
          <w:lang w:val="en-AU"/>
        </w:rPr>
        <w:t xml:space="preserve"> The 2010 report found an orderly process of budget preparation was affected by congressional delays in approving the </w:t>
      </w:r>
      <w:r>
        <w:rPr>
          <w:lang w:val="en-AU"/>
        </w:rPr>
        <w:t>budget</w:t>
      </w:r>
      <w:r w:rsidRPr="002905FF">
        <w:rPr>
          <w:lang w:val="en-AU"/>
        </w:rPr>
        <w:t xml:space="preserve">. A </w:t>
      </w:r>
      <w:r>
        <w:rPr>
          <w:lang w:val="en-AU"/>
        </w:rPr>
        <w:t>MTEF</w:t>
      </w:r>
      <w:r w:rsidRPr="002905FF">
        <w:rPr>
          <w:lang w:val="en-AU"/>
        </w:rPr>
        <w:t xml:space="preserve"> was being developed. In 2016 under the MTEF, each agency/department prepares a three</w:t>
      </w:r>
      <w:r>
        <w:rPr>
          <w:lang w:val="en-AU"/>
        </w:rPr>
        <w:t>-</w:t>
      </w:r>
      <w:r w:rsidRPr="002905FF">
        <w:rPr>
          <w:lang w:val="en-AU"/>
        </w:rPr>
        <w:t>year rolling budget set to accord with goals and objectives set under the Philippine Development Plan and achieve intended resource allocations. In each of the three years</w:t>
      </w:r>
      <w:r>
        <w:rPr>
          <w:lang w:val="en-AU"/>
        </w:rPr>
        <w:t>,</w:t>
      </w:r>
      <w:r w:rsidRPr="002905FF">
        <w:rPr>
          <w:lang w:val="en-AU"/>
        </w:rPr>
        <w:t xml:space="preserve"> which were the subject of the </w:t>
      </w:r>
      <w:r>
        <w:rPr>
          <w:lang w:val="en-AU"/>
        </w:rPr>
        <w:t>current assessment,</w:t>
      </w:r>
      <w:r w:rsidRPr="002905FF">
        <w:rPr>
          <w:lang w:val="en-AU"/>
        </w:rPr>
        <w:t xml:space="preserve"> the budget was </w:t>
      </w:r>
      <w:r>
        <w:rPr>
          <w:lang w:val="en-AU"/>
        </w:rPr>
        <w:t xml:space="preserve">enacted after legislative approval before the start </w:t>
      </w:r>
      <w:r w:rsidRPr="002905FF">
        <w:rPr>
          <w:lang w:val="en-AU"/>
        </w:rPr>
        <w:t>of the fiscal year.</w:t>
      </w:r>
    </w:p>
    <w:p w14:paraId="61BE36C4" w14:textId="77777777" w:rsidR="001762EE" w:rsidRPr="002905FF"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5947F1A4" w14:textId="367B4333"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905FF">
        <w:rPr>
          <w:b/>
          <w:i/>
          <w:lang w:val="en-AU"/>
        </w:rPr>
        <w:t>Predictability and control in budget execution</w:t>
      </w:r>
      <w:r>
        <w:rPr>
          <w:lang w:val="en-AU"/>
        </w:rPr>
        <w:t>.</w:t>
      </w:r>
      <w:r w:rsidRPr="002905FF">
        <w:rPr>
          <w:lang w:val="en-AU"/>
        </w:rPr>
        <w:t xml:space="preserve"> The</w:t>
      </w:r>
      <w:r w:rsidRPr="002905FF">
        <w:rPr>
          <w:lang w:val="en-AU"/>
        </w:rPr>
        <w:tab/>
        <w:t xml:space="preserve">  general weakness in reporting on budget execution created by inconsistent classification frameworks</w:t>
      </w:r>
      <w:r>
        <w:rPr>
          <w:lang w:val="en-AU"/>
        </w:rPr>
        <w:t xml:space="preserve"> as reported in 2010</w:t>
      </w:r>
      <w:r w:rsidRPr="002905FF">
        <w:rPr>
          <w:lang w:val="en-AU"/>
        </w:rPr>
        <w:t xml:space="preserve"> has been remedied. The revenue collection system was suffering from weak controls and enforcement. Taxpayer registration, tax audit</w:t>
      </w:r>
      <w:r>
        <w:rPr>
          <w:lang w:val="en-AU"/>
        </w:rPr>
        <w:t>,</w:t>
      </w:r>
      <w:r w:rsidRPr="002905FF">
        <w:rPr>
          <w:lang w:val="en-AU"/>
        </w:rPr>
        <w:t xml:space="preserve"> and tax transfers were all found to be deficient. In 2016 revenue administration was found to be much stronger. Both the </w:t>
      </w:r>
      <w:r>
        <w:rPr>
          <w:lang w:val="en-AU"/>
        </w:rPr>
        <w:t>Bureaus of Internal Revenue</w:t>
      </w:r>
      <w:r w:rsidRPr="002905FF">
        <w:rPr>
          <w:lang w:val="en-AU"/>
        </w:rPr>
        <w:t xml:space="preserve"> and Customs operate various automated systems to assist with taxpayer information, filing</w:t>
      </w:r>
      <w:r>
        <w:rPr>
          <w:lang w:val="en-AU"/>
        </w:rPr>
        <w:t>,</w:t>
      </w:r>
      <w:r w:rsidRPr="002905FF">
        <w:rPr>
          <w:lang w:val="en-AU"/>
        </w:rPr>
        <w:t xml:space="preserve"> and payment. Revenue audit programs have been systematized and achieved.</w:t>
      </w:r>
    </w:p>
    <w:p w14:paraId="380E04C2" w14:textId="77777777" w:rsidR="001762EE" w:rsidRPr="002905FF"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0CD95AB3" w14:textId="3D762C4C"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905FF">
        <w:rPr>
          <w:lang w:val="en-AU"/>
        </w:rPr>
        <w:t>The 2010 system of managing releases of allotments through Special Allotment Release Orders often created uncertainty about availability of funds for parts of agency budgets such as capital outlays and maintenance and other operating expenses. Weak reporting on budget execution made it difficult to establish the extent of in-year budget re-allocation</w:t>
      </w:r>
      <w:r>
        <w:rPr>
          <w:lang w:val="en-AU"/>
        </w:rPr>
        <w:t>,</w:t>
      </w:r>
      <w:r w:rsidRPr="002905FF">
        <w:rPr>
          <w:lang w:val="en-AU"/>
        </w:rPr>
        <w:t xml:space="preserve"> a major accountability issue in the Philippines’ PFM</w:t>
      </w:r>
      <w:r>
        <w:rPr>
          <w:lang w:val="en-AU"/>
        </w:rPr>
        <w:t xml:space="preserve"> system</w:t>
      </w:r>
      <w:r w:rsidRPr="002905FF">
        <w:rPr>
          <w:lang w:val="en-AU"/>
        </w:rPr>
        <w:t xml:space="preserve">. In 2016 improvements have been achieved. Since 2014, the </w:t>
      </w:r>
      <w:r>
        <w:rPr>
          <w:lang w:val="en-AU"/>
        </w:rPr>
        <w:t>General Appropriations Act</w:t>
      </w:r>
      <w:r w:rsidRPr="002905FF">
        <w:rPr>
          <w:lang w:val="en-AU"/>
        </w:rPr>
        <w:t xml:space="preserve"> stands as the government’s primary budget release document and Notices of Cash Allocation are issued for a semester </w:t>
      </w:r>
      <w:r>
        <w:rPr>
          <w:lang w:val="en-AU"/>
        </w:rPr>
        <w:t xml:space="preserve">enabling </w:t>
      </w:r>
      <w:r w:rsidRPr="002905FF">
        <w:rPr>
          <w:lang w:val="en-AU"/>
        </w:rPr>
        <w:t>agencies to plan and commit for a six</w:t>
      </w:r>
      <w:r>
        <w:rPr>
          <w:lang w:val="en-AU"/>
        </w:rPr>
        <w:t>-</w:t>
      </w:r>
      <w:r w:rsidRPr="002905FF">
        <w:rPr>
          <w:lang w:val="en-AU"/>
        </w:rPr>
        <w:t>month horizon.</w:t>
      </w:r>
      <w:r w:rsidRPr="00F112CC">
        <w:rPr>
          <w:lang w:val="en-AU"/>
        </w:rPr>
        <w:t xml:space="preserve"> </w:t>
      </w:r>
    </w:p>
    <w:p w14:paraId="09793ECD" w14:textId="77777777" w:rsidR="001762EE" w:rsidRPr="002905FF"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0B6AF3AD" w14:textId="798E41FD" w:rsidR="001762EE"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2905FF">
        <w:rPr>
          <w:lang w:val="en-AU"/>
        </w:rPr>
        <w:t>In the 2010 report</w:t>
      </w:r>
      <w:r>
        <w:rPr>
          <w:lang w:val="en-AU"/>
        </w:rPr>
        <w:t>,</w:t>
      </w:r>
      <w:r w:rsidRPr="002905FF">
        <w:rPr>
          <w:lang w:val="en-AU"/>
        </w:rPr>
        <w:t xml:space="preserve"> internal audit units were functional only in a handful of agencies. By 2016</w:t>
      </w:r>
      <w:r>
        <w:rPr>
          <w:lang w:val="en-AU"/>
        </w:rPr>
        <w:t>,</w:t>
      </w:r>
      <w:r w:rsidRPr="002905FF">
        <w:rPr>
          <w:lang w:val="en-AU"/>
        </w:rPr>
        <w:t xml:space="preserve"> units had been established in all but 2 central government agencies covering revenue and expenditure. Audit programs are largely completed</w:t>
      </w:r>
      <w:r>
        <w:rPr>
          <w:lang w:val="en-AU"/>
        </w:rPr>
        <w:t>,</w:t>
      </w:r>
      <w:r w:rsidRPr="002905FF">
        <w:rPr>
          <w:lang w:val="en-AU"/>
        </w:rPr>
        <w:t xml:space="preserve"> and the report is submitted to the Secretary of the agency. Internal audit </w:t>
      </w:r>
      <w:r>
        <w:rPr>
          <w:lang w:val="en-AU"/>
        </w:rPr>
        <w:t>operates</w:t>
      </w:r>
      <w:r w:rsidRPr="002905FF">
        <w:rPr>
          <w:lang w:val="en-AU"/>
        </w:rPr>
        <w:t xml:space="preserve"> in accordance with the Philippine Government Internal Audit Manual</w:t>
      </w:r>
      <w:r>
        <w:rPr>
          <w:lang w:val="en-AU"/>
        </w:rPr>
        <w:t>,</w:t>
      </w:r>
      <w:r w:rsidRPr="002905FF">
        <w:rPr>
          <w:lang w:val="en-AU"/>
        </w:rPr>
        <w:t xml:space="preserve"> but there is no quality assurance program to validate this.</w:t>
      </w:r>
    </w:p>
    <w:p w14:paraId="2112E5FA" w14:textId="77777777" w:rsidR="001762EE" w:rsidRPr="0005673A"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124FF4A6" w14:textId="2C8B3DD7" w:rsidR="001762EE" w:rsidRPr="002905FF" w:rsidRDefault="001762EE" w:rsidP="00F31059">
      <w:pPr>
        <w:pStyle w:val="ListParagraph"/>
        <w:numPr>
          <w:ilvl w:val="0"/>
          <w:numId w:val="8"/>
        </w:numPr>
        <w:tabs>
          <w:tab w:val="left" w:pos="720"/>
        </w:tabs>
        <w:autoSpaceDE w:val="0"/>
        <w:autoSpaceDN w:val="0"/>
        <w:adjustRightInd w:val="0"/>
        <w:spacing w:after="0" w:line="240" w:lineRule="auto"/>
        <w:ind w:left="0" w:firstLine="0"/>
        <w:jc w:val="both"/>
        <w:rPr>
          <w:lang w:val="en-AU"/>
        </w:rPr>
      </w:pPr>
      <w:r>
        <w:rPr>
          <w:b/>
          <w:bCs/>
          <w:i/>
          <w:iCs/>
        </w:rPr>
        <w:t>Accounting and reporting.</w:t>
      </w:r>
      <w:r w:rsidRPr="0088418F">
        <w:rPr>
          <w:b/>
          <w:bCs/>
          <w:i/>
          <w:iCs/>
        </w:rPr>
        <w:t xml:space="preserve"> </w:t>
      </w:r>
      <w:r w:rsidRPr="0088418F">
        <w:t>The</w:t>
      </w:r>
      <w:r>
        <w:t xml:space="preserve"> 2010 report found inadequate reconciliation processes for bank balances and for advances. This problem has continued in the 2016 PEFA </w:t>
      </w:r>
      <w:r w:rsidRPr="00F112CC">
        <w:t>assessment, a serious concern for fiscal discipline. The 2010 report found that accounting, recording</w:t>
      </w:r>
      <w:r>
        <w:t>,</w:t>
      </w:r>
      <w:r w:rsidRPr="00F112CC">
        <w:t xml:space="preserve"> and reporting come out as </w:t>
      </w:r>
      <w:r>
        <w:t>areas</w:t>
      </w:r>
      <w:r w:rsidRPr="00F112CC">
        <w:t xml:space="preserve"> where substantial work needs to be done </w:t>
      </w:r>
      <w:r>
        <w:t xml:space="preserve">in order </w:t>
      </w:r>
      <w:r w:rsidRPr="00F112CC">
        <w:t>for the Philippine PFM system to be effective</w:t>
      </w:r>
      <w:r>
        <w:t>;</w:t>
      </w:r>
      <w:r w:rsidRPr="00F112CC">
        <w:t xml:space="preserve"> this is replicated in the 2016 assessment. </w:t>
      </w:r>
    </w:p>
    <w:p w14:paraId="206949B1" w14:textId="77777777" w:rsidR="001762EE" w:rsidRPr="00F112CC" w:rsidRDefault="001762EE" w:rsidP="00346486">
      <w:pPr>
        <w:pStyle w:val="ListParagraph"/>
        <w:tabs>
          <w:tab w:val="left" w:pos="720"/>
        </w:tabs>
        <w:autoSpaceDE w:val="0"/>
        <w:autoSpaceDN w:val="0"/>
        <w:adjustRightInd w:val="0"/>
        <w:spacing w:after="0" w:line="240" w:lineRule="auto"/>
        <w:ind w:left="0" w:firstLine="0"/>
        <w:jc w:val="both"/>
        <w:rPr>
          <w:lang w:val="en-AU"/>
        </w:rPr>
      </w:pPr>
    </w:p>
    <w:p w14:paraId="023CC66C" w14:textId="4566C9A1" w:rsidR="001762EE" w:rsidRPr="002905FF" w:rsidRDefault="001762EE" w:rsidP="00346486">
      <w:pPr>
        <w:pStyle w:val="ListParagraph"/>
        <w:numPr>
          <w:ilvl w:val="0"/>
          <w:numId w:val="8"/>
        </w:numPr>
        <w:tabs>
          <w:tab w:val="left" w:pos="720"/>
        </w:tabs>
        <w:autoSpaceDE w:val="0"/>
        <w:autoSpaceDN w:val="0"/>
        <w:adjustRightInd w:val="0"/>
        <w:spacing w:after="0" w:line="240" w:lineRule="auto"/>
        <w:ind w:left="0" w:firstLine="0"/>
        <w:jc w:val="both"/>
        <w:rPr>
          <w:lang w:val="en-AU"/>
        </w:rPr>
      </w:pPr>
      <w:r w:rsidRPr="00DF4DD1">
        <w:rPr>
          <w:b/>
          <w:bCs/>
          <w:i/>
          <w:iCs/>
        </w:rPr>
        <w:t>External scrutiny and audit</w:t>
      </w:r>
      <w:r>
        <w:rPr>
          <w:rFonts w:ascii="TimesNewRomanPS-BoldItalicMT" w:hAnsi="TimesNewRomanPS-BoldItalicMT" w:cs="TimesNewRomanPS-BoldItalicMT"/>
          <w:b/>
          <w:bCs/>
          <w:i/>
          <w:iCs/>
        </w:rPr>
        <w:t>.</w:t>
      </w:r>
      <w:r w:rsidRPr="00F112CC">
        <w:t xml:space="preserve"> </w:t>
      </w:r>
      <w:r>
        <w:t xml:space="preserve">The Commission on Audit conducts comprehensive audits raising both systemic and compliance issues in reports. However, the accountability remains weak as these reports are not used by the legislature for oversight, and it does not have a formal role in the </w:t>
      </w:r>
      <w:r w:rsidR="00944B20">
        <w:t xml:space="preserve">scrutiny </w:t>
      </w:r>
      <w:r>
        <w:t>of these audit reports. External audit reports continue to be submitted to the head of the audited entity; and in the absence of a strong legislative or independent executive oversight, the potential for improvements through recommendations is lost.</w:t>
      </w:r>
      <w:r w:rsidRPr="00F112CC">
        <w:t xml:space="preserve"> Both the 2010 and 2016 reports found that no regular congressional hearings to discuss findings in the </w:t>
      </w:r>
      <w:r>
        <w:t>CoA</w:t>
      </w:r>
      <w:r w:rsidRPr="00F112CC">
        <w:t xml:space="preserve"> reports occurred during the </w:t>
      </w:r>
      <w:r>
        <w:t xml:space="preserve">respective review </w:t>
      </w:r>
      <w:r w:rsidRPr="00F112CC">
        <w:t>periods</w:t>
      </w:r>
      <w:r>
        <w:t xml:space="preserve"> —</w:t>
      </w:r>
      <w:r w:rsidRPr="00F112CC">
        <w:t xml:space="preserve"> a major weakness </w:t>
      </w:r>
      <w:r>
        <w:t>for all aspects of budget outcomes, especially</w:t>
      </w:r>
      <w:r w:rsidRPr="00F112CC">
        <w:t xml:space="preserve"> fiscal discipline</w:t>
      </w:r>
      <w:r>
        <w:rPr>
          <w:lang w:val="en-AU"/>
        </w:rPr>
        <w:t>.</w:t>
      </w:r>
    </w:p>
    <w:p w14:paraId="7382F40F" w14:textId="77777777" w:rsidR="001762EE" w:rsidRPr="001954A0" w:rsidRDefault="001762EE" w:rsidP="009C4F30">
      <w:pPr>
        <w:tabs>
          <w:tab w:val="left" w:pos="720"/>
        </w:tabs>
        <w:autoSpaceDE w:val="0"/>
        <w:autoSpaceDN w:val="0"/>
        <w:adjustRightInd w:val="0"/>
        <w:jc w:val="both"/>
      </w:pPr>
    </w:p>
    <w:p w14:paraId="56653CB5" w14:textId="77777777" w:rsidR="001762EE" w:rsidRPr="001954A0" w:rsidRDefault="001762EE" w:rsidP="009C4F30"/>
    <w:p w14:paraId="53708D82" w14:textId="77777777" w:rsidR="001762EE" w:rsidRPr="002A5950" w:rsidRDefault="001762EE" w:rsidP="001954A0">
      <w:pPr>
        <w:pStyle w:val="ListParagraph"/>
        <w:tabs>
          <w:tab w:val="left" w:pos="720"/>
        </w:tabs>
        <w:autoSpaceDE w:val="0"/>
        <w:autoSpaceDN w:val="0"/>
        <w:adjustRightInd w:val="0"/>
        <w:spacing w:after="0" w:line="240" w:lineRule="auto"/>
        <w:ind w:left="0" w:firstLine="0"/>
        <w:jc w:val="both"/>
        <w:rPr>
          <w:lang w:val="en-AU"/>
        </w:rPr>
      </w:pPr>
    </w:p>
    <w:p w14:paraId="4476DD71" w14:textId="77777777" w:rsidR="001762EE" w:rsidRDefault="001762EE" w:rsidP="00CE33D5">
      <w:pPr>
        <w:pStyle w:val="Heading2"/>
        <w:rPr>
          <w:sz w:val="32"/>
          <w:szCs w:val="32"/>
        </w:rPr>
        <w:sectPr w:rsidR="001762EE" w:rsidSect="00BF532D">
          <w:footnotePr>
            <w:numRestart w:val="eachSect"/>
          </w:footnotePr>
          <w:endnotePr>
            <w:numFmt w:val="decimal"/>
          </w:endnotePr>
          <w:pgSz w:w="12240" w:h="15840" w:code="1"/>
          <w:pgMar w:top="1440" w:right="1440" w:bottom="1440" w:left="1440" w:header="720" w:footer="720" w:gutter="0"/>
          <w:cols w:space="720"/>
          <w:noEndnote/>
          <w:titlePg/>
          <w:docGrid w:linePitch="326"/>
        </w:sectPr>
      </w:pPr>
      <w:r>
        <w:rPr>
          <w:sz w:val="32"/>
          <w:szCs w:val="32"/>
        </w:rPr>
        <w:br w:type="page"/>
      </w:r>
    </w:p>
    <w:p w14:paraId="35F51715" w14:textId="5ABD834D" w:rsidR="001762EE" w:rsidRPr="00A912A7" w:rsidRDefault="001762EE" w:rsidP="00CE33D5">
      <w:pPr>
        <w:pStyle w:val="Heading2"/>
        <w:rPr>
          <w:rFonts w:ascii="Times New Roman" w:hAnsi="Times New Roman"/>
          <w:sz w:val="32"/>
          <w:szCs w:val="32"/>
        </w:rPr>
      </w:pPr>
      <w:bookmarkStart w:id="287" w:name="_Toc454811730"/>
      <w:bookmarkStart w:id="288" w:name="_Toc454888874"/>
      <w:r w:rsidRPr="00A912A7">
        <w:rPr>
          <w:rFonts w:ascii="Times New Roman" w:hAnsi="Times New Roman"/>
          <w:sz w:val="32"/>
          <w:szCs w:val="32"/>
        </w:rPr>
        <w:t>Chapter 5. Government PFM Reform Process</w:t>
      </w:r>
      <w:bookmarkEnd w:id="287"/>
      <w:bookmarkEnd w:id="288"/>
    </w:p>
    <w:p w14:paraId="3A392F10" w14:textId="77777777" w:rsidR="001762EE" w:rsidRPr="000B50DE" w:rsidRDefault="001762EE" w:rsidP="00636A11">
      <w:pPr>
        <w:jc w:val="center"/>
        <w:rPr>
          <w:b/>
          <w:lang w:val="en-AU"/>
        </w:rPr>
      </w:pPr>
    </w:p>
    <w:p w14:paraId="4899FA9C" w14:textId="192200E7" w:rsidR="001762EE" w:rsidRPr="005A497D" w:rsidRDefault="001762EE" w:rsidP="005A03CD">
      <w:pPr>
        <w:pStyle w:val="ListParagraph"/>
        <w:numPr>
          <w:ilvl w:val="0"/>
          <w:numId w:val="7"/>
        </w:numPr>
        <w:tabs>
          <w:tab w:val="left" w:pos="720"/>
        </w:tabs>
        <w:autoSpaceDE w:val="0"/>
        <w:autoSpaceDN w:val="0"/>
        <w:adjustRightInd w:val="0"/>
        <w:spacing w:after="0" w:line="240" w:lineRule="auto"/>
        <w:ind w:left="0" w:firstLine="0"/>
        <w:jc w:val="both"/>
      </w:pPr>
      <w:r>
        <w:t>Chapter 5</w:t>
      </w:r>
      <w:r w:rsidRPr="005A497D">
        <w:t xml:space="preserve"> </w:t>
      </w:r>
      <w:r>
        <w:t>discusses</w:t>
      </w:r>
      <w:r w:rsidRPr="005A497D">
        <w:t xml:space="preserve"> the </w:t>
      </w:r>
      <w:r>
        <w:t>Government’s</w:t>
      </w:r>
      <w:r w:rsidRPr="005A497D">
        <w:t xml:space="preserve"> overall approach to PFM reform and describes recent and on-going reform initiatives to improve PFM performance. </w:t>
      </w:r>
      <w:r w:rsidR="00B82271">
        <w:t xml:space="preserve">This chapter has been contributed entirely by the Government of the Philippines. </w:t>
      </w:r>
    </w:p>
    <w:p w14:paraId="56301128" w14:textId="77777777" w:rsidR="001762EE" w:rsidRPr="005A497D" w:rsidRDefault="001762EE" w:rsidP="00FD05D3">
      <w:pPr>
        <w:pStyle w:val="ListParagraph"/>
        <w:tabs>
          <w:tab w:val="left" w:pos="720"/>
        </w:tabs>
        <w:autoSpaceDE w:val="0"/>
        <w:autoSpaceDN w:val="0"/>
        <w:adjustRightInd w:val="0"/>
        <w:spacing w:after="0" w:line="240" w:lineRule="auto"/>
        <w:ind w:left="0" w:firstLine="0"/>
        <w:jc w:val="both"/>
      </w:pPr>
    </w:p>
    <w:p w14:paraId="0D0F073F" w14:textId="674D7FDF" w:rsidR="001762EE" w:rsidRDefault="001762EE" w:rsidP="00411651">
      <w:pPr>
        <w:pStyle w:val="Heading3"/>
      </w:pPr>
      <w:bookmarkStart w:id="289" w:name="_Toc454811731"/>
      <w:bookmarkStart w:id="290" w:name="_Toc454888875"/>
      <w:r w:rsidRPr="005A497D">
        <w:t xml:space="preserve">5.1 Approach to PFM </w:t>
      </w:r>
      <w:r>
        <w:t>r</w:t>
      </w:r>
      <w:r w:rsidRPr="005A497D">
        <w:t>eform</w:t>
      </w:r>
      <w:r>
        <w:t>s</w:t>
      </w:r>
      <w:bookmarkEnd w:id="289"/>
      <w:bookmarkEnd w:id="290"/>
    </w:p>
    <w:p w14:paraId="22DF9923" w14:textId="77777777" w:rsidR="001762EE" w:rsidRPr="002A5950" w:rsidRDefault="001762EE" w:rsidP="002A5950"/>
    <w:p w14:paraId="73CE97CC" w14:textId="0F7D1D00" w:rsidR="001762EE" w:rsidRDefault="001762EE" w:rsidP="005A03CD">
      <w:pPr>
        <w:pStyle w:val="ListParagraph"/>
        <w:numPr>
          <w:ilvl w:val="0"/>
          <w:numId w:val="7"/>
        </w:numPr>
        <w:autoSpaceDE w:val="0"/>
        <w:autoSpaceDN w:val="0"/>
        <w:adjustRightInd w:val="0"/>
        <w:spacing w:after="0" w:line="240" w:lineRule="auto"/>
        <w:ind w:left="0" w:firstLine="0"/>
        <w:jc w:val="both"/>
      </w:pPr>
      <w:r w:rsidRPr="00FF4B64">
        <w:t xml:space="preserve">The </w:t>
      </w:r>
      <w:r>
        <w:t>Government of the Philippines</w:t>
      </w:r>
      <w:r w:rsidRPr="00FF4B64">
        <w:t xml:space="preserve"> has in recent years pursued PFM reform through different channels: </w:t>
      </w:r>
      <w:r>
        <w:t>(a</w:t>
      </w:r>
      <w:r w:rsidRPr="00FF4B64">
        <w:t xml:space="preserve">) </w:t>
      </w:r>
      <w:r w:rsidRPr="00C066CE">
        <w:rPr>
          <w:i/>
        </w:rPr>
        <w:t>PFM Reform Roadmap</w:t>
      </w:r>
      <w:r w:rsidRPr="00FF4B64">
        <w:t xml:space="preserve">; </w:t>
      </w:r>
      <w:r>
        <w:t>(b</w:t>
      </w:r>
      <w:r w:rsidRPr="00FF4B64">
        <w:t xml:space="preserve">) </w:t>
      </w:r>
      <w:r w:rsidRPr="00C066CE">
        <w:rPr>
          <w:i/>
        </w:rPr>
        <w:t>Good Governance and Anti-Corruption Cluster Plan</w:t>
      </w:r>
      <w:r w:rsidRPr="00FF4B64">
        <w:t xml:space="preserve">, which includes the Philippines’ commitments to the Open Government Partnership; and </w:t>
      </w:r>
      <w:r>
        <w:t>(c</w:t>
      </w:r>
      <w:r w:rsidRPr="00FF4B64">
        <w:t xml:space="preserve">) </w:t>
      </w:r>
      <w:r>
        <w:t>several</w:t>
      </w:r>
      <w:r w:rsidRPr="00FF4B64">
        <w:t xml:space="preserve"> stand-alone initiatives. Though these are distinct reform streams, </w:t>
      </w:r>
      <w:r>
        <w:t>they</w:t>
      </w:r>
      <w:r w:rsidRPr="00FF4B64">
        <w:t xml:space="preserve"> overlap to an extent. </w:t>
      </w:r>
    </w:p>
    <w:p w14:paraId="3B49E484" w14:textId="77777777" w:rsidR="001762EE" w:rsidRDefault="001762EE" w:rsidP="00836B97">
      <w:pPr>
        <w:pStyle w:val="ListParagraph"/>
        <w:autoSpaceDE w:val="0"/>
        <w:autoSpaceDN w:val="0"/>
        <w:adjustRightInd w:val="0"/>
        <w:spacing w:after="0" w:line="240" w:lineRule="auto"/>
        <w:ind w:left="0" w:firstLine="0"/>
        <w:jc w:val="both"/>
      </w:pPr>
    </w:p>
    <w:p w14:paraId="774CD08F" w14:textId="1F228E26" w:rsidR="001762EE" w:rsidRDefault="001762EE" w:rsidP="005A03CD">
      <w:pPr>
        <w:pStyle w:val="ListParagraph"/>
        <w:numPr>
          <w:ilvl w:val="0"/>
          <w:numId w:val="7"/>
        </w:numPr>
        <w:tabs>
          <w:tab w:val="left" w:pos="90"/>
        </w:tabs>
        <w:autoSpaceDE w:val="0"/>
        <w:autoSpaceDN w:val="0"/>
        <w:adjustRightInd w:val="0"/>
        <w:spacing w:after="0" w:line="240" w:lineRule="auto"/>
        <w:ind w:left="0" w:firstLine="0"/>
        <w:jc w:val="both"/>
      </w:pPr>
      <w:r w:rsidRPr="00836B97">
        <w:t xml:space="preserve">Based on work </w:t>
      </w:r>
      <w:r w:rsidR="004C2FF2">
        <w:t xml:space="preserve">initiated in </w:t>
      </w:r>
      <w:r>
        <w:t xml:space="preserve">mid-2009 </w:t>
      </w:r>
      <w:r w:rsidRPr="00836B97">
        <w:t>undertaken by senior managers from the oversight agencies (DBM, D</w:t>
      </w:r>
      <w:r>
        <w:t>o</w:t>
      </w:r>
      <w:r w:rsidRPr="00836B97">
        <w:t xml:space="preserve">F, BTr, </w:t>
      </w:r>
      <w:r w:rsidR="001610D9">
        <w:t>and CoA</w:t>
      </w:r>
      <w:r>
        <w:t>)</w:t>
      </w:r>
      <w:r w:rsidRPr="00836B97">
        <w:t xml:space="preserve"> </w:t>
      </w:r>
      <w:r w:rsidR="004C2FF2">
        <w:t>and with</w:t>
      </w:r>
      <w:r w:rsidR="004C2FF2" w:rsidRPr="00836B97">
        <w:t xml:space="preserve"> </w:t>
      </w:r>
      <w:r>
        <w:t>World Bank</w:t>
      </w:r>
      <w:r w:rsidRPr="00836B97">
        <w:t xml:space="preserve"> assistance</w:t>
      </w:r>
      <w:r w:rsidR="00135245">
        <w:t>,</w:t>
      </w:r>
      <w:r w:rsidRPr="00836B97">
        <w:t xml:space="preserve"> the </w:t>
      </w:r>
      <w:r w:rsidR="004C2FF2">
        <w:t>Government</w:t>
      </w:r>
      <w:r w:rsidR="004C2FF2" w:rsidRPr="00836B97">
        <w:t xml:space="preserve"> </w:t>
      </w:r>
      <w:r w:rsidRPr="00836B97">
        <w:t xml:space="preserve">in February 2011 launched the </w:t>
      </w:r>
      <w:r w:rsidRPr="00C066CE">
        <w:t>PFM Reform Roadmap for 2011-2015</w:t>
      </w:r>
      <w:r w:rsidRPr="00836B97">
        <w:t xml:space="preserve">. It </w:t>
      </w:r>
      <w:r w:rsidR="004C2FF2">
        <w:t>was</w:t>
      </w:r>
      <w:r w:rsidR="004C2FF2" w:rsidRPr="00836B97">
        <w:t xml:space="preserve"> </w:t>
      </w:r>
      <w:r w:rsidRPr="00836B97">
        <w:t xml:space="preserve">a broad PFM reform agenda for the </w:t>
      </w:r>
      <w:r>
        <w:t>Government</w:t>
      </w:r>
      <w:r w:rsidRPr="00836B97">
        <w:t xml:space="preserve"> covering six projects that </w:t>
      </w:r>
      <w:r w:rsidR="004C2FF2">
        <w:t>aimed</w:t>
      </w:r>
      <w:r w:rsidR="004C2FF2" w:rsidRPr="00836B97">
        <w:t xml:space="preserve"> </w:t>
      </w:r>
      <w:r w:rsidRPr="00836B97">
        <w:t>to strengthen PFM, including fundamental changes to systems and processes.</w:t>
      </w:r>
      <w:r>
        <w:rPr>
          <w:rStyle w:val="EndnoteReference"/>
        </w:rPr>
        <w:endnoteReference w:id="105"/>
      </w:r>
      <w:r w:rsidRPr="00836B97">
        <w:t xml:space="preserve"> Several of the </w:t>
      </w:r>
      <w:r>
        <w:t xml:space="preserve">Roadmap </w:t>
      </w:r>
      <w:r w:rsidRPr="00836B97">
        <w:t xml:space="preserve">projects received direct implementation support from the </w:t>
      </w:r>
      <w:r w:rsidR="004C2FF2">
        <w:t xml:space="preserve">Public Financial Management Project (PFMP) supported by </w:t>
      </w:r>
      <w:r w:rsidRPr="00836B97">
        <w:t>Australia</w:t>
      </w:r>
      <w:r>
        <w:t>’s</w:t>
      </w:r>
      <w:r w:rsidRPr="00836B97">
        <w:t xml:space="preserve"> DFAT. </w:t>
      </w:r>
      <w:r w:rsidR="004C2FF2" w:rsidRPr="00836B97">
        <w:t xml:space="preserve">A </w:t>
      </w:r>
      <w:r w:rsidR="00D26847">
        <w:t>m</w:t>
      </w:r>
      <w:r w:rsidR="004C2FF2" w:rsidRPr="00836B97">
        <w:t>id</w:t>
      </w:r>
      <w:r w:rsidR="004C2FF2">
        <w:t>-</w:t>
      </w:r>
      <w:r w:rsidR="00D26847">
        <w:t>t</w:t>
      </w:r>
      <w:r w:rsidR="004C2FF2" w:rsidRPr="00836B97">
        <w:t xml:space="preserve">erm </w:t>
      </w:r>
      <w:r w:rsidR="00D26847">
        <w:t>r</w:t>
      </w:r>
      <w:r w:rsidR="004C2FF2" w:rsidRPr="00836B97">
        <w:t xml:space="preserve">eview of the PFM Reform Roadmap was conducted in 2014-2015, which led to </w:t>
      </w:r>
      <w:r w:rsidR="00135245">
        <w:t>its</w:t>
      </w:r>
      <w:r w:rsidR="004C2FF2" w:rsidRPr="00836B97">
        <w:t xml:space="preserve"> updating </w:t>
      </w:r>
      <w:r w:rsidR="004C2FF2">
        <w:t>i</w:t>
      </w:r>
      <w:r w:rsidR="004C2FF2" w:rsidRPr="00836B97">
        <w:t>n May 2015</w:t>
      </w:r>
      <w:r w:rsidR="004C2FF2">
        <w:t xml:space="preserve">. </w:t>
      </w:r>
      <w:r w:rsidRPr="00836B97">
        <w:t xml:space="preserve">The PFM Reform Roadmap for 2015-2016 </w:t>
      </w:r>
      <w:r w:rsidR="004C2FF2">
        <w:t>focuses</w:t>
      </w:r>
      <w:r w:rsidR="004C2FF2" w:rsidRPr="00836B97">
        <w:t xml:space="preserve"> </w:t>
      </w:r>
      <w:r w:rsidRPr="00836B97">
        <w:t>on delivery of the reforms from the design phase of the original roadmap.</w:t>
      </w:r>
      <w:r w:rsidR="004C2FF2">
        <w:rPr>
          <w:rStyle w:val="EndnoteReference"/>
        </w:rPr>
        <w:endnoteReference w:id="106"/>
      </w:r>
      <w:r w:rsidRPr="00836B97">
        <w:t xml:space="preserve"> </w:t>
      </w:r>
    </w:p>
    <w:p w14:paraId="20B7334C" w14:textId="77777777" w:rsidR="001762EE" w:rsidRPr="00836B97" w:rsidRDefault="001762EE" w:rsidP="00836B97">
      <w:pPr>
        <w:pStyle w:val="ListParagraph"/>
      </w:pPr>
    </w:p>
    <w:p w14:paraId="02B45EA8" w14:textId="2A942B85" w:rsidR="001762EE" w:rsidRDefault="001762EE" w:rsidP="005A03CD">
      <w:pPr>
        <w:pStyle w:val="ListParagraph"/>
        <w:numPr>
          <w:ilvl w:val="0"/>
          <w:numId w:val="7"/>
        </w:numPr>
        <w:tabs>
          <w:tab w:val="left" w:pos="90"/>
        </w:tabs>
        <w:autoSpaceDE w:val="0"/>
        <w:autoSpaceDN w:val="0"/>
        <w:adjustRightInd w:val="0"/>
        <w:spacing w:after="0" w:line="240" w:lineRule="auto"/>
        <w:ind w:left="0" w:firstLine="0"/>
        <w:jc w:val="both"/>
      </w:pPr>
      <w:r w:rsidRPr="00836B97">
        <w:t>The implementation of the PFM Reform Roadmap follows from an Executive Order,</w:t>
      </w:r>
      <w:r>
        <w:rPr>
          <w:rStyle w:val="EndnoteReference"/>
        </w:rPr>
        <w:endnoteReference w:id="107"/>
      </w:r>
      <w:r w:rsidRPr="00836B97">
        <w:t xml:space="preserve"> which established a comprehensive four-level governance structure: </w:t>
      </w:r>
      <w:r>
        <w:t>(a) p</w:t>
      </w:r>
      <w:r w:rsidRPr="00836B97">
        <w:t xml:space="preserve">rincipals, composed of the </w:t>
      </w:r>
      <w:r>
        <w:t xml:space="preserve">DBM and DoF </w:t>
      </w:r>
      <w:r w:rsidR="00F76CF9">
        <w:t>s</w:t>
      </w:r>
      <w:r w:rsidR="00F76CF9" w:rsidRPr="00836B97">
        <w:t xml:space="preserve">ecretaries </w:t>
      </w:r>
      <w:r w:rsidRPr="00836B97">
        <w:t xml:space="preserve">and </w:t>
      </w:r>
      <w:r>
        <w:t>CoA</w:t>
      </w:r>
      <w:r w:rsidRPr="00836B97">
        <w:t xml:space="preserve"> </w:t>
      </w:r>
      <w:r>
        <w:t>c</w:t>
      </w:r>
      <w:r w:rsidRPr="00836B97">
        <w:t xml:space="preserve">hairperson; </w:t>
      </w:r>
      <w:r>
        <w:t xml:space="preserve">(b) </w:t>
      </w:r>
      <w:r w:rsidRPr="00836B97">
        <w:t xml:space="preserve">PFM Committee, composed of senior managers from </w:t>
      </w:r>
      <w:r>
        <w:t>Department of Budget and Management</w:t>
      </w:r>
      <w:r w:rsidRPr="00836B97">
        <w:t xml:space="preserve">, </w:t>
      </w:r>
      <w:r>
        <w:t>Commission on Audit</w:t>
      </w:r>
      <w:r w:rsidRPr="00836B97">
        <w:t xml:space="preserve">, </w:t>
      </w:r>
      <w:r>
        <w:t>Department of Finance,</w:t>
      </w:r>
      <w:r w:rsidRPr="00836B97">
        <w:t xml:space="preserve"> and </w:t>
      </w:r>
      <w:r>
        <w:t xml:space="preserve">Bureau of </w:t>
      </w:r>
      <w:r w:rsidR="00944B20">
        <w:t xml:space="preserve">the </w:t>
      </w:r>
      <w:r>
        <w:t>Treasury</w:t>
      </w:r>
      <w:r w:rsidRPr="00836B97">
        <w:t xml:space="preserve">; </w:t>
      </w:r>
      <w:r>
        <w:t>(c)</w:t>
      </w:r>
      <w:r w:rsidRPr="00836B97">
        <w:t xml:space="preserve"> </w:t>
      </w:r>
      <w:r>
        <w:t>a DBM-based p</w:t>
      </w:r>
      <w:r w:rsidRPr="00836B97">
        <w:t xml:space="preserve">roject </w:t>
      </w:r>
      <w:r>
        <w:t>m</w:t>
      </w:r>
      <w:r w:rsidRPr="00836B97">
        <w:t xml:space="preserve">anagement </w:t>
      </w:r>
      <w:r>
        <w:t>o</w:t>
      </w:r>
      <w:r w:rsidRPr="00836B97">
        <w:t xml:space="preserve">ffice supported by </w:t>
      </w:r>
      <w:r w:rsidR="00F76CF9">
        <w:t xml:space="preserve">Australia’s </w:t>
      </w:r>
      <w:r w:rsidRPr="00836B97">
        <w:t xml:space="preserve">DFAT to manage and coordinate the reform and provide </w:t>
      </w:r>
      <w:r>
        <w:t>technical assistance</w:t>
      </w:r>
      <w:r w:rsidRPr="00836B97">
        <w:t xml:space="preserve">; and </w:t>
      </w:r>
      <w:r>
        <w:t xml:space="preserve">(d) </w:t>
      </w:r>
      <w:r w:rsidRPr="00836B97">
        <w:t>six project implementation units</w:t>
      </w:r>
      <w:r>
        <w:t xml:space="preserve"> that </w:t>
      </w:r>
      <w:r w:rsidRPr="00836B97">
        <w:t>provide technical implementation support for the six projects.</w:t>
      </w:r>
      <w:r>
        <w:rPr>
          <w:rStyle w:val="EndnoteReference"/>
        </w:rPr>
        <w:endnoteReference w:id="108"/>
      </w:r>
      <w:r w:rsidRPr="00836B97">
        <w:t xml:space="preserve"> </w:t>
      </w:r>
    </w:p>
    <w:p w14:paraId="01A80098" w14:textId="77777777" w:rsidR="001762EE" w:rsidRPr="00836B97" w:rsidRDefault="001762EE" w:rsidP="00836B97">
      <w:pPr>
        <w:pStyle w:val="ListParagraph"/>
      </w:pPr>
    </w:p>
    <w:p w14:paraId="17C15798" w14:textId="40B93E4E" w:rsidR="001762EE" w:rsidRPr="00474652" w:rsidRDefault="001762EE" w:rsidP="003A0665">
      <w:pPr>
        <w:pStyle w:val="ListParagraph"/>
        <w:numPr>
          <w:ilvl w:val="0"/>
          <w:numId w:val="7"/>
        </w:numPr>
        <w:tabs>
          <w:tab w:val="left" w:pos="0"/>
        </w:tabs>
        <w:autoSpaceDE w:val="0"/>
        <w:autoSpaceDN w:val="0"/>
        <w:adjustRightInd w:val="0"/>
        <w:spacing w:line="240" w:lineRule="auto"/>
        <w:ind w:left="0" w:firstLine="0"/>
        <w:jc w:val="both"/>
        <w:rPr>
          <w:lang w:val="en-AU"/>
        </w:rPr>
      </w:pPr>
      <w:r>
        <w:t>There</w:t>
      </w:r>
      <w:r w:rsidRPr="00836B97">
        <w:t xml:space="preserve"> are no publicly available reviews or evaluations of the PFM Reform Roadmap</w:t>
      </w:r>
      <w:r>
        <w:t>.</w:t>
      </w:r>
      <w:r w:rsidRPr="00836B97">
        <w:t xml:space="preserve"> </w:t>
      </w:r>
      <w:r>
        <w:t>I</w:t>
      </w:r>
      <w:r w:rsidRPr="00836B97">
        <w:t xml:space="preserve">mplementation monitoring was done </w:t>
      </w:r>
      <w:r>
        <w:t>through</w:t>
      </w:r>
      <w:r w:rsidRPr="00836B97">
        <w:t xml:space="preserve"> regular PFM Committee meetings</w:t>
      </w:r>
      <w:r>
        <w:t>,</w:t>
      </w:r>
      <w:r w:rsidRPr="00836B97">
        <w:t xml:space="preserve"> PFM Project Steering Committee, and </w:t>
      </w:r>
      <w:r w:rsidR="00D26847">
        <w:t>annual</w:t>
      </w:r>
      <w:r w:rsidR="00D26847" w:rsidRPr="00836B97">
        <w:t xml:space="preserve"> </w:t>
      </w:r>
      <w:r w:rsidRPr="00836B97">
        <w:t>conferences.</w:t>
      </w:r>
    </w:p>
    <w:p w14:paraId="6F4A3084" w14:textId="77777777" w:rsidR="001762EE" w:rsidRPr="00836B97" w:rsidRDefault="001762EE" w:rsidP="003A0665">
      <w:pPr>
        <w:pStyle w:val="ListParagraph"/>
        <w:tabs>
          <w:tab w:val="left" w:pos="0"/>
        </w:tabs>
        <w:autoSpaceDE w:val="0"/>
        <w:autoSpaceDN w:val="0"/>
        <w:adjustRightInd w:val="0"/>
        <w:spacing w:line="240" w:lineRule="auto"/>
        <w:ind w:left="360" w:firstLine="0"/>
        <w:jc w:val="both"/>
        <w:rPr>
          <w:lang w:val="en-AU"/>
        </w:rPr>
      </w:pPr>
    </w:p>
    <w:p w14:paraId="0FA2D3BE" w14:textId="6E41198D" w:rsidR="001762EE" w:rsidRPr="00836B97" w:rsidRDefault="001762EE" w:rsidP="005A03CD">
      <w:pPr>
        <w:pStyle w:val="ListParagraph"/>
        <w:numPr>
          <w:ilvl w:val="0"/>
          <w:numId w:val="7"/>
        </w:numPr>
        <w:tabs>
          <w:tab w:val="left" w:pos="90"/>
        </w:tabs>
        <w:autoSpaceDE w:val="0"/>
        <w:autoSpaceDN w:val="0"/>
        <w:adjustRightInd w:val="0"/>
        <w:spacing w:after="0" w:line="240" w:lineRule="auto"/>
        <w:ind w:left="0" w:firstLine="0"/>
        <w:jc w:val="both"/>
      </w:pPr>
      <w:r w:rsidRPr="00836B97">
        <w:t>In the Updated PFM Reform Roadmap, the delivery of reforms shifted to agency</w:t>
      </w:r>
      <w:r>
        <w:t>-</w:t>
      </w:r>
      <w:r w:rsidRPr="00836B97">
        <w:t xml:space="preserve">specific management of initiatives, and the coordination </w:t>
      </w:r>
      <w:r>
        <w:t>was</w:t>
      </w:r>
      <w:r w:rsidRPr="00836B97">
        <w:t xml:space="preserve"> handled by </w:t>
      </w:r>
      <w:r>
        <w:t>the</w:t>
      </w:r>
      <w:r w:rsidRPr="00836B97">
        <w:t xml:space="preserve"> </w:t>
      </w:r>
      <w:r>
        <w:t xml:space="preserve">DBM-based </w:t>
      </w:r>
      <w:r w:rsidRPr="00836B97">
        <w:t xml:space="preserve">PFM </w:t>
      </w:r>
      <w:r>
        <w:t>p</w:t>
      </w:r>
      <w:r w:rsidRPr="00836B97">
        <w:t xml:space="preserve">roject </w:t>
      </w:r>
      <w:r>
        <w:t>u</w:t>
      </w:r>
      <w:r w:rsidRPr="00836B97">
        <w:t>nit</w:t>
      </w:r>
      <w:r w:rsidRPr="00836B97">
        <w:rPr>
          <w:lang w:val="en-AU"/>
        </w:rPr>
        <w:t xml:space="preserve">, embedding responsibility for implementation within agencies rather than </w:t>
      </w:r>
      <w:r>
        <w:rPr>
          <w:lang w:val="en-AU"/>
        </w:rPr>
        <w:t>project implementation units</w:t>
      </w:r>
      <w:r w:rsidRPr="00836B97">
        <w:rPr>
          <w:lang w:val="en-AU"/>
        </w:rPr>
        <w:t xml:space="preserve">. Henceforth, the reforms proceeded as laid down in </w:t>
      </w:r>
      <w:r>
        <w:rPr>
          <w:lang w:val="en-AU"/>
        </w:rPr>
        <w:t>Figure 5.1</w:t>
      </w:r>
      <w:r w:rsidR="000C3B16">
        <w:rPr>
          <w:lang w:val="en-AU"/>
        </w:rPr>
        <w:t>.</w:t>
      </w:r>
    </w:p>
    <w:p w14:paraId="74A1DDD6" w14:textId="77777777" w:rsidR="001762EE" w:rsidRDefault="001762EE" w:rsidP="0073584C">
      <w:pPr>
        <w:pStyle w:val="ListParagraph"/>
        <w:tabs>
          <w:tab w:val="left" w:pos="0"/>
        </w:tabs>
        <w:autoSpaceDE w:val="0"/>
        <w:autoSpaceDN w:val="0"/>
        <w:adjustRightInd w:val="0"/>
        <w:ind w:left="360" w:firstLine="0"/>
        <w:jc w:val="both"/>
        <w:rPr>
          <w:lang w:val="en-AU"/>
        </w:rPr>
      </w:pPr>
    </w:p>
    <w:p w14:paraId="4090232B" w14:textId="77777777" w:rsidR="00D26847" w:rsidRDefault="00D26847" w:rsidP="0073584C">
      <w:pPr>
        <w:pStyle w:val="ListParagraph"/>
        <w:tabs>
          <w:tab w:val="left" w:pos="0"/>
        </w:tabs>
        <w:autoSpaceDE w:val="0"/>
        <w:autoSpaceDN w:val="0"/>
        <w:adjustRightInd w:val="0"/>
        <w:ind w:left="360" w:firstLine="0"/>
        <w:jc w:val="both"/>
        <w:rPr>
          <w:lang w:val="en-AU"/>
        </w:rPr>
      </w:pPr>
    </w:p>
    <w:p w14:paraId="74A2127E" w14:textId="77777777" w:rsidR="00D26847" w:rsidRDefault="00D26847" w:rsidP="0073584C">
      <w:pPr>
        <w:pStyle w:val="ListParagraph"/>
        <w:tabs>
          <w:tab w:val="left" w:pos="0"/>
        </w:tabs>
        <w:autoSpaceDE w:val="0"/>
        <w:autoSpaceDN w:val="0"/>
        <w:adjustRightInd w:val="0"/>
        <w:ind w:left="360" w:firstLine="0"/>
        <w:jc w:val="both"/>
        <w:rPr>
          <w:lang w:val="en-AU"/>
        </w:rPr>
      </w:pPr>
    </w:p>
    <w:p w14:paraId="08AC5EDE" w14:textId="77777777" w:rsidR="00D26847" w:rsidRDefault="00D26847" w:rsidP="0073584C">
      <w:pPr>
        <w:pStyle w:val="ListParagraph"/>
        <w:tabs>
          <w:tab w:val="left" w:pos="0"/>
        </w:tabs>
        <w:autoSpaceDE w:val="0"/>
        <w:autoSpaceDN w:val="0"/>
        <w:adjustRightInd w:val="0"/>
        <w:ind w:left="360" w:firstLine="0"/>
        <w:jc w:val="both"/>
        <w:rPr>
          <w:lang w:val="en-AU"/>
        </w:rPr>
      </w:pPr>
    </w:p>
    <w:p w14:paraId="71E11C1B" w14:textId="74020468" w:rsidR="001762EE" w:rsidRDefault="001762EE" w:rsidP="00736C7A">
      <w:pPr>
        <w:pStyle w:val="PEFAFigure"/>
        <w:rPr>
          <w:lang w:val="en-AU"/>
        </w:rPr>
      </w:pPr>
      <w:bookmarkStart w:id="291" w:name="_Toc325723363"/>
      <w:r>
        <w:rPr>
          <w:lang w:val="en-AU"/>
        </w:rPr>
        <w:t>Figure 5.1.  The Updated PFM Roadmap Summary (2015-2016)</w:t>
      </w:r>
      <w:bookmarkEnd w:id="291"/>
    </w:p>
    <w:p w14:paraId="373E9E9F" w14:textId="2BC9D400" w:rsidR="001762EE" w:rsidRDefault="00D26847" w:rsidP="00D26847">
      <w:pPr>
        <w:tabs>
          <w:tab w:val="left" w:pos="0"/>
        </w:tabs>
        <w:autoSpaceDE w:val="0"/>
        <w:autoSpaceDN w:val="0"/>
        <w:adjustRightInd w:val="0"/>
        <w:jc w:val="center"/>
      </w:pPr>
      <w:r>
        <w:rPr>
          <w:noProof/>
        </w:rPr>
        <w:drawing>
          <wp:inline distT="0" distB="0" distL="0" distR="0" wp14:anchorId="6A4307D9" wp14:editId="289112CF">
            <wp:extent cx="450532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5325" cy="3219450"/>
                    </a:xfrm>
                    <a:prstGeom prst="rect">
                      <a:avLst/>
                    </a:prstGeom>
                  </pic:spPr>
                </pic:pic>
              </a:graphicData>
            </a:graphic>
          </wp:inline>
        </w:drawing>
      </w:r>
    </w:p>
    <w:p w14:paraId="0050834D" w14:textId="77777777" w:rsidR="00D26847" w:rsidRPr="00D26847" w:rsidRDefault="00D26847" w:rsidP="00D26847">
      <w:pPr>
        <w:pStyle w:val="ListParagraph"/>
        <w:tabs>
          <w:tab w:val="left" w:pos="0"/>
        </w:tabs>
        <w:autoSpaceDE w:val="0"/>
        <w:autoSpaceDN w:val="0"/>
        <w:adjustRightInd w:val="0"/>
        <w:spacing w:line="240" w:lineRule="auto"/>
        <w:ind w:left="0" w:firstLine="0"/>
        <w:jc w:val="both"/>
        <w:rPr>
          <w:lang w:val="en-AU"/>
        </w:rPr>
      </w:pPr>
    </w:p>
    <w:p w14:paraId="471ADF42" w14:textId="6D8C0490" w:rsidR="001762EE" w:rsidRPr="00636A11" w:rsidRDefault="001762EE" w:rsidP="0073584C">
      <w:pPr>
        <w:pStyle w:val="ListParagraph"/>
        <w:numPr>
          <w:ilvl w:val="0"/>
          <w:numId w:val="7"/>
        </w:numPr>
        <w:tabs>
          <w:tab w:val="left" w:pos="0"/>
        </w:tabs>
        <w:autoSpaceDE w:val="0"/>
        <w:autoSpaceDN w:val="0"/>
        <w:adjustRightInd w:val="0"/>
        <w:spacing w:line="240" w:lineRule="auto"/>
        <w:ind w:left="0" w:firstLine="0"/>
        <w:jc w:val="both"/>
        <w:rPr>
          <w:lang w:val="en-AU"/>
        </w:rPr>
      </w:pPr>
      <w:r>
        <w:t>The</w:t>
      </w:r>
      <w:r w:rsidRPr="00836B97">
        <w:t xml:space="preserve"> Good Governance and Anti-Corruption (GGAC) Cluster Plan 2012-2016</w:t>
      </w:r>
      <w:r>
        <w:t xml:space="preserve"> </w:t>
      </w:r>
      <w:r w:rsidRPr="00836B97">
        <w:t xml:space="preserve">was launched by the </w:t>
      </w:r>
      <w:r>
        <w:t>A</w:t>
      </w:r>
      <w:r w:rsidRPr="00836B97">
        <w:t>dministration in early 2012.</w:t>
      </w:r>
      <w:r w:rsidRPr="00C50D60">
        <w:rPr>
          <w:rStyle w:val="EndnoteReference"/>
        </w:rPr>
        <w:endnoteReference w:id="109"/>
      </w:r>
      <w:r w:rsidRPr="00836B97">
        <w:t xml:space="preserve"> </w:t>
      </w:r>
      <w:r>
        <w:t>Its aim was to improve</w:t>
      </w:r>
      <w:r w:rsidRPr="00836B97">
        <w:t xml:space="preserve"> transparency, accountability</w:t>
      </w:r>
      <w:r>
        <w:t>, and citizen engagement.</w:t>
      </w:r>
      <w:r w:rsidRPr="00836B97">
        <w:t xml:space="preserve"> It included </w:t>
      </w:r>
      <w:r w:rsidR="00D26847">
        <w:t>initiatives</w:t>
      </w:r>
      <w:r w:rsidRPr="00836B97">
        <w:t xml:space="preserve"> such as zero-based budgeting</w:t>
      </w:r>
      <w:r>
        <w:t>,</w:t>
      </w:r>
      <w:r w:rsidRPr="00836B97">
        <w:t xml:space="preserve"> CSO participation in budgeting, </w:t>
      </w:r>
      <w:r w:rsidR="00D26847">
        <w:t>publication of</w:t>
      </w:r>
      <w:r w:rsidR="00D26847" w:rsidRPr="00836B97">
        <w:t xml:space="preserve"> </w:t>
      </w:r>
      <w:r w:rsidRPr="00836B97">
        <w:t xml:space="preserve">a citizen’s budget, </w:t>
      </w:r>
      <w:r w:rsidR="00D26847">
        <w:t>procurement and implementation of</w:t>
      </w:r>
      <w:r w:rsidR="00D26847" w:rsidRPr="00836B97">
        <w:t xml:space="preserve"> </w:t>
      </w:r>
      <w:r>
        <w:t>a comprehensive information</w:t>
      </w:r>
      <w:r w:rsidRPr="00836B97">
        <w:t xml:space="preserve"> system, performance-based incentive system, and publication of </w:t>
      </w:r>
      <w:r>
        <w:t>f</w:t>
      </w:r>
      <w:r w:rsidRPr="00836B97">
        <w:t xml:space="preserve">iscal </w:t>
      </w:r>
      <w:r>
        <w:t>r</w:t>
      </w:r>
      <w:r w:rsidRPr="00836B97">
        <w:t xml:space="preserve">isk </w:t>
      </w:r>
      <w:r>
        <w:t>s</w:t>
      </w:r>
      <w:r w:rsidRPr="00836B97">
        <w:t>tatement.</w:t>
      </w:r>
      <w:r w:rsidRPr="00C50D60">
        <w:rPr>
          <w:rStyle w:val="EndnoteReference"/>
        </w:rPr>
        <w:endnoteReference w:id="110"/>
      </w:r>
      <w:r w:rsidRPr="00836B97">
        <w:t xml:space="preserve"> </w:t>
      </w:r>
      <w:r>
        <w:t>The</w:t>
      </w:r>
      <w:r w:rsidRPr="00836B97">
        <w:t xml:space="preserve"> Philippines’ commitment to </w:t>
      </w:r>
      <w:r>
        <w:t>Open Government Partnership</w:t>
      </w:r>
      <w:r w:rsidRPr="00836B97">
        <w:t xml:space="preserve"> </w:t>
      </w:r>
      <w:r>
        <w:t>is</w:t>
      </w:r>
      <w:r w:rsidRPr="00836B97">
        <w:t xml:space="preserve"> included in the GGAC </w:t>
      </w:r>
      <w:r>
        <w:t>Cluster Plan</w:t>
      </w:r>
      <w:r w:rsidRPr="00836B97">
        <w:t xml:space="preserve">. </w:t>
      </w:r>
      <w:r>
        <w:t>Introduced in January 2014, a</w:t>
      </w:r>
      <w:r w:rsidRPr="00836B97">
        <w:t>n updated and restructured GGAC Cabinet Cluster Action Plan 2013-2016 included new</w:t>
      </w:r>
      <w:r>
        <w:t>,</w:t>
      </w:r>
      <w:r w:rsidRPr="00836B97">
        <w:t xml:space="preserve"> on-going</w:t>
      </w:r>
      <w:r>
        <w:t>,</w:t>
      </w:r>
      <w:r w:rsidRPr="00836B97">
        <w:t xml:space="preserve"> stand-alone PFM activities as well as some initiatives </w:t>
      </w:r>
      <w:r>
        <w:t>from</w:t>
      </w:r>
      <w:r w:rsidRPr="00836B97">
        <w:t xml:space="preserve"> the </w:t>
      </w:r>
      <w:r>
        <w:t xml:space="preserve">original </w:t>
      </w:r>
      <w:r w:rsidRPr="00836B97">
        <w:t xml:space="preserve">PFM Reform Roadmap. Implementation of the updated GGAC </w:t>
      </w:r>
      <w:r>
        <w:t xml:space="preserve">Cluster Plan </w:t>
      </w:r>
      <w:r w:rsidRPr="00836B97">
        <w:t xml:space="preserve">during 2015 has generally been </w:t>
      </w:r>
      <w:r w:rsidR="00D26847">
        <w:t>on track</w:t>
      </w:r>
      <w:r w:rsidRPr="00836B97">
        <w:t>.</w:t>
      </w:r>
      <w:r w:rsidRPr="00C50D60">
        <w:rPr>
          <w:rStyle w:val="EndnoteReference"/>
          <w:iCs/>
        </w:rPr>
        <w:endnoteReference w:id="111"/>
      </w:r>
    </w:p>
    <w:p w14:paraId="1DFD7C79" w14:textId="3ABCDD5B" w:rsidR="001762EE" w:rsidRPr="005A497D" w:rsidRDefault="001762EE" w:rsidP="00411651">
      <w:pPr>
        <w:pStyle w:val="Heading3"/>
      </w:pPr>
      <w:bookmarkStart w:id="292" w:name="_Toc454811732"/>
      <w:bookmarkStart w:id="293" w:name="_Toc454888876"/>
      <w:r w:rsidRPr="005A497D">
        <w:t xml:space="preserve">5.2 </w:t>
      </w:r>
      <w:r>
        <w:t>Recent and on-going reform actions</w:t>
      </w:r>
      <w:bookmarkEnd w:id="292"/>
      <w:bookmarkEnd w:id="293"/>
    </w:p>
    <w:p w14:paraId="13B02C9E" w14:textId="5285F776" w:rsidR="001762EE" w:rsidRPr="0073584C" w:rsidRDefault="001762EE" w:rsidP="000B0F5F">
      <w:pPr>
        <w:tabs>
          <w:tab w:val="left" w:pos="720"/>
        </w:tabs>
        <w:autoSpaceDE w:val="0"/>
        <w:autoSpaceDN w:val="0"/>
        <w:adjustRightInd w:val="0"/>
        <w:jc w:val="both"/>
        <w:rPr>
          <w:sz w:val="28"/>
        </w:rPr>
      </w:pPr>
      <w:r w:rsidRPr="000B0F5F">
        <w:t xml:space="preserve"> </w:t>
      </w:r>
    </w:p>
    <w:p w14:paraId="623F5679" w14:textId="75830D98" w:rsidR="001762EE" w:rsidRDefault="001762EE" w:rsidP="00C066CE">
      <w:pPr>
        <w:pStyle w:val="ListParagraph"/>
        <w:numPr>
          <w:ilvl w:val="0"/>
          <w:numId w:val="7"/>
        </w:numPr>
        <w:tabs>
          <w:tab w:val="left" w:pos="0"/>
        </w:tabs>
        <w:autoSpaceDE w:val="0"/>
        <w:autoSpaceDN w:val="0"/>
        <w:adjustRightInd w:val="0"/>
        <w:spacing w:line="240" w:lineRule="auto"/>
        <w:ind w:left="0" w:firstLine="0"/>
        <w:jc w:val="both"/>
      </w:pPr>
      <w:r w:rsidRPr="0073584C">
        <w:t>The PFM Committee and the GGAC</w:t>
      </w:r>
      <w:r>
        <w:t xml:space="preserve"> Cluster</w:t>
      </w:r>
      <w:r w:rsidRPr="0073584C">
        <w:t xml:space="preserve"> are the main </w:t>
      </w:r>
      <w:r w:rsidR="00E00667">
        <w:t>forums</w:t>
      </w:r>
      <w:r w:rsidR="00E00667" w:rsidRPr="0073584C">
        <w:t xml:space="preserve"> </w:t>
      </w:r>
      <w:r w:rsidRPr="0073584C">
        <w:t xml:space="preserve">for coordination and monitoring of the reforms. In the original </w:t>
      </w:r>
      <w:r>
        <w:t>R</w:t>
      </w:r>
      <w:r w:rsidRPr="0073584C">
        <w:t xml:space="preserve">oadmap, the PFM Committee was supported by the inter-agency </w:t>
      </w:r>
      <w:r>
        <w:t>p</w:t>
      </w:r>
      <w:r w:rsidRPr="0073584C">
        <w:t xml:space="preserve">roject </w:t>
      </w:r>
      <w:r>
        <w:t>i</w:t>
      </w:r>
      <w:r w:rsidRPr="0073584C">
        <w:t>mplemen</w:t>
      </w:r>
      <w:r>
        <w:t>tation</w:t>
      </w:r>
      <w:r w:rsidRPr="0073584C">
        <w:t xml:space="preserve"> </w:t>
      </w:r>
      <w:r>
        <w:t>u</w:t>
      </w:r>
      <w:r w:rsidRPr="0073584C">
        <w:t xml:space="preserve">nits for each reform, </w:t>
      </w:r>
      <w:r w:rsidRPr="00C066CE">
        <w:t>namely</w:t>
      </w:r>
      <w:r w:rsidRPr="0073584C">
        <w:t xml:space="preserve"> (</w:t>
      </w:r>
      <w:r>
        <w:t>a</w:t>
      </w:r>
      <w:r w:rsidRPr="0073584C">
        <w:t>) the budget reporting and performance management, (</w:t>
      </w:r>
      <w:r>
        <w:t>b</w:t>
      </w:r>
      <w:r w:rsidRPr="0073584C">
        <w:t>) treasury cash management operations, (</w:t>
      </w:r>
      <w:r>
        <w:t>c</w:t>
      </w:r>
      <w:r w:rsidRPr="0073584C">
        <w:t>) accounting and auditing reforms, (</w:t>
      </w:r>
      <w:r>
        <w:t>d</w:t>
      </w:r>
      <w:r w:rsidRPr="0073584C">
        <w:t xml:space="preserve">) </w:t>
      </w:r>
      <w:r>
        <w:t>GIFMIS</w:t>
      </w:r>
      <w:r w:rsidRPr="0073584C">
        <w:t>, (</w:t>
      </w:r>
      <w:r>
        <w:t>e</w:t>
      </w:r>
      <w:r w:rsidRPr="0073584C">
        <w:t xml:space="preserve">) capacity building, </w:t>
      </w:r>
      <w:r>
        <w:t xml:space="preserve">and </w:t>
      </w:r>
      <w:r w:rsidRPr="0073584C">
        <w:t>(</w:t>
      </w:r>
      <w:r>
        <w:t>f</w:t>
      </w:r>
      <w:r w:rsidRPr="0073584C">
        <w:t>) management of contingent liabilities.</w:t>
      </w:r>
    </w:p>
    <w:p w14:paraId="4519CDAF" w14:textId="415576CF" w:rsidR="001762EE" w:rsidRPr="00C066CE" w:rsidRDefault="001762EE" w:rsidP="00C066CE">
      <w:pPr>
        <w:pStyle w:val="ListParagraph"/>
        <w:tabs>
          <w:tab w:val="left" w:pos="0"/>
        </w:tabs>
        <w:autoSpaceDE w:val="0"/>
        <w:autoSpaceDN w:val="0"/>
        <w:adjustRightInd w:val="0"/>
        <w:spacing w:line="240" w:lineRule="auto"/>
        <w:ind w:left="0" w:firstLine="0"/>
        <w:jc w:val="both"/>
        <w:rPr>
          <w:color w:val="222222"/>
          <w:sz w:val="28"/>
          <w:szCs w:val="19"/>
        </w:rPr>
      </w:pPr>
      <w:r w:rsidRPr="0073584C">
        <w:t xml:space="preserve"> </w:t>
      </w:r>
    </w:p>
    <w:p w14:paraId="4A188F1D" w14:textId="3F82671E" w:rsidR="001762EE" w:rsidRPr="00BF5AE3" w:rsidRDefault="001762EE" w:rsidP="00BF5AE3">
      <w:pPr>
        <w:pStyle w:val="ListParagraph"/>
        <w:numPr>
          <w:ilvl w:val="0"/>
          <w:numId w:val="7"/>
        </w:numPr>
        <w:tabs>
          <w:tab w:val="left" w:pos="0"/>
        </w:tabs>
        <w:autoSpaceDE w:val="0"/>
        <w:autoSpaceDN w:val="0"/>
        <w:adjustRightInd w:val="0"/>
        <w:spacing w:line="240" w:lineRule="auto"/>
        <w:ind w:left="0" w:firstLine="0"/>
        <w:jc w:val="both"/>
        <w:rPr>
          <w:szCs w:val="19"/>
        </w:rPr>
      </w:pPr>
      <w:r w:rsidRPr="0046618D">
        <w:t xml:space="preserve">The sub-committees or project implementation units aimed to respond directly to the identified major gaps and weaknesses </w:t>
      </w:r>
      <w:r w:rsidR="00E00667">
        <w:t>in</w:t>
      </w:r>
      <w:r w:rsidR="00E00667" w:rsidRPr="0046618D">
        <w:t xml:space="preserve"> </w:t>
      </w:r>
      <w:r w:rsidRPr="0046618D">
        <w:t xml:space="preserve">the Government’s PFM system </w:t>
      </w:r>
      <w:r w:rsidR="00E00667">
        <w:t xml:space="preserve">as identified by </w:t>
      </w:r>
      <w:r w:rsidRPr="0046618D">
        <w:t>the 2010 PEFA assessment</w:t>
      </w:r>
      <w:r w:rsidRPr="00AB573C">
        <w:t xml:space="preserve">.  </w:t>
      </w:r>
      <w:r w:rsidR="00E00667">
        <w:t>These included</w:t>
      </w:r>
      <w:r w:rsidRPr="00AB573C">
        <w:t xml:space="preserve"> the following</w:t>
      </w:r>
      <w:r w:rsidRPr="00EE565E">
        <w:t>:</w:t>
      </w:r>
    </w:p>
    <w:p w14:paraId="059BF19B" w14:textId="112BC684" w:rsidR="001762EE" w:rsidRPr="00944203" w:rsidRDefault="001762EE" w:rsidP="005A03CD">
      <w:pPr>
        <w:numPr>
          <w:ilvl w:val="0"/>
          <w:numId w:val="28"/>
        </w:numPr>
        <w:shd w:val="clear" w:color="auto" w:fill="FFFFFF"/>
        <w:jc w:val="both"/>
        <w:rPr>
          <w:szCs w:val="19"/>
        </w:rPr>
      </w:pPr>
      <w:r w:rsidRPr="00944203">
        <w:rPr>
          <w:szCs w:val="19"/>
        </w:rPr>
        <w:t xml:space="preserve"> </w:t>
      </w:r>
      <w:r w:rsidR="00E00667">
        <w:rPr>
          <w:szCs w:val="19"/>
        </w:rPr>
        <w:t>Limited ability to assess implementation capacity for the budget</w:t>
      </w:r>
      <w:r w:rsidRPr="00944203">
        <w:rPr>
          <w:szCs w:val="19"/>
        </w:rPr>
        <w:t xml:space="preserve">; </w:t>
      </w:r>
    </w:p>
    <w:p w14:paraId="4A90814E" w14:textId="2B56FC6E" w:rsidR="001762EE" w:rsidRPr="00944203" w:rsidRDefault="001762EE" w:rsidP="005A03CD">
      <w:pPr>
        <w:numPr>
          <w:ilvl w:val="0"/>
          <w:numId w:val="28"/>
        </w:numPr>
        <w:shd w:val="clear" w:color="auto" w:fill="FFFFFF"/>
        <w:jc w:val="both"/>
        <w:rPr>
          <w:szCs w:val="19"/>
        </w:rPr>
      </w:pPr>
      <w:r w:rsidRPr="00944203">
        <w:rPr>
          <w:szCs w:val="19"/>
        </w:rPr>
        <w:t xml:space="preserve"> </w:t>
      </w:r>
      <w:r w:rsidR="00E00667">
        <w:rPr>
          <w:szCs w:val="19"/>
        </w:rPr>
        <w:t>Weak</w:t>
      </w:r>
      <w:r w:rsidRPr="00944203">
        <w:rPr>
          <w:szCs w:val="19"/>
        </w:rPr>
        <w:t xml:space="preserve"> reporting </w:t>
      </w:r>
      <w:r w:rsidR="00E00667">
        <w:rPr>
          <w:szCs w:val="19"/>
        </w:rPr>
        <w:t>processes for</w:t>
      </w:r>
      <w:r w:rsidRPr="00944203">
        <w:rPr>
          <w:szCs w:val="19"/>
        </w:rPr>
        <w:t xml:space="preserve"> budget execution;  </w:t>
      </w:r>
    </w:p>
    <w:p w14:paraId="24BD5771" w14:textId="117AB870" w:rsidR="001762EE" w:rsidRPr="00944203" w:rsidRDefault="001762EE" w:rsidP="005A03CD">
      <w:pPr>
        <w:numPr>
          <w:ilvl w:val="0"/>
          <w:numId w:val="28"/>
        </w:numPr>
        <w:shd w:val="clear" w:color="auto" w:fill="FFFFFF"/>
        <w:jc w:val="both"/>
        <w:rPr>
          <w:szCs w:val="19"/>
        </w:rPr>
      </w:pPr>
      <w:r w:rsidRPr="00944203">
        <w:rPr>
          <w:szCs w:val="19"/>
        </w:rPr>
        <w:t xml:space="preserve"> </w:t>
      </w:r>
      <w:r>
        <w:rPr>
          <w:szCs w:val="19"/>
        </w:rPr>
        <w:t>D</w:t>
      </w:r>
      <w:r w:rsidRPr="00944203">
        <w:rPr>
          <w:szCs w:val="19"/>
        </w:rPr>
        <w:t xml:space="preserve">elayed approval of the </w:t>
      </w:r>
      <w:r>
        <w:rPr>
          <w:szCs w:val="19"/>
        </w:rPr>
        <w:t>General Appropriations Act</w:t>
      </w:r>
      <w:r w:rsidRPr="00944203">
        <w:rPr>
          <w:szCs w:val="19"/>
        </w:rPr>
        <w:t xml:space="preserve">; </w:t>
      </w:r>
    </w:p>
    <w:p w14:paraId="0ED0562E" w14:textId="2C025B5C" w:rsidR="001762EE" w:rsidRPr="00944203" w:rsidRDefault="001762EE" w:rsidP="005A03CD">
      <w:pPr>
        <w:numPr>
          <w:ilvl w:val="0"/>
          <w:numId w:val="28"/>
        </w:numPr>
        <w:shd w:val="clear" w:color="auto" w:fill="FFFFFF"/>
        <w:jc w:val="both"/>
        <w:rPr>
          <w:szCs w:val="19"/>
        </w:rPr>
      </w:pPr>
      <w:r w:rsidRPr="00944203">
        <w:rPr>
          <w:szCs w:val="19"/>
        </w:rPr>
        <w:t xml:space="preserve"> </w:t>
      </w:r>
      <w:r>
        <w:rPr>
          <w:szCs w:val="19"/>
        </w:rPr>
        <w:t>L</w:t>
      </w:r>
      <w:r w:rsidRPr="00944203">
        <w:rPr>
          <w:szCs w:val="19"/>
        </w:rPr>
        <w:t>ack of information system capable of capturing resource flows;</w:t>
      </w:r>
    </w:p>
    <w:p w14:paraId="6986EB2A" w14:textId="1389595B" w:rsidR="001762EE" w:rsidRPr="00944203" w:rsidRDefault="001762EE" w:rsidP="00C066CE">
      <w:pPr>
        <w:numPr>
          <w:ilvl w:val="0"/>
          <w:numId w:val="28"/>
        </w:numPr>
        <w:shd w:val="clear" w:color="auto" w:fill="FFFFFF"/>
        <w:tabs>
          <w:tab w:val="clear" w:pos="720"/>
          <w:tab w:val="num" w:pos="810"/>
        </w:tabs>
        <w:ind w:left="810" w:hanging="450"/>
        <w:jc w:val="both"/>
        <w:rPr>
          <w:szCs w:val="19"/>
        </w:rPr>
      </w:pPr>
      <w:r>
        <w:rPr>
          <w:szCs w:val="19"/>
        </w:rPr>
        <w:t>L</w:t>
      </w:r>
      <w:r w:rsidRPr="00944203">
        <w:rPr>
          <w:szCs w:val="19"/>
        </w:rPr>
        <w:t>imited role of Congress in budget oversight and in reviewing/authorizing in-year budget amendments;</w:t>
      </w:r>
      <w:r>
        <w:rPr>
          <w:szCs w:val="19"/>
        </w:rPr>
        <w:t xml:space="preserve"> and</w:t>
      </w:r>
    </w:p>
    <w:p w14:paraId="77F89CE5" w14:textId="56494397" w:rsidR="001762EE" w:rsidRPr="00944203" w:rsidRDefault="001762EE" w:rsidP="00C066CE">
      <w:pPr>
        <w:numPr>
          <w:ilvl w:val="0"/>
          <w:numId w:val="28"/>
        </w:numPr>
        <w:shd w:val="clear" w:color="auto" w:fill="FFFFFF"/>
        <w:tabs>
          <w:tab w:val="clear" w:pos="720"/>
        </w:tabs>
        <w:ind w:left="810" w:hanging="450"/>
        <w:jc w:val="both"/>
        <w:rPr>
          <w:szCs w:val="19"/>
        </w:rPr>
      </w:pPr>
      <w:r>
        <w:rPr>
          <w:szCs w:val="19"/>
        </w:rPr>
        <w:t>W</w:t>
      </w:r>
      <w:r w:rsidRPr="00944203">
        <w:rPr>
          <w:szCs w:val="19"/>
        </w:rPr>
        <w:t xml:space="preserve">eak </w:t>
      </w:r>
      <w:r w:rsidR="00E00667">
        <w:rPr>
          <w:szCs w:val="19"/>
        </w:rPr>
        <w:t xml:space="preserve">processes for </w:t>
      </w:r>
      <w:r w:rsidRPr="00944203">
        <w:rPr>
          <w:szCs w:val="19"/>
        </w:rPr>
        <w:t>revenue administration</w:t>
      </w:r>
      <w:r>
        <w:rPr>
          <w:szCs w:val="19"/>
        </w:rPr>
        <w:t xml:space="preserve">, monitoring and management of expenditure arrears, oversight of contingent liabilities and associated fiscal risks, and financial accountability </w:t>
      </w:r>
      <w:r w:rsidR="00B526C2">
        <w:rPr>
          <w:szCs w:val="19"/>
        </w:rPr>
        <w:t xml:space="preserve">as </w:t>
      </w:r>
      <w:r w:rsidR="00E00667">
        <w:rPr>
          <w:szCs w:val="19"/>
        </w:rPr>
        <w:t>manifested in qualified</w:t>
      </w:r>
      <w:r>
        <w:rPr>
          <w:szCs w:val="19"/>
        </w:rPr>
        <w:t xml:space="preserve"> CoA audit reports.</w:t>
      </w:r>
      <w:r w:rsidRPr="00944203">
        <w:rPr>
          <w:szCs w:val="19"/>
        </w:rPr>
        <w:t xml:space="preserve"> </w:t>
      </w:r>
    </w:p>
    <w:p w14:paraId="773B1722" w14:textId="77777777" w:rsidR="001762EE" w:rsidRPr="00944203" w:rsidRDefault="001762EE" w:rsidP="00114F5F">
      <w:pPr>
        <w:shd w:val="clear" w:color="auto" w:fill="FFFFFF"/>
        <w:rPr>
          <w:szCs w:val="19"/>
        </w:rPr>
      </w:pPr>
    </w:p>
    <w:p w14:paraId="3668CC48" w14:textId="66C56CFA" w:rsidR="001762EE" w:rsidRDefault="00B526C2" w:rsidP="00474652">
      <w:pPr>
        <w:shd w:val="clear" w:color="auto" w:fill="FFFFFF"/>
        <w:jc w:val="both"/>
        <w:rPr>
          <w:szCs w:val="19"/>
        </w:rPr>
      </w:pPr>
      <w:r>
        <w:rPr>
          <w:szCs w:val="19"/>
        </w:rPr>
        <w:t>The</w:t>
      </w:r>
      <w:r w:rsidR="001762EE" w:rsidRPr="00944203">
        <w:rPr>
          <w:szCs w:val="19"/>
        </w:rPr>
        <w:t xml:space="preserve"> </w:t>
      </w:r>
      <w:r w:rsidR="001762EE" w:rsidRPr="00C066CE">
        <w:rPr>
          <w:szCs w:val="19"/>
        </w:rPr>
        <w:t>PFM Reform Roadmap for 2011-2015</w:t>
      </w:r>
      <w:r w:rsidR="001762EE" w:rsidRPr="00944203">
        <w:rPr>
          <w:szCs w:val="19"/>
        </w:rPr>
        <w:t xml:space="preserve"> </w:t>
      </w:r>
      <w:r w:rsidR="001762EE">
        <w:rPr>
          <w:szCs w:val="19"/>
        </w:rPr>
        <w:t>was a response</w:t>
      </w:r>
      <w:r w:rsidR="001762EE" w:rsidRPr="00944203">
        <w:rPr>
          <w:szCs w:val="19"/>
        </w:rPr>
        <w:t xml:space="preserve"> to the need for reforms</w:t>
      </w:r>
      <w:r w:rsidR="001762EE">
        <w:rPr>
          <w:szCs w:val="19"/>
        </w:rPr>
        <w:t>,</w:t>
      </w:r>
      <w:r w:rsidR="001762EE" w:rsidRPr="00944203">
        <w:rPr>
          <w:szCs w:val="19"/>
        </w:rPr>
        <w:t xml:space="preserve"> which </w:t>
      </w:r>
      <w:r>
        <w:rPr>
          <w:szCs w:val="19"/>
        </w:rPr>
        <w:t>were initiated as follows</w:t>
      </w:r>
      <w:r w:rsidR="001762EE">
        <w:rPr>
          <w:szCs w:val="19"/>
        </w:rPr>
        <w:t>:</w:t>
      </w:r>
    </w:p>
    <w:p w14:paraId="3CD74E3A" w14:textId="77777777" w:rsidR="001762EE" w:rsidRDefault="001762EE" w:rsidP="00836B97">
      <w:pPr>
        <w:shd w:val="clear" w:color="auto" w:fill="FFFFFF"/>
        <w:rPr>
          <w:szCs w:val="19"/>
        </w:rPr>
      </w:pPr>
    </w:p>
    <w:p w14:paraId="1898E984" w14:textId="4C44251C" w:rsidR="001762EE" w:rsidRPr="00643E39" w:rsidRDefault="001762EE" w:rsidP="0073584C">
      <w:pPr>
        <w:pStyle w:val="ListParagraph"/>
        <w:numPr>
          <w:ilvl w:val="0"/>
          <w:numId w:val="29"/>
        </w:numPr>
        <w:shd w:val="clear" w:color="auto" w:fill="FFFFFF"/>
        <w:spacing w:line="240" w:lineRule="auto"/>
        <w:jc w:val="both"/>
      </w:pPr>
      <w:r w:rsidRPr="00C066CE">
        <w:rPr>
          <w:b/>
          <w:i/>
        </w:rPr>
        <w:t>Budget reporting and performance management</w:t>
      </w:r>
      <w:r>
        <w:t>.</w:t>
      </w:r>
      <w:r w:rsidRPr="00643E39">
        <w:rPr>
          <w:lang w:val="en-AU"/>
        </w:rPr>
        <w:t xml:space="preserve"> Progress has been achieved with the harmonization, streamlining</w:t>
      </w:r>
      <w:r>
        <w:rPr>
          <w:lang w:val="en-AU"/>
        </w:rPr>
        <w:t>,</w:t>
      </w:r>
      <w:r w:rsidRPr="00643E39">
        <w:rPr>
          <w:lang w:val="en-AU"/>
        </w:rPr>
        <w:t xml:space="preserve"> and </w:t>
      </w:r>
      <w:r w:rsidRPr="00643E39">
        <w:rPr>
          <w:bCs/>
          <w:lang w:val="en-AU"/>
        </w:rPr>
        <w:t xml:space="preserve">refinement of reporting requirements </w:t>
      </w:r>
      <w:r w:rsidR="00B526C2">
        <w:rPr>
          <w:bCs/>
          <w:lang w:val="en-AU"/>
        </w:rPr>
        <w:t xml:space="preserve">among </w:t>
      </w:r>
      <w:r w:rsidRPr="00643E39">
        <w:rPr>
          <w:bCs/>
          <w:lang w:val="en-AU"/>
        </w:rPr>
        <w:t xml:space="preserve">the oversight agencies, particularly </w:t>
      </w:r>
      <w:r>
        <w:rPr>
          <w:bCs/>
          <w:lang w:val="en-AU"/>
        </w:rPr>
        <w:t>Commission on Audit</w:t>
      </w:r>
      <w:r w:rsidRPr="00643E39">
        <w:rPr>
          <w:bCs/>
          <w:lang w:val="en-AU"/>
        </w:rPr>
        <w:t xml:space="preserve"> and </w:t>
      </w:r>
      <w:r>
        <w:rPr>
          <w:bCs/>
          <w:lang w:val="en-AU"/>
        </w:rPr>
        <w:t>Department of Budget and Management</w:t>
      </w:r>
      <w:r w:rsidRPr="00643E39">
        <w:rPr>
          <w:lang w:val="en-AU"/>
        </w:rPr>
        <w:t xml:space="preserve">. </w:t>
      </w:r>
      <w:r w:rsidRPr="00643E39">
        <w:t xml:space="preserve">The </w:t>
      </w:r>
      <w:r w:rsidR="00B526C2">
        <w:t xml:space="preserve">DBM/CoA-formulated </w:t>
      </w:r>
      <w:r>
        <w:t>UACS</w:t>
      </w:r>
      <w:r w:rsidRPr="00643E39">
        <w:t xml:space="preserve"> was rolled out for the 2014 budget preparation process and adopted in 201</w:t>
      </w:r>
      <w:r w:rsidR="00944B20">
        <w:t>4</w:t>
      </w:r>
      <w:r w:rsidRPr="00643E39">
        <w:t xml:space="preserve"> for accounting and reporting </w:t>
      </w:r>
      <w:r w:rsidR="00B526C2">
        <w:t xml:space="preserve">and </w:t>
      </w:r>
      <w:r w:rsidRPr="00643E39">
        <w:t xml:space="preserve">integrating </w:t>
      </w:r>
      <w:r w:rsidR="00B526C2">
        <w:t>b</w:t>
      </w:r>
      <w:r w:rsidR="00D5150E">
        <w:t>udget formulation and execution</w:t>
      </w:r>
      <w:r w:rsidRPr="00643E39">
        <w:t xml:space="preserve">. </w:t>
      </w:r>
      <w:r w:rsidR="00D5150E">
        <w:t>Technical training was started in 2014,</w:t>
      </w:r>
      <w:r w:rsidRPr="00643E39">
        <w:t xml:space="preserve"> and </w:t>
      </w:r>
      <w:r w:rsidRPr="000D0E8D">
        <w:rPr>
          <w:i/>
        </w:rPr>
        <w:t>e</w:t>
      </w:r>
      <w:r w:rsidRPr="00643E39">
        <w:t xml:space="preserve">NGAS </w:t>
      </w:r>
      <w:r>
        <w:t>was</w:t>
      </w:r>
      <w:r w:rsidRPr="00643E39">
        <w:t xml:space="preserve"> updated into a UACS</w:t>
      </w:r>
      <w:r>
        <w:t>-</w:t>
      </w:r>
      <w:r w:rsidRPr="00643E39">
        <w:t xml:space="preserve">compliant version in 2015. Other activities under this </w:t>
      </w:r>
      <w:r>
        <w:t>project implementation unit</w:t>
      </w:r>
      <w:r w:rsidRPr="00643E39">
        <w:t xml:space="preserve"> include </w:t>
      </w:r>
      <w:r>
        <w:t>DBM-developed</w:t>
      </w:r>
      <w:r w:rsidR="00BF5AE3">
        <w:t>,</w:t>
      </w:r>
      <w:r>
        <w:t xml:space="preserve"> </w:t>
      </w:r>
      <w:r w:rsidRPr="00643E39">
        <w:t>performance-informed</w:t>
      </w:r>
      <w:r w:rsidR="00BF5AE3">
        <w:t>,</w:t>
      </w:r>
      <w:r w:rsidRPr="00643E39">
        <w:t xml:space="preserve"> budgeting and revised </w:t>
      </w:r>
      <w:r>
        <w:t>GAA</w:t>
      </w:r>
      <w:r w:rsidRPr="00643E39">
        <w:t xml:space="preserve"> and NEP formats</w:t>
      </w:r>
      <w:r w:rsidR="00BF5AE3">
        <w:t>;</w:t>
      </w:r>
      <w:r w:rsidR="00BF5AE3" w:rsidRPr="00643E39">
        <w:t xml:space="preserve"> </w:t>
      </w:r>
      <w:r w:rsidR="00BF5AE3">
        <w:t xml:space="preserve">and </w:t>
      </w:r>
      <w:r w:rsidRPr="00643E39">
        <w:t>use of the Unified Reporting System for the Budget and Financial Accountability Reports</w:t>
      </w:r>
      <w:r>
        <w:t>,</w:t>
      </w:r>
      <w:r w:rsidRPr="00643E39">
        <w:t xml:space="preserve"> which unifies and streamlines </w:t>
      </w:r>
      <w:r>
        <w:t>CoA</w:t>
      </w:r>
      <w:r w:rsidRPr="00643E39">
        <w:t xml:space="preserve"> and DBM reporting requirements. </w:t>
      </w:r>
      <w:r w:rsidRPr="00643E39">
        <w:rPr>
          <w:lang w:val="en-AU"/>
        </w:rPr>
        <w:t xml:space="preserve">The </w:t>
      </w:r>
      <w:r>
        <w:rPr>
          <w:lang w:val="en-AU"/>
        </w:rPr>
        <w:t>UACS</w:t>
      </w:r>
      <w:r w:rsidRPr="00643E39">
        <w:rPr>
          <w:lang w:val="en-AU"/>
        </w:rPr>
        <w:t xml:space="preserve"> is providing the </w:t>
      </w:r>
      <w:r w:rsidR="00D5150E">
        <w:rPr>
          <w:lang w:val="en-AU"/>
        </w:rPr>
        <w:t>key link</w:t>
      </w:r>
      <w:r w:rsidRPr="00643E39">
        <w:rPr>
          <w:lang w:val="en-AU"/>
        </w:rPr>
        <w:t xml:space="preserve"> to harmonize </w:t>
      </w:r>
      <w:r>
        <w:rPr>
          <w:lang w:val="en-AU"/>
        </w:rPr>
        <w:t xml:space="preserve">CoA and </w:t>
      </w:r>
      <w:r w:rsidRPr="00643E39">
        <w:rPr>
          <w:lang w:val="en-AU"/>
        </w:rPr>
        <w:t>DBM reports</w:t>
      </w:r>
      <w:r>
        <w:rPr>
          <w:lang w:val="en-AU"/>
        </w:rPr>
        <w:t>.</w:t>
      </w:r>
    </w:p>
    <w:p w14:paraId="114172F1" w14:textId="77777777" w:rsidR="001762EE" w:rsidRPr="00643E39" w:rsidRDefault="001762EE" w:rsidP="00643E39">
      <w:pPr>
        <w:pStyle w:val="ListParagraph"/>
        <w:shd w:val="clear" w:color="auto" w:fill="FFFFFF"/>
        <w:ind w:left="720" w:firstLine="0"/>
        <w:jc w:val="both"/>
      </w:pPr>
    </w:p>
    <w:p w14:paraId="2BB6224F" w14:textId="561EADF1" w:rsidR="001762EE" w:rsidRPr="00643E39" w:rsidRDefault="001762EE" w:rsidP="0073584C">
      <w:pPr>
        <w:pStyle w:val="ListParagraph"/>
        <w:numPr>
          <w:ilvl w:val="0"/>
          <w:numId w:val="29"/>
        </w:numPr>
        <w:shd w:val="clear" w:color="auto" w:fill="FFFFFF"/>
        <w:spacing w:line="240" w:lineRule="auto"/>
        <w:jc w:val="both"/>
      </w:pPr>
      <w:r w:rsidRPr="00C066CE">
        <w:rPr>
          <w:b/>
          <w:i/>
        </w:rPr>
        <w:t>Treasury cash management operations</w:t>
      </w:r>
      <w:r>
        <w:rPr>
          <w:b/>
          <w:i/>
        </w:rPr>
        <w:t>.</w:t>
      </w:r>
      <w:r w:rsidRPr="00643E39">
        <w:t xml:space="preserve"> </w:t>
      </w:r>
      <w:r>
        <w:rPr>
          <w:lang w:val="en-AU"/>
        </w:rPr>
        <w:t>I</w:t>
      </w:r>
      <w:r w:rsidRPr="00643E39">
        <w:rPr>
          <w:lang w:val="en-AU"/>
        </w:rPr>
        <w:t xml:space="preserve">mproved </w:t>
      </w:r>
      <w:r>
        <w:rPr>
          <w:lang w:val="en-AU"/>
        </w:rPr>
        <w:t xml:space="preserve">quality and timeliness of </w:t>
      </w:r>
      <w:r w:rsidRPr="00643E39">
        <w:rPr>
          <w:lang w:val="en-AU"/>
        </w:rPr>
        <w:t xml:space="preserve">information provides the starting point for improved cash management and reducing borrowings, thereby generating savings. </w:t>
      </w:r>
      <w:r w:rsidRPr="00643E39">
        <w:t>A TSA</w:t>
      </w:r>
      <w:r>
        <w:t xml:space="preserve"> system</w:t>
      </w:r>
      <w:r w:rsidRPr="00643E39">
        <w:t xml:space="preserve">, maintained by the Bureau of the Treasury in Bangko Sentral ng Pilipinas, </w:t>
      </w:r>
      <w:r>
        <w:t>was</w:t>
      </w:r>
      <w:r w:rsidRPr="00643E39">
        <w:t xml:space="preserve"> established in 2014. The process involved closing </w:t>
      </w:r>
      <w:r>
        <w:t>many</w:t>
      </w:r>
      <w:r w:rsidRPr="00643E39">
        <w:t xml:space="preserve"> </w:t>
      </w:r>
      <w:r w:rsidR="00AF0E49">
        <w:t xml:space="preserve">unnecessary </w:t>
      </w:r>
      <w:r w:rsidRPr="00643E39">
        <w:t xml:space="preserve">NGA bank accounts and consolidating the remainder in the </w:t>
      </w:r>
      <w:r>
        <w:t>B Tr</w:t>
      </w:r>
      <w:r w:rsidRPr="00643E39">
        <w:t xml:space="preserve">. The new approach also required banks to remit all </w:t>
      </w:r>
      <w:r>
        <w:t>BIR</w:t>
      </w:r>
      <w:r w:rsidRPr="00643E39">
        <w:t xml:space="preserve"> and </w:t>
      </w:r>
      <w:r>
        <w:t>BoC</w:t>
      </w:r>
      <w:r w:rsidRPr="00643E39">
        <w:t xml:space="preserve"> collections one day after receipt in exchange for a transaction fee starting </w:t>
      </w:r>
      <w:r>
        <w:t xml:space="preserve">in </w:t>
      </w:r>
      <w:r w:rsidRPr="00643E39">
        <w:t>201</w:t>
      </w:r>
      <w:r w:rsidR="00AF0E49">
        <w:t>4</w:t>
      </w:r>
      <w:r w:rsidRPr="00643E39">
        <w:t xml:space="preserve">. It was planned </w:t>
      </w:r>
      <w:r w:rsidR="00D5150E">
        <w:t xml:space="preserve">that </w:t>
      </w:r>
      <w:r w:rsidRPr="00643E39">
        <w:t xml:space="preserve">once </w:t>
      </w:r>
      <w:r w:rsidR="00D5150E">
        <w:t xml:space="preserve">a </w:t>
      </w:r>
      <w:r w:rsidRPr="00643E39">
        <w:t xml:space="preserve">GIFMIS </w:t>
      </w:r>
      <w:r w:rsidR="00D5150E">
        <w:t>is</w:t>
      </w:r>
      <w:r w:rsidRPr="00643E39">
        <w:t xml:space="preserve"> operational</w:t>
      </w:r>
      <w:r w:rsidR="00D5150E">
        <w:t>,</w:t>
      </w:r>
      <w:r w:rsidRPr="00643E39">
        <w:t xml:space="preserve"> </w:t>
      </w:r>
      <w:r w:rsidR="00D5150E">
        <w:t>the</w:t>
      </w:r>
      <w:r w:rsidR="00D5150E" w:rsidRPr="00643E39">
        <w:t xml:space="preserve"> </w:t>
      </w:r>
      <w:r>
        <w:t>TSA</w:t>
      </w:r>
      <w:r w:rsidRPr="00643E39">
        <w:t xml:space="preserve"> </w:t>
      </w:r>
      <w:r w:rsidR="00BF5AE3">
        <w:t xml:space="preserve">system </w:t>
      </w:r>
      <w:r w:rsidRPr="00643E39">
        <w:t xml:space="preserve">would facilitate electronic processing of payments to further improve the </w:t>
      </w:r>
      <w:r>
        <w:t>Government’s</w:t>
      </w:r>
      <w:r w:rsidRPr="00643E39">
        <w:t xml:space="preserve"> fiscal performance. </w:t>
      </w:r>
      <w:r>
        <w:t xml:space="preserve">The </w:t>
      </w:r>
      <w:r w:rsidR="000F082B">
        <w:t xml:space="preserve">DBM mandated the </w:t>
      </w:r>
      <w:r w:rsidRPr="00643E39">
        <w:t>che</w:t>
      </w:r>
      <w:r>
        <w:t>ck</w:t>
      </w:r>
      <w:r w:rsidRPr="00643E39">
        <w:t xml:space="preserve">-less payment system through </w:t>
      </w:r>
      <w:r w:rsidR="00D5150E">
        <w:t>direct bank transfer</w:t>
      </w:r>
      <w:r w:rsidR="000F082B">
        <w:t xml:space="preserve"> for NGA disbursements</w:t>
      </w:r>
      <w:r>
        <w:t>;</w:t>
      </w:r>
      <w:r w:rsidRPr="00643E39">
        <w:t xml:space="preserve"> as </w:t>
      </w:r>
      <w:r w:rsidR="00944B20">
        <w:t>at</w:t>
      </w:r>
      <w:r w:rsidRPr="00643E39">
        <w:t xml:space="preserve"> end 2015, 81</w:t>
      </w:r>
      <w:r>
        <w:t xml:space="preserve"> percent</w:t>
      </w:r>
      <w:r w:rsidRPr="00643E39">
        <w:t xml:space="preserve"> of </w:t>
      </w:r>
      <w:r w:rsidR="000F082B">
        <w:t>national government disburse</w:t>
      </w:r>
      <w:r w:rsidRPr="00643E39">
        <w:t>ments are done under this system.</w:t>
      </w:r>
    </w:p>
    <w:p w14:paraId="3F2CBD2A" w14:textId="77777777" w:rsidR="001762EE" w:rsidRPr="00643E39" w:rsidRDefault="001762EE" w:rsidP="0073584C">
      <w:pPr>
        <w:pStyle w:val="ListParagraph"/>
        <w:spacing w:line="240" w:lineRule="auto"/>
        <w:rPr>
          <w:b/>
        </w:rPr>
      </w:pPr>
    </w:p>
    <w:p w14:paraId="01C9AACE" w14:textId="513D88AC" w:rsidR="001762EE" w:rsidRPr="00643E39" w:rsidRDefault="001762EE" w:rsidP="0073584C">
      <w:pPr>
        <w:pStyle w:val="ListParagraph"/>
        <w:numPr>
          <w:ilvl w:val="0"/>
          <w:numId w:val="29"/>
        </w:numPr>
        <w:shd w:val="clear" w:color="auto" w:fill="FFFFFF"/>
        <w:spacing w:line="240" w:lineRule="auto"/>
        <w:jc w:val="both"/>
      </w:pPr>
      <w:r w:rsidRPr="00C066CE">
        <w:rPr>
          <w:b/>
          <w:i/>
        </w:rPr>
        <w:t>Accounting and auditing reforms</w:t>
      </w:r>
      <w:r>
        <w:t>. The</w:t>
      </w:r>
      <w:r w:rsidRPr="00643E39">
        <w:rPr>
          <w:lang w:val="en-AU"/>
        </w:rPr>
        <w:t xml:space="preserve"> current </w:t>
      </w:r>
      <w:r>
        <w:rPr>
          <w:lang w:val="en-AU"/>
        </w:rPr>
        <w:t xml:space="preserve">CoA </w:t>
      </w:r>
      <w:r w:rsidRPr="00643E39">
        <w:rPr>
          <w:lang w:val="en-AU"/>
        </w:rPr>
        <w:t xml:space="preserve">focus is on alignment of the </w:t>
      </w:r>
      <w:r>
        <w:rPr>
          <w:lang w:val="en-AU"/>
        </w:rPr>
        <w:t>Government</w:t>
      </w:r>
      <w:r w:rsidRPr="00643E39">
        <w:rPr>
          <w:lang w:val="en-AU"/>
        </w:rPr>
        <w:t xml:space="preserve">’s accounting and audit standards </w:t>
      </w:r>
      <w:r>
        <w:rPr>
          <w:lang w:val="en-AU"/>
        </w:rPr>
        <w:t>with</w:t>
      </w:r>
      <w:r w:rsidRPr="00643E39">
        <w:rPr>
          <w:lang w:val="en-AU"/>
        </w:rPr>
        <w:t xml:space="preserve"> international standards. This is an ongoing task, particularly as international standards continue to evolve.</w:t>
      </w:r>
      <w:r w:rsidRPr="00643E39" w:rsidDel="002A0309">
        <w:rPr>
          <w:lang w:val="en-AU"/>
        </w:rPr>
        <w:t xml:space="preserve"> </w:t>
      </w:r>
      <w:r w:rsidRPr="00643E39">
        <w:rPr>
          <w:lang w:val="en-AU"/>
        </w:rPr>
        <w:t xml:space="preserve">Accurate and meaningful reporting of financial transactions requires consistent application of </w:t>
      </w:r>
      <w:r w:rsidR="00BF5AE3">
        <w:rPr>
          <w:lang w:val="en-AU"/>
        </w:rPr>
        <w:t>standard</w:t>
      </w:r>
      <w:r w:rsidR="00D5150E">
        <w:rPr>
          <w:lang w:val="en-AU"/>
        </w:rPr>
        <w:t>s</w:t>
      </w:r>
      <w:r w:rsidRPr="00643E39">
        <w:rPr>
          <w:lang w:val="en-AU"/>
        </w:rPr>
        <w:t xml:space="preserve">. </w:t>
      </w:r>
      <w:r>
        <w:t>The Commission on Audit</w:t>
      </w:r>
      <w:r w:rsidRPr="00643E39">
        <w:t xml:space="preserve"> has also adopted the Philippine Public Sector Standards on Auditing (PPSSA). Training on both new standards is currently on-going</w:t>
      </w:r>
      <w:r w:rsidR="00944B20">
        <w:t>.</w:t>
      </w:r>
      <w:r w:rsidRPr="00643E39">
        <w:t xml:space="preserve"> </w:t>
      </w:r>
      <w:r w:rsidR="00944B20">
        <w:t>T</w:t>
      </w:r>
      <w:r w:rsidRPr="00643E39">
        <w:t xml:space="preserve">he Government Accounting Manual </w:t>
      </w:r>
      <w:r w:rsidR="00944B20">
        <w:t>for National Government Agencies was also prescribed in October 2015 for use effective January 1, 2016</w:t>
      </w:r>
      <w:r>
        <w:t>.</w:t>
      </w:r>
    </w:p>
    <w:p w14:paraId="10FE57EA" w14:textId="77777777" w:rsidR="001762EE" w:rsidRPr="00643E39" w:rsidRDefault="001762EE" w:rsidP="0073584C">
      <w:pPr>
        <w:pStyle w:val="ListParagraph"/>
        <w:spacing w:line="240" w:lineRule="auto"/>
        <w:rPr>
          <w:b/>
        </w:rPr>
      </w:pPr>
    </w:p>
    <w:p w14:paraId="2AD4C278" w14:textId="5E3450A5" w:rsidR="008D2989" w:rsidRPr="00643E39" w:rsidRDefault="001762EE" w:rsidP="004C2FF2">
      <w:pPr>
        <w:pStyle w:val="ListParagraph"/>
        <w:numPr>
          <w:ilvl w:val="0"/>
          <w:numId w:val="29"/>
        </w:numPr>
        <w:shd w:val="clear" w:color="auto" w:fill="FFFFFF"/>
        <w:spacing w:line="240" w:lineRule="auto"/>
        <w:jc w:val="both"/>
      </w:pPr>
      <w:r w:rsidRPr="00C066CE">
        <w:rPr>
          <w:b/>
          <w:i/>
        </w:rPr>
        <w:t>GIFMIS</w:t>
      </w:r>
      <w:r>
        <w:t>.</w:t>
      </w:r>
      <w:r w:rsidRPr="00643E39">
        <w:t xml:space="preserve"> </w:t>
      </w:r>
      <w:r w:rsidRPr="00643E39">
        <w:rPr>
          <w:lang w:val="en-AU"/>
        </w:rPr>
        <w:t xml:space="preserve">Implementation of a major integrated financial management system has been central to PFM reforms since their genesis. The GIFMIS was defined as the technology centrepiece of the reforms in establishment of the PFM Committee under </w:t>
      </w:r>
      <w:r>
        <w:rPr>
          <w:lang w:val="en-AU"/>
        </w:rPr>
        <w:t>EO</w:t>
      </w:r>
      <w:r w:rsidRPr="00643E39">
        <w:rPr>
          <w:lang w:val="en-AU"/>
        </w:rPr>
        <w:t xml:space="preserve"> 55. </w:t>
      </w:r>
      <w:r w:rsidRPr="00643E39">
        <w:t xml:space="preserve">The project aimed at phasing out the many </w:t>
      </w:r>
      <w:r w:rsidR="004A29C5">
        <w:t>disjointed</w:t>
      </w:r>
      <w:r w:rsidR="004A29C5" w:rsidRPr="00643E39">
        <w:t xml:space="preserve"> </w:t>
      </w:r>
      <w:r w:rsidRPr="00643E39">
        <w:t xml:space="preserve">financial management systems and processes through implementation of a common system </w:t>
      </w:r>
      <w:r w:rsidR="00D84192">
        <w:t>that would simplify reporting</w:t>
      </w:r>
      <w:r w:rsidRPr="00643E39">
        <w:t>:</w:t>
      </w:r>
    </w:p>
    <w:p w14:paraId="3BEF5433" w14:textId="77777777" w:rsidR="008D2989" w:rsidRDefault="008D2989" w:rsidP="00745A8A">
      <w:pPr>
        <w:pStyle w:val="ListParagraph"/>
        <w:tabs>
          <w:tab w:val="left" w:pos="720"/>
          <w:tab w:val="left" w:pos="1800"/>
        </w:tabs>
        <w:spacing w:after="0" w:line="240" w:lineRule="auto"/>
        <w:ind w:left="1260" w:firstLine="0"/>
        <w:contextualSpacing w:val="0"/>
        <w:jc w:val="both"/>
        <w:rPr>
          <w:i/>
        </w:rPr>
      </w:pPr>
    </w:p>
    <w:p w14:paraId="5C5E159B" w14:textId="1806B5B1" w:rsidR="001762EE" w:rsidRPr="00643E39" w:rsidRDefault="001762EE" w:rsidP="0073584C">
      <w:pPr>
        <w:pStyle w:val="ListParagraph"/>
        <w:numPr>
          <w:ilvl w:val="0"/>
          <w:numId w:val="30"/>
        </w:numPr>
        <w:tabs>
          <w:tab w:val="left" w:pos="720"/>
          <w:tab w:val="left" w:pos="1800"/>
        </w:tabs>
        <w:spacing w:after="0" w:line="240" w:lineRule="auto"/>
        <w:ind w:left="1260" w:hanging="540"/>
        <w:contextualSpacing w:val="0"/>
        <w:jc w:val="both"/>
        <w:rPr>
          <w:i/>
        </w:rPr>
      </w:pPr>
      <w:r w:rsidRPr="00643E39">
        <w:rPr>
          <w:i/>
        </w:rPr>
        <w:t>Track I</w:t>
      </w:r>
      <w:r>
        <w:t>.</w:t>
      </w:r>
      <w:r w:rsidRPr="00643E39">
        <w:t xml:space="preserve"> A centralized National Payroll System and Comprehensive Human Resource Information System is being developed to enable the </w:t>
      </w:r>
      <w:r>
        <w:t>national government</w:t>
      </w:r>
      <w:r w:rsidRPr="00643E39">
        <w:t xml:space="preserve">, </w:t>
      </w:r>
      <w:r>
        <w:t>local government units, and GOCCs</w:t>
      </w:r>
      <w:r w:rsidRPr="00643E39">
        <w:t xml:space="preserve"> to process human resource and payroll information electronically and </w:t>
      </w:r>
      <w:r w:rsidR="00D84192">
        <w:t xml:space="preserve">make </w:t>
      </w:r>
      <w:r w:rsidRPr="00643E39">
        <w:t>direct salary payments into individual bank accounts.</w:t>
      </w:r>
      <w:r w:rsidRPr="00643E39">
        <w:rPr>
          <w:lang w:val="en-AU"/>
        </w:rPr>
        <w:t xml:space="preserve"> To date, this initiative is being implemented in the form of upgrading the Government Management Information System.</w:t>
      </w:r>
      <w:r w:rsidRPr="00EE565E">
        <w:rPr>
          <w:rStyle w:val="EndnoteReference"/>
        </w:rPr>
        <w:t xml:space="preserve"> </w:t>
      </w:r>
      <w:r w:rsidRPr="00643E39">
        <w:rPr>
          <w:rStyle w:val="EndnoteReference"/>
        </w:rPr>
        <w:endnoteReference w:id="112"/>
      </w:r>
    </w:p>
    <w:p w14:paraId="2B654E89" w14:textId="77777777" w:rsidR="001762EE" w:rsidRPr="00643E39" w:rsidRDefault="001762EE" w:rsidP="0073584C">
      <w:pPr>
        <w:pStyle w:val="ListParagraph"/>
        <w:tabs>
          <w:tab w:val="left" w:pos="720"/>
          <w:tab w:val="left" w:pos="1800"/>
        </w:tabs>
        <w:spacing w:after="0" w:line="240" w:lineRule="auto"/>
        <w:ind w:left="1260" w:hanging="540"/>
        <w:contextualSpacing w:val="0"/>
        <w:jc w:val="both"/>
        <w:rPr>
          <w:i/>
        </w:rPr>
      </w:pPr>
    </w:p>
    <w:p w14:paraId="78F27F8F" w14:textId="5218A752" w:rsidR="001762EE" w:rsidRPr="00643E39" w:rsidRDefault="001762EE" w:rsidP="0073584C">
      <w:pPr>
        <w:pStyle w:val="ListParagraph"/>
        <w:numPr>
          <w:ilvl w:val="0"/>
          <w:numId w:val="30"/>
        </w:numPr>
        <w:tabs>
          <w:tab w:val="left" w:pos="1800"/>
          <w:tab w:val="left" w:pos="2160"/>
        </w:tabs>
        <w:autoSpaceDE w:val="0"/>
        <w:autoSpaceDN w:val="0"/>
        <w:adjustRightInd w:val="0"/>
        <w:spacing w:line="240" w:lineRule="auto"/>
        <w:ind w:left="1260" w:hanging="540"/>
        <w:jc w:val="both"/>
        <w:rPr>
          <w:lang w:val="en-AU"/>
        </w:rPr>
      </w:pPr>
      <w:r w:rsidRPr="00643E39">
        <w:rPr>
          <w:i/>
        </w:rPr>
        <w:t>Track II</w:t>
      </w:r>
      <w:r>
        <w:t>.</w:t>
      </w:r>
      <w:r w:rsidRPr="00643E39">
        <w:t xml:space="preserve"> In 2012-2013, a comprehensive conceptual design together with functional and technical specifications was developed for an integrated </w:t>
      </w:r>
      <w:r w:rsidR="00D84192">
        <w:t>financial management information</w:t>
      </w:r>
      <w:r w:rsidR="00D84192" w:rsidRPr="00643E39">
        <w:t xml:space="preserve"> </w:t>
      </w:r>
      <w:r w:rsidRPr="00643E39">
        <w:t>system covering fiscal planning, budget preparation, budget execution</w:t>
      </w:r>
      <w:r>
        <w:t>,</w:t>
      </w:r>
      <w:r w:rsidRPr="00643E39">
        <w:t xml:space="preserve"> and financial reporting. The </w:t>
      </w:r>
      <w:r>
        <w:t>government-</w:t>
      </w:r>
      <w:r w:rsidRPr="00643E39">
        <w:t>wide project was tendered in 2013, but failed</w:t>
      </w:r>
      <w:r>
        <w:t>;</w:t>
      </w:r>
      <w:r w:rsidRPr="00643E39">
        <w:t xml:space="preserve"> a successful re-tender</w:t>
      </w:r>
      <w:r>
        <w:t>ing</w:t>
      </w:r>
      <w:r w:rsidRPr="00643E39">
        <w:t xml:space="preserve"> in 2014 did not result in a contract award. </w:t>
      </w:r>
      <w:r w:rsidRPr="00643E39">
        <w:rPr>
          <w:lang w:val="en-AU"/>
        </w:rPr>
        <w:t xml:space="preserve">This </w:t>
      </w:r>
      <w:r>
        <w:rPr>
          <w:lang w:val="en-AU"/>
        </w:rPr>
        <w:t>was</w:t>
      </w:r>
      <w:r w:rsidRPr="00643E39">
        <w:rPr>
          <w:lang w:val="en-AU"/>
        </w:rPr>
        <w:t xml:space="preserve"> due to </w:t>
      </w:r>
      <w:r w:rsidR="00D84192">
        <w:rPr>
          <w:lang w:val="en-AU"/>
        </w:rPr>
        <w:t xml:space="preserve">concerns of </w:t>
      </w:r>
      <w:r w:rsidRPr="00643E39">
        <w:rPr>
          <w:lang w:val="en-AU"/>
        </w:rPr>
        <w:t xml:space="preserve">scalability, feasibility, costs, and </w:t>
      </w:r>
      <w:r w:rsidR="00D84192">
        <w:rPr>
          <w:lang w:val="en-AU"/>
        </w:rPr>
        <w:t>benefits</w:t>
      </w:r>
      <w:r w:rsidR="00D84192" w:rsidRPr="00643E39">
        <w:rPr>
          <w:lang w:val="en-AU"/>
        </w:rPr>
        <w:t xml:space="preserve"> </w:t>
      </w:r>
      <w:r w:rsidRPr="00643E39">
        <w:rPr>
          <w:lang w:val="en-AU"/>
        </w:rPr>
        <w:t>to the government considering its wide application. The project was recalibrated</w:t>
      </w:r>
      <w:r>
        <w:rPr>
          <w:lang w:val="en-AU"/>
        </w:rPr>
        <w:t>,</w:t>
      </w:r>
      <w:r w:rsidRPr="00643E39">
        <w:rPr>
          <w:lang w:val="en-AU"/>
        </w:rPr>
        <w:t xml:space="preserve"> and </w:t>
      </w:r>
      <w:r w:rsidR="00D84192">
        <w:rPr>
          <w:lang w:val="en-AU"/>
        </w:rPr>
        <w:t>the</w:t>
      </w:r>
      <w:r w:rsidR="00D84192" w:rsidRPr="00D84192">
        <w:rPr>
          <w:lang w:val="en-AU"/>
        </w:rPr>
        <w:t xml:space="preserve"> </w:t>
      </w:r>
      <w:r w:rsidR="00D84192">
        <w:rPr>
          <w:lang w:val="en-AU"/>
        </w:rPr>
        <w:t>Budget and Treasury Management System</w:t>
      </w:r>
      <w:r w:rsidRPr="00643E39">
        <w:rPr>
          <w:lang w:val="en-AU"/>
        </w:rPr>
        <w:t xml:space="preserve"> was proposed</w:t>
      </w:r>
      <w:r w:rsidRPr="00643E39">
        <w:rPr>
          <w:b/>
          <w:bCs/>
          <w:lang w:val="en-AU"/>
        </w:rPr>
        <w:t xml:space="preserve">. </w:t>
      </w:r>
      <w:r>
        <w:rPr>
          <w:bCs/>
          <w:lang w:val="en-AU"/>
        </w:rPr>
        <w:t xml:space="preserve">This scaled-down system will cover DBM and BTr </w:t>
      </w:r>
      <w:r w:rsidRPr="00643E39">
        <w:t xml:space="preserve">systems and functions for </w:t>
      </w:r>
      <w:r>
        <w:t>b</w:t>
      </w:r>
      <w:r w:rsidRPr="00643E39">
        <w:t xml:space="preserve">udget </w:t>
      </w:r>
      <w:r>
        <w:t>e</w:t>
      </w:r>
      <w:r w:rsidRPr="00643E39">
        <w:t xml:space="preserve">xecution and </w:t>
      </w:r>
      <w:r>
        <w:t>a</w:t>
      </w:r>
      <w:r w:rsidRPr="00643E39">
        <w:t xml:space="preserve">ccountability. </w:t>
      </w:r>
      <w:r>
        <w:t xml:space="preserve">The </w:t>
      </w:r>
      <w:r w:rsidR="00C2529E">
        <w:t xml:space="preserve">Budget and Treasury Management System </w:t>
      </w:r>
      <w:r>
        <w:t xml:space="preserve">is expected to have its departmental launch in January 2017 </w:t>
      </w:r>
      <w:r w:rsidR="00D84192">
        <w:t>with</w:t>
      </w:r>
      <w:r w:rsidRPr="00643E39">
        <w:t xml:space="preserve"> the flexibility to be rolled-out to the spending agencies in the future</w:t>
      </w:r>
      <w:r w:rsidR="00D84192">
        <w:t>.</w:t>
      </w:r>
      <w:r w:rsidR="00D84192" w:rsidRPr="00643E39">
        <w:t xml:space="preserve"> </w:t>
      </w:r>
      <w:r w:rsidR="00D84192">
        <w:t>The scale-up will require</w:t>
      </w:r>
      <w:r w:rsidR="00D84192" w:rsidRPr="00643E39">
        <w:t xml:space="preserve"> </w:t>
      </w:r>
      <w:r w:rsidRPr="00643E39">
        <w:t xml:space="preserve">procurement of additional user licenses and training. </w:t>
      </w:r>
    </w:p>
    <w:p w14:paraId="0A148D8F" w14:textId="77777777" w:rsidR="001762EE" w:rsidRPr="00643E39" w:rsidRDefault="001762EE" w:rsidP="00114F5F">
      <w:pPr>
        <w:pStyle w:val="ListParagraph"/>
        <w:tabs>
          <w:tab w:val="left" w:pos="720"/>
        </w:tabs>
        <w:spacing w:after="0" w:line="240" w:lineRule="auto"/>
        <w:ind w:left="720" w:firstLine="0"/>
        <w:contextualSpacing w:val="0"/>
        <w:jc w:val="both"/>
      </w:pPr>
    </w:p>
    <w:p w14:paraId="5D22D68E" w14:textId="0F233E92" w:rsidR="001762EE" w:rsidRPr="00C066CE" w:rsidRDefault="001762EE" w:rsidP="00995D58">
      <w:pPr>
        <w:pStyle w:val="ListParagraph"/>
        <w:numPr>
          <w:ilvl w:val="0"/>
          <w:numId w:val="29"/>
        </w:numPr>
        <w:shd w:val="clear" w:color="auto" w:fill="FFFFFF"/>
        <w:spacing w:line="240" w:lineRule="auto"/>
        <w:jc w:val="both"/>
        <w:rPr>
          <w:color w:val="222222"/>
        </w:rPr>
      </w:pPr>
      <w:r w:rsidRPr="00C066CE">
        <w:rPr>
          <w:b/>
          <w:i/>
        </w:rPr>
        <w:t>Citizen participation</w:t>
      </w:r>
      <w:r>
        <w:t>.</w:t>
      </w:r>
      <w:r w:rsidRPr="00643E39">
        <w:t xml:space="preserve"> </w:t>
      </w:r>
      <w:r w:rsidR="00C2529E">
        <w:t xml:space="preserve">The </w:t>
      </w:r>
      <w:r w:rsidRPr="00643E39">
        <w:t xml:space="preserve">CSO participation in the national budget </w:t>
      </w:r>
      <w:r w:rsidR="00C2529E">
        <w:t>formulation</w:t>
      </w:r>
      <w:r w:rsidR="00C2529E" w:rsidRPr="00643E39">
        <w:t xml:space="preserve"> </w:t>
      </w:r>
      <w:r w:rsidRPr="00643E39">
        <w:t xml:space="preserve">has been developed and formalized. Dovetailing early efforts in 2010 to create spaces for </w:t>
      </w:r>
      <w:r>
        <w:t>CSO</w:t>
      </w:r>
      <w:r w:rsidRPr="00643E39">
        <w:t xml:space="preserve"> participation in the budget process, the </w:t>
      </w:r>
      <w:r>
        <w:t xml:space="preserve">Government </w:t>
      </w:r>
      <w:r w:rsidRPr="00643E39">
        <w:t xml:space="preserve">introduced </w:t>
      </w:r>
      <w:r>
        <w:t>(i</w:t>
      </w:r>
      <w:r w:rsidRPr="00643E39">
        <w:t xml:space="preserve">) Budget Partnership Agreements between </w:t>
      </w:r>
      <w:r>
        <w:t>national government agencies</w:t>
      </w:r>
      <w:r w:rsidRPr="00643E39">
        <w:t xml:space="preserve"> and GOCCs and partner-CSOs during budget preparation and execution; </w:t>
      </w:r>
      <w:r>
        <w:t>(ii</w:t>
      </w:r>
      <w:r w:rsidRPr="00643E39">
        <w:t xml:space="preserve">) </w:t>
      </w:r>
      <w:r>
        <w:t>b</w:t>
      </w:r>
      <w:r w:rsidRPr="00643E39">
        <w:t>ottom-</w:t>
      </w:r>
      <w:r>
        <w:t>u</w:t>
      </w:r>
      <w:r w:rsidRPr="00643E39">
        <w:t xml:space="preserve">p </w:t>
      </w:r>
      <w:r>
        <w:t>budgeting</w:t>
      </w:r>
      <w:r w:rsidRPr="00643E39">
        <w:t xml:space="preserve"> where grassroot</w:t>
      </w:r>
      <w:r w:rsidR="006C1414">
        <w:t>-level</w:t>
      </w:r>
      <w:r w:rsidRPr="00643E39">
        <w:t xml:space="preserve"> communities and CSOs engage their local government units in formulating and implementing local poverty reduction action plans funded through the </w:t>
      </w:r>
      <w:r>
        <w:t>n</w:t>
      </w:r>
      <w:r w:rsidRPr="00643E39">
        <w:t xml:space="preserve">ational </w:t>
      </w:r>
      <w:r>
        <w:t>b</w:t>
      </w:r>
      <w:r w:rsidRPr="00643E39">
        <w:t xml:space="preserve">udget; and </w:t>
      </w:r>
      <w:r>
        <w:t>(iii</w:t>
      </w:r>
      <w:r w:rsidRPr="00643E39">
        <w:t xml:space="preserve">) piloted citizen participatory audits in </w:t>
      </w:r>
      <w:r>
        <w:t>national government agencies</w:t>
      </w:r>
      <w:r w:rsidRPr="00643E39">
        <w:t xml:space="preserve"> through </w:t>
      </w:r>
      <w:r w:rsidR="00C170FC">
        <w:t>CoA</w:t>
      </w:r>
      <w:r w:rsidRPr="00643E39">
        <w:t xml:space="preserve"> </w:t>
      </w:r>
      <w:r>
        <w:t>and CSO</w:t>
      </w:r>
      <w:r w:rsidRPr="00643E39">
        <w:t xml:space="preserve"> collaboration</w:t>
      </w:r>
      <w:r>
        <w:t>.</w:t>
      </w:r>
      <w:r w:rsidRPr="00643E39">
        <w:t xml:space="preserve"> </w:t>
      </w:r>
    </w:p>
    <w:p w14:paraId="020E2C18" w14:textId="665C1E7F" w:rsidR="00643E39" w:rsidRPr="00995D58" w:rsidRDefault="001762EE" w:rsidP="00C066CE">
      <w:pPr>
        <w:shd w:val="clear" w:color="auto" w:fill="FFFFFF"/>
        <w:tabs>
          <w:tab w:val="left" w:pos="810"/>
        </w:tabs>
        <w:ind w:left="720"/>
        <w:jc w:val="both"/>
        <w:rPr>
          <w:color w:val="222222"/>
        </w:rPr>
      </w:pPr>
      <w:r>
        <w:t>At</w:t>
      </w:r>
      <w:r w:rsidRPr="00643E39">
        <w:t xml:space="preserve"> </w:t>
      </w:r>
      <w:r w:rsidR="006C1414">
        <w:t xml:space="preserve">the </w:t>
      </w:r>
      <w:r w:rsidRPr="00643E39">
        <w:t xml:space="preserve">end of 2015, </w:t>
      </w:r>
      <w:r>
        <w:t>there were 11</w:t>
      </w:r>
      <w:r w:rsidRPr="00643E39">
        <w:t xml:space="preserve"> </w:t>
      </w:r>
      <w:r>
        <w:t>national government agencies</w:t>
      </w:r>
      <w:r w:rsidRPr="00643E39">
        <w:t xml:space="preserve"> and </w:t>
      </w:r>
      <w:r>
        <w:t>5</w:t>
      </w:r>
      <w:r w:rsidRPr="00643E39">
        <w:t xml:space="preserve"> GOCCs</w:t>
      </w:r>
      <w:r>
        <w:t xml:space="preserve"> </w:t>
      </w:r>
      <w:r w:rsidR="006C1414">
        <w:t xml:space="preserve">that </w:t>
      </w:r>
      <w:r>
        <w:t xml:space="preserve">had </w:t>
      </w:r>
      <w:r w:rsidRPr="00643E39">
        <w:t>entered into</w:t>
      </w:r>
      <w:r>
        <w:t xml:space="preserve"> Budget Partnership Agreements</w:t>
      </w:r>
      <w:r w:rsidRPr="00643E39">
        <w:t xml:space="preserve"> with 244 CSOs. </w:t>
      </w:r>
      <w:r w:rsidR="006C1414">
        <w:t>A total of</w:t>
      </w:r>
      <w:r w:rsidR="006C1414" w:rsidRPr="00643E39">
        <w:t xml:space="preserve"> </w:t>
      </w:r>
      <w:r w:rsidRPr="00643E39">
        <w:t>1</w:t>
      </w:r>
      <w:r>
        <w:t>,</w:t>
      </w:r>
      <w:r w:rsidRPr="00643E39">
        <w:t xml:space="preserve">423 municipalities and cities are implementing </w:t>
      </w:r>
      <w:r>
        <w:t>over</w:t>
      </w:r>
      <w:r w:rsidRPr="00643E39">
        <w:t xml:space="preserve"> </w:t>
      </w:r>
      <w:r w:rsidR="006C1414" w:rsidRPr="00643E39">
        <w:t>Ph</w:t>
      </w:r>
      <w:r w:rsidR="006C1414">
        <w:t>P</w:t>
      </w:r>
      <w:r w:rsidR="006C1414" w:rsidRPr="00643E39">
        <w:t xml:space="preserve"> </w:t>
      </w:r>
      <w:r w:rsidRPr="00643E39">
        <w:t>60</w:t>
      </w:r>
      <w:r>
        <w:t>.</w:t>
      </w:r>
      <w:r w:rsidRPr="00643E39">
        <w:t>3</w:t>
      </w:r>
      <w:r>
        <w:t>9 billion in</w:t>
      </w:r>
      <w:r w:rsidRPr="00643E39">
        <w:t xml:space="preserve"> </w:t>
      </w:r>
      <w:r>
        <w:t>bottom-up budgeting</w:t>
      </w:r>
      <w:r w:rsidRPr="00643E39">
        <w:t xml:space="preserve"> projects</w:t>
      </w:r>
      <w:r>
        <w:t>,</w:t>
      </w:r>
      <w:r w:rsidRPr="00643E39">
        <w:t xml:space="preserve"> which were funded in the 2013-2015 budgets.</w:t>
      </w:r>
      <w:r w:rsidRPr="00643E39">
        <w:rPr>
          <w:rStyle w:val="EndnoteReference"/>
        </w:rPr>
        <w:endnoteReference w:id="113"/>
      </w:r>
      <w:r w:rsidRPr="00643E39">
        <w:t xml:space="preserve"> The </w:t>
      </w:r>
      <w:r>
        <w:t>Commission on Audit</w:t>
      </w:r>
      <w:r w:rsidRPr="00643E39">
        <w:t xml:space="preserve"> conducted </w:t>
      </w:r>
      <w:r w:rsidR="00944B20">
        <w:t xml:space="preserve">citizen </w:t>
      </w:r>
      <w:r w:rsidRPr="00643E39">
        <w:t xml:space="preserve">participatory audits in 2014-2016, </w:t>
      </w:r>
      <w:r>
        <w:t>for which</w:t>
      </w:r>
      <w:r w:rsidRPr="00643E39">
        <w:t xml:space="preserve"> </w:t>
      </w:r>
      <w:r w:rsidRPr="00622056">
        <w:rPr>
          <w:color w:val="222222"/>
        </w:rPr>
        <w:t xml:space="preserve">3 audit reports </w:t>
      </w:r>
      <w:r>
        <w:rPr>
          <w:color w:val="222222"/>
        </w:rPr>
        <w:t xml:space="preserve">were </w:t>
      </w:r>
      <w:r w:rsidRPr="00622056">
        <w:rPr>
          <w:color w:val="222222"/>
        </w:rPr>
        <w:t>written and published</w:t>
      </w:r>
      <w:r>
        <w:rPr>
          <w:color w:val="222222"/>
        </w:rPr>
        <w:t>.</w:t>
      </w:r>
      <w:r>
        <w:rPr>
          <w:rStyle w:val="EndnoteReference"/>
          <w:color w:val="222222"/>
        </w:rPr>
        <w:endnoteReference w:id="114"/>
      </w:r>
      <w:r w:rsidRPr="00622056">
        <w:rPr>
          <w:color w:val="222222"/>
        </w:rPr>
        <w:t xml:space="preserve"> </w:t>
      </w:r>
      <w:r w:rsidR="00114F5F" w:rsidRPr="00622056">
        <w:rPr>
          <w:color w:val="222222"/>
        </w:rPr>
        <w:t xml:space="preserve">The </w:t>
      </w:r>
      <w:r w:rsidR="00995D58">
        <w:rPr>
          <w:color w:val="222222"/>
        </w:rPr>
        <w:t>c</w:t>
      </w:r>
      <w:r w:rsidR="00995D58" w:rsidRPr="00622056">
        <w:rPr>
          <w:color w:val="222222"/>
        </w:rPr>
        <w:t xml:space="preserve">itizen </w:t>
      </w:r>
      <w:r w:rsidR="00995D58">
        <w:rPr>
          <w:color w:val="222222"/>
        </w:rPr>
        <w:t>p</w:t>
      </w:r>
      <w:r w:rsidR="00995D58" w:rsidRPr="00622056">
        <w:rPr>
          <w:color w:val="222222"/>
        </w:rPr>
        <w:t xml:space="preserve">articipatory </w:t>
      </w:r>
      <w:r w:rsidR="00995D58">
        <w:rPr>
          <w:color w:val="222222"/>
        </w:rPr>
        <w:t>a</w:t>
      </w:r>
      <w:r w:rsidR="00995D58" w:rsidRPr="00622056">
        <w:rPr>
          <w:color w:val="222222"/>
        </w:rPr>
        <w:t xml:space="preserve">udit </w:t>
      </w:r>
      <w:r w:rsidR="00995D58">
        <w:rPr>
          <w:color w:val="222222"/>
        </w:rPr>
        <w:t xml:space="preserve">garnered </w:t>
      </w:r>
      <w:r w:rsidR="00114F5F" w:rsidRPr="00622056">
        <w:rPr>
          <w:color w:val="222222"/>
        </w:rPr>
        <w:t>37</w:t>
      </w:r>
      <w:r w:rsidR="00995D58">
        <w:rPr>
          <w:color w:val="222222"/>
        </w:rPr>
        <w:t xml:space="preserve"> CSOs</w:t>
      </w:r>
      <w:r w:rsidR="00114F5F" w:rsidRPr="00622056">
        <w:rPr>
          <w:color w:val="222222"/>
        </w:rPr>
        <w:t xml:space="preserve"> comprising of 32 </w:t>
      </w:r>
      <w:r w:rsidR="00995D58">
        <w:rPr>
          <w:color w:val="222222"/>
        </w:rPr>
        <w:t>n</w:t>
      </w:r>
      <w:r w:rsidR="00995D58" w:rsidRPr="00622056">
        <w:rPr>
          <w:color w:val="222222"/>
        </w:rPr>
        <w:t>on</w:t>
      </w:r>
      <w:r w:rsidR="0073584C" w:rsidRPr="00622056">
        <w:rPr>
          <w:color w:val="222222"/>
        </w:rPr>
        <w:t>-</w:t>
      </w:r>
      <w:r w:rsidR="00995D58">
        <w:rPr>
          <w:color w:val="222222"/>
        </w:rPr>
        <w:t>g</w:t>
      </w:r>
      <w:r w:rsidR="00995D58" w:rsidRPr="00622056">
        <w:rPr>
          <w:color w:val="222222"/>
        </w:rPr>
        <w:t xml:space="preserve">overnment </w:t>
      </w:r>
      <w:r w:rsidR="00995D58">
        <w:rPr>
          <w:color w:val="222222"/>
        </w:rPr>
        <w:t xml:space="preserve">organizations and </w:t>
      </w:r>
      <w:r w:rsidR="00114F5F" w:rsidRPr="00622056">
        <w:rPr>
          <w:color w:val="222222"/>
        </w:rPr>
        <w:t xml:space="preserve">5 </w:t>
      </w:r>
      <w:r w:rsidR="00C170FC">
        <w:rPr>
          <w:color w:val="222222"/>
        </w:rPr>
        <w:t>academic institutions</w:t>
      </w:r>
      <w:r w:rsidR="00114F5F" w:rsidRPr="00622056">
        <w:rPr>
          <w:color w:val="222222"/>
        </w:rPr>
        <w:t xml:space="preserve">. </w:t>
      </w:r>
    </w:p>
    <w:p w14:paraId="41A84610" w14:textId="77777777" w:rsidR="00643E39" w:rsidRPr="00643E39" w:rsidRDefault="00643E39" w:rsidP="00643E39">
      <w:pPr>
        <w:pStyle w:val="ListParagraph"/>
        <w:shd w:val="clear" w:color="auto" w:fill="FFFFFF"/>
        <w:ind w:left="720" w:firstLine="0"/>
        <w:jc w:val="both"/>
        <w:rPr>
          <w:color w:val="222222"/>
        </w:rPr>
      </w:pPr>
    </w:p>
    <w:p w14:paraId="69FCF84A" w14:textId="77C550C1" w:rsidR="008726F1" w:rsidRPr="009A6E2C" w:rsidRDefault="00114F5F" w:rsidP="0073584C">
      <w:pPr>
        <w:pStyle w:val="ListParagraph"/>
        <w:numPr>
          <w:ilvl w:val="0"/>
          <w:numId w:val="29"/>
        </w:numPr>
        <w:shd w:val="clear" w:color="auto" w:fill="FFFFFF"/>
        <w:spacing w:line="240" w:lineRule="auto"/>
        <w:jc w:val="both"/>
        <w:rPr>
          <w:color w:val="222222"/>
        </w:rPr>
      </w:pPr>
      <w:r w:rsidRPr="00C066CE">
        <w:rPr>
          <w:b/>
          <w:i/>
        </w:rPr>
        <w:t xml:space="preserve">Management of </w:t>
      </w:r>
      <w:r w:rsidR="00995D58" w:rsidRPr="00C066CE">
        <w:rPr>
          <w:b/>
          <w:i/>
        </w:rPr>
        <w:t>contingent liabilities</w:t>
      </w:r>
      <w:r w:rsidR="006F7743">
        <w:rPr>
          <w:b/>
          <w:i/>
        </w:rPr>
        <w:t>.</w:t>
      </w:r>
      <w:r w:rsidR="00995D58" w:rsidRPr="009A6E2C">
        <w:t xml:space="preserve"> </w:t>
      </w:r>
      <w:r w:rsidRPr="009A6E2C">
        <w:rPr>
          <w:lang w:val="en-AU"/>
        </w:rPr>
        <w:t xml:space="preserve">A </w:t>
      </w:r>
      <w:r w:rsidR="006F7743" w:rsidRPr="009A6E2C">
        <w:rPr>
          <w:lang w:val="en-AU"/>
        </w:rPr>
        <w:t>stocktak</w:t>
      </w:r>
      <w:r w:rsidR="006F7743">
        <w:rPr>
          <w:lang w:val="en-AU"/>
        </w:rPr>
        <w:t>ing of</w:t>
      </w:r>
      <w:r w:rsidR="006F7743" w:rsidRPr="009A6E2C">
        <w:rPr>
          <w:lang w:val="en-AU"/>
        </w:rPr>
        <w:t xml:space="preserve"> </w:t>
      </w:r>
      <w:r w:rsidR="006F7743" w:rsidRPr="00745A8A">
        <w:rPr>
          <w:u w:val="single"/>
          <w:lang w:val="en-AU"/>
        </w:rPr>
        <w:t>c</w:t>
      </w:r>
      <w:r w:rsidRPr="006C1414">
        <w:rPr>
          <w:bCs/>
          <w:u w:val="single"/>
          <w:lang w:val="en-AU"/>
        </w:rPr>
        <w:t xml:space="preserve">ontingent </w:t>
      </w:r>
      <w:r w:rsidR="006F7743" w:rsidRPr="006C1414">
        <w:rPr>
          <w:bCs/>
          <w:u w:val="single"/>
          <w:lang w:val="en-AU"/>
        </w:rPr>
        <w:t>liabilities</w:t>
      </w:r>
      <w:r w:rsidR="006F7743" w:rsidRPr="00745A8A">
        <w:rPr>
          <w:bCs/>
          <w:lang w:val="en-AU"/>
        </w:rPr>
        <w:t xml:space="preserve"> </w:t>
      </w:r>
      <w:r w:rsidR="000F082B">
        <w:rPr>
          <w:bCs/>
          <w:lang w:val="en-AU"/>
        </w:rPr>
        <w:t xml:space="preserve">and estimation </w:t>
      </w:r>
      <w:r w:rsidR="006C1414">
        <w:rPr>
          <w:bCs/>
          <w:lang w:val="en-AU"/>
        </w:rPr>
        <w:t>related to</w:t>
      </w:r>
      <w:r w:rsidR="006C1414" w:rsidRPr="009A6E2C">
        <w:rPr>
          <w:bCs/>
          <w:lang w:val="en-AU"/>
        </w:rPr>
        <w:t xml:space="preserve"> </w:t>
      </w:r>
      <w:r w:rsidRPr="009A6E2C">
        <w:rPr>
          <w:bCs/>
          <w:lang w:val="en-AU"/>
        </w:rPr>
        <w:t xml:space="preserve">guaranteed loans for </w:t>
      </w:r>
      <w:r w:rsidR="006F7743">
        <w:rPr>
          <w:bCs/>
          <w:lang w:val="en-AU"/>
        </w:rPr>
        <w:t>GOCCs</w:t>
      </w:r>
      <w:r w:rsidR="000F082B">
        <w:rPr>
          <w:bCs/>
          <w:lang w:val="en-AU"/>
        </w:rPr>
        <w:t>, guarantees issued by GOCCs and implicit liabilities</w:t>
      </w:r>
      <w:r w:rsidR="006F7743" w:rsidRPr="009A6E2C">
        <w:rPr>
          <w:bCs/>
          <w:lang w:val="en-AU"/>
        </w:rPr>
        <w:t xml:space="preserve"> </w:t>
      </w:r>
      <w:r w:rsidR="006F7743">
        <w:rPr>
          <w:bCs/>
          <w:lang w:val="en-AU"/>
        </w:rPr>
        <w:t>was</w:t>
      </w:r>
      <w:r w:rsidRPr="009A6E2C">
        <w:rPr>
          <w:b/>
          <w:bCs/>
          <w:lang w:val="en-AU"/>
        </w:rPr>
        <w:t xml:space="preserve"> </w:t>
      </w:r>
      <w:r w:rsidRPr="009A6E2C">
        <w:rPr>
          <w:bCs/>
          <w:lang w:val="en-AU"/>
        </w:rPr>
        <w:t xml:space="preserve">conducted through </w:t>
      </w:r>
      <w:r w:rsidR="006F7743">
        <w:rPr>
          <w:bCs/>
          <w:lang w:val="en-AU"/>
        </w:rPr>
        <w:t>IMF t</w:t>
      </w:r>
      <w:r w:rsidR="006F7743" w:rsidRPr="009A6E2C">
        <w:rPr>
          <w:bCs/>
          <w:lang w:val="en-AU"/>
        </w:rPr>
        <w:t xml:space="preserve">echnical </w:t>
      </w:r>
      <w:r w:rsidR="006F7743">
        <w:rPr>
          <w:bCs/>
          <w:lang w:val="en-AU"/>
        </w:rPr>
        <w:t>a</w:t>
      </w:r>
      <w:r w:rsidR="006F7743" w:rsidRPr="009A6E2C">
        <w:rPr>
          <w:bCs/>
          <w:lang w:val="en-AU"/>
        </w:rPr>
        <w:t>ssistance</w:t>
      </w:r>
      <w:r w:rsidRPr="009A6E2C">
        <w:rPr>
          <w:bCs/>
          <w:lang w:val="en-AU"/>
        </w:rPr>
        <w:t>.</w:t>
      </w:r>
      <w:r w:rsidRPr="009A6E2C">
        <w:rPr>
          <w:lang w:val="en-AU"/>
        </w:rPr>
        <w:t xml:space="preserve"> It is essential for Government to have an accurate view of the scope and value of its contingent liabilities so that the potential impact on the budget can be properly understood and risks managed accordingly</w:t>
      </w:r>
      <w:r w:rsidR="006F7743">
        <w:rPr>
          <w:bCs/>
          <w:lang w:val="en-AU"/>
        </w:rPr>
        <w:t>.</w:t>
      </w:r>
      <w:r w:rsidR="006F7743" w:rsidRPr="009A6E2C">
        <w:rPr>
          <w:lang w:val="en-AU"/>
        </w:rPr>
        <w:t> </w:t>
      </w:r>
      <w:r w:rsidRPr="009A6E2C">
        <w:t xml:space="preserve">A list of contingent liabilities </w:t>
      </w:r>
      <w:r w:rsidR="006F7743">
        <w:t>was</w:t>
      </w:r>
      <w:r w:rsidRPr="009A6E2C">
        <w:t xml:space="preserve"> prepared to facilitate central monitoring and management of guaranteed loans. A separate project with ADB is assisting the </w:t>
      </w:r>
      <w:r w:rsidR="0020576C">
        <w:t>Bureau of</w:t>
      </w:r>
      <w:r w:rsidR="00944B20">
        <w:t xml:space="preserve"> the</w:t>
      </w:r>
      <w:r w:rsidR="0020576C">
        <w:t xml:space="preserve"> Treasury</w:t>
      </w:r>
      <w:r w:rsidRPr="009A6E2C">
        <w:t xml:space="preserve"> and </w:t>
      </w:r>
      <w:r w:rsidR="006F7743">
        <w:t>Department of Finance</w:t>
      </w:r>
      <w:r w:rsidR="006F7743" w:rsidRPr="009A6E2C">
        <w:t xml:space="preserve"> </w:t>
      </w:r>
      <w:r w:rsidRPr="009A6E2C">
        <w:t>in the valuation, inventory, monitoring</w:t>
      </w:r>
      <w:r w:rsidR="006F7743">
        <w:t>,</w:t>
      </w:r>
      <w:r w:rsidRPr="009A6E2C">
        <w:t xml:space="preserve"> and management of </w:t>
      </w:r>
      <w:r w:rsidR="006F7743">
        <w:t>contingent liabilities</w:t>
      </w:r>
      <w:r w:rsidR="006F7743" w:rsidRPr="009A6E2C">
        <w:t xml:space="preserve"> </w:t>
      </w:r>
      <w:r w:rsidRPr="009A6E2C">
        <w:t xml:space="preserve">associated with </w:t>
      </w:r>
      <w:r w:rsidR="006F7743">
        <w:t>public</w:t>
      </w:r>
      <w:r w:rsidR="00C170FC">
        <w:t>–</w:t>
      </w:r>
      <w:r w:rsidR="006F7743">
        <w:t>p</w:t>
      </w:r>
      <w:r w:rsidR="006F7743" w:rsidRPr="009A6E2C">
        <w:t xml:space="preserve">rivate </w:t>
      </w:r>
      <w:r w:rsidR="006F7743">
        <w:t>p</w:t>
      </w:r>
      <w:r w:rsidRPr="009A6E2C">
        <w:t>artnership</w:t>
      </w:r>
      <w:r w:rsidR="006F7743">
        <w:t>s projects; this effort aims</w:t>
      </w:r>
      <w:r w:rsidRPr="009A6E2C">
        <w:t xml:space="preserve"> to strengthen the government’s capacity to manage </w:t>
      </w:r>
      <w:r w:rsidR="006F7743">
        <w:t>these</w:t>
      </w:r>
      <w:r w:rsidR="006F7743" w:rsidRPr="009A6E2C">
        <w:t xml:space="preserve"> </w:t>
      </w:r>
      <w:r w:rsidRPr="009A6E2C">
        <w:t xml:space="preserve">projects, </w:t>
      </w:r>
      <w:r w:rsidR="006F7743">
        <w:t>while simultaneously</w:t>
      </w:r>
      <w:r w:rsidRPr="009A6E2C">
        <w:t xml:space="preserve"> </w:t>
      </w:r>
      <w:r w:rsidR="008726F1">
        <w:t>accelerating</w:t>
      </w:r>
      <w:r w:rsidR="006F7743" w:rsidRPr="009A6E2C">
        <w:t xml:space="preserve"> </w:t>
      </w:r>
      <w:r w:rsidRPr="009A6E2C">
        <w:t xml:space="preserve">their development to address infrastructure shortage. </w:t>
      </w:r>
    </w:p>
    <w:p w14:paraId="0F8A208D" w14:textId="77777777" w:rsidR="00114F5F" w:rsidRPr="009A6E2C" w:rsidRDefault="00114F5F" w:rsidP="00C066CE">
      <w:pPr>
        <w:rPr>
          <w:lang w:eastAsia="en-IN"/>
        </w:rPr>
      </w:pPr>
    </w:p>
    <w:p w14:paraId="410F7273" w14:textId="0825C61B" w:rsidR="00114F5F" w:rsidRPr="009A6E2C" w:rsidRDefault="00114F5F" w:rsidP="00C066CE">
      <w:pPr>
        <w:pStyle w:val="ListParagraph"/>
        <w:numPr>
          <w:ilvl w:val="0"/>
          <w:numId w:val="7"/>
        </w:numPr>
        <w:tabs>
          <w:tab w:val="left" w:pos="0"/>
        </w:tabs>
        <w:autoSpaceDE w:val="0"/>
        <w:autoSpaceDN w:val="0"/>
        <w:adjustRightInd w:val="0"/>
        <w:spacing w:line="240" w:lineRule="auto"/>
        <w:ind w:left="0" w:firstLine="0"/>
        <w:jc w:val="both"/>
      </w:pPr>
      <w:r w:rsidRPr="009A6E2C">
        <w:t xml:space="preserve">The </w:t>
      </w:r>
      <w:r w:rsidR="001E51DF">
        <w:t>G</w:t>
      </w:r>
      <w:r w:rsidR="001E51DF" w:rsidRPr="009A6E2C">
        <w:t xml:space="preserve">overnment </w:t>
      </w:r>
      <w:r w:rsidRPr="009A6E2C">
        <w:t xml:space="preserve">also undertook </w:t>
      </w:r>
      <w:r w:rsidRPr="00C066CE">
        <w:t>stand-alone initiatives</w:t>
      </w:r>
      <w:r w:rsidRPr="009A6E2C">
        <w:t xml:space="preserve"> distinct from the </w:t>
      </w:r>
      <w:r w:rsidR="001E51DF">
        <w:t>PFM Reform Roadmap and GGAC Cluster Plan</w:t>
      </w:r>
      <w:r w:rsidR="006C1414">
        <w:t>.</w:t>
      </w:r>
      <w:r w:rsidR="006C1414" w:rsidRPr="009A6E2C">
        <w:t xml:space="preserve"> </w:t>
      </w:r>
      <w:r w:rsidRPr="009A6E2C">
        <w:t xml:space="preserve">The focus of the stand-alone initiatives </w:t>
      </w:r>
      <w:r w:rsidR="001E51DF" w:rsidRPr="009A6E2C">
        <w:t>ha</w:t>
      </w:r>
      <w:r w:rsidR="001E51DF">
        <w:t>s</w:t>
      </w:r>
      <w:r w:rsidR="001E51DF" w:rsidRPr="009A6E2C">
        <w:t xml:space="preserve"> </w:t>
      </w:r>
      <w:r w:rsidRPr="009A6E2C">
        <w:t xml:space="preserve">been on </w:t>
      </w:r>
      <w:r w:rsidR="001E51DF">
        <w:t>e</w:t>
      </w:r>
      <w:r w:rsidR="001E51DF" w:rsidRPr="009A6E2C">
        <w:t xml:space="preserve">xpenditure </w:t>
      </w:r>
      <w:r w:rsidR="001E51DF">
        <w:t>m</w:t>
      </w:r>
      <w:r w:rsidR="001E51DF" w:rsidRPr="009A6E2C">
        <w:t xml:space="preserve">anagement </w:t>
      </w:r>
      <w:r w:rsidRPr="009A6E2C">
        <w:t xml:space="preserve">areas and tax system management. These </w:t>
      </w:r>
      <w:r w:rsidR="001E51DF">
        <w:t xml:space="preserve">initiatives </w:t>
      </w:r>
      <w:r w:rsidRPr="009A6E2C">
        <w:t>include</w:t>
      </w:r>
      <w:r w:rsidR="001E51DF">
        <w:t xml:space="preserve"> the following</w:t>
      </w:r>
      <w:r w:rsidRPr="009A6E2C">
        <w:t>:</w:t>
      </w:r>
    </w:p>
    <w:p w14:paraId="08A68C95" w14:textId="77777777" w:rsidR="00114F5F" w:rsidRPr="009A6E2C" w:rsidRDefault="00114F5F" w:rsidP="001E51DF">
      <w:pPr>
        <w:pStyle w:val="ListParagraph"/>
        <w:tabs>
          <w:tab w:val="left" w:pos="0"/>
        </w:tabs>
        <w:autoSpaceDE w:val="0"/>
        <w:autoSpaceDN w:val="0"/>
        <w:adjustRightInd w:val="0"/>
        <w:spacing w:line="240" w:lineRule="auto"/>
        <w:ind w:left="0" w:firstLine="0"/>
        <w:jc w:val="both"/>
      </w:pPr>
    </w:p>
    <w:p w14:paraId="786BEBB2" w14:textId="70D90A1E" w:rsidR="00114F5F" w:rsidRPr="009A6E2C" w:rsidRDefault="00114F5F" w:rsidP="0073584C">
      <w:pPr>
        <w:pStyle w:val="ListParagraph"/>
        <w:numPr>
          <w:ilvl w:val="0"/>
          <w:numId w:val="31"/>
        </w:numPr>
        <w:tabs>
          <w:tab w:val="left" w:pos="720"/>
        </w:tabs>
        <w:spacing w:line="240" w:lineRule="auto"/>
        <w:jc w:val="both"/>
      </w:pPr>
      <w:r w:rsidRPr="00C066CE">
        <w:rPr>
          <w:b/>
          <w:i/>
        </w:rPr>
        <w:t>GAA</w:t>
      </w:r>
      <w:r w:rsidR="001E51DF">
        <w:rPr>
          <w:b/>
          <w:i/>
        </w:rPr>
        <w:t xml:space="preserve"> </w:t>
      </w:r>
      <w:r w:rsidRPr="00C066CE">
        <w:rPr>
          <w:b/>
          <w:i/>
        </w:rPr>
        <w:t>as</w:t>
      </w:r>
      <w:r w:rsidR="001E51DF">
        <w:rPr>
          <w:b/>
          <w:i/>
        </w:rPr>
        <w:t xml:space="preserve"> r</w:t>
      </w:r>
      <w:r w:rsidRPr="00C066CE">
        <w:rPr>
          <w:b/>
          <w:i/>
        </w:rPr>
        <w:t>elease</w:t>
      </w:r>
      <w:r w:rsidR="001E51DF" w:rsidRPr="00C066CE">
        <w:rPr>
          <w:b/>
          <w:i/>
        </w:rPr>
        <w:t xml:space="preserve"> </w:t>
      </w:r>
      <w:r w:rsidR="001E51DF">
        <w:rPr>
          <w:b/>
          <w:i/>
        </w:rPr>
        <w:t>d</w:t>
      </w:r>
      <w:r w:rsidR="001E51DF" w:rsidRPr="00C066CE">
        <w:rPr>
          <w:b/>
          <w:i/>
        </w:rPr>
        <w:t>ocument</w:t>
      </w:r>
      <w:r w:rsidR="001E51DF">
        <w:rPr>
          <w:b/>
          <w:i/>
        </w:rPr>
        <w:t>.</w:t>
      </w:r>
      <w:r w:rsidR="001E51DF" w:rsidRPr="009A6E2C">
        <w:t xml:space="preserve"> </w:t>
      </w:r>
      <w:r w:rsidR="001E51DF">
        <w:t>Since</w:t>
      </w:r>
      <w:r w:rsidRPr="009A6E2C">
        <w:t xml:space="preserve"> 2014, the </w:t>
      </w:r>
      <w:r w:rsidR="00C04A04">
        <w:t>General Appropriations Act</w:t>
      </w:r>
      <w:r w:rsidRPr="009A6E2C">
        <w:t xml:space="preserve"> </w:t>
      </w:r>
      <w:r w:rsidR="001E51DF">
        <w:t>has served</w:t>
      </w:r>
      <w:r w:rsidR="001E51DF" w:rsidRPr="009A6E2C">
        <w:t xml:space="preserve"> </w:t>
      </w:r>
      <w:r w:rsidRPr="009A6E2C">
        <w:t>as the primary fund release document to improve the predictability of budget releases</w:t>
      </w:r>
      <w:r w:rsidR="00C349BA">
        <w:t xml:space="preserve"> and</w:t>
      </w:r>
      <w:r w:rsidR="00C349BA" w:rsidRPr="009A6E2C">
        <w:t xml:space="preserve"> </w:t>
      </w:r>
      <w:r w:rsidRPr="009A6E2C">
        <w:t xml:space="preserve">the pace of agency disbursements. </w:t>
      </w:r>
    </w:p>
    <w:p w14:paraId="5F3DF503" w14:textId="77777777" w:rsidR="00114F5F" w:rsidRPr="009A6E2C" w:rsidRDefault="00114F5F" w:rsidP="0073584C">
      <w:pPr>
        <w:pStyle w:val="ListParagraph"/>
        <w:tabs>
          <w:tab w:val="left" w:pos="720"/>
        </w:tabs>
        <w:spacing w:after="0" w:line="240" w:lineRule="auto"/>
        <w:ind w:left="1440" w:firstLine="0"/>
        <w:contextualSpacing w:val="0"/>
        <w:jc w:val="both"/>
      </w:pPr>
    </w:p>
    <w:p w14:paraId="66ED5CEA" w14:textId="54F700DD" w:rsidR="00114F5F" w:rsidRPr="007D7FFC" w:rsidRDefault="00C349BA" w:rsidP="0073584C">
      <w:pPr>
        <w:pStyle w:val="ListParagraph"/>
        <w:numPr>
          <w:ilvl w:val="0"/>
          <w:numId w:val="31"/>
        </w:numPr>
        <w:tabs>
          <w:tab w:val="left" w:pos="720"/>
        </w:tabs>
        <w:spacing w:after="0" w:line="240" w:lineRule="auto"/>
        <w:contextualSpacing w:val="0"/>
        <w:jc w:val="both"/>
      </w:pPr>
      <w:r w:rsidRPr="00C066CE">
        <w:rPr>
          <w:b/>
          <w:i/>
        </w:rPr>
        <w:t>Performance-informed budgeting.</w:t>
      </w:r>
      <w:r>
        <w:t xml:space="preserve"> </w:t>
      </w:r>
      <w:r w:rsidR="00114F5F" w:rsidRPr="009A6E2C">
        <w:t xml:space="preserve">Adoption of </w:t>
      </w:r>
      <w:r>
        <w:t>p</w:t>
      </w:r>
      <w:r w:rsidRPr="005108BC">
        <w:t>erformance-i</w:t>
      </w:r>
      <w:r w:rsidR="00114F5F" w:rsidRPr="00C066CE">
        <w:t xml:space="preserve">nformed </w:t>
      </w:r>
      <w:r>
        <w:t>b</w:t>
      </w:r>
      <w:r w:rsidRPr="00C066CE">
        <w:t>udgeting</w:t>
      </w:r>
      <w:r w:rsidRPr="009A6E2C">
        <w:rPr>
          <w:b/>
        </w:rPr>
        <w:t xml:space="preserve"> </w:t>
      </w:r>
      <w:r w:rsidR="00114F5F" w:rsidRPr="009A6E2C">
        <w:t>in the 2014 national budget aimed to reflect the link between the funds allocated for government</w:t>
      </w:r>
      <w:r w:rsidR="00114F5F">
        <w:t xml:space="preserve"> programs and </w:t>
      </w:r>
      <w:r>
        <w:t xml:space="preserve">their </w:t>
      </w:r>
      <w:r w:rsidR="00114F5F">
        <w:t xml:space="preserve">projected results and outcomes. For the first time, nonfinancial performance indicators and targets were presented side by side with the </w:t>
      </w:r>
      <w:r>
        <w:t xml:space="preserve">agency </w:t>
      </w:r>
      <w:r w:rsidR="00114F5F">
        <w:t xml:space="preserve">financial budgets. The </w:t>
      </w:r>
      <w:r w:rsidR="00F367CC" w:rsidRPr="007D7FFC">
        <w:t xml:space="preserve">organizational performance indicators framework </w:t>
      </w:r>
      <w:r w:rsidR="00114F5F">
        <w:t xml:space="preserve">provided the necessary foundation for the implementation of </w:t>
      </w:r>
      <w:r w:rsidR="00BC1B43">
        <w:t>performance-informed budgeting</w:t>
      </w:r>
      <w:r w:rsidR="00114F5F">
        <w:t xml:space="preserve">. </w:t>
      </w:r>
    </w:p>
    <w:p w14:paraId="3B125B45" w14:textId="77777777" w:rsidR="00114F5F" w:rsidRDefault="00114F5F" w:rsidP="0073584C">
      <w:pPr>
        <w:pStyle w:val="ListParagraph"/>
        <w:tabs>
          <w:tab w:val="left" w:pos="720"/>
        </w:tabs>
        <w:spacing w:after="0" w:line="240" w:lineRule="auto"/>
        <w:ind w:left="720" w:firstLine="720"/>
        <w:contextualSpacing w:val="0"/>
        <w:jc w:val="both"/>
      </w:pPr>
    </w:p>
    <w:p w14:paraId="4B680886" w14:textId="538F5426" w:rsidR="009A6E2C" w:rsidRPr="009A6E2C" w:rsidRDefault="00114F5F" w:rsidP="0073584C">
      <w:pPr>
        <w:pStyle w:val="ListParagraph"/>
        <w:numPr>
          <w:ilvl w:val="0"/>
          <w:numId w:val="33"/>
        </w:numPr>
        <w:tabs>
          <w:tab w:val="left" w:pos="720"/>
          <w:tab w:val="left" w:pos="900"/>
        </w:tabs>
        <w:spacing w:line="240" w:lineRule="auto"/>
        <w:ind w:left="720"/>
        <w:jc w:val="both"/>
      </w:pPr>
      <w:r w:rsidRPr="00C066CE">
        <w:rPr>
          <w:b/>
          <w:i/>
        </w:rPr>
        <w:t xml:space="preserve">Parliamentary </w:t>
      </w:r>
      <w:r w:rsidR="00C349BA" w:rsidRPr="00C066CE">
        <w:rPr>
          <w:b/>
          <w:i/>
        </w:rPr>
        <w:t>expenditure o</w:t>
      </w:r>
      <w:r w:rsidRPr="00C066CE">
        <w:rPr>
          <w:b/>
          <w:i/>
        </w:rPr>
        <w:t>versight</w:t>
      </w:r>
      <w:r w:rsidR="00C349BA">
        <w:rPr>
          <w:b/>
          <w:i/>
        </w:rPr>
        <w:t>.</w:t>
      </w:r>
      <w:r w:rsidRPr="009A6E2C">
        <w:t xml:space="preserve"> </w:t>
      </w:r>
      <w:r w:rsidR="00C349BA">
        <w:t>A</w:t>
      </w:r>
      <w:r w:rsidRPr="009A6E2C">
        <w:t xml:space="preserve"> </w:t>
      </w:r>
      <w:r w:rsidR="006B36BE">
        <w:t>J</w:t>
      </w:r>
      <w:r w:rsidRPr="009A6E2C">
        <w:t xml:space="preserve">oint </w:t>
      </w:r>
      <w:r w:rsidR="006B36BE">
        <w:t>C</w:t>
      </w:r>
      <w:r w:rsidRPr="009A6E2C">
        <w:t xml:space="preserve">ongressional Oversight Committee on Public Expenditures </w:t>
      </w:r>
      <w:r w:rsidR="00C349BA">
        <w:t xml:space="preserve">was set up </w:t>
      </w:r>
      <w:r w:rsidRPr="009A6E2C">
        <w:t xml:space="preserve">with the 2014 </w:t>
      </w:r>
      <w:r w:rsidR="00C04A04">
        <w:t>General Appropriations Act</w:t>
      </w:r>
      <w:r w:rsidRPr="009A6E2C">
        <w:t xml:space="preserve"> in a bid to strengthen Congress</w:t>
      </w:r>
      <w:r w:rsidR="00C349BA">
        <w:t>ional</w:t>
      </w:r>
      <w:r w:rsidRPr="009A6E2C">
        <w:t xml:space="preserve"> oversight of implementation of the national budget.</w:t>
      </w:r>
      <w:r w:rsidR="003F0BA3">
        <w:t xml:space="preserve"> This Committee </w:t>
      </w:r>
      <w:r w:rsidR="006B36BE">
        <w:t xml:space="preserve">was convened and held one meeting on </w:t>
      </w:r>
      <w:r w:rsidR="00E812CC">
        <w:t>June 8</w:t>
      </w:r>
      <w:r w:rsidR="006B36BE">
        <w:t>, 2015. This could be an appropriate venue to discuss the in-year budget execution reports, financial statements and audit reports</w:t>
      </w:r>
      <w:r w:rsidR="003F0BA3">
        <w:t>.</w:t>
      </w:r>
    </w:p>
    <w:p w14:paraId="324C9F7F" w14:textId="77777777" w:rsidR="009A6E2C" w:rsidRPr="009A6E2C" w:rsidRDefault="009A6E2C" w:rsidP="0073584C">
      <w:pPr>
        <w:pStyle w:val="ListParagraph"/>
        <w:tabs>
          <w:tab w:val="left" w:pos="720"/>
        </w:tabs>
        <w:spacing w:line="240" w:lineRule="auto"/>
        <w:ind w:left="720" w:hanging="360"/>
        <w:jc w:val="both"/>
      </w:pPr>
    </w:p>
    <w:p w14:paraId="5E9CF8E1" w14:textId="15D5B972" w:rsidR="009A6E2C" w:rsidRPr="009A6E2C" w:rsidRDefault="00114F5F" w:rsidP="0073584C">
      <w:pPr>
        <w:pStyle w:val="ListParagraph"/>
        <w:numPr>
          <w:ilvl w:val="0"/>
          <w:numId w:val="33"/>
        </w:numPr>
        <w:tabs>
          <w:tab w:val="left" w:pos="720"/>
        </w:tabs>
        <w:spacing w:line="240" w:lineRule="auto"/>
        <w:ind w:left="720"/>
        <w:jc w:val="both"/>
      </w:pPr>
      <w:r w:rsidRPr="00C066CE">
        <w:rPr>
          <w:b/>
          <w:i/>
        </w:rPr>
        <w:t>Internal audit</w:t>
      </w:r>
      <w:r w:rsidR="00C349BA">
        <w:rPr>
          <w:b/>
          <w:i/>
        </w:rPr>
        <w:t>.</w:t>
      </w:r>
      <w:r w:rsidRPr="009A6E2C">
        <w:t xml:space="preserve"> </w:t>
      </w:r>
      <w:r w:rsidR="00C349BA">
        <w:t>The DBM-provided t</w:t>
      </w:r>
      <w:r w:rsidRPr="009A6E2C">
        <w:t xml:space="preserve">raining activities on the implementation of </w:t>
      </w:r>
      <w:r w:rsidR="00C349BA">
        <w:t xml:space="preserve">the </w:t>
      </w:r>
      <w:r w:rsidRPr="009A6E2C">
        <w:t>DBM</w:t>
      </w:r>
      <w:r w:rsidR="00C349BA">
        <w:t>-issued</w:t>
      </w:r>
      <w:r w:rsidRPr="009A6E2C">
        <w:t xml:space="preserve"> 2011 Philippine Government Internal Audit Manual were provided to all national agencies and corporations to capacitate the newly created </w:t>
      </w:r>
      <w:r w:rsidR="00C349BA" w:rsidRPr="009A6E2C">
        <w:t xml:space="preserve">internal audit units </w:t>
      </w:r>
      <w:r w:rsidRPr="009A6E2C">
        <w:t>in the different government entities.</w:t>
      </w:r>
    </w:p>
    <w:p w14:paraId="1B574881" w14:textId="77777777" w:rsidR="009A6E2C" w:rsidRPr="009A6E2C" w:rsidRDefault="009A6E2C" w:rsidP="0073584C">
      <w:pPr>
        <w:pStyle w:val="ListParagraph"/>
        <w:spacing w:line="240" w:lineRule="auto"/>
        <w:ind w:left="720" w:hanging="360"/>
        <w:jc w:val="both"/>
        <w:rPr>
          <w:b/>
        </w:rPr>
      </w:pPr>
    </w:p>
    <w:p w14:paraId="13424BA2" w14:textId="13F596B6" w:rsidR="009A6E2C" w:rsidRPr="009A6E2C" w:rsidRDefault="00114F5F" w:rsidP="0073584C">
      <w:pPr>
        <w:pStyle w:val="ListParagraph"/>
        <w:numPr>
          <w:ilvl w:val="0"/>
          <w:numId w:val="33"/>
        </w:numPr>
        <w:tabs>
          <w:tab w:val="left" w:pos="720"/>
        </w:tabs>
        <w:spacing w:line="240" w:lineRule="auto"/>
        <w:ind w:left="720"/>
        <w:jc w:val="both"/>
      </w:pPr>
      <w:r w:rsidRPr="00C066CE">
        <w:rPr>
          <w:b/>
          <w:i/>
        </w:rPr>
        <w:t xml:space="preserve">Online </w:t>
      </w:r>
      <w:r w:rsidR="00C349BA" w:rsidRPr="00C066CE">
        <w:rPr>
          <w:b/>
          <w:i/>
        </w:rPr>
        <w:t xml:space="preserve">submission </w:t>
      </w:r>
      <w:r w:rsidRPr="00C066CE">
        <w:rPr>
          <w:b/>
          <w:i/>
        </w:rPr>
        <w:t xml:space="preserve">of </w:t>
      </w:r>
      <w:r w:rsidR="00C349BA" w:rsidRPr="00C066CE">
        <w:rPr>
          <w:b/>
          <w:i/>
        </w:rPr>
        <w:t>budget proposal system</w:t>
      </w:r>
      <w:r w:rsidR="00C349BA">
        <w:rPr>
          <w:b/>
        </w:rPr>
        <w:t>.</w:t>
      </w:r>
      <w:r w:rsidRPr="009A6E2C">
        <w:t xml:space="preserve"> </w:t>
      </w:r>
      <w:r w:rsidR="00C349BA">
        <w:t xml:space="preserve">The </w:t>
      </w:r>
      <w:r w:rsidR="009F2E8F">
        <w:t xml:space="preserve">Department of Budget and Management introduced the </w:t>
      </w:r>
      <w:r w:rsidR="00C349BA">
        <w:t xml:space="preserve">system </w:t>
      </w:r>
      <w:r w:rsidRPr="009A6E2C">
        <w:t>in 2013 for departments and agencies to undertake real-time submission of consolidated budget proposals</w:t>
      </w:r>
      <w:r w:rsidR="00E812CC">
        <w:t xml:space="preserve"> which significantly improved the efficiency of budget preparation</w:t>
      </w:r>
      <w:r w:rsidRPr="009A6E2C">
        <w:t xml:space="preserve">. </w:t>
      </w:r>
    </w:p>
    <w:p w14:paraId="786F4FF0" w14:textId="77777777" w:rsidR="009A6E2C" w:rsidRPr="009A6E2C" w:rsidRDefault="009A6E2C" w:rsidP="0073584C">
      <w:pPr>
        <w:pStyle w:val="ListParagraph"/>
        <w:spacing w:line="240" w:lineRule="auto"/>
        <w:ind w:left="720" w:hanging="360"/>
        <w:jc w:val="both"/>
        <w:rPr>
          <w:b/>
        </w:rPr>
      </w:pPr>
    </w:p>
    <w:p w14:paraId="555B1EAB" w14:textId="225EEC9D" w:rsidR="00114F5F" w:rsidRPr="009A6E2C" w:rsidRDefault="00114F5F" w:rsidP="0073584C">
      <w:pPr>
        <w:pStyle w:val="ListParagraph"/>
        <w:numPr>
          <w:ilvl w:val="0"/>
          <w:numId w:val="33"/>
        </w:numPr>
        <w:tabs>
          <w:tab w:val="left" w:pos="720"/>
        </w:tabs>
        <w:spacing w:line="240" w:lineRule="auto"/>
        <w:ind w:left="720"/>
        <w:jc w:val="both"/>
      </w:pPr>
      <w:r w:rsidRPr="00C066CE">
        <w:rPr>
          <w:b/>
          <w:i/>
        </w:rPr>
        <w:t>Tax reforms</w:t>
      </w:r>
      <w:r w:rsidR="009F2E8F">
        <w:rPr>
          <w:b/>
          <w:i/>
        </w:rPr>
        <w:t>.</w:t>
      </w:r>
      <w:r w:rsidRPr="009A6E2C">
        <w:t xml:space="preserve"> </w:t>
      </w:r>
      <w:r w:rsidR="009F2E8F">
        <w:t>The Department of Finance too</w:t>
      </w:r>
      <w:r w:rsidR="00C066CE">
        <w:t>k</w:t>
      </w:r>
      <w:r w:rsidR="009F2E8F">
        <w:t xml:space="preserve"> the lead in the BIR and BoC a</w:t>
      </w:r>
      <w:r w:rsidRPr="009A6E2C">
        <w:t xml:space="preserve">dministrative and policy reforms. The passage of adjusted excise rates for alcohol and cigarettes </w:t>
      </w:r>
      <w:r w:rsidR="00C170FC">
        <w:t xml:space="preserve">(or “sin” products) </w:t>
      </w:r>
      <w:r w:rsidRPr="009A6E2C">
        <w:t>yielded additional resources equivalent to 1 percent of GDP</w:t>
      </w:r>
      <w:r w:rsidR="009F2E8F">
        <w:t>;</w:t>
      </w:r>
      <w:r w:rsidRPr="009A6E2C">
        <w:t xml:space="preserve"> </w:t>
      </w:r>
      <w:r w:rsidR="009F2E8F">
        <w:t>this amount</w:t>
      </w:r>
      <w:r w:rsidR="009F2E8F" w:rsidRPr="009A6E2C">
        <w:t xml:space="preserve"> </w:t>
      </w:r>
      <w:r w:rsidRPr="009A6E2C">
        <w:t xml:space="preserve">was earmarked to implement a universal health </w:t>
      </w:r>
      <w:r w:rsidR="003F0BA3">
        <w:t xml:space="preserve">coverage </w:t>
      </w:r>
      <w:r w:rsidRPr="009A6E2C">
        <w:t xml:space="preserve">program to improve access to quality health facilities in the different regions and localities and to </w:t>
      </w:r>
      <w:r w:rsidR="003F0BA3">
        <w:t>enhance the access</w:t>
      </w:r>
      <w:r w:rsidRPr="009A6E2C">
        <w:t xml:space="preserve"> of indigents and senior citizens to health services. The continuous pursuit of better compliance measures in </w:t>
      </w:r>
      <w:r w:rsidR="003557AA">
        <w:t xml:space="preserve">the </w:t>
      </w:r>
      <w:r w:rsidR="009B40D9">
        <w:t>Bureau of Internal Revenue</w:t>
      </w:r>
      <w:r w:rsidRPr="009A6E2C">
        <w:t xml:space="preserve"> and </w:t>
      </w:r>
      <w:r w:rsidR="0020576C">
        <w:t>Bureau of Customs</w:t>
      </w:r>
      <w:r w:rsidRPr="009A6E2C">
        <w:t xml:space="preserve">, including a drastic reorganization in the </w:t>
      </w:r>
      <w:r w:rsidR="0020576C">
        <w:t>Bureau of Customs</w:t>
      </w:r>
      <w:r w:rsidRPr="009A6E2C">
        <w:t xml:space="preserve"> in 2014, also significantly improved the annual growth and predictability of the inflow of tax collections, providing more fiscal space to restructure the budget toward priority expenditure areas.    </w:t>
      </w:r>
    </w:p>
    <w:p w14:paraId="23B470F9" w14:textId="77777777" w:rsidR="00114F5F" w:rsidRPr="009A6E2C" w:rsidRDefault="00114F5F" w:rsidP="0073584C">
      <w:pPr>
        <w:pStyle w:val="ListParagraph"/>
        <w:tabs>
          <w:tab w:val="left" w:pos="357"/>
        </w:tabs>
        <w:autoSpaceDE w:val="0"/>
        <w:autoSpaceDN w:val="0"/>
        <w:adjustRightInd w:val="0"/>
        <w:spacing w:after="0" w:line="240" w:lineRule="auto"/>
        <w:ind w:left="720"/>
        <w:contextualSpacing w:val="0"/>
        <w:jc w:val="both"/>
        <w:rPr>
          <w:lang w:eastAsia="en-IN"/>
        </w:rPr>
      </w:pPr>
    </w:p>
    <w:p w14:paraId="57F63DD4" w14:textId="6617BF8B" w:rsidR="0058212E" w:rsidRPr="0058212E" w:rsidRDefault="009A6E2C" w:rsidP="0058212E">
      <w:pPr>
        <w:pStyle w:val="ListParagraph"/>
        <w:tabs>
          <w:tab w:val="left" w:pos="720"/>
        </w:tabs>
        <w:autoSpaceDE w:val="0"/>
        <w:autoSpaceDN w:val="0"/>
        <w:adjustRightInd w:val="0"/>
        <w:spacing w:after="0" w:line="240" w:lineRule="auto"/>
        <w:ind w:left="0" w:firstLine="0"/>
        <w:jc w:val="both"/>
      </w:pPr>
      <w:r w:rsidRPr="005323C0">
        <w:t xml:space="preserve">5.13. </w:t>
      </w:r>
      <w:r w:rsidRPr="005323C0">
        <w:tab/>
      </w:r>
      <w:r w:rsidR="009F2E8F" w:rsidRPr="005323C0">
        <w:t>In summary</w:t>
      </w:r>
      <w:r w:rsidR="0058212E" w:rsidRPr="005323C0">
        <w:t xml:space="preserve">, the implementation of the PFM Reforms for 2011-2015 has yielded </w:t>
      </w:r>
      <w:r w:rsidR="009F2E8F" w:rsidRPr="009D76C2">
        <w:t>many</w:t>
      </w:r>
      <w:r w:rsidR="0058212E" w:rsidRPr="009D76C2">
        <w:t xml:space="preserve"> </w:t>
      </w:r>
      <w:r w:rsidR="0058212E" w:rsidRPr="00F14020">
        <w:t xml:space="preserve">results </w:t>
      </w:r>
      <w:r w:rsidR="009F2E8F" w:rsidRPr="0004016E">
        <w:t xml:space="preserve">that </w:t>
      </w:r>
      <w:r w:rsidR="0058212E" w:rsidRPr="0004016E">
        <w:t xml:space="preserve">shifted the </w:t>
      </w:r>
      <w:r w:rsidR="009F2E8F" w:rsidRPr="0004016E">
        <w:t xml:space="preserve">Government’s </w:t>
      </w:r>
      <w:r w:rsidR="0058212E" w:rsidRPr="0004016E">
        <w:t xml:space="preserve">PFM reform program trajectory to a higher level in terms of fiscal discipline </w:t>
      </w:r>
      <w:r w:rsidR="009F2E8F" w:rsidRPr="0004016E">
        <w:t xml:space="preserve">and </w:t>
      </w:r>
      <w:r w:rsidR="0058212E" w:rsidRPr="0004016E">
        <w:t xml:space="preserve">allocative and technical efficiency as well as transparency and citizen empowerment. The PEFA results have shown the need for continued reforms through </w:t>
      </w:r>
      <w:r w:rsidR="009F2E8F" w:rsidRPr="0004016E">
        <w:t>inclusion of the following</w:t>
      </w:r>
      <w:r w:rsidR="0058212E" w:rsidRPr="0004016E">
        <w:t>:</w:t>
      </w:r>
    </w:p>
    <w:p w14:paraId="677E0B95" w14:textId="77777777" w:rsidR="008D2989" w:rsidRPr="003557AA" w:rsidRDefault="008D2989" w:rsidP="003557AA">
      <w:pPr>
        <w:pStyle w:val="ListParagraph"/>
        <w:tabs>
          <w:tab w:val="left" w:pos="720"/>
        </w:tabs>
        <w:autoSpaceDE w:val="0"/>
        <w:autoSpaceDN w:val="0"/>
        <w:adjustRightInd w:val="0"/>
        <w:spacing w:after="0" w:line="240" w:lineRule="auto"/>
        <w:ind w:left="720" w:firstLine="0"/>
        <w:jc w:val="both"/>
      </w:pPr>
    </w:p>
    <w:p w14:paraId="1CAEC11D" w14:textId="71CE6E4F" w:rsidR="0058212E" w:rsidRDefault="0058212E" w:rsidP="0058212E">
      <w:pPr>
        <w:pStyle w:val="ListParagraph"/>
        <w:numPr>
          <w:ilvl w:val="0"/>
          <w:numId w:val="39"/>
        </w:numPr>
        <w:tabs>
          <w:tab w:val="left" w:pos="720"/>
        </w:tabs>
        <w:autoSpaceDE w:val="0"/>
        <w:autoSpaceDN w:val="0"/>
        <w:adjustRightInd w:val="0"/>
        <w:spacing w:after="0" w:line="240" w:lineRule="auto"/>
        <w:jc w:val="both"/>
      </w:pPr>
      <w:r w:rsidRPr="00C066CE">
        <w:rPr>
          <w:b/>
          <w:i/>
        </w:rPr>
        <w:t xml:space="preserve">Development of </w:t>
      </w:r>
      <w:r w:rsidR="00C066CE">
        <w:rPr>
          <w:b/>
          <w:i/>
        </w:rPr>
        <w:t>G</w:t>
      </w:r>
      <w:r w:rsidRPr="00C066CE">
        <w:rPr>
          <w:b/>
          <w:i/>
        </w:rPr>
        <w:t>IFMIS</w:t>
      </w:r>
      <w:r w:rsidR="009F2E8F">
        <w:rPr>
          <w:b/>
          <w:i/>
        </w:rPr>
        <w:t>.</w:t>
      </w:r>
      <w:r w:rsidRPr="0058212E">
        <w:t xml:space="preserve"> Automation of government</w:t>
      </w:r>
      <w:r w:rsidR="005323C0">
        <w:t>-wide</w:t>
      </w:r>
      <w:r w:rsidRPr="0058212E">
        <w:t xml:space="preserve"> PFM systems is one of the core elements of the reform program</w:t>
      </w:r>
      <w:r w:rsidR="005323C0">
        <w:t>.</w:t>
      </w:r>
      <w:r w:rsidRPr="0058212E">
        <w:t xml:space="preserve"> </w:t>
      </w:r>
      <w:r w:rsidR="005323C0">
        <w:t>Its d</w:t>
      </w:r>
      <w:r w:rsidR="005323C0" w:rsidRPr="0058212E">
        <w:t xml:space="preserve">esign </w:t>
      </w:r>
      <w:r w:rsidRPr="0058212E">
        <w:t xml:space="preserve">needs to follow review of the processes and information flows and associated requirements for specific functions. </w:t>
      </w:r>
      <w:r w:rsidR="005323C0">
        <w:t xml:space="preserve">The </w:t>
      </w:r>
      <w:r w:rsidR="003557AA">
        <w:t xml:space="preserve">system </w:t>
      </w:r>
      <w:r w:rsidR="005323C0">
        <w:t xml:space="preserve">needs to include sub-components covering accounting and reporting practices in </w:t>
      </w:r>
      <w:r w:rsidR="003557AA">
        <w:t xml:space="preserve">the </w:t>
      </w:r>
      <w:r w:rsidR="005323C0">
        <w:t>line agencies.</w:t>
      </w:r>
      <w:r w:rsidR="005323C0" w:rsidRPr="005323C0">
        <w:t xml:space="preserve"> </w:t>
      </w:r>
      <w:r w:rsidR="005323C0" w:rsidRPr="0058212E">
        <w:t xml:space="preserve">A diagnostic study needs to review the existing state of transaction processing systems and availability of timely information for </w:t>
      </w:r>
      <w:r w:rsidR="003557AA">
        <w:t>budget</w:t>
      </w:r>
      <w:r w:rsidR="003557AA" w:rsidRPr="0058212E">
        <w:t xml:space="preserve"> </w:t>
      </w:r>
      <w:r w:rsidR="005323C0" w:rsidRPr="0058212E">
        <w:t>management. Procedures and control structures will be reviewed as part of a business processes study.</w:t>
      </w:r>
      <w:r w:rsidR="005323C0">
        <w:t xml:space="preserve"> </w:t>
      </w:r>
      <w:r w:rsidR="005323C0" w:rsidRPr="0058212E">
        <w:t xml:space="preserve">Revenue agencies need </w:t>
      </w:r>
      <w:r w:rsidR="005323C0">
        <w:t>an</w:t>
      </w:r>
      <w:r w:rsidR="00FD1905">
        <w:t xml:space="preserve"> integrated financial management information system</w:t>
      </w:r>
      <w:r w:rsidR="005323C0">
        <w:t xml:space="preserve"> </w:t>
      </w:r>
      <w:r w:rsidR="005323C0" w:rsidRPr="0058212E">
        <w:t xml:space="preserve">that enables efficient transaction processing in accordance with the prescribed controls for </w:t>
      </w:r>
      <w:r w:rsidR="005323C0">
        <w:t>their relative</w:t>
      </w:r>
      <w:r w:rsidR="005323C0" w:rsidRPr="0058212E">
        <w:t xml:space="preserve"> transactions. The </w:t>
      </w:r>
      <w:r w:rsidR="005323C0">
        <w:t>Department of Budget and Management</w:t>
      </w:r>
      <w:r w:rsidR="005323C0" w:rsidRPr="0058212E">
        <w:t xml:space="preserve"> also needs a system to monitor the budget</w:t>
      </w:r>
      <w:r w:rsidR="005323C0">
        <w:t xml:space="preserve"> execution process and produce</w:t>
      </w:r>
      <w:r w:rsidR="005323C0" w:rsidRPr="0058212E">
        <w:t xml:space="preserve"> timely and up</w:t>
      </w:r>
      <w:r w:rsidR="005323C0">
        <w:t>-</w:t>
      </w:r>
      <w:r w:rsidR="005323C0" w:rsidRPr="0058212E">
        <w:t>to</w:t>
      </w:r>
      <w:r w:rsidR="005323C0">
        <w:t>-</w:t>
      </w:r>
      <w:r w:rsidR="005323C0" w:rsidRPr="0058212E">
        <w:t xml:space="preserve">date budget execution reports for economic management. For this, it will require up-to-date information </w:t>
      </w:r>
      <w:r w:rsidR="003557AA">
        <w:t xml:space="preserve">on </w:t>
      </w:r>
      <w:r w:rsidR="005323C0" w:rsidRPr="0058212E">
        <w:t xml:space="preserve">programs and projects executed by </w:t>
      </w:r>
      <w:r w:rsidR="00FD1905">
        <w:t>many</w:t>
      </w:r>
      <w:r w:rsidR="005323C0" w:rsidRPr="0058212E">
        <w:t xml:space="preserve"> spending units distributed across the country.</w:t>
      </w:r>
    </w:p>
    <w:p w14:paraId="60CD5267" w14:textId="77777777" w:rsidR="009C10E5" w:rsidRPr="0058212E" w:rsidRDefault="009C10E5" w:rsidP="00C066CE">
      <w:pPr>
        <w:pStyle w:val="ListParagraph"/>
        <w:tabs>
          <w:tab w:val="left" w:pos="720"/>
        </w:tabs>
        <w:autoSpaceDE w:val="0"/>
        <w:autoSpaceDN w:val="0"/>
        <w:adjustRightInd w:val="0"/>
        <w:spacing w:after="0" w:line="240" w:lineRule="auto"/>
        <w:ind w:left="720" w:firstLine="0"/>
        <w:jc w:val="both"/>
      </w:pPr>
    </w:p>
    <w:p w14:paraId="1FE64C0C" w14:textId="7FAB394F" w:rsidR="009C10E5" w:rsidRPr="00C066CE" w:rsidRDefault="0058212E">
      <w:pPr>
        <w:pStyle w:val="ListParagraph"/>
        <w:numPr>
          <w:ilvl w:val="0"/>
          <w:numId w:val="39"/>
        </w:numPr>
        <w:tabs>
          <w:tab w:val="left" w:pos="720"/>
        </w:tabs>
        <w:autoSpaceDE w:val="0"/>
        <w:autoSpaceDN w:val="0"/>
        <w:adjustRightInd w:val="0"/>
        <w:spacing w:after="0" w:line="240" w:lineRule="auto"/>
        <w:jc w:val="both"/>
      </w:pPr>
      <w:r w:rsidRPr="00C066CE">
        <w:rPr>
          <w:b/>
          <w:i/>
        </w:rPr>
        <w:t xml:space="preserve">Passage and execution of the </w:t>
      </w:r>
      <w:r w:rsidR="009D76C2" w:rsidRPr="009D76C2">
        <w:rPr>
          <w:b/>
          <w:i/>
        </w:rPr>
        <w:t xml:space="preserve">Public </w:t>
      </w:r>
      <w:r w:rsidRPr="00C066CE">
        <w:rPr>
          <w:b/>
          <w:i/>
        </w:rPr>
        <w:t xml:space="preserve">Financial Management Law. </w:t>
      </w:r>
      <w:r w:rsidRPr="009C10E5">
        <w:t xml:space="preserve">The budget cycle must be authorized by legislation that supports the </w:t>
      </w:r>
      <w:r w:rsidR="003557AA" w:rsidRPr="009C10E5">
        <w:t>Constitutio</w:t>
      </w:r>
      <w:r w:rsidR="003557AA">
        <w:t>nal</w:t>
      </w:r>
      <w:r w:rsidR="003557AA" w:rsidRPr="009C10E5">
        <w:t xml:space="preserve"> </w:t>
      </w:r>
      <w:r w:rsidRPr="009C10E5">
        <w:t xml:space="preserve">provisions for the </w:t>
      </w:r>
      <w:r w:rsidR="00B97E18" w:rsidRPr="009C10E5">
        <w:t>Government’s</w:t>
      </w:r>
      <w:r w:rsidRPr="009C10E5">
        <w:t xml:space="preserve"> management of the national finances. Delays in relevant legislation have been extensive</w:t>
      </w:r>
      <w:r w:rsidR="005323C0" w:rsidRPr="009C10E5">
        <w:t>,</w:t>
      </w:r>
      <w:r w:rsidRPr="009C10E5">
        <w:t xml:space="preserve"> but the Legislature is now in a position to enact the relevant laws.  </w:t>
      </w:r>
      <w:r w:rsidR="009D76C2" w:rsidRPr="009C10E5">
        <w:t xml:space="preserve">As part of the implementation of the PFM Law, reviews of relevant internal control and top-level agency assurance arrangements by </w:t>
      </w:r>
      <w:r w:rsidR="00FD1905" w:rsidRPr="009C10E5">
        <w:t xml:space="preserve">principal accounting officers </w:t>
      </w:r>
      <w:r w:rsidR="009D76C2" w:rsidRPr="009C10E5">
        <w:t xml:space="preserve">need to be conducted against ISSAI and other relevant standards and practices. This process would lead to recommendations </w:t>
      </w:r>
      <w:r w:rsidR="003557AA">
        <w:t>and proposals for</w:t>
      </w:r>
      <w:r w:rsidR="003557AA" w:rsidRPr="009C10E5">
        <w:t xml:space="preserve"> </w:t>
      </w:r>
      <w:r w:rsidR="009D76C2" w:rsidRPr="009C10E5">
        <w:t>the appropriate assurance arrangements</w:t>
      </w:r>
      <w:r w:rsidR="009C10E5" w:rsidRPr="009C10E5">
        <w:t>.</w:t>
      </w:r>
    </w:p>
    <w:p w14:paraId="7E224249" w14:textId="77777777" w:rsidR="009C10E5" w:rsidRPr="00B54286" w:rsidRDefault="009C10E5" w:rsidP="00C066CE">
      <w:pPr>
        <w:tabs>
          <w:tab w:val="left" w:pos="720"/>
        </w:tabs>
        <w:autoSpaceDE w:val="0"/>
        <w:autoSpaceDN w:val="0"/>
        <w:adjustRightInd w:val="0"/>
        <w:jc w:val="both"/>
      </w:pPr>
    </w:p>
    <w:p w14:paraId="466708B4" w14:textId="4FA38D3F" w:rsidR="0058212E" w:rsidRDefault="0058212E" w:rsidP="0058212E">
      <w:pPr>
        <w:pStyle w:val="ListParagraph"/>
        <w:numPr>
          <w:ilvl w:val="0"/>
          <w:numId w:val="39"/>
        </w:numPr>
        <w:tabs>
          <w:tab w:val="left" w:pos="720"/>
        </w:tabs>
        <w:autoSpaceDE w:val="0"/>
        <w:autoSpaceDN w:val="0"/>
        <w:adjustRightInd w:val="0"/>
        <w:spacing w:after="0" w:line="240" w:lineRule="auto"/>
        <w:jc w:val="both"/>
      </w:pPr>
      <w:r w:rsidRPr="00C066CE">
        <w:rPr>
          <w:b/>
          <w:i/>
          <w:lang w:val="en-AU"/>
        </w:rPr>
        <w:t>Review of revenue forecasting</w:t>
      </w:r>
      <w:r w:rsidRPr="0058212E">
        <w:rPr>
          <w:lang w:val="en-AU"/>
        </w:rPr>
        <w:t>. There was substantial under-performance in some collections. Unreliable revenue estimati</w:t>
      </w:r>
      <w:r w:rsidR="000F082B">
        <w:rPr>
          <w:lang w:val="en-AU"/>
        </w:rPr>
        <w:t>o</w:t>
      </w:r>
      <w:r w:rsidRPr="0058212E">
        <w:rPr>
          <w:lang w:val="en-AU"/>
        </w:rPr>
        <w:t xml:space="preserve">n has </w:t>
      </w:r>
      <w:r w:rsidR="003557AA">
        <w:rPr>
          <w:lang w:val="en-AU"/>
        </w:rPr>
        <w:t>significant impact on</w:t>
      </w:r>
      <w:r w:rsidRPr="0058212E">
        <w:rPr>
          <w:lang w:val="en-AU"/>
        </w:rPr>
        <w:t xml:space="preserve"> the </w:t>
      </w:r>
      <w:r w:rsidR="00B97E18">
        <w:rPr>
          <w:lang w:val="en-AU"/>
        </w:rPr>
        <w:t>Government’s</w:t>
      </w:r>
      <w:r w:rsidRPr="0058212E">
        <w:rPr>
          <w:lang w:val="en-AU"/>
        </w:rPr>
        <w:t xml:space="preserve"> ability to deliver services. </w:t>
      </w:r>
      <w:r w:rsidRPr="0058212E">
        <w:t xml:space="preserve">Revenue prediction arrangements for the main revenue types from </w:t>
      </w:r>
      <w:r w:rsidRPr="0058212E">
        <w:rPr>
          <w:lang w:val="en-AU"/>
        </w:rPr>
        <w:t xml:space="preserve">the </w:t>
      </w:r>
      <w:r w:rsidRPr="0058212E">
        <w:t>the Bureau of Internal Revenue and the Bureau of Customs needs to</w:t>
      </w:r>
      <w:r w:rsidR="005323C0">
        <w:t xml:space="preserve"> </w:t>
      </w:r>
      <w:r w:rsidRPr="0058212E">
        <w:t>be further developed and supported by suitable information systems</w:t>
      </w:r>
      <w:r w:rsidR="003557AA">
        <w:t>, forecasting tools,</w:t>
      </w:r>
      <w:r w:rsidRPr="0058212E">
        <w:t xml:space="preserve"> and monitoring processes. </w:t>
      </w:r>
    </w:p>
    <w:p w14:paraId="120AA786" w14:textId="77777777" w:rsidR="009C10E5" w:rsidRPr="0058212E" w:rsidRDefault="009C10E5" w:rsidP="00C066CE">
      <w:pPr>
        <w:pStyle w:val="ListParagraph"/>
        <w:tabs>
          <w:tab w:val="left" w:pos="720"/>
        </w:tabs>
        <w:autoSpaceDE w:val="0"/>
        <w:autoSpaceDN w:val="0"/>
        <w:adjustRightInd w:val="0"/>
        <w:spacing w:after="0" w:line="240" w:lineRule="auto"/>
        <w:ind w:left="720" w:firstLine="0"/>
        <w:jc w:val="both"/>
      </w:pPr>
    </w:p>
    <w:p w14:paraId="321CCA11" w14:textId="1C29A449" w:rsidR="0058212E" w:rsidRDefault="0058212E" w:rsidP="0058212E">
      <w:pPr>
        <w:pStyle w:val="ListParagraph"/>
        <w:numPr>
          <w:ilvl w:val="0"/>
          <w:numId w:val="39"/>
        </w:numPr>
        <w:tabs>
          <w:tab w:val="left" w:pos="720"/>
        </w:tabs>
        <w:autoSpaceDE w:val="0"/>
        <w:autoSpaceDN w:val="0"/>
        <w:adjustRightInd w:val="0"/>
        <w:spacing w:after="0" w:line="240" w:lineRule="auto"/>
        <w:jc w:val="both"/>
      </w:pPr>
      <w:r w:rsidRPr="00C066CE">
        <w:rPr>
          <w:b/>
          <w:i/>
        </w:rPr>
        <w:t>A procurement practices review</w:t>
      </w:r>
      <w:r w:rsidRPr="0058212E">
        <w:t xml:space="preserve"> needs to be conducted in accordance with </w:t>
      </w:r>
      <w:r w:rsidR="003557AA">
        <w:t>good international practices</w:t>
      </w:r>
      <w:r w:rsidRPr="0058212E">
        <w:t xml:space="preserve">. An independent appeals process needs to be </w:t>
      </w:r>
      <w:r w:rsidR="003557AA">
        <w:t>developed</w:t>
      </w:r>
      <w:r w:rsidRPr="0058212E">
        <w:t xml:space="preserve">. The extent of competitive tendering is to be reviewed to ensure the most cost effective practices are applied to support </w:t>
      </w:r>
      <w:r w:rsidR="003557AA">
        <w:t xml:space="preserve">realization of the </w:t>
      </w:r>
      <w:r w:rsidR="00B97E18">
        <w:t>Government</w:t>
      </w:r>
      <w:r w:rsidR="00FD1905">
        <w:t>’</w:t>
      </w:r>
      <w:r w:rsidR="003557AA">
        <w:t>s</w:t>
      </w:r>
      <w:r w:rsidRPr="0058212E">
        <w:t xml:space="preserve"> budget intentions.</w:t>
      </w:r>
    </w:p>
    <w:p w14:paraId="3DC9734E" w14:textId="77777777" w:rsidR="009C10E5" w:rsidRPr="0058212E" w:rsidRDefault="009C10E5" w:rsidP="00C066CE">
      <w:pPr>
        <w:pStyle w:val="ListParagraph"/>
        <w:tabs>
          <w:tab w:val="left" w:pos="720"/>
        </w:tabs>
        <w:autoSpaceDE w:val="0"/>
        <w:autoSpaceDN w:val="0"/>
        <w:adjustRightInd w:val="0"/>
        <w:spacing w:after="0" w:line="240" w:lineRule="auto"/>
        <w:ind w:left="720" w:firstLine="0"/>
        <w:jc w:val="both"/>
      </w:pPr>
    </w:p>
    <w:p w14:paraId="1580B73C" w14:textId="37ABDB07" w:rsidR="0058212E" w:rsidRDefault="0058212E" w:rsidP="0058212E">
      <w:pPr>
        <w:pStyle w:val="ListParagraph"/>
        <w:numPr>
          <w:ilvl w:val="0"/>
          <w:numId w:val="39"/>
        </w:numPr>
        <w:tabs>
          <w:tab w:val="left" w:pos="720"/>
        </w:tabs>
        <w:autoSpaceDE w:val="0"/>
        <w:autoSpaceDN w:val="0"/>
        <w:adjustRightInd w:val="0"/>
        <w:spacing w:after="0" w:line="240" w:lineRule="auto"/>
        <w:jc w:val="both"/>
      </w:pPr>
      <w:r w:rsidRPr="00C066CE">
        <w:rPr>
          <w:b/>
          <w:i/>
        </w:rPr>
        <w:t>A review of internal audit arrangements</w:t>
      </w:r>
      <w:r w:rsidRPr="0058212E">
        <w:t xml:space="preserve"> needs to be conducted against</w:t>
      </w:r>
      <w:r w:rsidR="003557AA">
        <w:t xml:space="preserve"> standards of the</w:t>
      </w:r>
      <w:r w:rsidRPr="0058212E">
        <w:t xml:space="preserve"> </w:t>
      </w:r>
      <w:r w:rsidR="009D76C2">
        <w:t xml:space="preserve">Institute of Internal Auditors </w:t>
      </w:r>
      <w:r w:rsidRPr="0058212E">
        <w:t xml:space="preserve">to assess opportunities for improvement. Proposals for the introduction of </w:t>
      </w:r>
      <w:r w:rsidR="009D76C2">
        <w:t>a</w:t>
      </w:r>
      <w:r w:rsidR="009D76C2" w:rsidRPr="0058212E">
        <w:t xml:space="preserve">udit </w:t>
      </w:r>
      <w:r w:rsidR="009D76C2">
        <w:t>c</w:t>
      </w:r>
      <w:r w:rsidR="009D76C2" w:rsidRPr="0058212E">
        <w:t xml:space="preserve">ommittees </w:t>
      </w:r>
      <w:r w:rsidRPr="0058212E">
        <w:t>at agency level and central coordination of internal audit guidance need to be developed for consideration by</w:t>
      </w:r>
      <w:r w:rsidR="00B97E18">
        <w:t xml:space="preserve"> the</w:t>
      </w:r>
      <w:r w:rsidRPr="0058212E">
        <w:t xml:space="preserve"> </w:t>
      </w:r>
      <w:r w:rsidR="00B97E18">
        <w:t>Government</w:t>
      </w:r>
      <w:r w:rsidRPr="0058212E">
        <w:t>. As a complementary step</w:t>
      </w:r>
      <w:r w:rsidR="009D76C2">
        <w:t>,</w:t>
      </w:r>
      <w:r w:rsidRPr="0058212E">
        <w:t xml:space="preserve"> the roles of Principal Accounting Officers in providing assurance on internal controls as part of the </w:t>
      </w:r>
      <w:r w:rsidR="009D76C2">
        <w:t>A</w:t>
      </w:r>
      <w:r w:rsidR="007B4E14">
        <w:t xml:space="preserve">nnual </w:t>
      </w:r>
      <w:r w:rsidR="009D76C2">
        <w:t>A</w:t>
      </w:r>
      <w:r w:rsidR="007B4E14">
        <w:t xml:space="preserve">udit </w:t>
      </w:r>
      <w:r w:rsidR="009D76C2">
        <w:t>R</w:t>
      </w:r>
      <w:r w:rsidR="007B4E14">
        <w:t>eports</w:t>
      </w:r>
      <w:r w:rsidRPr="0058212E">
        <w:t xml:space="preserve"> process need to be reviewed.</w:t>
      </w:r>
    </w:p>
    <w:p w14:paraId="745956F1" w14:textId="77777777" w:rsidR="009C10E5" w:rsidRPr="0058212E" w:rsidRDefault="009C10E5" w:rsidP="00C066CE">
      <w:pPr>
        <w:tabs>
          <w:tab w:val="left" w:pos="720"/>
        </w:tabs>
        <w:autoSpaceDE w:val="0"/>
        <w:autoSpaceDN w:val="0"/>
        <w:adjustRightInd w:val="0"/>
        <w:jc w:val="both"/>
      </w:pPr>
    </w:p>
    <w:p w14:paraId="1CFBE482" w14:textId="4B7F2904" w:rsidR="0058212E" w:rsidRDefault="009D76C2" w:rsidP="0058212E">
      <w:pPr>
        <w:pStyle w:val="ListParagraph"/>
        <w:numPr>
          <w:ilvl w:val="0"/>
          <w:numId w:val="39"/>
        </w:numPr>
        <w:tabs>
          <w:tab w:val="left" w:pos="720"/>
        </w:tabs>
        <w:autoSpaceDE w:val="0"/>
        <w:autoSpaceDN w:val="0"/>
        <w:adjustRightInd w:val="0"/>
        <w:spacing w:after="0" w:line="240" w:lineRule="auto"/>
        <w:jc w:val="both"/>
      </w:pPr>
      <w:r w:rsidRPr="00C066CE">
        <w:rPr>
          <w:b/>
          <w:i/>
        </w:rPr>
        <w:t>R</w:t>
      </w:r>
      <w:r w:rsidR="0058212E" w:rsidRPr="00C066CE">
        <w:rPr>
          <w:b/>
          <w:i/>
        </w:rPr>
        <w:t>eview of SAI coverage and processes against ISSAI</w:t>
      </w:r>
      <w:r w:rsidR="0058212E" w:rsidRPr="0058212E">
        <w:t xml:space="preserve"> governance and quality management standards needs to be conducted for consideration by </w:t>
      </w:r>
      <w:r w:rsidR="00B931AB">
        <w:t>Commission on Audit</w:t>
      </w:r>
      <w:r w:rsidR="0058212E" w:rsidRPr="0058212E">
        <w:t xml:space="preserve">. </w:t>
      </w:r>
    </w:p>
    <w:p w14:paraId="75409ABD" w14:textId="77777777" w:rsidR="003E5B97" w:rsidRPr="0058212E" w:rsidRDefault="003E5B97" w:rsidP="003E5B97">
      <w:pPr>
        <w:tabs>
          <w:tab w:val="left" w:pos="720"/>
        </w:tabs>
        <w:autoSpaceDE w:val="0"/>
        <w:autoSpaceDN w:val="0"/>
        <w:adjustRightInd w:val="0"/>
        <w:jc w:val="both"/>
      </w:pPr>
    </w:p>
    <w:p w14:paraId="067A1643" w14:textId="5AEEB0CB" w:rsidR="0058212E" w:rsidRDefault="0058212E" w:rsidP="0058212E">
      <w:pPr>
        <w:pStyle w:val="ListParagraph"/>
        <w:numPr>
          <w:ilvl w:val="0"/>
          <w:numId w:val="39"/>
        </w:numPr>
        <w:tabs>
          <w:tab w:val="left" w:pos="720"/>
        </w:tabs>
        <w:autoSpaceDE w:val="0"/>
        <w:autoSpaceDN w:val="0"/>
        <w:adjustRightInd w:val="0"/>
        <w:spacing w:after="0" w:line="240" w:lineRule="auto"/>
        <w:jc w:val="both"/>
      </w:pPr>
      <w:r w:rsidRPr="0058212E">
        <w:t xml:space="preserve"> </w:t>
      </w:r>
      <w:r w:rsidR="009D76C2">
        <w:rPr>
          <w:b/>
          <w:i/>
        </w:rPr>
        <w:t>D</w:t>
      </w:r>
      <w:r w:rsidRPr="00C066CE">
        <w:rPr>
          <w:b/>
          <w:i/>
        </w:rPr>
        <w:t>esign for the conduct of programs of revenue audits</w:t>
      </w:r>
      <w:r w:rsidRPr="0058212E">
        <w:t xml:space="preserve"> that are relevant to the country needs to be developed for consideration by </w:t>
      </w:r>
      <w:r w:rsidR="00B931AB">
        <w:t>Commission on Audit</w:t>
      </w:r>
      <w:r w:rsidRPr="0058212E">
        <w:t xml:space="preserve">. </w:t>
      </w:r>
    </w:p>
    <w:p w14:paraId="10AA37A4" w14:textId="77777777" w:rsidR="009C10E5" w:rsidRPr="0058212E" w:rsidRDefault="009C10E5" w:rsidP="00C066CE">
      <w:pPr>
        <w:pStyle w:val="ListParagraph"/>
        <w:tabs>
          <w:tab w:val="left" w:pos="720"/>
        </w:tabs>
        <w:autoSpaceDE w:val="0"/>
        <w:autoSpaceDN w:val="0"/>
        <w:adjustRightInd w:val="0"/>
        <w:spacing w:after="0" w:line="240" w:lineRule="auto"/>
        <w:ind w:left="720" w:firstLine="0"/>
        <w:jc w:val="both"/>
      </w:pPr>
    </w:p>
    <w:p w14:paraId="14B4C350" w14:textId="3C5E359F" w:rsidR="0058212E" w:rsidRPr="0058212E" w:rsidRDefault="0058212E" w:rsidP="0058212E">
      <w:pPr>
        <w:pStyle w:val="ListParagraph"/>
        <w:numPr>
          <w:ilvl w:val="0"/>
          <w:numId w:val="39"/>
        </w:numPr>
        <w:tabs>
          <w:tab w:val="left" w:pos="720"/>
        </w:tabs>
        <w:autoSpaceDE w:val="0"/>
        <w:autoSpaceDN w:val="0"/>
        <w:adjustRightInd w:val="0"/>
        <w:spacing w:after="0" w:line="240" w:lineRule="auto"/>
        <w:jc w:val="both"/>
      </w:pPr>
      <w:r w:rsidRPr="0058212E">
        <w:t xml:space="preserve"> </w:t>
      </w:r>
      <w:r w:rsidR="009C10E5">
        <w:rPr>
          <w:b/>
          <w:i/>
        </w:rPr>
        <w:t>L</w:t>
      </w:r>
      <w:r w:rsidR="009C10E5" w:rsidRPr="00C066CE">
        <w:rPr>
          <w:b/>
          <w:i/>
        </w:rPr>
        <w:t xml:space="preserve">egislative arrangements for </w:t>
      </w:r>
      <w:r w:rsidR="00944B20">
        <w:rPr>
          <w:b/>
          <w:i/>
        </w:rPr>
        <w:t>scrutiny</w:t>
      </w:r>
      <w:r w:rsidR="00944B20" w:rsidRPr="00C066CE">
        <w:rPr>
          <w:b/>
          <w:i/>
        </w:rPr>
        <w:t xml:space="preserve"> </w:t>
      </w:r>
      <w:r w:rsidR="009C10E5" w:rsidRPr="00C066CE">
        <w:rPr>
          <w:b/>
          <w:i/>
        </w:rPr>
        <w:t>of CoA reports.</w:t>
      </w:r>
      <w:r w:rsidR="009C10E5">
        <w:t xml:space="preserve"> T</w:t>
      </w:r>
      <w:r w:rsidR="009C10E5" w:rsidRPr="0058212E">
        <w:t xml:space="preserve">he </w:t>
      </w:r>
      <w:r w:rsidRPr="0058212E">
        <w:t xml:space="preserve">possibilities to advance the likelihood of suitable </w:t>
      </w:r>
      <w:r w:rsidR="003E5B97">
        <w:t>legislative</w:t>
      </w:r>
      <w:r w:rsidR="003E5B97" w:rsidRPr="009C10E5">
        <w:t xml:space="preserve"> </w:t>
      </w:r>
      <w:r w:rsidRPr="009C10E5">
        <w:t xml:space="preserve">committee arrangements for </w:t>
      </w:r>
      <w:r w:rsidR="00944B20">
        <w:t>scrutiny</w:t>
      </w:r>
      <w:r w:rsidR="00944B20" w:rsidRPr="009C10E5">
        <w:t xml:space="preserve"> </w:t>
      </w:r>
      <w:r w:rsidRPr="009C10E5">
        <w:t xml:space="preserve">of </w:t>
      </w:r>
      <w:r w:rsidR="003E5B97">
        <w:t>external audit</w:t>
      </w:r>
      <w:r w:rsidR="003E5B97" w:rsidRPr="009C10E5">
        <w:t xml:space="preserve"> </w:t>
      </w:r>
      <w:r w:rsidRPr="009C10E5">
        <w:t>reports</w:t>
      </w:r>
      <w:r w:rsidRPr="0058212E">
        <w:t xml:space="preserve"> </w:t>
      </w:r>
      <w:r w:rsidR="003E5B97">
        <w:t>should be explored considering globally</w:t>
      </w:r>
      <w:r w:rsidRPr="0058212E">
        <w:t xml:space="preserve"> established </w:t>
      </w:r>
      <w:r w:rsidR="003E5B97">
        <w:t>good</w:t>
      </w:r>
      <w:r w:rsidR="003E5B97" w:rsidRPr="0058212E">
        <w:t xml:space="preserve"> </w:t>
      </w:r>
      <w:r w:rsidRPr="0058212E">
        <w:t>practices</w:t>
      </w:r>
      <w:r w:rsidR="009C10E5">
        <w:t>.</w:t>
      </w:r>
      <w:r w:rsidRPr="0058212E">
        <w:t xml:space="preserve"> </w:t>
      </w:r>
      <w:r w:rsidR="003E5B97">
        <w:t>This action needs to be taken up by</w:t>
      </w:r>
      <w:r w:rsidRPr="0058212E">
        <w:t xml:space="preserve"> the </w:t>
      </w:r>
      <w:r w:rsidR="009D76C2">
        <w:t>l</w:t>
      </w:r>
      <w:r w:rsidR="009D76C2" w:rsidRPr="0058212E">
        <w:t>egislature</w:t>
      </w:r>
      <w:r w:rsidRPr="0058212E">
        <w:t>.</w:t>
      </w:r>
    </w:p>
    <w:p w14:paraId="4FD5AE0A" w14:textId="77777777" w:rsidR="0058212E" w:rsidRPr="0058212E" w:rsidRDefault="0058212E" w:rsidP="0058212E">
      <w:pPr>
        <w:pStyle w:val="ListParagraph"/>
        <w:tabs>
          <w:tab w:val="left" w:pos="720"/>
        </w:tabs>
        <w:autoSpaceDE w:val="0"/>
        <w:autoSpaceDN w:val="0"/>
        <w:adjustRightInd w:val="0"/>
      </w:pPr>
    </w:p>
    <w:p w14:paraId="53828308" w14:textId="077769B8" w:rsidR="0058212E" w:rsidRPr="0058212E" w:rsidRDefault="0058212E" w:rsidP="0058212E">
      <w:pPr>
        <w:pStyle w:val="ListParagraph"/>
        <w:tabs>
          <w:tab w:val="left" w:pos="720"/>
        </w:tabs>
        <w:autoSpaceDE w:val="0"/>
        <w:autoSpaceDN w:val="0"/>
        <w:adjustRightInd w:val="0"/>
        <w:spacing w:after="0" w:line="240" w:lineRule="auto"/>
        <w:ind w:left="0" w:firstLine="0"/>
        <w:jc w:val="both"/>
      </w:pPr>
      <w:r w:rsidRPr="0058212E">
        <w:t xml:space="preserve">5.14. </w:t>
      </w:r>
      <w:r w:rsidRPr="0058212E">
        <w:tab/>
        <w:t xml:space="preserve">The </w:t>
      </w:r>
      <w:r w:rsidR="00794933">
        <w:t>current</w:t>
      </w:r>
      <w:r w:rsidR="00794933" w:rsidRPr="0058212E">
        <w:t xml:space="preserve"> </w:t>
      </w:r>
      <w:r w:rsidRPr="00530777">
        <w:rPr>
          <w:i/>
        </w:rPr>
        <w:t>Updated PFM Reform Roadmap (2015-2016)</w:t>
      </w:r>
      <w:r w:rsidRPr="0058212E">
        <w:t xml:space="preserve"> </w:t>
      </w:r>
      <w:r w:rsidR="00794933">
        <w:t>aims</w:t>
      </w:r>
      <w:r w:rsidRPr="0058212E">
        <w:t xml:space="preserve"> for continuing and future reforms as follows: </w:t>
      </w:r>
    </w:p>
    <w:p w14:paraId="26A5D74C" w14:textId="4B27FBDE" w:rsidR="009A6E2C" w:rsidRPr="0058212E" w:rsidRDefault="009A6E2C" w:rsidP="0058212E">
      <w:pPr>
        <w:pStyle w:val="ListParagraph"/>
        <w:tabs>
          <w:tab w:val="left" w:pos="720"/>
        </w:tabs>
        <w:autoSpaceDE w:val="0"/>
        <w:autoSpaceDN w:val="0"/>
        <w:adjustRightInd w:val="0"/>
        <w:spacing w:after="0" w:line="240" w:lineRule="auto"/>
        <w:ind w:left="0" w:firstLine="0"/>
        <w:jc w:val="both"/>
      </w:pPr>
    </w:p>
    <w:p w14:paraId="34B11FC0" w14:textId="51C93EEA" w:rsidR="009C10E5" w:rsidRPr="00725B56"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PFM Framework Law</w:t>
      </w:r>
      <w:r w:rsidRPr="00530777">
        <w:t xml:space="preserve"> is meant to institutionalize the reforms, strengthen the oversight </w:t>
      </w:r>
      <w:r w:rsidR="00530777">
        <w:t xml:space="preserve">function </w:t>
      </w:r>
      <w:r w:rsidRPr="00530777">
        <w:t xml:space="preserve">and clarify the budget and fiscal administration rules and processes. With the assistance of </w:t>
      </w:r>
      <w:r w:rsidR="00794933" w:rsidRPr="00530777">
        <w:t xml:space="preserve">DFAT, </w:t>
      </w:r>
      <w:r w:rsidRPr="00530777">
        <w:t xml:space="preserve">IMF, </w:t>
      </w:r>
      <w:r w:rsidR="00794933" w:rsidRPr="00530777">
        <w:t>and World Bank,</w:t>
      </w:r>
      <w:r w:rsidRPr="00530777">
        <w:t xml:space="preserve"> </w:t>
      </w:r>
      <w:r w:rsidR="00794933" w:rsidRPr="00530777">
        <w:t>a</w:t>
      </w:r>
      <w:r w:rsidRPr="00530777">
        <w:t xml:space="preserve"> PFM Framework Bill </w:t>
      </w:r>
      <w:r w:rsidR="00794933" w:rsidRPr="00530777">
        <w:t>was</w:t>
      </w:r>
      <w:r w:rsidRPr="00530777">
        <w:t xml:space="preserve"> crafted in 2014 and filed both </w:t>
      </w:r>
      <w:r w:rsidR="00794933" w:rsidRPr="00530777">
        <w:t xml:space="preserve">in </w:t>
      </w:r>
      <w:r w:rsidRPr="00530777">
        <w:t xml:space="preserve">the Senate and </w:t>
      </w:r>
      <w:r w:rsidR="00794933" w:rsidRPr="00530777">
        <w:t>House</w:t>
      </w:r>
      <w:r w:rsidRPr="00530777">
        <w:t xml:space="preserve"> in 2015. The</w:t>
      </w:r>
      <w:r w:rsidR="008D2989">
        <w:t xml:space="preserve"> intention is to refile the</w:t>
      </w:r>
      <w:r w:rsidRPr="00530777">
        <w:t xml:space="preserve"> </w:t>
      </w:r>
      <w:r w:rsidR="008D2989">
        <w:t>b</w:t>
      </w:r>
      <w:r w:rsidR="008D2989" w:rsidRPr="00530777">
        <w:t xml:space="preserve">ill </w:t>
      </w:r>
      <w:r w:rsidRPr="00530777">
        <w:t>in the next congressional term</w:t>
      </w:r>
      <w:r w:rsidR="00794933" w:rsidRPr="00530777">
        <w:t>.</w:t>
      </w:r>
    </w:p>
    <w:p w14:paraId="7A06DDE6" w14:textId="77777777" w:rsidR="009A6E2C" w:rsidRPr="0058212E" w:rsidRDefault="009A6E2C" w:rsidP="00530777">
      <w:pPr>
        <w:pStyle w:val="ListParagraph"/>
        <w:tabs>
          <w:tab w:val="left" w:pos="720"/>
        </w:tabs>
        <w:autoSpaceDE w:val="0"/>
        <w:autoSpaceDN w:val="0"/>
        <w:adjustRightInd w:val="0"/>
        <w:spacing w:line="240" w:lineRule="auto"/>
        <w:ind w:left="720" w:firstLine="0"/>
        <w:jc w:val="both"/>
      </w:pPr>
    </w:p>
    <w:p w14:paraId="0A1BC61F" w14:textId="203C1C3E" w:rsidR="009C10E5" w:rsidRPr="0058212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Government Comptroller General</w:t>
      </w:r>
      <w:r w:rsidR="00794933" w:rsidRPr="00530777">
        <w:t>, a function in process of being established,</w:t>
      </w:r>
      <w:r w:rsidRPr="00530777">
        <w:t xml:space="preserve"> will oversee compliance with existing PFM rules and regulations, including </w:t>
      </w:r>
      <w:r w:rsidR="00794933" w:rsidRPr="00530777">
        <w:t xml:space="preserve">CoA-prescribed financial </w:t>
      </w:r>
      <w:r w:rsidRPr="00530777">
        <w:t xml:space="preserve">reporting requirements. </w:t>
      </w:r>
      <w:r w:rsidR="003E5B97">
        <w:t>U</w:t>
      </w:r>
      <w:r w:rsidRPr="00530777">
        <w:t xml:space="preserve">sing the </w:t>
      </w:r>
      <w:r w:rsidR="00C2529E">
        <w:t>Budget and Treasury Management System</w:t>
      </w:r>
      <w:r w:rsidRPr="00530777">
        <w:t xml:space="preserve"> and its accounting functionalities, the office will also consolidate Government-wide financial statements to assist the Executive </w:t>
      </w:r>
      <w:r w:rsidR="003E5B97">
        <w:t>in managing</w:t>
      </w:r>
      <w:r w:rsidR="003E5B97" w:rsidRPr="00530777">
        <w:t xml:space="preserve"> </w:t>
      </w:r>
      <w:r w:rsidRPr="00530777">
        <w:t>financial operations</w:t>
      </w:r>
      <w:r w:rsidR="00794933" w:rsidRPr="00530777">
        <w:t>.</w:t>
      </w:r>
    </w:p>
    <w:p w14:paraId="0BFC364A" w14:textId="77777777" w:rsidR="009A6E2C" w:rsidRPr="00530777" w:rsidRDefault="009A6E2C" w:rsidP="00530777">
      <w:pPr>
        <w:pStyle w:val="ListParagraph"/>
        <w:tabs>
          <w:tab w:val="left" w:pos="720"/>
        </w:tabs>
        <w:autoSpaceDE w:val="0"/>
        <w:autoSpaceDN w:val="0"/>
        <w:adjustRightInd w:val="0"/>
        <w:spacing w:line="240" w:lineRule="auto"/>
        <w:ind w:left="720" w:firstLine="0"/>
        <w:jc w:val="both"/>
      </w:pPr>
    </w:p>
    <w:p w14:paraId="5E111B5F" w14:textId="3D1432FE" w:rsidR="009A6E2C" w:rsidRDefault="00794933" w:rsidP="00530777">
      <w:pPr>
        <w:pStyle w:val="ListParagraph"/>
        <w:numPr>
          <w:ilvl w:val="0"/>
          <w:numId w:val="51"/>
        </w:numPr>
        <w:tabs>
          <w:tab w:val="left" w:pos="720"/>
        </w:tabs>
        <w:autoSpaceDE w:val="0"/>
        <w:autoSpaceDN w:val="0"/>
        <w:adjustRightInd w:val="0"/>
        <w:spacing w:line="240" w:lineRule="auto"/>
        <w:jc w:val="both"/>
      </w:pPr>
      <w:r w:rsidRPr="00530777">
        <w:rPr>
          <w:b/>
          <w:i/>
        </w:rPr>
        <w:t xml:space="preserve">Strengthening performance </w:t>
      </w:r>
      <w:r w:rsidR="00114F5F" w:rsidRPr="00530777">
        <w:rPr>
          <w:b/>
          <w:i/>
        </w:rPr>
        <w:t>orientation of budget preparation and management</w:t>
      </w:r>
      <w:r w:rsidR="00114F5F" w:rsidRPr="00530777">
        <w:t xml:space="preserve"> </w:t>
      </w:r>
      <w:r w:rsidR="007515FE" w:rsidRPr="00530777">
        <w:t>is underway with a variety of budget reforms such as</w:t>
      </w:r>
      <w:r w:rsidR="00114F5F" w:rsidRPr="00530777">
        <w:t xml:space="preserve"> strengthening the </w:t>
      </w:r>
      <w:r w:rsidR="007515FE" w:rsidRPr="00530777">
        <w:t>m</w:t>
      </w:r>
      <w:r w:rsidR="00F14020" w:rsidRPr="00530777">
        <w:t>edium-</w:t>
      </w:r>
      <w:r w:rsidR="007515FE" w:rsidRPr="00530777">
        <w:t xml:space="preserve">term budget </w:t>
      </w:r>
      <w:r w:rsidR="00114F5F" w:rsidRPr="00530777">
        <w:t xml:space="preserve">and the </w:t>
      </w:r>
      <w:r w:rsidR="007515FE" w:rsidRPr="00530777">
        <w:t>M&amp;E</w:t>
      </w:r>
      <w:r w:rsidR="00114F5F" w:rsidRPr="00530777">
        <w:t xml:space="preserve"> </w:t>
      </w:r>
      <w:r w:rsidR="007515FE" w:rsidRPr="00530777">
        <w:t>systems</w:t>
      </w:r>
      <w:r w:rsidR="00114F5F" w:rsidRPr="00530777">
        <w:t xml:space="preserve">, and the shift to a Program Expenditure Classification Budget Structure </w:t>
      </w:r>
      <w:r w:rsidR="003E5B97">
        <w:t>with</w:t>
      </w:r>
      <w:r w:rsidR="003E5B97" w:rsidRPr="00530777">
        <w:t xml:space="preserve"> </w:t>
      </w:r>
      <w:r w:rsidR="00114F5F" w:rsidRPr="00530777">
        <w:t>appropriate performance indicators and targets. These involve building on previous progress with output budgeting to strengthen the focus on program strategies and outcomes in the budget structure in order to facilitate the linkage with planning and M&amp;E.</w:t>
      </w:r>
    </w:p>
    <w:p w14:paraId="0F459448" w14:textId="77777777" w:rsidR="009C10E5" w:rsidRPr="0058212E" w:rsidRDefault="009C10E5" w:rsidP="00530777">
      <w:pPr>
        <w:pStyle w:val="ListParagraph"/>
        <w:tabs>
          <w:tab w:val="left" w:pos="720"/>
        </w:tabs>
        <w:autoSpaceDE w:val="0"/>
        <w:autoSpaceDN w:val="0"/>
        <w:adjustRightInd w:val="0"/>
        <w:spacing w:line="240" w:lineRule="auto"/>
        <w:ind w:left="720" w:firstLine="0"/>
        <w:jc w:val="both"/>
      </w:pPr>
    </w:p>
    <w:p w14:paraId="53E3FFE6" w14:textId="7A1B0EA1" w:rsidR="00114F5F" w:rsidRPr="0058212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 xml:space="preserve">PFM </w:t>
      </w:r>
      <w:r w:rsidR="007515FE" w:rsidRPr="008B6071">
        <w:rPr>
          <w:b/>
          <w:i/>
        </w:rPr>
        <w:t>certificate program</w:t>
      </w:r>
      <w:r w:rsidRPr="00530777">
        <w:rPr>
          <w:b/>
          <w:i/>
        </w:rPr>
        <w:t>.</w:t>
      </w:r>
      <w:r w:rsidRPr="00530777">
        <w:t xml:space="preserve"> While policies, processes</w:t>
      </w:r>
      <w:r w:rsidR="007515FE" w:rsidRPr="00530777">
        <w:t>,</w:t>
      </w:r>
      <w:r w:rsidRPr="00530777">
        <w:t xml:space="preserve"> and systems are all important, equally so is the ability of Government staff at all levels to perform the tasks required for an effective PFM system. </w:t>
      </w:r>
      <w:r w:rsidR="003E5B97">
        <w:t>C</w:t>
      </w:r>
      <w:r w:rsidRPr="00530777">
        <w:t>apacity building is embedded into the implementation of all the individual reform initiatives above</w:t>
      </w:r>
      <w:r w:rsidR="003E5B97">
        <w:t>.</w:t>
      </w:r>
      <w:r w:rsidR="003E5B97" w:rsidRPr="00530777">
        <w:t xml:space="preserve"> </w:t>
      </w:r>
      <w:r w:rsidR="003E5B97">
        <w:t>I</w:t>
      </w:r>
      <w:r w:rsidR="003E5B97" w:rsidRPr="00530777">
        <w:t xml:space="preserve">t </w:t>
      </w:r>
      <w:r w:rsidRPr="00530777">
        <w:t>is also important to have a program in place to support skills and knowledge development on a systematic, ongoing basis.</w:t>
      </w:r>
      <w:r w:rsidR="003E5B97" w:rsidRPr="003E5B97">
        <w:t xml:space="preserve"> </w:t>
      </w:r>
      <w:r w:rsidR="003E5B97">
        <w:t>The Government has developed a PFM Competency Framework that maps the necessary skills, knowledge, and attitudes that must be developed in public financial managers across the bureaucracy. This was followed by the rollout of a PFM Certification Course as well as ongoing efforts to build a PFM Institute under Department of Budget and Management to serve as a permanent body for PFM-related training, certification, and other capacity development endeavors.</w:t>
      </w:r>
    </w:p>
    <w:p w14:paraId="6CDCEB2D" w14:textId="4145D481" w:rsidR="00114F5F" w:rsidRPr="0058212E" w:rsidRDefault="00114F5F" w:rsidP="0073584C">
      <w:pPr>
        <w:pStyle w:val="ListParagraph"/>
        <w:tabs>
          <w:tab w:val="left" w:pos="720"/>
        </w:tabs>
        <w:autoSpaceDE w:val="0"/>
        <w:autoSpaceDN w:val="0"/>
        <w:adjustRightInd w:val="0"/>
        <w:spacing w:after="0" w:line="240" w:lineRule="auto"/>
        <w:ind w:left="0" w:firstLine="0"/>
        <w:jc w:val="both"/>
      </w:pPr>
    </w:p>
    <w:p w14:paraId="72370845" w14:textId="13A16450" w:rsidR="00114F5F" w:rsidRPr="0058212E" w:rsidRDefault="009A6E2C" w:rsidP="0073584C">
      <w:pPr>
        <w:pStyle w:val="ListParagraph"/>
        <w:tabs>
          <w:tab w:val="left" w:pos="720"/>
        </w:tabs>
        <w:autoSpaceDE w:val="0"/>
        <w:autoSpaceDN w:val="0"/>
        <w:adjustRightInd w:val="0"/>
        <w:spacing w:after="0" w:line="240" w:lineRule="auto"/>
        <w:ind w:left="0" w:firstLine="0"/>
        <w:jc w:val="both"/>
      </w:pPr>
      <w:r w:rsidRPr="0058212E">
        <w:t xml:space="preserve">5.15. </w:t>
      </w:r>
      <w:r w:rsidRPr="0058212E">
        <w:tab/>
      </w:r>
      <w:r w:rsidR="007515FE">
        <w:t>The</w:t>
      </w:r>
      <w:r w:rsidR="00114F5F" w:rsidRPr="0058212E">
        <w:t xml:space="preserve"> 2014 updated and restructured </w:t>
      </w:r>
      <w:r w:rsidR="00114F5F" w:rsidRPr="0058212E">
        <w:rPr>
          <w:i/>
        </w:rPr>
        <w:t>Good Governance and Anti-Corruption Cabinet Cluster Action Plan 2013-2016</w:t>
      </w:r>
      <w:r w:rsidR="00114F5F" w:rsidRPr="0058212E">
        <w:t xml:space="preserve"> </w:t>
      </w:r>
      <w:r w:rsidR="007515FE">
        <w:t xml:space="preserve">also </w:t>
      </w:r>
      <w:r w:rsidR="00114F5F" w:rsidRPr="0058212E">
        <w:t xml:space="preserve">includes several PFM-related activities: </w:t>
      </w:r>
    </w:p>
    <w:p w14:paraId="444520B3" w14:textId="77777777" w:rsidR="00114F5F" w:rsidRPr="0058212E" w:rsidRDefault="00114F5F" w:rsidP="0073584C">
      <w:pPr>
        <w:pStyle w:val="ListParagraph"/>
        <w:tabs>
          <w:tab w:val="left" w:pos="720"/>
        </w:tabs>
        <w:autoSpaceDE w:val="0"/>
        <w:autoSpaceDN w:val="0"/>
        <w:adjustRightInd w:val="0"/>
        <w:spacing w:after="0" w:line="240" w:lineRule="auto"/>
        <w:ind w:left="0" w:firstLine="0"/>
        <w:jc w:val="both"/>
      </w:pPr>
    </w:p>
    <w:p w14:paraId="74752244" w14:textId="3F59E3F9" w:rsidR="009A6E2C"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CSO engagement in the National Budget Process</w:t>
      </w:r>
      <w:r w:rsidR="007515FE" w:rsidRPr="00530777">
        <w:rPr>
          <w:i/>
        </w:rPr>
        <w:t>.</w:t>
      </w:r>
      <w:r w:rsidR="007515FE" w:rsidRPr="009A6E2C">
        <w:t xml:space="preserve"> </w:t>
      </w:r>
      <w:r w:rsidRPr="009A6E2C">
        <w:t xml:space="preserve">Policy consultations and review of budget process </w:t>
      </w:r>
      <w:r w:rsidR="007515FE">
        <w:t xml:space="preserve">are </w:t>
      </w:r>
      <w:r w:rsidRPr="009A6E2C">
        <w:t>ongoing for participatory budgeting</w:t>
      </w:r>
      <w:r w:rsidR="007515FE">
        <w:t xml:space="preserve"> and j</w:t>
      </w:r>
      <w:r w:rsidR="007515FE" w:rsidRPr="009A6E2C">
        <w:t xml:space="preserve">oint </w:t>
      </w:r>
      <w:r w:rsidRPr="009A6E2C">
        <w:t>drafting of guidelines on CSO accreditation and release of funds to CSOs</w:t>
      </w:r>
      <w:r w:rsidR="007515FE">
        <w:t>.</w:t>
      </w:r>
    </w:p>
    <w:p w14:paraId="2BD097D3" w14:textId="77777777" w:rsidR="009A6E2C" w:rsidRDefault="009A6E2C" w:rsidP="0073584C">
      <w:pPr>
        <w:pStyle w:val="ListParagraph"/>
        <w:tabs>
          <w:tab w:val="left" w:pos="720"/>
        </w:tabs>
        <w:autoSpaceDE w:val="0"/>
        <w:autoSpaceDN w:val="0"/>
        <w:adjustRightInd w:val="0"/>
        <w:spacing w:line="240" w:lineRule="auto"/>
        <w:ind w:left="720" w:firstLine="0"/>
        <w:jc w:val="both"/>
      </w:pPr>
    </w:p>
    <w:p w14:paraId="101CF4BE" w14:textId="48F0C1AE" w:rsidR="009A6E2C" w:rsidRPr="007515F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Budget and Treasury Management System</w:t>
      </w:r>
      <w:r w:rsidR="00395CB9">
        <w:t xml:space="preserve"> is </w:t>
      </w:r>
      <w:r w:rsidR="00B645A0">
        <w:t xml:space="preserve">being developed </w:t>
      </w:r>
      <w:r w:rsidR="00395CB9">
        <w:t xml:space="preserve">for DBM and BTr </w:t>
      </w:r>
      <w:r w:rsidR="00B645A0">
        <w:t>operations with the target to go live by</w:t>
      </w:r>
      <w:r w:rsidR="00395CB9">
        <w:t xml:space="preserve"> January 2017</w:t>
      </w:r>
      <w:r w:rsidR="00B645A0">
        <w:t>. Subsequently, it is to be rolled out</w:t>
      </w:r>
      <w:r w:rsidR="00395CB9">
        <w:t xml:space="preserve"> to all agencies, subject to the procurement of additional software licenses. </w:t>
      </w:r>
    </w:p>
    <w:p w14:paraId="2AA19779" w14:textId="77777777" w:rsidR="009A6E2C" w:rsidRPr="00530777" w:rsidRDefault="009A6E2C" w:rsidP="00530777">
      <w:pPr>
        <w:pStyle w:val="ListParagraph"/>
        <w:tabs>
          <w:tab w:val="left" w:pos="720"/>
        </w:tabs>
        <w:autoSpaceDE w:val="0"/>
        <w:autoSpaceDN w:val="0"/>
        <w:adjustRightInd w:val="0"/>
        <w:spacing w:line="240" w:lineRule="auto"/>
        <w:ind w:left="720" w:firstLine="0"/>
        <w:jc w:val="both"/>
      </w:pPr>
    </w:p>
    <w:p w14:paraId="3C30CDF9" w14:textId="5742FC69" w:rsidR="009A6E2C" w:rsidRPr="007515F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 xml:space="preserve">Comprehensive Human Resource Information System </w:t>
      </w:r>
      <w:r w:rsidR="00AB573C" w:rsidRPr="00530777">
        <w:rPr>
          <w:b/>
          <w:i/>
        </w:rPr>
        <w:t>and</w:t>
      </w:r>
      <w:r w:rsidRPr="00530777">
        <w:rPr>
          <w:b/>
          <w:i/>
        </w:rPr>
        <w:t xml:space="preserve"> National Payroll System</w:t>
      </w:r>
      <w:r w:rsidR="00395CB9">
        <w:t xml:space="preserve"> </w:t>
      </w:r>
      <w:r w:rsidRPr="007515FE">
        <w:t xml:space="preserve">will be </w:t>
      </w:r>
      <w:r w:rsidR="00B645A0">
        <w:t>forthcoming</w:t>
      </w:r>
      <w:r w:rsidR="00B645A0" w:rsidRPr="007515FE">
        <w:t xml:space="preserve"> </w:t>
      </w:r>
      <w:r w:rsidRPr="007515FE">
        <w:t>in the form of updating the Government Manpower Information System</w:t>
      </w:r>
      <w:r w:rsidR="00395CB9">
        <w:t>.</w:t>
      </w:r>
    </w:p>
    <w:p w14:paraId="2D2B95C8" w14:textId="77777777" w:rsidR="009A6E2C" w:rsidRPr="007515FE" w:rsidRDefault="009A6E2C" w:rsidP="00530777">
      <w:pPr>
        <w:pStyle w:val="ListParagraph"/>
        <w:tabs>
          <w:tab w:val="left" w:pos="720"/>
        </w:tabs>
        <w:autoSpaceDE w:val="0"/>
        <w:autoSpaceDN w:val="0"/>
        <w:adjustRightInd w:val="0"/>
        <w:spacing w:line="240" w:lineRule="auto"/>
        <w:ind w:left="720" w:firstLine="0"/>
        <w:jc w:val="both"/>
      </w:pPr>
    </w:p>
    <w:p w14:paraId="7C26943E" w14:textId="69E9C6BD" w:rsidR="009A6E2C" w:rsidRPr="007515F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 xml:space="preserve">Local Government Unit </w:t>
      </w:r>
      <w:r w:rsidR="00395CB9" w:rsidRPr="00530777">
        <w:rPr>
          <w:b/>
          <w:i/>
        </w:rPr>
        <w:t>PFM</w:t>
      </w:r>
      <w:r w:rsidRPr="00530777">
        <w:rPr>
          <w:b/>
          <w:i/>
        </w:rPr>
        <w:t xml:space="preserve"> project</w:t>
      </w:r>
      <w:r w:rsidRPr="007515FE">
        <w:t xml:space="preserve"> provides </w:t>
      </w:r>
      <w:r w:rsidR="006F78DF" w:rsidRPr="00530777">
        <w:t>local government units</w:t>
      </w:r>
      <w:r w:rsidRPr="00530777">
        <w:t xml:space="preserve"> with strategic directions to strengthen their PFM system toward improved revenue generation and expenditure management. The strategy </w:t>
      </w:r>
      <w:r w:rsidR="00395CB9">
        <w:t>requires</w:t>
      </w:r>
      <w:r w:rsidRPr="00530777">
        <w:t xml:space="preserve"> the implementation of an LGU PFM improvement plan as a precondition to access </w:t>
      </w:r>
      <w:r w:rsidR="00B645A0">
        <w:t xml:space="preserve">funds through </w:t>
      </w:r>
      <w:r w:rsidR="00622056" w:rsidRPr="00530777">
        <w:t>bottom-up budgeting</w:t>
      </w:r>
      <w:r w:rsidRPr="00530777">
        <w:t xml:space="preserve"> and various other </w:t>
      </w:r>
      <w:r w:rsidR="00DB59D9" w:rsidRPr="00530777">
        <w:t>national government</w:t>
      </w:r>
      <w:r w:rsidR="00622056" w:rsidRPr="00530777">
        <w:t xml:space="preserve"> </w:t>
      </w:r>
      <w:r w:rsidRPr="00530777">
        <w:t>assistance programs</w:t>
      </w:r>
      <w:r w:rsidR="00395CB9">
        <w:t>.</w:t>
      </w:r>
      <w:r w:rsidR="00395CB9" w:rsidRPr="00530777">
        <w:t xml:space="preserve"> </w:t>
      </w:r>
    </w:p>
    <w:p w14:paraId="1FD209AA" w14:textId="77777777" w:rsidR="009A6E2C" w:rsidRPr="00530777" w:rsidRDefault="009A6E2C" w:rsidP="00530777">
      <w:pPr>
        <w:pStyle w:val="ListParagraph"/>
        <w:tabs>
          <w:tab w:val="left" w:pos="720"/>
        </w:tabs>
        <w:autoSpaceDE w:val="0"/>
        <w:autoSpaceDN w:val="0"/>
        <w:adjustRightInd w:val="0"/>
        <w:spacing w:line="240" w:lineRule="auto"/>
        <w:ind w:left="720" w:firstLine="0"/>
        <w:jc w:val="both"/>
      </w:pPr>
    </w:p>
    <w:p w14:paraId="1CC6A8D1" w14:textId="3286C1FB" w:rsidR="009A6E2C" w:rsidRPr="007515F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Open data</w:t>
      </w:r>
      <w:r w:rsidR="00395CB9" w:rsidRPr="00530777">
        <w:rPr>
          <w:b/>
          <w:i/>
        </w:rPr>
        <w:t>.</w:t>
      </w:r>
      <w:r w:rsidRPr="007515FE">
        <w:t xml:space="preserve"> </w:t>
      </w:r>
      <w:r w:rsidR="00395CB9">
        <w:t xml:space="preserve">The </w:t>
      </w:r>
      <w:r w:rsidR="006B32CD" w:rsidRPr="007515FE">
        <w:t>Department of Budget and Management</w:t>
      </w:r>
      <w:r w:rsidRPr="007515FE">
        <w:t xml:space="preserve"> </w:t>
      </w:r>
      <w:r w:rsidR="00395CB9">
        <w:t xml:space="preserve">improved openness and transparency by making </w:t>
      </w:r>
      <w:r w:rsidRPr="007515FE">
        <w:t xml:space="preserve">the 2015 </w:t>
      </w:r>
      <w:r w:rsidR="00B97E18" w:rsidRPr="007515FE">
        <w:t>Government</w:t>
      </w:r>
      <w:r w:rsidRPr="007515FE">
        <w:t xml:space="preserve"> budget and other documents available on</w:t>
      </w:r>
      <w:r w:rsidR="00B645A0">
        <w:t xml:space="preserve">line at </w:t>
      </w:r>
      <w:hyperlink r:id="rId31" w:history="1">
        <w:r w:rsidR="00B645A0" w:rsidRPr="00CE7B7B">
          <w:rPr>
            <w:rStyle w:val="Hyperlink"/>
          </w:rPr>
          <w:t>http://data.gov.ph</w:t>
        </w:r>
      </w:hyperlink>
      <w:r w:rsidR="00B645A0">
        <w:t xml:space="preserve">. </w:t>
      </w:r>
      <w:r w:rsidRPr="007515FE">
        <w:t xml:space="preserve"> </w:t>
      </w:r>
      <w:r w:rsidR="00395CB9">
        <w:t xml:space="preserve"> </w:t>
      </w:r>
      <w:r w:rsidRPr="007515FE">
        <w:t xml:space="preserve"> </w:t>
      </w:r>
    </w:p>
    <w:p w14:paraId="205DB19D" w14:textId="77777777" w:rsidR="009A6E2C" w:rsidRPr="00530777" w:rsidRDefault="009A6E2C" w:rsidP="00530777">
      <w:pPr>
        <w:pStyle w:val="ListParagraph"/>
        <w:tabs>
          <w:tab w:val="left" w:pos="720"/>
        </w:tabs>
        <w:autoSpaceDE w:val="0"/>
        <w:autoSpaceDN w:val="0"/>
        <w:adjustRightInd w:val="0"/>
        <w:spacing w:line="240" w:lineRule="auto"/>
        <w:ind w:left="720" w:firstLine="0"/>
        <w:jc w:val="both"/>
      </w:pPr>
    </w:p>
    <w:p w14:paraId="44B97BFD" w14:textId="6B84191C" w:rsidR="009A6E2C" w:rsidRPr="007515F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Bottom-</w:t>
      </w:r>
      <w:r w:rsidR="00395CB9" w:rsidRPr="00530777">
        <w:rPr>
          <w:b/>
          <w:i/>
        </w:rPr>
        <w:t>up budgeting</w:t>
      </w:r>
      <w:r w:rsidRPr="00530777">
        <w:t xml:space="preserve"> </w:t>
      </w:r>
      <w:r w:rsidR="009C10E5">
        <w:t>engages</w:t>
      </w:r>
      <w:r w:rsidRPr="007515FE">
        <w:t xml:space="preserve"> municipalities in preparing community-level poverty reduction plans</w:t>
      </w:r>
      <w:r w:rsidR="009C10E5">
        <w:t>,</w:t>
      </w:r>
      <w:r w:rsidRPr="007515FE">
        <w:t xml:space="preserve"> which are funded by the </w:t>
      </w:r>
      <w:r w:rsidR="009C10E5">
        <w:t>b</w:t>
      </w:r>
      <w:r w:rsidR="009C10E5" w:rsidRPr="007515FE">
        <w:t>udget</w:t>
      </w:r>
      <w:r w:rsidRPr="007515FE">
        <w:t>.</w:t>
      </w:r>
    </w:p>
    <w:p w14:paraId="2FC0A424" w14:textId="77777777" w:rsidR="009A6E2C" w:rsidRPr="00530777" w:rsidRDefault="009A6E2C" w:rsidP="00530777">
      <w:pPr>
        <w:pStyle w:val="ListParagraph"/>
        <w:tabs>
          <w:tab w:val="left" w:pos="720"/>
        </w:tabs>
        <w:autoSpaceDE w:val="0"/>
        <w:autoSpaceDN w:val="0"/>
        <w:adjustRightInd w:val="0"/>
        <w:spacing w:line="240" w:lineRule="auto"/>
        <w:ind w:left="720" w:firstLine="0"/>
        <w:jc w:val="both"/>
      </w:pPr>
    </w:p>
    <w:p w14:paraId="7988657C" w14:textId="45C437B7" w:rsidR="00FD05D3" w:rsidRPr="007515FE" w:rsidRDefault="00114F5F" w:rsidP="00530777">
      <w:pPr>
        <w:pStyle w:val="ListParagraph"/>
        <w:numPr>
          <w:ilvl w:val="0"/>
          <w:numId w:val="51"/>
        </w:numPr>
        <w:tabs>
          <w:tab w:val="left" w:pos="720"/>
        </w:tabs>
        <w:autoSpaceDE w:val="0"/>
        <w:autoSpaceDN w:val="0"/>
        <w:adjustRightInd w:val="0"/>
        <w:spacing w:line="240" w:lineRule="auto"/>
        <w:jc w:val="both"/>
      </w:pPr>
      <w:r w:rsidRPr="00530777">
        <w:rPr>
          <w:b/>
          <w:i/>
        </w:rPr>
        <w:t>Philippine Government Electronic Procurement System (PhilGEPS</w:t>
      </w:r>
      <w:r w:rsidRPr="00530777">
        <w:rPr>
          <w:i/>
        </w:rPr>
        <w:t>)</w:t>
      </w:r>
      <w:r w:rsidR="009C10E5" w:rsidRPr="00530777">
        <w:rPr>
          <w:i/>
        </w:rPr>
        <w:t>.</w:t>
      </w:r>
      <w:r w:rsidRPr="00530777">
        <w:t xml:space="preserve"> </w:t>
      </w:r>
      <w:r w:rsidR="009C10E5">
        <w:t>S</w:t>
      </w:r>
      <w:r w:rsidRPr="007515FE">
        <w:t xml:space="preserve">ystem requirement study </w:t>
      </w:r>
      <w:r w:rsidR="009C10E5">
        <w:t xml:space="preserve">has been completed, and </w:t>
      </w:r>
      <w:r w:rsidRPr="007515FE">
        <w:t xml:space="preserve">the detailed </w:t>
      </w:r>
      <w:r w:rsidR="009C10E5">
        <w:t>s</w:t>
      </w:r>
      <w:r w:rsidR="009C10E5" w:rsidRPr="007515FE">
        <w:t xml:space="preserve">pecifications </w:t>
      </w:r>
      <w:r w:rsidR="009C10E5">
        <w:t>d</w:t>
      </w:r>
      <w:r w:rsidR="009C10E5" w:rsidRPr="007515FE">
        <w:t>ocument</w:t>
      </w:r>
      <w:r w:rsidR="009C10E5">
        <w:t xml:space="preserve"> has been developed</w:t>
      </w:r>
      <w:r w:rsidRPr="007515FE">
        <w:t xml:space="preserve">. System testing </w:t>
      </w:r>
      <w:r w:rsidR="009C10E5">
        <w:t xml:space="preserve">is </w:t>
      </w:r>
      <w:r w:rsidRPr="007515FE">
        <w:t xml:space="preserve">ongoing. </w:t>
      </w:r>
    </w:p>
    <w:p w14:paraId="1ECBDD35" w14:textId="146B1A8A" w:rsidR="00FD05D3" w:rsidRPr="005A497D" w:rsidRDefault="001112A1" w:rsidP="00411651">
      <w:pPr>
        <w:pStyle w:val="Heading3"/>
      </w:pPr>
      <w:bookmarkStart w:id="294" w:name="_Toc454811733"/>
      <w:bookmarkStart w:id="295" w:name="_Toc454888877"/>
      <w:r w:rsidRPr="00B54286">
        <w:t xml:space="preserve">5.3 </w:t>
      </w:r>
      <w:r w:rsidR="00FD05D3" w:rsidRPr="00B54286">
        <w:t xml:space="preserve">Institutional </w:t>
      </w:r>
      <w:r w:rsidR="002905FF" w:rsidRPr="00B54286">
        <w:t>Considerations</w:t>
      </w:r>
      <w:bookmarkEnd w:id="294"/>
      <w:bookmarkEnd w:id="295"/>
    </w:p>
    <w:p w14:paraId="78735CBB" w14:textId="77777777" w:rsidR="000B0F5F" w:rsidRDefault="000B0F5F" w:rsidP="000B0F5F">
      <w:pPr>
        <w:pStyle w:val="ListParagraph"/>
        <w:tabs>
          <w:tab w:val="left" w:pos="720"/>
        </w:tabs>
        <w:autoSpaceDE w:val="0"/>
        <w:autoSpaceDN w:val="0"/>
        <w:adjustRightInd w:val="0"/>
        <w:spacing w:after="0" w:line="240" w:lineRule="auto"/>
        <w:ind w:left="0" w:firstLine="0"/>
        <w:jc w:val="both"/>
      </w:pPr>
    </w:p>
    <w:p w14:paraId="0B86928D" w14:textId="553E56B4" w:rsidR="009A6E2C" w:rsidRDefault="00114F5F" w:rsidP="005A03CD">
      <w:pPr>
        <w:pStyle w:val="ListParagraph"/>
        <w:numPr>
          <w:ilvl w:val="0"/>
          <w:numId w:val="35"/>
        </w:numPr>
        <w:tabs>
          <w:tab w:val="left" w:pos="720"/>
        </w:tabs>
        <w:autoSpaceDE w:val="0"/>
        <w:autoSpaceDN w:val="0"/>
        <w:adjustRightInd w:val="0"/>
        <w:spacing w:after="0" w:line="240" w:lineRule="auto"/>
        <w:ind w:left="0" w:firstLine="0"/>
        <w:jc w:val="both"/>
      </w:pPr>
      <w:r w:rsidRPr="00F45A73">
        <w:t xml:space="preserve">The PFM </w:t>
      </w:r>
      <w:r>
        <w:t>R</w:t>
      </w:r>
      <w:r w:rsidRPr="00F45A73">
        <w:t xml:space="preserve">eform </w:t>
      </w:r>
      <w:r>
        <w:t>P</w:t>
      </w:r>
      <w:r w:rsidRPr="00F45A73">
        <w:t xml:space="preserve">rogram is led </w:t>
      </w:r>
      <w:r>
        <w:t xml:space="preserve">and owned </w:t>
      </w:r>
      <w:r w:rsidRPr="00F45A73">
        <w:t xml:space="preserve">by the </w:t>
      </w:r>
      <w:r w:rsidR="00B97E18">
        <w:t>Government</w:t>
      </w:r>
      <w:r w:rsidR="00C818D8">
        <w:t xml:space="preserve"> of the Philippines. The Government has set out clear goals </w:t>
      </w:r>
      <w:r w:rsidRPr="00F45A73">
        <w:t>in the PFM Reform Roadmap and the updated GGAC Cabinet Cluster Action Plan for improving the PFM system</w:t>
      </w:r>
      <w:r w:rsidR="008D7A1F">
        <w:t>.</w:t>
      </w:r>
      <w:r>
        <w:t xml:space="preserve"> </w:t>
      </w:r>
      <w:r w:rsidR="008D7A1F">
        <w:t xml:space="preserve">The </w:t>
      </w:r>
      <w:r w:rsidRPr="00F45A73">
        <w:t xml:space="preserve">PFM reform enjoyed strong political backing from the Office of the President. </w:t>
      </w:r>
    </w:p>
    <w:p w14:paraId="5667CEFE" w14:textId="77777777" w:rsidR="009A6E2C" w:rsidRDefault="009A6E2C" w:rsidP="009A6E2C">
      <w:pPr>
        <w:pStyle w:val="ListParagraph"/>
        <w:tabs>
          <w:tab w:val="left" w:pos="720"/>
        </w:tabs>
        <w:autoSpaceDE w:val="0"/>
        <w:autoSpaceDN w:val="0"/>
        <w:adjustRightInd w:val="0"/>
        <w:spacing w:after="0" w:line="240" w:lineRule="auto"/>
        <w:ind w:left="0" w:firstLine="0"/>
        <w:jc w:val="both"/>
      </w:pPr>
    </w:p>
    <w:p w14:paraId="21523D58" w14:textId="512A9A93" w:rsidR="0085654D" w:rsidRPr="009A6E2C" w:rsidRDefault="0085654D" w:rsidP="0085654D">
      <w:pPr>
        <w:pStyle w:val="ListParagraph"/>
        <w:numPr>
          <w:ilvl w:val="0"/>
          <w:numId w:val="35"/>
        </w:numPr>
        <w:tabs>
          <w:tab w:val="left" w:pos="720"/>
        </w:tabs>
        <w:autoSpaceDE w:val="0"/>
        <w:autoSpaceDN w:val="0"/>
        <w:adjustRightInd w:val="0"/>
        <w:spacing w:after="0" w:line="240" w:lineRule="auto"/>
        <w:ind w:left="0" w:firstLine="0"/>
        <w:jc w:val="both"/>
      </w:pPr>
      <w:r w:rsidRPr="009A6E2C">
        <w:rPr>
          <w:lang w:eastAsia="en-IN"/>
        </w:rPr>
        <w:t xml:space="preserve">The support </w:t>
      </w:r>
      <w:r>
        <w:rPr>
          <w:lang w:eastAsia="en-IN"/>
        </w:rPr>
        <w:t xml:space="preserve">of the development partners </w:t>
      </w:r>
      <w:r w:rsidRPr="009A6E2C">
        <w:rPr>
          <w:lang w:eastAsia="en-IN"/>
        </w:rPr>
        <w:t>is generally relevant to and aligned with</w:t>
      </w:r>
      <w:r>
        <w:rPr>
          <w:lang w:eastAsia="en-IN"/>
        </w:rPr>
        <w:t xml:space="preserve"> the</w:t>
      </w:r>
      <w:r w:rsidRPr="009A6E2C">
        <w:rPr>
          <w:lang w:eastAsia="en-IN"/>
        </w:rPr>
        <w:t xml:space="preserve"> </w:t>
      </w:r>
      <w:r>
        <w:rPr>
          <w:lang w:eastAsia="en-IN"/>
        </w:rPr>
        <w:t>needs of the Government</w:t>
      </w:r>
      <w:r w:rsidRPr="009A6E2C">
        <w:rPr>
          <w:lang w:eastAsia="en-IN"/>
        </w:rPr>
        <w:t xml:space="preserve"> </w:t>
      </w:r>
      <w:r>
        <w:rPr>
          <w:lang w:eastAsia="en-IN"/>
        </w:rPr>
        <w:t>of the Philippines</w:t>
      </w:r>
      <w:r w:rsidRPr="009A6E2C">
        <w:rPr>
          <w:lang w:eastAsia="en-IN"/>
        </w:rPr>
        <w:t xml:space="preserve">. </w:t>
      </w:r>
      <w:r>
        <w:rPr>
          <w:lang w:eastAsia="en-IN"/>
        </w:rPr>
        <w:t>Development partners are supporting the Government’s PFM reform through the following activities:</w:t>
      </w:r>
    </w:p>
    <w:p w14:paraId="79C138A7" w14:textId="2B961001" w:rsidR="0085654D" w:rsidRDefault="0085654D" w:rsidP="00530777">
      <w:pPr>
        <w:tabs>
          <w:tab w:val="left" w:pos="720"/>
        </w:tabs>
        <w:autoSpaceDE w:val="0"/>
        <w:autoSpaceDN w:val="0"/>
        <w:adjustRightInd w:val="0"/>
        <w:jc w:val="both"/>
        <w:rPr>
          <w:lang w:eastAsia="en-IN"/>
        </w:rPr>
      </w:pPr>
    </w:p>
    <w:p w14:paraId="5CB61AC6" w14:textId="7D3B5897" w:rsidR="0085654D" w:rsidRPr="00530777" w:rsidRDefault="0085654D" w:rsidP="007378F0">
      <w:pPr>
        <w:pStyle w:val="ListParagraph"/>
        <w:numPr>
          <w:ilvl w:val="0"/>
          <w:numId w:val="54"/>
        </w:numPr>
        <w:tabs>
          <w:tab w:val="left" w:pos="720"/>
        </w:tabs>
        <w:autoSpaceDE w:val="0"/>
        <w:autoSpaceDN w:val="0"/>
        <w:adjustRightInd w:val="0"/>
        <w:spacing w:after="120" w:line="240" w:lineRule="auto"/>
        <w:ind w:left="1267"/>
        <w:contextualSpacing w:val="0"/>
        <w:jc w:val="both"/>
        <w:rPr>
          <w:sz w:val="20"/>
          <w:szCs w:val="20"/>
        </w:rPr>
      </w:pPr>
      <w:r w:rsidRPr="00530777">
        <w:rPr>
          <w:b/>
          <w:sz w:val="20"/>
          <w:szCs w:val="20"/>
        </w:rPr>
        <w:t>DFAT/Australian Aid</w:t>
      </w:r>
      <w:r w:rsidRPr="00530777">
        <w:rPr>
          <w:sz w:val="20"/>
          <w:szCs w:val="20"/>
        </w:rPr>
        <w:t xml:space="preserve"> supports </w:t>
      </w:r>
      <w:r w:rsidR="00492CBF">
        <w:rPr>
          <w:sz w:val="20"/>
          <w:szCs w:val="20"/>
        </w:rPr>
        <w:t>the Department of Budget and Management</w:t>
      </w:r>
      <w:r w:rsidRPr="00530777">
        <w:rPr>
          <w:sz w:val="20"/>
          <w:szCs w:val="20"/>
        </w:rPr>
        <w:t xml:space="preserve"> in coordinating and implementing the PFM Reform Roadmap (</w:t>
      </w:r>
      <w:r w:rsidR="00492CBF">
        <w:rPr>
          <w:sz w:val="20"/>
          <w:szCs w:val="20"/>
        </w:rPr>
        <w:t>through</w:t>
      </w:r>
      <w:r w:rsidRPr="00530777">
        <w:rPr>
          <w:sz w:val="20"/>
          <w:szCs w:val="20"/>
        </w:rPr>
        <w:t xml:space="preserve"> DBM-based project management office, TSA design, UACS design, and conceptual design o</w:t>
      </w:r>
      <w:r w:rsidR="00492CBF" w:rsidRPr="00725B56">
        <w:rPr>
          <w:sz w:val="20"/>
          <w:szCs w:val="20"/>
        </w:rPr>
        <w:t>f GIFMIS Track II);</w:t>
      </w:r>
      <w:r w:rsidRPr="00530777">
        <w:rPr>
          <w:sz w:val="20"/>
          <w:szCs w:val="20"/>
        </w:rPr>
        <w:t xml:space="preserve"> support to national government agencies (</w:t>
      </w:r>
      <w:r w:rsidRPr="000D0E8D">
        <w:rPr>
          <w:i/>
          <w:sz w:val="20"/>
          <w:szCs w:val="20"/>
        </w:rPr>
        <w:t>e</w:t>
      </w:r>
      <w:r w:rsidRPr="00530777">
        <w:rPr>
          <w:sz w:val="20"/>
          <w:szCs w:val="20"/>
        </w:rPr>
        <w:t>NGAS in DPWH, internal audit in DepEd, FMIS in DepEd, and internal cont</w:t>
      </w:r>
      <w:r w:rsidR="00492CBF" w:rsidRPr="00725B56">
        <w:rPr>
          <w:sz w:val="20"/>
          <w:szCs w:val="20"/>
        </w:rPr>
        <w:t>rol and internal audit in DSWD);</w:t>
      </w:r>
      <w:r w:rsidRPr="00530777">
        <w:rPr>
          <w:sz w:val="20"/>
          <w:szCs w:val="20"/>
        </w:rPr>
        <w:t xml:space="preserve"> and support for external oversight (citizen participation in audit, cooperation between Congress and Commission on Audit, and CSO engagement in the budget process). </w:t>
      </w:r>
    </w:p>
    <w:p w14:paraId="7EE290B8" w14:textId="5686250E" w:rsidR="00492CBF" w:rsidRPr="00530777" w:rsidRDefault="0085654D" w:rsidP="007378F0">
      <w:pPr>
        <w:pStyle w:val="ListParagraph"/>
        <w:numPr>
          <w:ilvl w:val="0"/>
          <w:numId w:val="54"/>
        </w:numPr>
        <w:tabs>
          <w:tab w:val="left" w:pos="720"/>
        </w:tabs>
        <w:autoSpaceDE w:val="0"/>
        <w:autoSpaceDN w:val="0"/>
        <w:adjustRightInd w:val="0"/>
        <w:spacing w:after="120" w:line="240" w:lineRule="auto"/>
        <w:ind w:left="1267"/>
        <w:contextualSpacing w:val="0"/>
        <w:jc w:val="both"/>
        <w:rPr>
          <w:sz w:val="20"/>
          <w:szCs w:val="20"/>
        </w:rPr>
      </w:pPr>
      <w:r w:rsidRPr="00530777">
        <w:rPr>
          <w:b/>
          <w:sz w:val="20"/>
          <w:szCs w:val="20"/>
        </w:rPr>
        <w:t xml:space="preserve">Asian Development Bank </w:t>
      </w:r>
      <w:r w:rsidRPr="00530777">
        <w:rPr>
          <w:sz w:val="20"/>
          <w:szCs w:val="20"/>
        </w:rPr>
        <w:t xml:space="preserve">has earlier supported </w:t>
      </w:r>
      <w:r w:rsidR="00492CBF">
        <w:rPr>
          <w:sz w:val="20"/>
          <w:szCs w:val="20"/>
        </w:rPr>
        <w:t>several</w:t>
      </w:r>
      <w:r w:rsidRPr="00530777">
        <w:rPr>
          <w:sz w:val="20"/>
          <w:szCs w:val="20"/>
        </w:rPr>
        <w:t xml:space="preserve"> initiatives, including public-private partnerships, capacity development as well as liquidity management in Bureau of Internal Revenue, treasury operations and capital market reforms in Bureau of </w:t>
      </w:r>
      <w:r w:rsidR="007378F0">
        <w:rPr>
          <w:sz w:val="20"/>
          <w:szCs w:val="20"/>
        </w:rPr>
        <w:t xml:space="preserve">the </w:t>
      </w:r>
      <w:r w:rsidRPr="00530777">
        <w:rPr>
          <w:sz w:val="20"/>
          <w:szCs w:val="20"/>
        </w:rPr>
        <w:t>Treasury, data management for performance reporting</w:t>
      </w:r>
      <w:r w:rsidR="00492CBF" w:rsidRPr="00530777">
        <w:rPr>
          <w:sz w:val="20"/>
          <w:szCs w:val="20"/>
        </w:rPr>
        <w:t>,</w:t>
      </w:r>
      <w:r w:rsidRPr="00530777">
        <w:rPr>
          <w:sz w:val="20"/>
          <w:szCs w:val="20"/>
        </w:rPr>
        <w:t xml:space="preserve"> assessment in </w:t>
      </w:r>
      <w:r w:rsidR="00492CBF" w:rsidRPr="00530777">
        <w:rPr>
          <w:sz w:val="20"/>
          <w:szCs w:val="20"/>
        </w:rPr>
        <w:t>Department of Budget and Management</w:t>
      </w:r>
      <w:r w:rsidRPr="00530777">
        <w:rPr>
          <w:sz w:val="20"/>
          <w:szCs w:val="20"/>
        </w:rPr>
        <w:t xml:space="preserve">, and LGU finance and fiscal decentralization reform. </w:t>
      </w:r>
    </w:p>
    <w:p w14:paraId="0EDDC0F6" w14:textId="77777777" w:rsidR="00492CBF" w:rsidRPr="00530777" w:rsidRDefault="0085654D" w:rsidP="007378F0">
      <w:pPr>
        <w:pStyle w:val="ListParagraph"/>
        <w:numPr>
          <w:ilvl w:val="0"/>
          <w:numId w:val="54"/>
        </w:numPr>
        <w:tabs>
          <w:tab w:val="left" w:pos="720"/>
        </w:tabs>
        <w:autoSpaceDE w:val="0"/>
        <w:autoSpaceDN w:val="0"/>
        <w:adjustRightInd w:val="0"/>
        <w:spacing w:after="120" w:line="240" w:lineRule="auto"/>
        <w:ind w:left="1267"/>
        <w:contextualSpacing w:val="0"/>
        <w:jc w:val="both"/>
        <w:rPr>
          <w:sz w:val="20"/>
          <w:szCs w:val="20"/>
        </w:rPr>
      </w:pPr>
      <w:r w:rsidRPr="00530777">
        <w:rPr>
          <w:b/>
          <w:sz w:val="20"/>
          <w:szCs w:val="20"/>
        </w:rPr>
        <w:t>European Union</w:t>
      </w:r>
      <w:r w:rsidRPr="00530777">
        <w:rPr>
          <w:sz w:val="20"/>
          <w:szCs w:val="20"/>
        </w:rPr>
        <w:t xml:space="preserve"> </w:t>
      </w:r>
      <w:r w:rsidR="00492CBF" w:rsidRPr="00530777">
        <w:rPr>
          <w:sz w:val="20"/>
          <w:szCs w:val="20"/>
        </w:rPr>
        <w:t>supports</w:t>
      </w:r>
      <w:r w:rsidRPr="00530777">
        <w:rPr>
          <w:sz w:val="20"/>
          <w:szCs w:val="20"/>
        </w:rPr>
        <w:t xml:space="preserve"> DBM and DILG</w:t>
      </w:r>
      <w:r w:rsidR="00492CBF" w:rsidRPr="00530777">
        <w:rPr>
          <w:sz w:val="20"/>
          <w:szCs w:val="20"/>
        </w:rPr>
        <w:t xml:space="preserve"> activities</w:t>
      </w:r>
      <w:r w:rsidRPr="00530777">
        <w:rPr>
          <w:sz w:val="20"/>
          <w:szCs w:val="20"/>
        </w:rPr>
        <w:t xml:space="preserve"> in strengthening PFM in </w:t>
      </w:r>
      <w:r w:rsidR="00492CBF" w:rsidRPr="00530777">
        <w:rPr>
          <w:sz w:val="20"/>
          <w:szCs w:val="20"/>
        </w:rPr>
        <w:t>local government units.</w:t>
      </w:r>
      <w:r w:rsidRPr="00530777">
        <w:rPr>
          <w:sz w:val="20"/>
          <w:szCs w:val="20"/>
        </w:rPr>
        <w:t xml:space="preserve"> </w:t>
      </w:r>
    </w:p>
    <w:p w14:paraId="789230FE" w14:textId="77777777" w:rsidR="00492CBF" w:rsidRPr="00530777" w:rsidRDefault="0085654D" w:rsidP="007378F0">
      <w:pPr>
        <w:pStyle w:val="ListParagraph"/>
        <w:numPr>
          <w:ilvl w:val="0"/>
          <w:numId w:val="54"/>
        </w:numPr>
        <w:tabs>
          <w:tab w:val="left" w:pos="720"/>
        </w:tabs>
        <w:autoSpaceDE w:val="0"/>
        <w:autoSpaceDN w:val="0"/>
        <w:adjustRightInd w:val="0"/>
        <w:spacing w:after="120" w:line="240" w:lineRule="auto"/>
        <w:ind w:left="1267"/>
        <w:contextualSpacing w:val="0"/>
        <w:jc w:val="both"/>
        <w:rPr>
          <w:sz w:val="20"/>
          <w:szCs w:val="20"/>
        </w:rPr>
      </w:pPr>
      <w:r w:rsidRPr="00530777">
        <w:rPr>
          <w:b/>
          <w:sz w:val="20"/>
          <w:szCs w:val="20"/>
        </w:rPr>
        <w:t>IMF</w:t>
      </w:r>
      <w:r w:rsidRPr="00530777">
        <w:rPr>
          <w:sz w:val="20"/>
          <w:szCs w:val="20"/>
        </w:rPr>
        <w:t xml:space="preserve"> has provided technical assistance to strengthen BI</w:t>
      </w:r>
      <w:r w:rsidR="00492CBF" w:rsidRPr="00530777">
        <w:rPr>
          <w:sz w:val="20"/>
          <w:szCs w:val="20"/>
        </w:rPr>
        <w:t>R tax policy and administration</w:t>
      </w:r>
      <w:r w:rsidRPr="00530777">
        <w:rPr>
          <w:sz w:val="20"/>
          <w:szCs w:val="20"/>
        </w:rPr>
        <w:t xml:space="preserve"> and has also supported the drafting of the PFM Framework Law. </w:t>
      </w:r>
    </w:p>
    <w:p w14:paraId="3A7DBD55" w14:textId="73488125" w:rsidR="00492CBF" w:rsidRPr="00530777" w:rsidRDefault="00492CBF" w:rsidP="007378F0">
      <w:pPr>
        <w:pStyle w:val="ListParagraph"/>
        <w:numPr>
          <w:ilvl w:val="0"/>
          <w:numId w:val="54"/>
        </w:numPr>
        <w:tabs>
          <w:tab w:val="left" w:pos="720"/>
        </w:tabs>
        <w:autoSpaceDE w:val="0"/>
        <w:autoSpaceDN w:val="0"/>
        <w:adjustRightInd w:val="0"/>
        <w:spacing w:after="120" w:line="240" w:lineRule="auto"/>
        <w:ind w:left="1267"/>
        <w:contextualSpacing w:val="0"/>
        <w:jc w:val="both"/>
        <w:rPr>
          <w:sz w:val="20"/>
          <w:szCs w:val="20"/>
        </w:rPr>
      </w:pPr>
      <w:r w:rsidRPr="00530777">
        <w:rPr>
          <w:b/>
          <w:sz w:val="20"/>
          <w:szCs w:val="20"/>
        </w:rPr>
        <w:t>United States</w:t>
      </w:r>
      <w:r w:rsidR="0085654D" w:rsidRPr="00530777">
        <w:rPr>
          <w:b/>
          <w:sz w:val="20"/>
          <w:szCs w:val="20"/>
        </w:rPr>
        <w:t xml:space="preserve"> Treasury</w:t>
      </w:r>
      <w:r w:rsidR="0085654D" w:rsidRPr="00530777">
        <w:rPr>
          <w:sz w:val="20"/>
          <w:szCs w:val="20"/>
        </w:rPr>
        <w:t xml:space="preserve"> plans to support the Bureau of </w:t>
      </w:r>
      <w:r w:rsidR="007378F0">
        <w:rPr>
          <w:sz w:val="20"/>
          <w:szCs w:val="20"/>
        </w:rPr>
        <w:t xml:space="preserve">the </w:t>
      </w:r>
      <w:r w:rsidR="0085654D" w:rsidRPr="00530777">
        <w:rPr>
          <w:sz w:val="20"/>
          <w:szCs w:val="20"/>
        </w:rPr>
        <w:t>Treasury in organizational strengthening, developing staff capacities</w:t>
      </w:r>
      <w:r w:rsidRPr="00530777">
        <w:rPr>
          <w:sz w:val="20"/>
          <w:szCs w:val="20"/>
        </w:rPr>
        <w:t>,</w:t>
      </w:r>
      <w:r w:rsidR="0085654D" w:rsidRPr="00530777">
        <w:rPr>
          <w:sz w:val="20"/>
          <w:szCs w:val="20"/>
        </w:rPr>
        <w:t xml:space="preserve"> and improving asset management. </w:t>
      </w:r>
    </w:p>
    <w:p w14:paraId="5B267625" w14:textId="6A78E572" w:rsidR="0085654D" w:rsidRPr="00530777" w:rsidRDefault="0085654D" w:rsidP="007378F0">
      <w:pPr>
        <w:pStyle w:val="ListParagraph"/>
        <w:numPr>
          <w:ilvl w:val="0"/>
          <w:numId w:val="54"/>
        </w:numPr>
        <w:tabs>
          <w:tab w:val="left" w:pos="720"/>
        </w:tabs>
        <w:autoSpaceDE w:val="0"/>
        <w:autoSpaceDN w:val="0"/>
        <w:adjustRightInd w:val="0"/>
        <w:spacing w:after="120" w:line="240" w:lineRule="auto"/>
        <w:ind w:left="1267"/>
        <w:contextualSpacing w:val="0"/>
        <w:jc w:val="both"/>
        <w:rPr>
          <w:sz w:val="20"/>
          <w:szCs w:val="20"/>
        </w:rPr>
      </w:pPr>
      <w:r w:rsidRPr="00530777">
        <w:rPr>
          <w:b/>
          <w:sz w:val="20"/>
          <w:szCs w:val="20"/>
        </w:rPr>
        <w:t>World Bank</w:t>
      </w:r>
      <w:r w:rsidRPr="00530777">
        <w:rPr>
          <w:sz w:val="20"/>
          <w:szCs w:val="20"/>
        </w:rPr>
        <w:t xml:space="preserve"> is supporting the </w:t>
      </w:r>
      <w:r w:rsidR="00492CBF" w:rsidRPr="00530777">
        <w:rPr>
          <w:sz w:val="20"/>
          <w:szCs w:val="20"/>
        </w:rPr>
        <w:t>Government of the Philippines</w:t>
      </w:r>
      <w:r w:rsidRPr="00530777">
        <w:rPr>
          <w:sz w:val="20"/>
          <w:szCs w:val="20"/>
        </w:rPr>
        <w:t xml:space="preserve"> in strengthening public finances (tax policy reform dialogue, and f</w:t>
      </w:r>
      <w:r w:rsidR="00492CBF" w:rsidRPr="00530777">
        <w:rPr>
          <w:sz w:val="20"/>
          <w:szCs w:val="20"/>
        </w:rPr>
        <w:t>iscal risk and debt management);</w:t>
      </w:r>
      <w:r w:rsidRPr="00530777">
        <w:rPr>
          <w:sz w:val="20"/>
          <w:szCs w:val="20"/>
        </w:rPr>
        <w:t xml:space="preserve"> enhancing public delivery performance (PFM Framework Law, PFM systems change management, and improving civil service performance)</w:t>
      </w:r>
      <w:r w:rsidR="00492CBF" w:rsidRPr="00530777">
        <w:rPr>
          <w:sz w:val="20"/>
          <w:szCs w:val="20"/>
        </w:rPr>
        <w:t>;</w:t>
      </w:r>
      <w:r w:rsidRPr="00530777">
        <w:rPr>
          <w:sz w:val="20"/>
          <w:szCs w:val="20"/>
        </w:rPr>
        <w:t xml:space="preserve"> and improv</w:t>
      </w:r>
      <w:r w:rsidR="00492CBF" w:rsidRPr="00530777">
        <w:rPr>
          <w:sz w:val="20"/>
          <w:szCs w:val="20"/>
        </w:rPr>
        <w:t>ing</w:t>
      </w:r>
      <w:r w:rsidRPr="00530777">
        <w:rPr>
          <w:sz w:val="20"/>
          <w:szCs w:val="20"/>
        </w:rPr>
        <w:t xml:space="preserve"> demand-side pressure for accountability (Open Data, </w:t>
      </w:r>
      <w:r w:rsidR="008B1E0E">
        <w:rPr>
          <w:sz w:val="20"/>
          <w:szCs w:val="20"/>
        </w:rPr>
        <w:t>Medium-term Information and Communications Technology Harmonization Initiative</w:t>
      </w:r>
      <w:r w:rsidRPr="00530777">
        <w:rPr>
          <w:sz w:val="20"/>
          <w:szCs w:val="20"/>
        </w:rPr>
        <w:t>, Philippine Business Registry reforms, and reconstruction participatory audit).</w:t>
      </w:r>
    </w:p>
    <w:p w14:paraId="403078FD" w14:textId="77777777" w:rsidR="00114F5F" w:rsidRPr="00027415" w:rsidRDefault="00114F5F" w:rsidP="00530777"/>
    <w:p w14:paraId="115B87F2" w14:textId="3D424891" w:rsidR="009A6E2C" w:rsidRDefault="00114F5F" w:rsidP="005A03CD">
      <w:pPr>
        <w:pStyle w:val="CommentText"/>
        <w:numPr>
          <w:ilvl w:val="0"/>
          <w:numId w:val="35"/>
        </w:numPr>
        <w:ind w:left="0" w:firstLine="0"/>
        <w:jc w:val="both"/>
        <w:rPr>
          <w:sz w:val="24"/>
          <w:szCs w:val="24"/>
        </w:rPr>
      </w:pPr>
      <w:r w:rsidRPr="00300BE9">
        <w:rPr>
          <w:sz w:val="24"/>
          <w:szCs w:val="24"/>
        </w:rPr>
        <w:t xml:space="preserve">The PFM </w:t>
      </w:r>
      <w:r w:rsidR="00C818D8" w:rsidRPr="00300BE9">
        <w:rPr>
          <w:sz w:val="24"/>
          <w:szCs w:val="24"/>
        </w:rPr>
        <w:t>C</w:t>
      </w:r>
      <w:r w:rsidR="00C818D8">
        <w:rPr>
          <w:sz w:val="24"/>
          <w:szCs w:val="24"/>
        </w:rPr>
        <w:t xml:space="preserve">ompetency </w:t>
      </w:r>
      <w:r w:rsidR="00C818D8" w:rsidRPr="00300BE9">
        <w:rPr>
          <w:sz w:val="24"/>
          <w:szCs w:val="24"/>
        </w:rPr>
        <w:t>F</w:t>
      </w:r>
      <w:r w:rsidR="00C818D8">
        <w:rPr>
          <w:sz w:val="24"/>
          <w:szCs w:val="24"/>
        </w:rPr>
        <w:t>ramework</w:t>
      </w:r>
      <w:r w:rsidR="00C818D8" w:rsidRPr="00300BE9" w:rsidDel="00C818D8">
        <w:rPr>
          <w:sz w:val="24"/>
          <w:szCs w:val="24"/>
        </w:rPr>
        <w:t xml:space="preserve"> </w:t>
      </w:r>
      <w:r w:rsidRPr="00300BE9">
        <w:rPr>
          <w:sz w:val="24"/>
          <w:szCs w:val="24"/>
        </w:rPr>
        <w:t>marked the shift to a more strategic approach toward</w:t>
      </w:r>
      <w:r w:rsidR="0085654D">
        <w:rPr>
          <w:sz w:val="24"/>
          <w:szCs w:val="24"/>
        </w:rPr>
        <w:t xml:space="preserve"> human resource development</w:t>
      </w:r>
      <w:r w:rsidRPr="00300BE9">
        <w:rPr>
          <w:sz w:val="24"/>
          <w:szCs w:val="24"/>
        </w:rPr>
        <w:t xml:space="preserve"> for </w:t>
      </w:r>
      <w:r w:rsidR="000F0CF6">
        <w:rPr>
          <w:sz w:val="24"/>
          <w:szCs w:val="24"/>
        </w:rPr>
        <w:t>public financial management</w:t>
      </w:r>
      <w:r w:rsidRPr="00300BE9">
        <w:rPr>
          <w:sz w:val="24"/>
          <w:szCs w:val="24"/>
        </w:rPr>
        <w:t xml:space="preserve">.  </w:t>
      </w:r>
      <w:r>
        <w:rPr>
          <w:sz w:val="24"/>
          <w:szCs w:val="24"/>
        </w:rPr>
        <w:t xml:space="preserve">This will serve as the </w:t>
      </w:r>
      <w:r w:rsidRPr="008A1129">
        <w:rPr>
          <w:sz w:val="24"/>
          <w:szCs w:val="24"/>
        </w:rPr>
        <w:t xml:space="preserve">overall human resource strategy or public sector reform that </w:t>
      </w:r>
      <w:r w:rsidR="0085654D">
        <w:rPr>
          <w:sz w:val="24"/>
          <w:szCs w:val="24"/>
        </w:rPr>
        <w:t xml:space="preserve">could be linked to </w:t>
      </w:r>
      <w:r w:rsidRPr="008A1129">
        <w:rPr>
          <w:sz w:val="24"/>
          <w:szCs w:val="24"/>
        </w:rPr>
        <w:t>PFM reform activities.</w:t>
      </w:r>
      <w:r>
        <w:rPr>
          <w:sz w:val="24"/>
          <w:szCs w:val="24"/>
        </w:rPr>
        <w:t xml:space="preserve"> </w:t>
      </w:r>
    </w:p>
    <w:p w14:paraId="6BE5DC26" w14:textId="77777777" w:rsidR="002905FF" w:rsidRDefault="002905FF" w:rsidP="002905FF">
      <w:pPr>
        <w:pStyle w:val="CommentText"/>
        <w:jc w:val="both"/>
        <w:rPr>
          <w:sz w:val="24"/>
          <w:szCs w:val="24"/>
        </w:rPr>
      </w:pPr>
    </w:p>
    <w:p w14:paraId="7F29B532" w14:textId="053BDC2C" w:rsidR="008446E3" w:rsidRPr="009A6E2C" w:rsidRDefault="00114F5F" w:rsidP="005A03CD">
      <w:pPr>
        <w:pStyle w:val="CommentText"/>
        <w:numPr>
          <w:ilvl w:val="0"/>
          <w:numId w:val="35"/>
        </w:numPr>
        <w:ind w:left="0" w:firstLine="0"/>
        <w:jc w:val="both"/>
        <w:rPr>
          <w:sz w:val="24"/>
          <w:szCs w:val="24"/>
        </w:rPr>
      </w:pPr>
      <w:r w:rsidRPr="009A6E2C">
        <w:rPr>
          <w:sz w:val="24"/>
          <w:szCs w:val="24"/>
        </w:rPr>
        <w:t xml:space="preserve">The reform efforts have initially </w:t>
      </w:r>
      <w:r w:rsidR="008D7A1F">
        <w:rPr>
          <w:sz w:val="24"/>
          <w:szCs w:val="24"/>
        </w:rPr>
        <w:t>been concentrated in</w:t>
      </w:r>
      <w:r w:rsidRPr="009A6E2C">
        <w:rPr>
          <w:sz w:val="24"/>
          <w:szCs w:val="24"/>
        </w:rPr>
        <w:t xml:space="preserve"> the oversight agencies to develop a strengthened PFM framework in terms of systems and procedures. Involvement of </w:t>
      </w:r>
      <w:r w:rsidR="00A25A3D">
        <w:rPr>
          <w:sz w:val="24"/>
          <w:szCs w:val="24"/>
        </w:rPr>
        <w:t>national government agencies</w:t>
      </w:r>
      <w:r w:rsidRPr="009A6E2C">
        <w:rPr>
          <w:sz w:val="24"/>
          <w:szCs w:val="24"/>
        </w:rPr>
        <w:t xml:space="preserve"> has taken place in several areas once </w:t>
      </w:r>
      <w:r w:rsidR="00492CBF">
        <w:rPr>
          <w:sz w:val="24"/>
          <w:szCs w:val="24"/>
        </w:rPr>
        <w:t xml:space="preserve">certain </w:t>
      </w:r>
      <w:r w:rsidRPr="009A6E2C">
        <w:rPr>
          <w:sz w:val="24"/>
          <w:szCs w:val="24"/>
        </w:rPr>
        <w:t>initiatives have been implemented</w:t>
      </w:r>
      <w:r w:rsidR="00C818D8">
        <w:rPr>
          <w:sz w:val="24"/>
          <w:szCs w:val="24"/>
        </w:rPr>
        <w:t xml:space="preserve"> such as </w:t>
      </w:r>
      <w:r w:rsidRPr="009A6E2C">
        <w:rPr>
          <w:sz w:val="24"/>
          <w:szCs w:val="24"/>
        </w:rPr>
        <w:t xml:space="preserve">rolling out the </w:t>
      </w:r>
      <w:r w:rsidR="008D7A1F">
        <w:rPr>
          <w:sz w:val="24"/>
          <w:szCs w:val="24"/>
        </w:rPr>
        <w:t xml:space="preserve">Unified </w:t>
      </w:r>
      <w:r w:rsidR="00D235C7">
        <w:rPr>
          <w:sz w:val="24"/>
          <w:szCs w:val="24"/>
        </w:rPr>
        <w:t>Accounts Code Structure</w:t>
      </w:r>
      <w:r w:rsidRPr="009A6E2C">
        <w:rPr>
          <w:sz w:val="24"/>
          <w:szCs w:val="24"/>
        </w:rPr>
        <w:t xml:space="preserve">, closing bank accounts for the TSA preparation, establishing grassroots participatory budgeting, and implementing the new PPSAS. </w:t>
      </w:r>
      <w:r w:rsidR="00C818D8">
        <w:rPr>
          <w:sz w:val="24"/>
          <w:szCs w:val="24"/>
        </w:rPr>
        <w:t>There</w:t>
      </w:r>
      <w:r w:rsidRPr="009A6E2C">
        <w:rPr>
          <w:sz w:val="24"/>
          <w:szCs w:val="24"/>
        </w:rPr>
        <w:t xml:space="preserve"> are examples of reform implementation delays that have adversely affected the operations of </w:t>
      </w:r>
      <w:r w:rsidR="00A25A3D">
        <w:rPr>
          <w:sz w:val="24"/>
          <w:szCs w:val="24"/>
        </w:rPr>
        <w:t>national government agencies</w:t>
      </w:r>
      <w:r w:rsidRPr="009A6E2C">
        <w:rPr>
          <w:sz w:val="24"/>
          <w:szCs w:val="24"/>
        </w:rPr>
        <w:t xml:space="preserve"> </w:t>
      </w:r>
      <w:r w:rsidR="00C818D8">
        <w:rPr>
          <w:sz w:val="24"/>
          <w:szCs w:val="24"/>
        </w:rPr>
        <w:t>such as</w:t>
      </w:r>
      <w:r w:rsidRPr="009A6E2C">
        <w:rPr>
          <w:sz w:val="24"/>
          <w:szCs w:val="24"/>
        </w:rPr>
        <w:t xml:space="preserve"> </w:t>
      </w:r>
      <w:r w:rsidR="00C818D8">
        <w:rPr>
          <w:sz w:val="24"/>
          <w:szCs w:val="24"/>
        </w:rPr>
        <w:t xml:space="preserve">the delay of the UACS rollout </w:t>
      </w:r>
      <w:r w:rsidRPr="009A6E2C">
        <w:rPr>
          <w:sz w:val="24"/>
          <w:szCs w:val="24"/>
        </w:rPr>
        <w:t xml:space="preserve">by one year </w:t>
      </w:r>
      <w:r w:rsidR="00C818D8">
        <w:rPr>
          <w:sz w:val="24"/>
          <w:szCs w:val="24"/>
        </w:rPr>
        <w:t>with regard to</w:t>
      </w:r>
      <w:r w:rsidRPr="009A6E2C">
        <w:rPr>
          <w:sz w:val="24"/>
          <w:szCs w:val="24"/>
        </w:rPr>
        <w:t xml:space="preserve"> accounting and reporting, and a </w:t>
      </w:r>
      <w:r w:rsidR="00D235C7" w:rsidRPr="009A6E2C">
        <w:rPr>
          <w:sz w:val="24"/>
          <w:szCs w:val="24"/>
        </w:rPr>
        <w:t>UACS</w:t>
      </w:r>
      <w:r w:rsidR="00D235C7">
        <w:rPr>
          <w:sz w:val="24"/>
          <w:szCs w:val="24"/>
        </w:rPr>
        <w:t>-</w:t>
      </w:r>
      <w:r w:rsidRPr="009A6E2C">
        <w:rPr>
          <w:sz w:val="24"/>
          <w:szCs w:val="24"/>
        </w:rPr>
        <w:t xml:space="preserve">compliant </w:t>
      </w:r>
      <w:r w:rsidRPr="000D0E8D">
        <w:rPr>
          <w:i/>
          <w:sz w:val="24"/>
          <w:szCs w:val="24"/>
        </w:rPr>
        <w:t>e</w:t>
      </w:r>
      <w:r w:rsidRPr="009A6E2C">
        <w:rPr>
          <w:sz w:val="24"/>
          <w:szCs w:val="24"/>
        </w:rPr>
        <w:t xml:space="preserve">NGAS not being prepared on time. Also, no change management strategy </w:t>
      </w:r>
      <w:r w:rsidR="008D7A1F">
        <w:rPr>
          <w:sz w:val="24"/>
          <w:szCs w:val="24"/>
        </w:rPr>
        <w:t>has</w:t>
      </w:r>
      <w:r w:rsidRPr="009A6E2C">
        <w:rPr>
          <w:sz w:val="24"/>
          <w:szCs w:val="24"/>
        </w:rPr>
        <w:t xml:space="preserve"> been developed as part of the PFM reform process, which would have been beneficial to ensure that the reform message was effectively communicated, understood</w:t>
      </w:r>
      <w:r w:rsidR="00C818D8">
        <w:rPr>
          <w:sz w:val="24"/>
          <w:szCs w:val="24"/>
        </w:rPr>
        <w:t>,</w:t>
      </w:r>
      <w:r w:rsidRPr="009A6E2C">
        <w:rPr>
          <w:sz w:val="24"/>
          <w:szCs w:val="24"/>
        </w:rPr>
        <w:t xml:space="preserve"> and implemented throughout the </w:t>
      </w:r>
      <w:r w:rsidR="00B97E18">
        <w:rPr>
          <w:sz w:val="24"/>
          <w:szCs w:val="24"/>
        </w:rPr>
        <w:t>Government</w:t>
      </w:r>
      <w:r w:rsidRPr="009A6E2C">
        <w:rPr>
          <w:sz w:val="24"/>
          <w:szCs w:val="24"/>
        </w:rPr>
        <w:t xml:space="preserve">, especially </w:t>
      </w:r>
      <w:r w:rsidR="00C818D8">
        <w:rPr>
          <w:sz w:val="24"/>
          <w:szCs w:val="24"/>
        </w:rPr>
        <w:t>regarding</w:t>
      </w:r>
      <w:r w:rsidRPr="009A6E2C">
        <w:rPr>
          <w:sz w:val="24"/>
          <w:szCs w:val="24"/>
        </w:rPr>
        <w:t xml:space="preserve"> capacity building in </w:t>
      </w:r>
      <w:r w:rsidR="00A25A3D">
        <w:rPr>
          <w:sz w:val="24"/>
          <w:szCs w:val="24"/>
        </w:rPr>
        <w:t>national government agencies</w:t>
      </w:r>
      <w:r w:rsidR="009A6E2C">
        <w:rPr>
          <w:sz w:val="24"/>
          <w:szCs w:val="24"/>
        </w:rPr>
        <w:t>.</w:t>
      </w:r>
    </w:p>
    <w:p w14:paraId="7E192CB5" w14:textId="77777777" w:rsidR="00E40A5B" w:rsidRPr="005A497D" w:rsidRDefault="00E40A5B" w:rsidP="00834932">
      <w:pPr>
        <w:pStyle w:val="ListParagraph"/>
        <w:tabs>
          <w:tab w:val="left" w:pos="720"/>
        </w:tabs>
        <w:autoSpaceDE w:val="0"/>
        <w:autoSpaceDN w:val="0"/>
        <w:adjustRightInd w:val="0"/>
        <w:spacing w:after="0" w:line="240" w:lineRule="auto"/>
        <w:ind w:left="0" w:firstLine="0"/>
        <w:jc w:val="both"/>
      </w:pPr>
    </w:p>
    <w:p w14:paraId="26D50B2D" w14:textId="77777777" w:rsidR="00841251" w:rsidRPr="005A497D" w:rsidRDefault="00841251" w:rsidP="00E40A5B">
      <w:pPr>
        <w:pStyle w:val="ListParagraph"/>
        <w:tabs>
          <w:tab w:val="left" w:pos="720"/>
        </w:tabs>
        <w:autoSpaceDE w:val="0"/>
        <w:autoSpaceDN w:val="0"/>
        <w:adjustRightInd w:val="0"/>
        <w:spacing w:after="0" w:line="240" w:lineRule="auto"/>
        <w:ind w:left="0" w:firstLine="0"/>
        <w:jc w:val="both"/>
      </w:pPr>
    </w:p>
    <w:p w14:paraId="561A74B8" w14:textId="77777777" w:rsidR="008446E3" w:rsidRPr="005A497D" w:rsidRDefault="008446E3" w:rsidP="008446E3">
      <w:pPr>
        <w:pStyle w:val="ListParagraph"/>
        <w:tabs>
          <w:tab w:val="left" w:pos="720"/>
        </w:tabs>
        <w:autoSpaceDE w:val="0"/>
        <w:autoSpaceDN w:val="0"/>
        <w:adjustRightInd w:val="0"/>
        <w:spacing w:after="0" w:line="240" w:lineRule="auto"/>
        <w:ind w:left="0" w:firstLine="0"/>
        <w:jc w:val="both"/>
      </w:pPr>
    </w:p>
    <w:p w14:paraId="4FFC9999" w14:textId="77777777" w:rsidR="008D6DD0" w:rsidRPr="005A497D" w:rsidRDefault="008D6DD0" w:rsidP="00976220">
      <w:pPr>
        <w:pStyle w:val="Heading2"/>
        <w:rPr>
          <w:rFonts w:ascii="Times New Roman" w:hAnsi="Times New Roman"/>
          <w:sz w:val="32"/>
          <w:szCs w:val="32"/>
        </w:rPr>
        <w:sectPr w:rsidR="008D6DD0" w:rsidRPr="005A497D" w:rsidSect="0017218A">
          <w:footnotePr>
            <w:numRestart w:val="eachSect"/>
          </w:footnotePr>
          <w:endnotePr>
            <w:numFmt w:val="decimal"/>
          </w:endnotePr>
          <w:type w:val="continuous"/>
          <w:pgSz w:w="12240" w:h="15840" w:code="1"/>
          <w:pgMar w:top="1440" w:right="1440" w:bottom="1440" w:left="1440" w:header="720" w:footer="720" w:gutter="0"/>
          <w:cols w:space="720"/>
          <w:noEndnote/>
          <w:titlePg/>
          <w:docGrid w:linePitch="326"/>
        </w:sectPr>
      </w:pPr>
    </w:p>
    <w:p w14:paraId="289D6BDC" w14:textId="2A7AC760" w:rsidR="00976220" w:rsidRPr="005A497D" w:rsidRDefault="00976220" w:rsidP="00976220">
      <w:pPr>
        <w:pStyle w:val="Heading2"/>
        <w:rPr>
          <w:rFonts w:ascii="Times New Roman" w:hAnsi="Times New Roman"/>
          <w:sz w:val="32"/>
          <w:szCs w:val="32"/>
        </w:rPr>
      </w:pPr>
      <w:bookmarkStart w:id="296" w:name="_Toc454811734"/>
      <w:bookmarkStart w:id="297" w:name="_Toc454888878"/>
      <w:r w:rsidRPr="005A497D">
        <w:rPr>
          <w:rFonts w:ascii="Times New Roman" w:hAnsi="Times New Roman"/>
          <w:sz w:val="32"/>
          <w:szCs w:val="32"/>
        </w:rPr>
        <w:t xml:space="preserve">Annex </w:t>
      </w:r>
      <w:r w:rsidR="0027211D">
        <w:rPr>
          <w:rFonts w:ascii="Times New Roman" w:hAnsi="Times New Roman"/>
          <w:sz w:val="32"/>
          <w:szCs w:val="32"/>
        </w:rPr>
        <w:t>1</w:t>
      </w:r>
      <w:r w:rsidRPr="005A497D">
        <w:rPr>
          <w:rFonts w:ascii="Times New Roman" w:hAnsi="Times New Roman"/>
          <w:sz w:val="32"/>
          <w:szCs w:val="32"/>
        </w:rPr>
        <w:t>: Performance Indicator Summary</w:t>
      </w:r>
      <w:bookmarkEnd w:id="296"/>
      <w:bookmarkEnd w:id="297"/>
    </w:p>
    <w:p w14:paraId="3A3F9244" w14:textId="59D3B349" w:rsidR="008D6DD0" w:rsidRPr="000B50DE" w:rsidRDefault="008D6DD0" w:rsidP="00BB417E">
      <w:pPr>
        <w:spacing w:before="80" w:after="80"/>
        <w:rPr>
          <w:b/>
          <w:sz w:val="20"/>
          <w:szCs w:val="12"/>
        </w:rPr>
      </w:pPr>
    </w:p>
    <w:tbl>
      <w:tblPr>
        <w:tblStyle w:val="TableGrid"/>
        <w:tblW w:w="9464" w:type="dxa"/>
        <w:tblLayout w:type="fixed"/>
        <w:tblLook w:val="04A0" w:firstRow="1" w:lastRow="0" w:firstColumn="1" w:lastColumn="0" w:noHBand="0" w:noVBand="1"/>
      </w:tblPr>
      <w:tblGrid>
        <w:gridCol w:w="531"/>
        <w:gridCol w:w="5096"/>
        <w:gridCol w:w="9"/>
        <w:gridCol w:w="564"/>
        <w:gridCol w:w="603"/>
        <w:gridCol w:w="603"/>
        <w:gridCol w:w="603"/>
        <w:gridCol w:w="604"/>
        <w:gridCol w:w="851"/>
      </w:tblGrid>
      <w:tr w:rsidR="0073584C" w:rsidRPr="00FD6C96" w14:paraId="26AA6B97" w14:textId="77777777" w:rsidTr="0073584C">
        <w:tc>
          <w:tcPr>
            <w:tcW w:w="5627" w:type="dxa"/>
            <w:gridSpan w:val="2"/>
            <w:vMerge w:val="restart"/>
            <w:tcBorders>
              <w:top w:val="double" w:sz="4" w:space="0" w:color="auto"/>
              <w:left w:val="double" w:sz="4" w:space="0" w:color="auto"/>
            </w:tcBorders>
            <w:shd w:val="clear" w:color="auto" w:fill="D9D9D9"/>
            <w:vAlign w:val="center"/>
          </w:tcPr>
          <w:p w14:paraId="3011C424" w14:textId="349E6DC0" w:rsidR="00EE6F91" w:rsidRPr="0067432A" w:rsidRDefault="00EE6F91" w:rsidP="0073584C">
            <w:pPr>
              <w:spacing w:before="60" w:after="60"/>
              <w:jc w:val="center"/>
              <w:rPr>
                <w:b/>
                <w:szCs w:val="16"/>
              </w:rPr>
            </w:pPr>
            <w:r w:rsidRPr="0067432A">
              <w:rPr>
                <w:b/>
                <w:szCs w:val="16"/>
              </w:rPr>
              <w:t>Pillars and</w:t>
            </w:r>
          </w:p>
          <w:p w14:paraId="35EA5B24" w14:textId="77777777" w:rsidR="0073584C" w:rsidRPr="0067432A" w:rsidRDefault="0073584C" w:rsidP="0073584C">
            <w:pPr>
              <w:spacing w:before="60" w:after="60"/>
              <w:jc w:val="center"/>
              <w:rPr>
                <w:b/>
                <w:sz w:val="16"/>
                <w:szCs w:val="16"/>
              </w:rPr>
            </w:pPr>
            <w:r w:rsidRPr="0067432A">
              <w:rPr>
                <w:b/>
                <w:szCs w:val="16"/>
              </w:rPr>
              <w:t>Performance Indicators (PIs)</w:t>
            </w:r>
          </w:p>
        </w:tc>
        <w:tc>
          <w:tcPr>
            <w:tcW w:w="573" w:type="dxa"/>
            <w:gridSpan w:val="2"/>
            <w:vMerge w:val="restart"/>
            <w:tcBorders>
              <w:top w:val="double" w:sz="4" w:space="0" w:color="auto"/>
            </w:tcBorders>
            <w:shd w:val="clear" w:color="auto" w:fill="D9D9D9"/>
            <w:textDirection w:val="btLr"/>
            <w:vAlign w:val="center"/>
          </w:tcPr>
          <w:p w14:paraId="7AB7326A" w14:textId="77777777" w:rsidR="0073584C" w:rsidRPr="0067432A" w:rsidRDefault="0073584C" w:rsidP="0073584C">
            <w:pPr>
              <w:spacing w:before="60" w:after="60"/>
              <w:jc w:val="center"/>
              <w:rPr>
                <w:b/>
                <w:sz w:val="16"/>
                <w:szCs w:val="16"/>
              </w:rPr>
            </w:pPr>
            <w:r w:rsidRPr="0067432A">
              <w:rPr>
                <w:b/>
                <w:sz w:val="16"/>
                <w:szCs w:val="16"/>
              </w:rPr>
              <w:t>Scoring Method</w:t>
            </w:r>
          </w:p>
        </w:tc>
        <w:tc>
          <w:tcPr>
            <w:tcW w:w="3264" w:type="dxa"/>
            <w:gridSpan w:val="5"/>
            <w:tcBorders>
              <w:top w:val="double" w:sz="4" w:space="0" w:color="auto"/>
              <w:right w:val="double" w:sz="4" w:space="0" w:color="auto"/>
            </w:tcBorders>
            <w:shd w:val="clear" w:color="auto" w:fill="D9D9D9"/>
            <w:vAlign w:val="center"/>
          </w:tcPr>
          <w:p w14:paraId="61161181" w14:textId="77777777" w:rsidR="0073584C" w:rsidRPr="0067432A" w:rsidRDefault="0073584C" w:rsidP="0073584C">
            <w:pPr>
              <w:spacing w:before="60" w:after="60"/>
              <w:jc w:val="center"/>
              <w:rPr>
                <w:b/>
                <w:sz w:val="16"/>
                <w:szCs w:val="16"/>
              </w:rPr>
            </w:pPr>
            <w:r w:rsidRPr="0067432A">
              <w:rPr>
                <w:b/>
                <w:sz w:val="16"/>
                <w:szCs w:val="16"/>
              </w:rPr>
              <w:t>2016</w:t>
            </w:r>
          </w:p>
        </w:tc>
      </w:tr>
      <w:tr w:rsidR="0073584C" w:rsidRPr="00FD6C96" w14:paraId="2FB8DCB4" w14:textId="77777777" w:rsidTr="0073584C">
        <w:tc>
          <w:tcPr>
            <w:tcW w:w="5627" w:type="dxa"/>
            <w:gridSpan w:val="2"/>
            <w:vMerge/>
            <w:tcBorders>
              <w:left w:val="double" w:sz="4" w:space="0" w:color="auto"/>
            </w:tcBorders>
            <w:shd w:val="clear" w:color="auto" w:fill="D9D9D9"/>
            <w:vAlign w:val="center"/>
          </w:tcPr>
          <w:p w14:paraId="72EE3EA5" w14:textId="77777777" w:rsidR="0073584C" w:rsidRPr="0067432A" w:rsidRDefault="0073584C" w:rsidP="0073584C">
            <w:pPr>
              <w:spacing w:before="60" w:after="60"/>
              <w:jc w:val="center"/>
              <w:rPr>
                <w:b/>
                <w:sz w:val="16"/>
                <w:szCs w:val="16"/>
              </w:rPr>
            </w:pPr>
          </w:p>
        </w:tc>
        <w:tc>
          <w:tcPr>
            <w:tcW w:w="573" w:type="dxa"/>
            <w:gridSpan w:val="2"/>
            <w:vMerge/>
            <w:shd w:val="clear" w:color="auto" w:fill="D9D9D9"/>
            <w:vAlign w:val="center"/>
          </w:tcPr>
          <w:p w14:paraId="38E62206" w14:textId="77777777" w:rsidR="0073584C" w:rsidRPr="0067432A" w:rsidRDefault="0073584C" w:rsidP="0073584C">
            <w:pPr>
              <w:spacing w:before="60" w:after="60"/>
              <w:jc w:val="center"/>
              <w:rPr>
                <w:b/>
                <w:sz w:val="16"/>
                <w:szCs w:val="16"/>
              </w:rPr>
            </w:pPr>
          </w:p>
        </w:tc>
        <w:tc>
          <w:tcPr>
            <w:tcW w:w="2413" w:type="dxa"/>
            <w:gridSpan w:val="4"/>
            <w:shd w:val="clear" w:color="auto" w:fill="D9D9D9"/>
            <w:vAlign w:val="center"/>
          </w:tcPr>
          <w:p w14:paraId="6FB4112D" w14:textId="77777777" w:rsidR="0073584C" w:rsidRPr="0067432A" w:rsidRDefault="0073584C" w:rsidP="0073584C">
            <w:pPr>
              <w:spacing w:before="60" w:after="60"/>
              <w:jc w:val="center"/>
              <w:rPr>
                <w:b/>
                <w:sz w:val="16"/>
                <w:szCs w:val="16"/>
              </w:rPr>
            </w:pPr>
            <w:r w:rsidRPr="0067432A">
              <w:rPr>
                <w:b/>
                <w:sz w:val="18"/>
                <w:szCs w:val="16"/>
              </w:rPr>
              <w:t>Dimension Rating</w:t>
            </w:r>
          </w:p>
        </w:tc>
        <w:tc>
          <w:tcPr>
            <w:tcW w:w="851" w:type="dxa"/>
            <w:vMerge w:val="restart"/>
            <w:tcBorders>
              <w:right w:val="double" w:sz="4" w:space="0" w:color="auto"/>
            </w:tcBorders>
            <w:shd w:val="clear" w:color="auto" w:fill="D9D9D9"/>
            <w:vAlign w:val="center"/>
          </w:tcPr>
          <w:p w14:paraId="6A03D2BF" w14:textId="77777777" w:rsidR="0073584C" w:rsidRPr="0067432A" w:rsidRDefault="0073584C" w:rsidP="0073584C">
            <w:pPr>
              <w:spacing w:before="60" w:after="60"/>
              <w:ind w:left="-57" w:right="-57"/>
              <w:jc w:val="center"/>
              <w:rPr>
                <w:b/>
                <w:sz w:val="16"/>
                <w:szCs w:val="16"/>
              </w:rPr>
            </w:pPr>
            <w:r w:rsidRPr="0067432A">
              <w:rPr>
                <w:b/>
                <w:sz w:val="16"/>
                <w:szCs w:val="16"/>
              </w:rPr>
              <w:t>Overall Score</w:t>
            </w:r>
          </w:p>
        </w:tc>
      </w:tr>
      <w:tr w:rsidR="0073584C" w:rsidRPr="00FD6C96" w14:paraId="1681AF2A" w14:textId="77777777" w:rsidTr="0073584C">
        <w:trPr>
          <w:trHeight w:val="312"/>
        </w:trPr>
        <w:tc>
          <w:tcPr>
            <w:tcW w:w="5627" w:type="dxa"/>
            <w:gridSpan w:val="2"/>
            <w:vMerge/>
            <w:tcBorders>
              <w:left w:val="double" w:sz="4" w:space="0" w:color="auto"/>
              <w:bottom w:val="double" w:sz="4" w:space="0" w:color="auto"/>
            </w:tcBorders>
            <w:shd w:val="clear" w:color="auto" w:fill="D9D9D9"/>
            <w:vAlign w:val="center"/>
          </w:tcPr>
          <w:p w14:paraId="61F7ADC5" w14:textId="77777777" w:rsidR="0073584C" w:rsidRPr="00FD6C96" w:rsidRDefault="0073584C" w:rsidP="0073584C">
            <w:pPr>
              <w:spacing w:before="60" w:after="60"/>
              <w:jc w:val="center"/>
              <w:rPr>
                <w:b/>
                <w:sz w:val="16"/>
                <w:szCs w:val="16"/>
              </w:rPr>
            </w:pPr>
          </w:p>
        </w:tc>
        <w:tc>
          <w:tcPr>
            <w:tcW w:w="573" w:type="dxa"/>
            <w:gridSpan w:val="2"/>
            <w:vMerge/>
            <w:tcBorders>
              <w:bottom w:val="double" w:sz="4" w:space="0" w:color="auto"/>
            </w:tcBorders>
            <w:shd w:val="clear" w:color="auto" w:fill="D9D9D9"/>
            <w:vAlign w:val="center"/>
          </w:tcPr>
          <w:p w14:paraId="75D24A3C" w14:textId="77777777" w:rsidR="0073584C" w:rsidRPr="00FD6C96" w:rsidRDefault="0073584C" w:rsidP="0073584C">
            <w:pPr>
              <w:spacing w:before="60" w:after="60"/>
              <w:jc w:val="center"/>
              <w:rPr>
                <w:b/>
                <w:sz w:val="16"/>
                <w:szCs w:val="16"/>
              </w:rPr>
            </w:pPr>
          </w:p>
        </w:tc>
        <w:tc>
          <w:tcPr>
            <w:tcW w:w="603" w:type="dxa"/>
            <w:tcBorders>
              <w:bottom w:val="double" w:sz="4" w:space="0" w:color="auto"/>
            </w:tcBorders>
            <w:shd w:val="clear" w:color="auto" w:fill="D9D9D9"/>
            <w:vAlign w:val="center"/>
          </w:tcPr>
          <w:p w14:paraId="1F76E0AD" w14:textId="77777777" w:rsidR="0073584C" w:rsidRPr="0067432A" w:rsidRDefault="0073584C" w:rsidP="0073584C">
            <w:pPr>
              <w:spacing w:before="60" w:after="60"/>
              <w:ind w:left="-57" w:right="-57"/>
              <w:jc w:val="center"/>
              <w:rPr>
                <w:b/>
                <w:sz w:val="16"/>
                <w:szCs w:val="16"/>
              </w:rPr>
            </w:pPr>
            <w:r w:rsidRPr="0067432A">
              <w:rPr>
                <w:b/>
                <w:sz w:val="16"/>
                <w:szCs w:val="16"/>
              </w:rPr>
              <w:t>(i)</w:t>
            </w:r>
          </w:p>
        </w:tc>
        <w:tc>
          <w:tcPr>
            <w:tcW w:w="603" w:type="dxa"/>
            <w:tcBorders>
              <w:bottom w:val="double" w:sz="4" w:space="0" w:color="auto"/>
            </w:tcBorders>
            <w:shd w:val="clear" w:color="auto" w:fill="D9D9D9"/>
            <w:vAlign w:val="center"/>
          </w:tcPr>
          <w:p w14:paraId="2E961082" w14:textId="77777777" w:rsidR="0073584C" w:rsidRPr="0067432A" w:rsidRDefault="0073584C" w:rsidP="0073584C">
            <w:pPr>
              <w:spacing w:before="60" w:after="60"/>
              <w:ind w:left="-57" w:right="-57"/>
              <w:jc w:val="center"/>
              <w:rPr>
                <w:b/>
                <w:sz w:val="16"/>
                <w:szCs w:val="16"/>
              </w:rPr>
            </w:pPr>
            <w:r w:rsidRPr="0067432A">
              <w:rPr>
                <w:b/>
                <w:sz w:val="16"/>
                <w:szCs w:val="16"/>
              </w:rPr>
              <w:t>(ii)</w:t>
            </w:r>
          </w:p>
        </w:tc>
        <w:tc>
          <w:tcPr>
            <w:tcW w:w="603" w:type="dxa"/>
            <w:tcBorders>
              <w:bottom w:val="double" w:sz="4" w:space="0" w:color="auto"/>
            </w:tcBorders>
            <w:shd w:val="clear" w:color="auto" w:fill="D9D9D9"/>
            <w:vAlign w:val="center"/>
          </w:tcPr>
          <w:p w14:paraId="4E0425E4" w14:textId="77777777" w:rsidR="0073584C" w:rsidRPr="0067432A" w:rsidRDefault="0073584C" w:rsidP="0073584C">
            <w:pPr>
              <w:spacing w:before="60" w:after="60"/>
              <w:ind w:left="-57" w:right="-57"/>
              <w:jc w:val="center"/>
              <w:rPr>
                <w:b/>
                <w:sz w:val="16"/>
                <w:szCs w:val="16"/>
              </w:rPr>
            </w:pPr>
            <w:r w:rsidRPr="0067432A">
              <w:rPr>
                <w:b/>
                <w:sz w:val="16"/>
                <w:szCs w:val="16"/>
              </w:rPr>
              <w:t>(iii)</w:t>
            </w:r>
          </w:p>
        </w:tc>
        <w:tc>
          <w:tcPr>
            <w:tcW w:w="604" w:type="dxa"/>
            <w:tcBorders>
              <w:bottom w:val="double" w:sz="4" w:space="0" w:color="auto"/>
            </w:tcBorders>
            <w:shd w:val="clear" w:color="auto" w:fill="D9D9D9"/>
            <w:vAlign w:val="center"/>
          </w:tcPr>
          <w:p w14:paraId="102E6D6E" w14:textId="77777777" w:rsidR="0073584C" w:rsidRPr="0067432A" w:rsidRDefault="0073584C" w:rsidP="0073584C">
            <w:pPr>
              <w:spacing w:before="60" w:after="60"/>
              <w:ind w:left="-57" w:right="-57"/>
              <w:jc w:val="center"/>
              <w:rPr>
                <w:b/>
                <w:sz w:val="16"/>
                <w:szCs w:val="16"/>
              </w:rPr>
            </w:pPr>
            <w:r w:rsidRPr="0067432A">
              <w:rPr>
                <w:b/>
                <w:sz w:val="16"/>
                <w:szCs w:val="16"/>
              </w:rPr>
              <w:t>(iv)</w:t>
            </w:r>
          </w:p>
        </w:tc>
        <w:tc>
          <w:tcPr>
            <w:tcW w:w="851" w:type="dxa"/>
            <w:vMerge/>
            <w:tcBorders>
              <w:bottom w:val="double" w:sz="4" w:space="0" w:color="auto"/>
              <w:right w:val="double" w:sz="4" w:space="0" w:color="auto"/>
            </w:tcBorders>
            <w:shd w:val="clear" w:color="auto" w:fill="D9D9D9"/>
            <w:vAlign w:val="center"/>
          </w:tcPr>
          <w:p w14:paraId="6028C104" w14:textId="77777777" w:rsidR="0073584C" w:rsidRPr="00FD6C96" w:rsidRDefault="0073584C" w:rsidP="0073584C">
            <w:pPr>
              <w:spacing w:before="60" w:after="60"/>
              <w:ind w:left="-57" w:right="-57"/>
              <w:jc w:val="center"/>
              <w:rPr>
                <w:b/>
                <w:sz w:val="16"/>
                <w:szCs w:val="16"/>
              </w:rPr>
            </w:pPr>
          </w:p>
        </w:tc>
      </w:tr>
      <w:tr w:rsidR="0073584C" w:rsidRPr="00FD6C96" w14:paraId="415DA1B7" w14:textId="77777777" w:rsidTr="0073584C">
        <w:tc>
          <w:tcPr>
            <w:tcW w:w="9464" w:type="dxa"/>
            <w:gridSpan w:val="9"/>
            <w:tcBorders>
              <w:top w:val="double" w:sz="4" w:space="0" w:color="auto"/>
              <w:left w:val="double" w:sz="4" w:space="0" w:color="auto"/>
              <w:right w:val="double" w:sz="4" w:space="0" w:color="auto"/>
            </w:tcBorders>
            <w:shd w:val="clear" w:color="auto" w:fill="D9D9D9"/>
            <w:vAlign w:val="center"/>
          </w:tcPr>
          <w:p w14:paraId="0829A9A4" w14:textId="77777777" w:rsidR="0073584C" w:rsidRPr="00FD6C96" w:rsidRDefault="0073584C" w:rsidP="0073584C">
            <w:pPr>
              <w:spacing w:before="40" w:after="40"/>
              <w:rPr>
                <w:sz w:val="16"/>
                <w:szCs w:val="16"/>
              </w:rPr>
            </w:pPr>
            <w:r w:rsidRPr="00FD6C96">
              <w:rPr>
                <w:b/>
                <w:sz w:val="16"/>
                <w:szCs w:val="16"/>
              </w:rPr>
              <w:t>Pillar I. Budget reliability</w:t>
            </w:r>
          </w:p>
        </w:tc>
      </w:tr>
      <w:tr w:rsidR="0073584C" w:rsidRPr="00FD6C96" w14:paraId="65D00463" w14:textId="77777777" w:rsidTr="0073584C">
        <w:tc>
          <w:tcPr>
            <w:tcW w:w="531" w:type="dxa"/>
            <w:tcBorders>
              <w:left w:val="double" w:sz="4" w:space="0" w:color="auto"/>
            </w:tcBorders>
            <w:vAlign w:val="center"/>
          </w:tcPr>
          <w:p w14:paraId="4011B89B" w14:textId="77777777" w:rsidR="0073584C" w:rsidRPr="00FD6C96" w:rsidRDefault="0073584C" w:rsidP="0073584C">
            <w:pPr>
              <w:spacing w:before="40" w:after="40"/>
              <w:ind w:left="-57" w:right="-57"/>
              <w:jc w:val="center"/>
              <w:rPr>
                <w:sz w:val="16"/>
                <w:szCs w:val="16"/>
              </w:rPr>
            </w:pPr>
            <w:r w:rsidRPr="00FD6C96">
              <w:rPr>
                <w:sz w:val="16"/>
                <w:szCs w:val="16"/>
              </w:rPr>
              <w:t>PI-1</w:t>
            </w:r>
          </w:p>
        </w:tc>
        <w:tc>
          <w:tcPr>
            <w:tcW w:w="5096" w:type="dxa"/>
          </w:tcPr>
          <w:p w14:paraId="02E3E4F5" w14:textId="4C3EE9D2" w:rsidR="0073584C" w:rsidRPr="00FD6C96" w:rsidRDefault="0073584C" w:rsidP="0073584C">
            <w:pPr>
              <w:spacing w:before="40" w:after="40"/>
              <w:rPr>
                <w:sz w:val="16"/>
                <w:szCs w:val="16"/>
              </w:rPr>
            </w:pPr>
            <w:r w:rsidRPr="00FD6C96">
              <w:rPr>
                <w:sz w:val="16"/>
                <w:szCs w:val="16"/>
              </w:rPr>
              <w:t xml:space="preserve">Aggregate expenditure </w:t>
            </w:r>
            <w:r w:rsidR="0047177B">
              <w:rPr>
                <w:sz w:val="16"/>
                <w:szCs w:val="16"/>
              </w:rPr>
              <w:t>outturn</w:t>
            </w:r>
          </w:p>
        </w:tc>
        <w:tc>
          <w:tcPr>
            <w:tcW w:w="573" w:type="dxa"/>
            <w:gridSpan w:val="2"/>
            <w:vAlign w:val="center"/>
          </w:tcPr>
          <w:p w14:paraId="7BD34BE3"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74134F35" w14:textId="249D0332" w:rsidR="0073584C" w:rsidRPr="00FD6C96" w:rsidRDefault="00346985" w:rsidP="0073584C">
            <w:pPr>
              <w:spacing w:before="40" w:after="40"/>
              <w:jc w:val="center"/>
              <w:rPr>
                <w:sz w:val="16"/>
                <w:szCs w:val="16"/>
              </w:rPr>
            </w:pPr>
            <w:r>
              <w:rPr>
                <w:sz w:val="16"/>
                <w:szCs w:val="16"/>
              </w:rPr>
              <w:t>D</w:t>
            </w:r>
          </w:p>
        </w:tc>
        <w:tc>
          <w:tcPr>
            <w:tcW w:w="603" w:type="dxa"/>
            <w:shd w:val="clear" w:color="auto" w:fill="F2F2F2"/>
            <w:vAlign w:val="center"/>
          </w:tcPr>
          <w:p w14:paraId="23D28BE2" w14:textId="77777777" w:rsidR="0073584C" w:rsidRPr="00FD6C96" w:rsidRDefault="0073584C" w:rsidP="0073584C">
            <w:pPr>
              <w:spacing w:before="40" w:after="40"/>
              <w:jc w:val="center"/>
              <w:rPr>
                <w:sz w:val="16"/>
                <w:szCs w:val="16"/>
              </w:rPr>
            </w:pPr>
          </w:p>
        </w:tc>
        <w:tc>
          <w:tcPr>
            <w:tcW w:w="603" w:type="dxa"/>
            <w:shd w:val="clear" w:color="auto" w:fill="F2F2F2"/>
            <w:vAlign w:val="center"/>
          </w:tcPr>
          <w:p w14:paraId="5F4D18AB" w14:textId="77777777" w:rsidR="0073584C" w:rsidRPr="00FD6C96" w:rsidRDefault="0073584C" w:rsidP="0073584C">
            <w:pPr>
              <w:spacing w:before="40" w:after="40"/>
              <w:jc w:val="center"/>
              <w:rPr>
                <w:sz w:val="16"/>
                <w:szCs w:val="16"/>
              </w:rPr>
            </w:pPr>
          </w:p>
        </w:tc>
        <w:tc>
          <w:tcPr>
            <w:tcW w:w="604" w:type="dxa"/>
            <w:shd w:val="clear" w:color="auto" w:fill="F2F2F2"/>
            <w:vAlign w:val="center"/>
          </w:tcPr>
          <w:p w14:paraId="2BB84179"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56B48144" w14:textId="369049D7" w:rsidR="0073584C" w:rsidRPr="00FD6C96" w:rsidRDefault="00346985" w:rsidP="0073584C">
            <w:pPr>
              <w:spacing w:before="40" w:after="40"/>
              <w:jc w:val="center"/>
              <w:rPr>
                <w:b/>
                <w:sz w:val="16"/>
                <w:szCs w:val="16"/>
              </w:rPr>
            </w:pPr>
            <w:r>
              <w:rPr>
                <w:b/>
                <w:sz w:val="16"/>
                <w:szCs w:val="16"/>
              </w:rPr>
              <w:t>D</w:t>
            </w:r>
          </w:p>
        </w:tc>
      </w:tr>
      <w:tr w:rsidR="0073584C" w:rsidRPr="00FD6C96" w14:paraId="480DEEE4" w14:textId="77777777" w:rsidTr="0073584C">
        <w:tc>
          <w:tcPr>
            <w:tcW w:w="531" w:type="dxa"/>
            <w:tcBorders>
              <w:left w:val="double" w:sz="4" w:space="0" w:color="auto"/>
            </w:tcBorders>
            <w:vAlign w:val="center"/>
          </w:tcPr>
          <w:p w14:paraId="78453F60" w14:textId="77777777" w:rsidR="0073584C" w:rsidRPr="00FD6C96" w:rsidRDefault="0073584C" w:rsidP="0073584C">
            <w:pPr>
              <w:spacing w:before="40" w:after="40"/>
              <w:ind w:left="-57" w:right="-57"/>
              <w:jc w:val="center"/>
              <w:rPr>
                <w:sz w:val="16"/>
                <w:szCs w:val="16"/>
              </w:rPr>
            </w:pPr>
            <w:r w:rsidRPr="00FD6C96">
              <w:rPr>
                <w:sz w:val="16"/>
                <w:szCs w:val="16"/>
              </w:rPr>
              <w:t>PI-2</w:t>
            </w:r>
          </w:p>
        </w:tc>
        <w:tc>
          <w:tcPr>
            <w:tcW w:w="5096" w:type="dxa"/>
          </w:tcPr>
          <w:p w14:paraId="139D37EB" w14:textId="586D8B2E" w:rsidR="0073584C" w:rsidRPr="00FD6C96" w:rsidRDefault="0073584C" w:rsidP="0073584C">
            <w:pPr>
              <w:spacing w:before="40" w:after="40"/>
              <w:rPr>
                <w:sz w:val="16"/>
                <w:szCs w:val="16"/>
              </w:rPr>
            </w:pPr>
            <w:r w:rsidRPr="00FD6C96">
              <w:rPr>
                <w:sz w:val="16"/>
                <w:szCs w:val="16"/>
              </w:rPr>
              <w:t xml:space="preserve">Expenditure composition </w:t>
            </w:r>
            <w:r w:rsidR="0047177B">
              <w:rPr>
                <w:sz w:val="16"/>
                <w:szCs w:val="16"/>
              </w:rPr>
              <w:t>outturn</w:t>
            </w:r>
          </w:p>
        </w:tc>
        <w:tc>
          <w:tcPr>
            <w:tcW w:w="573" w:type="dxa"/>
            <w:gridSpan w:val="2"/>
            <w:vAlign w:val="center"/>
          </w:tcPr>
          <w:p w14:paraId="1176F788"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1C02E8FC" w14:textId="77777777" w:rsidR="0073584C" w:rsidRPr="00FD6C96" w:rsidRDefault="0073584C" w:rsidP="0073584C">
            <w:pPr>
              <w:spacing w:before="40" w:after="40"/>
              <w:jc w:val="center"/>
              <w:rPr>
                <w:sz w:val="16"/>
                <w:szCs w:val="16"/>
              </w:rPr>
            </w:pPr>
            <w:r>
              <w:rPr>
                <w:sz w:val="16"/>
                <w:szCs w:val="16"/>
              </w:rPr>
              <w:t>D</w:t>
            </w:r>
          </w:p>
        </w:tc>
        <w:tc>
          <w:tcPr>
            <w:tcW w:w="603" w:type="dxa"/>
            <w:vAlign w:val="center"/>
          </w:tcPr>
          <w:p w14:paraId="36B0D773" w14:textId="7D8147E3" w:rsidR="0073584C" w:rsidRPr="00FD6C96" w:rsidRDefault="00346985" w:rsidP="0073584C">
            <w:pPr>
              <w:spacing w:before="40" w:after="40"/>
              <w:jc w:val="center"/>
              <w:rPr>
                <w:sz w:val="16"/>
                <w:szCs w:val="16"/>
              </w:rPr>
            </w:pPr>
            <w:r>
              <w:rPr>
                <w:sz w:val="16"/>
                <w:szCs w:val="16"/>
              </w:rPr>
              <w:t>C</w:t>
            </w:r>
          </w:p>
        </w:tc>
        <w:tc>
          <w:tcPr>
            <w:tcW w:w="603" w:type="dxa"/>
            <w:tcBorders>
              <w:bottom w:val="single" w:sz="4" w:space="0" w:color="auto"/>
            </w:tcBorders>
            <w:vAlign w:val="center"/>
          </w:tcPr>
          <w:p w14:paraId="394630B1" w14:textId="63AFCA0C" w:rsidR="0073584C" w:rsidRPr="00FD6C96" w:rsidRDefault="00346985" w:rsidP="0073584C">
            <w:pPr>
              <w:spacing w:before="40" w:after="40"/>
              <w:jc w:val="center"/>
              <w:rPr>
                <w:sz w:val="16"/>
                <w:szCs w:val="16"/>
              </w:rPr>
            </w:pPr>
            <w:r>
              <w:rPr>
                <w:sz w:val="16"/>
                <w:szCs w:val="16"/>
              </w:rPr>
              <w:t>A</w:t>
            </w:r>
          </w:p>
        </w:tc>
        <w:tc>
          <w:tcPr>
            <w:tcW w:w="604" w:type="dxa"/>
            <w:tcBorders>
              <w:bottom w:val="single" w:sz="4" w:space="0" w:color="auto"/>
            </w:tcBorders>
            <w:shd w:val="clear" w:color="auto" w:fill="F2F2F2"/>
            <w:vAlign w:val="center"/>
          </w:tcPr>
          <w:p w14:paraId="54C6CEF1"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69FDC8D1" w14:textId="4263BD47" w:rsidR="0073584C" w:rsidRPr="00FD6C96" w:rsidRDefault="0073584C" w:rsidP="0073584C">
            <w:pPr>
              <w:spacing w:before="40" w:after="40"/>
              <w:jc w:val="center"/>
              <w:rPr>
                <w:b/>
                <w:sz w:val="16"/>
                <w:szCs w:val="16"/>
              </w:rPr>
            </w:pPr>
            <w:r>
              <w:rPr>
                <w:b/>
                <w:sz w:val="16"/>
                <w:szCs w:val="16"/>
              </w:rPr>
              <w:t>D</w:t>
            </w:r>
            <w:r w:rsidR="00346985">
              <w:rPr>
                <w:b/>
                <w:sz w:val="16"/>
                <w:szCs w:val="16"/>
              </w:rPr>
              <w:t>+</w:t>
            </w:r>
          </w:p>
        </w:tc>
      </w:tr>
      <w:tr w:rsidR="0073584C" w:rsidRPr="00FD6C96" w14:paraId="5E7716D8" w14:textId="77777777" w:rsidTr="0073584C">
        <w:tc>
          <w:tcPr>
            <w:tcW w:w="531" w:type="dxa"/>
            <w:tcBorders>
              <w:left w:val="double" w:sz="4" w:space="0" w:color="auto"/>
            </w:tcBorders>
            <w:vAlign w:val="center"/>
          </w:tcPr>
          <w:p w14:paraId="5992690F" w14:textId="77777777" w:rsidR="0073584C" w:rsidRPr="00FD6C96" w:rsidRDefault="0073584C" w:rsidP="0073584C">
            <w:pPr>
              <w:spacing w:before="40" w:after="40"/>
              <w:ind w:left="-57" w:right="-57"/>
              <w:jc w:val="center"/>
              <w:rPr>
                <w:sz w:val="16"/>
                <w:szCs w:val="16"/>
              </w:rPr>
            </w:pPr>
            <w:r w:rsidRPr="00FD6C96">
              <w:rPr>
                <w:sz w:val="16"/>
                <w:szCs w:val="16"/>
              </w:rPr>
              <w:t>PI-3</w:t>
            </w:r>
          </w:p>
        </w:tc>
        <w:tc>
          <w:tcPr>
            <w:tcW w:w="5096" w:type="dxa"/>
          </w:tcPr>
          <w:p w14:paraId="60D5422F" w14:textId="69E70E7D" w:rsidR="0073584C" w:rsidRPr="00FD6C96" w:rsidRDefault="0073584C" w:rsidP="0073584C">
            <w:pPr>
              <w:spacing w:before="40" w:after="40"/>
              <w:rPr>
                <w:sz w:val="16"/>
                <w:szCs w:val="16"/>
              </w:rPr>
            </w:pPr>
            <w:r w:rsidRPr="00FD6C96">
              <w:rPr>
                <w:sz w:val="16"/>
                <w:szCs w:val="16"/>
              </w:rPr>
              <w:t xml:space="preserve">Revenue </w:t>
            </w:r>
            <w:r w:rsidR="0047177B">
              <w:rPr>
                <w:sz w:val="16"/>
                <w:szCs w:val="16"/>
              </w:rPr>
              <w:t>outturn</w:t>
            </w:r>
          </w:p>
        </w:tc>
        <w:tc>
          <w:tcPr>
            <w:tcW w:w="573" w:type="dxa"/>
            <w:gridSpan w:val="2"/>
            <w:vAlign w:val="center"/>
          </w:tcPr>
          <w:p w14:paraId="7058E7D4"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1DC2994B" w14:textId="77777777" w:rsidR="0073584C" w:rsidRPr="00FD6C96" w:rsidRDefault="0073584C" w:rsidP="0073584C">
            <w:pPr>
              <w:spacing w:before="40" w:after="40"/>
              <w:jc w:val="center"/>
              <w:rPr>
                <w:sz w:val="16"/>
                <w:szCs w:val="16"/>
              </w:rPr>
            </w:pPr>
            <w:r w:rsidRPr="00FD6C96">
              <w:rPr>
                <w:sz w:val="16"/>
                <w:szCs w:val="16"/>
              </w:rPr>
              <w:t>A</w:t>
            </w:r>
          </w:p>
        </w:tc>
        <w:tc>
          <w:tcPr>
            <w:tcW w:w="603" w:type="dxa"/>
            <w:shd w:val="clear" w:color="auto" w:fill="auto"/>
            <w:vAlign w:val="center"/>
          </w:tcPr>
          <w:p w14:paraId="4D7F8DAA" w14:textId="6023D356" w:rsidR="0073584C" w:rsidRPr="00FD6C96" w:rsidRDefault="00346985" w:rsidP="0073584C">
            <w:pPr>
              <w:spacing w:before="40" w:after="40"/>
              <w:jc w:val="center"/>
              <w:rPr>
                <w:sz w:val="16"/>
                <w:szCs w:val="16"/>
              </w:rPr>
            </w:pPr>
            <w:r>
              <w:rPr>
                <w:sz w:val="16"/>
                <w:szCs w:val="16"/>
              </w:rPr>
              <w:t>C</w:t>
            </w:r>
          </w:p>
        </w:tc>
        <w:tc>
          <w:tcPr>
            <w:tcW w:w="603" w:type="dxa"/>
            <w:shd w:val="clear" w:color="auto" w:fill="F2F2F2"/>
            <w:vAlign w:val="center"/>
          </w:tcPr>
          <w:p w14:paraId="316A8E2C" w14:textId="77777777" w:rsidR="0073584C" w:rsidRPr="00FD6C96" w:rsidRDefault="0073584C" w:rsidP="0073584C">
            <w:pPr>
              <w:spacing w:before="40" w:after="40"/>
              <w:jc w:val="center"/>
              <w:rPr>
                <w:sz w:val="16"/>
                <w:szCs w:val="16"/>
              </w:rPr>
            </w:pPr>
          </w:p>
        </w:tc>
        <w:tc>
          <w:tcPr>
            <w:tcW w:w="604" w:type="dxa"/>
            <w:shd w:val="clear" w:color="auto" w:fill="F2F2F2"/>
            <w:vAlign w:val="center"/>
          </w:tcPr>
          <w:p w14:paraId="5FDCF889"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3B3795B5" w14:textId="596F62BB" w:rsidR="0073584C" w:rsidRPr="00FD6C96" w:rsidRDefault="00346985" w:rsidP="0073584C">
            <w:pPr>
              <w:spacing w:before="40" w:after="40"/>
              <w:jc w:val="center"/>
              <w:rPr>
                <w:b/>
                <w:sz w:val="16"/>
                <w:szCs w:val="16"/>
              </w:rPr>
            </w:pPr>
            <w:r>
              <w:rPr>
                <w:b/>
                <w:sz w:val="16"/>
                <w:szCs w:val="16"/>
              </w:rPr>
              <w:t>B</w:t>
            </w:r>
          </w:p>
        </w:tc>
      </w:tr>
      <w:tr w:rsidR="0073584C" w:rsidRPr="00FD6C96" w14:paraId="35A1F7AF" w14:textId="77777777" w:rsidTr="0073584C">
        <w:tc>
          <w:tcPr>
            <w:tcW w:w="9464" w:type="dxa"/>
            <w:gridSpan w:val="9"/>
            <w:tcBorders>
              <w:left w:val="double" w:sz="4" w:space="0" w:color="auto"/>
              <w:right w:val="double" w:sz="4" w:space="0" w:color="auto"/>
            </w:tcBorders>
            <w:shd w:val="clear" w:color="auto" w:fill="D9D9D9"/>
            <w:vAlign w:val="center"/>
          </w:tcPr>
          <w:p w14:paraId="19B4515C" w14:textId="77777777" w:rsidR="0073584C" w:rsidRPr="00FD6C96" w:rsidRDefault="0073584C" w:rsidP="0073584C">
            <w:pPr>
              <w:spacing w:before="40" w:after="40"/>
              <w:rPr>
                <w:b/>
                <w:sz w:val="16"/>
                <w:szCs w:val="16"/>
              </w:rPr>
            </w:pPr>
            <w:r w:rsidRPr="00FD6C96">
              <w:rPr>
                <w:b/>
                <w:sz w:val="16"/>
                <w:szCs w:val="16"/>
              </w:rPr>
              <w:t>Pillar II-III. KEY CROSS-CUTTING ISSUES:</w:t>
            </w:r>
          </w:p>
        </w:tc>
      </w:tr>
      <w:tr w:rsidR="0073584C" w:rsidRPr="00FD6C96" w14:paraId="3EDA1C58" w14:textId="77777777" w:rsidTr="0073584C">
        <w:tc>
          <w:tcPr>
            <w:tcW w:w="9464" w:type="dxa"/>
            <w:gridSpan w:val="9"/>
            <w:tcBorders>
              <w:left w:val="double" w:sz="4" w:space="0" w:color="auto"/>
              <w:right w:val="double" w:sz="4" w:space="0" w:color="auto"/>
            </w:tcBorders>
            <w:shd w:val="clear" w:color="auto" w:fill="F2F2F2"/>
            <w:vAlign w:val="center"/>
          </w:tcPr>
          <w:p w14:paraId="21A7D66F" w14:textId="77777777" w:rsidR="0073584C" w:rsidRPr="00FD6C96" w:rsidRDefault="0073584C" w:rsidP="0073584C">
            <w:pPr>
              <w:spacing w:before="40" w:after="40"/>
              <w:rPr>
                <w:b/>
                <w:sz w:val="16"/>
                <w:szCs w:val="16"/>
              </w:rPr>
            </w:pPr>
            <w:r w:rsidRPr="00FD6C96">
              <w:rPr>
                <w:b/>
                <w:sz w:val="16"/>
                <w:szCs w:val="16"/>
              </w:rPr>
              <w:t>II. Transparency of public finances</w:t>
            </w:r>
          </w:p>
        </w:tc>
      </w:tr>
      <w:tr w:rsidR="0073584C" w:rsidRPr="00FD6C96" w14:paraId="19150FCF" w14:textId="77777777" w:rsidTr="0073584C">
        <w:tc>
          <w:tcPr>
            <w:tcW w:w="531" w:type="dxa"/>
            <w:tcBorders>
              <w:left w:val="double" w:sz="4" w:space="0" w:color="auto"/>
            </w:tcBorders>
            <w:vAlign w:val="center"/>
          </w:tcPr>
          <w:p w14:paraId="507E2267" w14:textId="77777777" w:rsidR="0073584C" w:rsidRPr="00FD6C96" w:rsidRDefault="0073584C" w:rsidP="0073584C">
            <w:pPr>
              <w:spacing w:before="40" w:after="40"/>
              <w:ind w:left="-57" w:right="-57"/>
              <w:jc w:val="center"/>
              <w:rPr>
                <w:sz w:val="16"/>
                <w:szCs w:val="16"/>
              </w:rPr>
            </w:pPr>
            <w:r w:rsidRPr="00FD6C96">
              <w:rPr>
                <w:sz w:val="16"/>
                <w:szCs w:val="16"/>
              </w:rPr>
              <w:t>PI-4</w:t>
            </w:r>
          </w:p>
        </w:tc>
        <w:tc>
          <w:tcPr>
            <w:tcW w:w="5096" w:type="dxa"/>
          </w:tcPr>
          <w:p w14:paraId="11FA995F" w14:textId="77777777" w:rsidR="0073584C" w:rsidRPr="00FD6C96" w:rsidRDefault="0073584C" w:rsidP="0073584C">
            <w:pPr>
              <w:spacing w:before="40" w:after="40"/>
              <w:rPr>
                <w:sz w:val="16"/>
                <w:szCs w:val="16"/>
              </w:rPr>
            </w:pPr>
            <w:r w:rsidRPr="00FD6C96">
              <w:rPr>
                <w:sz w:val="16"/>
                <w:szCs w:val="16"/>
              </w:rPr>
              <w:t>Budget classification</w:t>
            </w:r>
          </w:p>
        </w:tc>
        <w:tc>
          <w:tcPr>
            <w:tcW w:w="573" w:type="dxa"/>
            <w:gridSpan w:val="2"/>
            <w:vAlign w:val="center"/>
          </w:tcPr>
          <w:p w14:paraId="55DA7DB8"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3A15DC21" w14:textId="77777777" w:rsidR="0073584C" w:rsidRPr="00FD6C96" w:rsidRDefault="0073584C" w:rsidP="0073584C">
            <w:pPr>
              <w:spacing w:before="40" w:after="40"/>
              <w:jc w:val="center"/>
              <w:rPr>
                <w:sz w:val="16"/>
                <w:szCs w:val="16"/>
              </w:rPr>
            </w:pPr>
            <w:r w:rsidRPr="00FD6C96">
              <w:rPr>
                <w:sz w:val="16"/>
                <w:szCs w:val="16"/>
              </w:rPr>
              <w:t>C</w:t>
            </w:r>
          </w:p>
        </w:tc>
        <w:tc>
          <w:tcPr>
            <w:tcW w:w="603" w:type="dxa"/>
            <w:shd w:val="clear" w:color="auto" w:fill="F2F2F2"/>
            <w:vAlign w:val="center"/>
          </w:tcPr>
          <w:p w14:paraId="73AAA11F" w14:textId="77777777" w:rsidR="0073584C" w:rsidRPr="00FD6C96" w:rsidRDefault="0073584C" w:rsidP="0073584C">
            <w:pPr>
              <w:spacing w:before="40" w:after="40"/>
              <w:jc w:val="center"/>
              <w:rPr>
                <w:sz w:val="16"/>
                <w:szCs w:val="16"/>
              </w:rPr>
            </w:pPr>
          </w:p>
        </w:tc>
        <w:tc>
          <w:tcPr>
            <w:tcW w:w="603" w:type="dxa"/>
            <w:shd w:val="clear" w:color="auto" w:fill="F2F2F2"/>
            <w:vAlign w:val="center"/>
          </w:tcPr>
          <w:p w14:paraId="73F418DF" w14:textId="77777777" w:rsidR="0073584C" w:rsidRPr="00FD6C96" w:rsidRDefault="0073584C" w:rsidP="0073584C">
            <w:pPr>
              <w:spacing w:before="40" w:after="40"/>
              <w:jc w:val="center"/>
              <w:rPr>
                <w:sz w:val="16"/>
                <w:szCs w:val="16"/>
              </w:rPr>
            </w:pPr>
          </w:p>
        </w:tc>
        <w:tc>
          <w:tcPr>
            <w:tcW w:w="604" w:type="dxa"/>
            <w:shd w:val="clear" w:color="auto" w:fill="F2F2F2"/>
            <w:vAlign w:val="center"/>
          </w:tcPr>
          <w:p w14:paraId="766B1187"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048C6541" w14:textId="77777777" w:rsidR="0073584C" w:rsidRPr="00FD6C96" w:rsidRDefault="0073584C" w:rsidP="0073584C">
            <w:pPr>
              <w:spacing w:before="40" w:after="40"/>
              <w:jc w:val="center"/>
              <w:rPr>
                <w:b/>
                <w:sz w:val="16"/>
                <w:szCs w:val="16"/>
              </w:rPr>
            </w:pPr>
            <w:r w:rsidRPr="00FD6C96">
              <w:rPr>
                <w:b/>
                <w:sz w:val="16"/>
                <w:szCs w:val="16"/>
              </w:rPr>
              <w:t>C</w:t>
            </w:r>
          </w:p>
        </w:tc>
      </w:tr>
      <w:tr w:rsidR="0073584C" w:rsidRPr="00FD6C96" w14:paraId="736BBDE7" w14:textId="77777777" w:rsidTr="0073584C">
        <w:tc>
          <w:tcPr>
            <w:tcW w:w="531" w:type="dxa"/>
            <w:tcBorders>
              <w:left w:val="double" w:sz="4" w:space="0" w:color="auto"/>
            </w:tcBorders>
            <w:vAlign w:val="center"/>
          </w:tcPr>
          <w:p w14:paraId="580C3D95" w14:textId="77777777" w:rsidR="0073584C" w:rsidRPr="00FD6C96" w:rsidRDefault="0073584C" w:rsidP="0073584C">
            <w:pPr>
              <w:spacing w:before="40" w:after="40"/>
              <w:ind w:left="-57" w:right="-57"/>
              <w:jc w:val="center"/>
              <w:rPr>
                <w:sz w:val="16"/>
                <w:szCs w:val="16"/>
              </w:rPr>
            </w:pPr>
            <w:r w:rsidRPr="00FD6C96">
              <w:rPr>
                <w:sz w:val="16"/>
                <w:szCs w:val="16"/>
              </w:rPr>
              <w:t>PI-5</w:t>
            </w:r>
          </w:p>
        </w:tc>
        <w:tc>
          <w:tcPr>
            <w:tcW w:w="5096" w:type="dxa"/>
          </w:tcPr>
          <w:p w14:paraId="68A35E9C" w14:textId="77777777" w:rsidR="0073584C" w:rsidRPr="00FD6C96" w:rsidRDefault="0073584C" w:rsidP="0073584C">
            <w:pPr>
              <w:spacing w:before="40" w:after="40"/>
              <w:rPr>
                <w:sz w:val="16"/>
                <w:szCs w:val="16"/>
              </w:rPr>
            </w:pPr>
            <w:r w:rsidRPr="00FD6C96">
              <w:rPr>
                <w:sz w:val="16"/>
                <w:szCs w:val="16"/>
              </w:rPr>
              <w:t>Budget documentation</w:t>
            </w:r>
          </w:p>
        </w:tc>
        <w:tc>
          <w:tcPr>
            <w:tcW w:w="573" w:type="dxa"/>
            <w:gridSpan w:val="2"/>
            <w:vAlign w:val="center"/>
          </w:tcPr>
          <w:p w14:paraId="5E716C93"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405F1E71" w14:textId="77777777" w:rsidR="0073584C" w:rsidRPr="00FD6C96" w:rsidRDefault="0073584C" w:rsidP="0073584C">
            <w:pPr>
              <w:spacing w:before="40" w:after="40"/>
              <w:jc w:val="center"/>
              <w:rPr>
                <w:sz w:val="16"/>
                <w:szCs w:val="16"/>
              </w:rPr>
            </w:pPr>
            <w:r>
              <w:rPr>
                <w:sz w:val="16"/>
                <w:szCs w:val="16"/>
              </w:rPr>
              <w:t>A</w:t>
            </w:r>
          </w:p>
        </w:tc>
        <w:tc>
          <w:tcPr>
            <w:tcW w:w="603" w:type="dxa"/>
            <w:shd w:val="clear" w:color="auto" w:fill="F2F2F2"/>
            <w:vAlign w:val="center"/>
          </w:tcPr>
          <w:p w14:paraId="1C1FA321" w14:textId="77777777" w:rsidR="0073584C" w:rsidRPr="00FD6C96" w:rsidRDefault="0073584C" w:rsidP="0073584C">
            <w:pPr>
              <w:spacing w:before="40" w:after="40"/>
              <w:jc w:val="center"/>
              <w:rPr>
                <w:sz w:val="16"/>
                <w:szCs w:val="16"/>
              </w:rPr>
            </w:pPr>
          </w:p>
        </w:tc>
        <w:tc>
          <w:tcPr>
            <w:tcW w:w="603" w:type="dxa"/>
            <w:tcBorders>
              <w:bottom w:val="single" w:sz="4" w:space="0" w:color="auto"/>
            </w:tcBorders>
            <w:shd w:val="clear" w:color="auto" w:fill="F2F2F2"/>
            <w:vAlign w:val="center"/>
          </w:tcPr>
          <w:p w14:paraId="04C1E6CF" w14:textId="77777777" w:rsidR="0073584C" w:rsidRPr="00FD6C96" w:rsidRDefault="0073584C" w:rsidP="0073584C">
            <w:pPr>
              <w:spacing w:before="40" w:after="40"/>
              <w:jc w:val="center"/>
              <w:rPr>
                <w:sz w:val="16"/>
                <w:szCs w:val="16"/>
              </w:rPr>
            </w:pPr>
          </w:p>
        </w:tc>
        <w:tc>
          <w:tcPr>
            <w:tcW w:w="604" w:type="dxa"/>
            <w:shd w:val="clear" w:color="auto" w:fill="F2F2F2"/>
            <w:vAlign w:val="center"/>
          </w:tcPr>
          <w:p w14:paraId="1DC0410F"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738C9637" w14:textId="77777777" w:rsidR="0073584C" w:rsidRPr="00FD6C96" w:rsidRDefault="0073584C" w:rsidP="0073584C">
            <w:pPr>
              <w:spacing w:before="40" w:after="40"/>
              <w:jc w:val="center"/>
              <w:rPr>
                <w:b/>
                <w:sz w:val="16"/>
                <w:szCs w:val="16"/>
              </w:rPr>
            </w:pPr>
            <w:r>
              <w:rPr>
                <w:b/>
                <w:sz w:val="16"/>
                <w:szCs w:val="16"/>
              </w:rPr>
              <w:t>A</w:t>
            </w:r>
          </w:p>
        </w:tc>
      </w:tr>
      <w:tr w:rsidR="0073584C" w:rsidRPr="00FD6C96" w14:paraId="6642F714" w14:textId="77777777" w:rsidTr="0073584C">
        <w:tc>
          <w:tcPr>
            <w:tcW w:w="531" w:type="dxa"/>
            <w:tcBorders>
              <w:left w:val="double" w:sz="4" w:space="0" w:color="auto"/>
            </w:tcBorders>
            <w:vAlign w:val="center"/>
          </w:tcPr>
          <w:p w14:paraId="076145ED" w14:textId="77777777" w:rsidR="0073584C" w:rsidRPr="00FD6C96" w:rsidRDefault="0073584C" w:rsidP="0073584C">
            <w:pPr>
              <w:spacing w:before="40" w:after="40"/>
              <w:ind w:left="-57" w:right="-57"/>
              <w:jc w:val="center"/>
              <w:rPr>
                <w:sz w:val="16"/>
                <w:szCs w:val="16"/>
              </w:rPr>
            </w:pPr>
            <w:r w:rsidRPr="00FD6C96">
              <w:rPr>
                <w:sz w:val="16"/>
                <w:szCs w:val="16"/>
              </w:rPr>
              <w:t>PI-6</w:t>
            </w:r>
          </w:p>
        </w:tc>
        <w:tc>
          <w:tcPr>
            <w:tcW w:w="5096" w:type="dxa"/>
          </w:tcPr>
          <w:p w14:paraId="39C44414" w14:textId="77777777" w:rsidR="0073584C" w:rsidRPr="00FD6C96" w:rsidRDefault="0073584C" w:rsidP="0073584C">
            <w:pPr>
              <w:spacing w:before="40" w:after="40"/>
              <w:rPr>
                <w:sz w:val="16"/>
                <w:szCs w:val="16"/>
              </w:rPr>
            </w:pPr>
            <w:r w:rsidRPr="00FD6C96">
              <w:rPr>
                <w:sz w:val="16"/>
                <w:szCs w:val="16"/>
              </w:rPr>
              <w:t>Central government operations outside financial reports</w:t>
            </w:r>
          </w:p>
        </w:tc>
        <w:tc>
          <w:tcPr>
            <w:tcW w:w="573" w:type="dxa"/>
            <w:gridSpan w:val="2"/>
            <w:vAlign w:val="center"/>
          </w:tcPr>
          <w:p w14:paraId="397488D6"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46B23DDA"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3EFBB24E" w14:textId="77777777" w:rsidR="0073584C" w:rsidRPr="00FD6C96" w:rsidRDefault="0073584C" w:rsidP="0073584C">
            <w:pPr>
              <w:spacing w:before="40" w:after="40"/>
              <w:jc w:val="center"/>
              <w:rPr>
                <w:sz w:val="16"/>
                <w:szCs w:val="16"/>
              </w:rPr>
            </w:pPr>
            <w:r w:rsidRPr="00FD6C96">
              <w:rPr>
                <w:sz w:val="16"/>
                <w:szCs w:val="16"/>
              </w:rPr>
              <w:t>A</w:t>
            </w:r>
          </w:p>
        </w:tc>
        <w:tc>
          <w:tcPr>
            <w:tcW w:w="603" w:type="dxa"/>
            <w:tcBorders>
              <w:bottom w:val="single" w:sz="4" w:space="0" w:color="auto"/>
            </w:tcBorders>
            <w:shd w:val="clear" w:color="auto" w:fill="FFFFFF"/>
            <w:vAlign w:val="center"/>
          </w:tcPr>
          <w:p w14:paraId="58F43992" w14:textId="77777777" w:rsidR="0073584C" w:rsidRPr="00FD6C96" w:rsidRDefault="0073584C" w:rsidP="0073584C">
            <w:pPr>
              <w:spacing w:before="40" w:after="40"/>
              <w:jc w:val="center"/>
              <w:rPr>
                <w:sz w:val="16"/>
                <w:szCs w:val="16"/>
              </w:rPr>
            </w:pPr>
            <w:r w:rsidRPr="00FD6C96">
              <w:rPr>
                <w:sz w:val="16"/>
                <w:szCs w:val="16"/>
              </w:rPr>
              <w:t>C</w:t>
            </w:r>
          </w:p>
        </w:tc>
        <w:tc>
          <w:tcPr>
            <w:tcW w:w="604" w:type="dxa"/>
            <w:shd w:val="clear" w:color="auto" w:fill="F2F2F2"/>
            <w:vAlign w:val="center"/>
          </w:tcPr>
          <w:p w14:paraId="2C516AB6"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4A778555" w14:textId="77777777" w:rsidR="0073584C" w:rsidRPr="00FD6C96" w:rsidRDefault="0073584C" w:rsidP="0073584C">
            <w:pPr>
              <w:spacing w:before="40" w:after="40"/>
              <w:jc w:val="center"/>
              <w:rPr>
                <w:b/>
                <w:sz w:val="16"/>
                <w:szCs w:val="16"/>
              </w:rPr>
            </w:pPr>
            <w:r w:rsidRPr="00FD6C96">
              <w:rPr>
                <w:b/>
                <w:sz w:val="16"/>
                <w:szCs w:val="16"/>
              </w:rPr>
              <w:t>B+</w:t>
            </w:r>
          </w:p>
        </w:tc>
      </w:tr>
      <w:tr w:rsidR="0073584C" w:rsidRPr="00FD6C96" w14:paraId="444976FB" w14:textId="77777777" w:rsidTr="0073584C">
        <w:tc>
          <w:tcPr>
            <w:tcW w:w="531" w:type="dxa"/>
            <w:tcBorders>
              <w:left w:val="double" w:sz="4" w:space="0" w:color="auto"/>
            </w:tcBorders>
            <w:vAlign w:val="center"/>
          </w:tcPr>
          <w:p w14:paraId="320D9501" w14:textId="77777777" w:rsidR="0073584C" w:rsidRPr="00FD6C96" w:rsidRDefault="0073584C" w:rsidP="0073584C">
            <w:pPr>
              <w:spacing w:before="40" w:after="40"/>
              <w:ind w:left="-57" w:right="-57"/>
              <w:jc w:val="center"/>
              <w:rPr>
                <w:sz w:val="16"/>
                <w:szCs w:val="16"/>
              </w:rPr>
            </w:pPr>
            <w:r w:rsidRPr="00FD6C96">
              <w:rPr>
                <w:sz w:val="16"/>
                <w:szCs w:val="16"/>
              </w:rPr>
              <w:t>PI-7</w:t>
            </w:r>
          </w:p>
        </w:tc>
        <w:tc>
          <w:tcPr>
            <w:tcW w:w="5096" w:type="dxa"/>
          </w:tcPr>
          <w:p w14:paraId="4E1A1FEE" w14:textId="3067D48A" w:rsidR="0073584C" w:rsidRPr="00FD6C96" w:rsidRDefault="0073584C" w:rsidP="0073584C">
            <w:pPr>
              <w:spacing w:before="40" w:after="40"/>
              <w:rPr>
                <w:sz w:val="16"/>
                <w:szCs w:val="16"/>
              </w:rPr>
            </w:pPr>
            <w:r w:rsidRPr="00FD6C96">
              <w:rPr>
                <w:sz w:val="16"/>
                <w:szCs w:val="16"/>
              </w:rPr>
              <w:t xml:space="preserve">Transfers to </w:t>
            </w:r>
            <w:r w:rsidR="006F78DF">
              <w:rPr>
                <w:sz w:val="16"/>
                <w:szCs w:val="16"/>
              </w:rPr>
              <w:t>subnational</w:t>
            </w:r>
            <w:r w:rsidRPr="00FD6C96">
              <w:rPr>
                <w:sz w:val="16"/>
                <w:szCs w:val="16"/>
              </w:rPr>
              <w:t xml:space="preserve"> governments</w:t>
            </w:r>
          </w:p>
        </w:tc>
        <w:tc>
          <w:tcPr>
            <w:tcW w:w="573" w:type="dxa"/>
            <w:gridSpan w:val="2"/>
            <w:vAlign w:val="center"/>
          </w:tcPr>
          <w:p w14:paraId="5B47BBC2"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69FAFA8F" w14:textId="212B8DA1" w:rsidR="0073584C" w:rsidRPr="00FD6C96" w:rsidRDefault="00346985" w:rsidP="0073584C">
            <w:pPr>
              <w:spacing w:before="40" w:after="40"/>
              <w:jc w:val="center"/>
              <w:rPr>
                <w:sz w:val="16"/>
                <w:szCs w:val="16"/>
              </w:rPr>
            </w:pPr>
            <w:r>
              <w:rPr>
                <w:sz w:val="16"/>
                <w:szCs w:val="16"/>
              </w:rPr>
              <w:t>A</w:t>
            </w:r>
          </w:p>
        </w:tc>
        <w:tc>
          <w:tcPr>
            <w:tcW w:w="603" w:type="dxa"/>
            <w:vAlign w:val="center"/>
          </w:tcPr>
          <w:p w14:paraId="5C6B2E2B" w14:textId="77777777" w:rsidR="0073584C" w:rsidRPr="00FD6C96" w:rsidRDefault="0073584C" w:rsidP="0073584C">
            <w:pPr>
              <w:spacing w:before="40" w:after="40"/>
              <w:jc w:val="center"/>
              <w:rPr>
                <w:sz w:val="16"/>
                <w:szCs w:val="16"/>
              </w:rPr>
            </w:pPr>
            <w:r>
              <w:rPr>
                <w:sz w:val="16"/>
                <w:szCs w:val="16"/>
              </w:rPr>
              <w:t>A</w:t>
            </w:r>
          </w:p>
        </w:tc>
        <w:tc>
          <w:tcPr>
            <w:tcW w:w="603" w:type="dxa"/>
            <w:shd w:val="clear" w:color="auto" w:fill="F2F2F2"/>
            <w:vAlign w:val="center"/>
          </w:tcPr>
          <w:p w14:paraId="16D708E1" w14:textId="77777777" w:rsidR="0073584C" w:rsidRPr="00FD6C96" w:rsidRDefault="0073584C" w:rsidP="0073584C">
            <w:pPr>
              <w:spacing w:before="40" w:after="40"/>
              <w:jc w:val="center"/>
              <w:rPr>
                <w:sz w:val="16"/>
                <w:szCs w:val="16"/>
              </w:rPr>
            </w:pPr>
          </w:p>
        </w:tc>
        <w:tc>
          <w:tcPr>
            <w:tcW w:w="604" w:type="dxa"/>
            <w:shd w:val="clear" w:color="auto" w:fill="F2F2F2"/>
            <w:vAlign w:val="center"/>
          </w:tcPr>
          <w:p w14:paraId="527C70BC"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0AFDC3B4" w14:textId="597BF45C" w:rsidR="0073584C" w:rsidRPr="00FD6C96" w:rsidRDefault="00346985" w:rsidP="0073584C">
            <w:pPr>
              <w:spacing w:before="40" w:after="40"/>
              <w:jc w:val="center"/>
              <w:rPr>
                <w:b/>
                <w:sz w:val="16"/>
                <w:szCs w:val="16"/>
              </w:rPr>
            </w:pPr>
            <w:r>
              <w:rPr>
                <w:b/>
                <w:sz w:val="16"/>
                <w:szCs w:val="16"/>
              </w:rPr>
              <w:t>A</w:t>
            </w:r>
          </w:p>
        </w:tc>
      </w:tr>
      <w:tr w:rsidR="0073584C" w:rsidRPr="00FD6C96" w14:paraId="76D9D173" w14:textId="77777777" w:rsidTr="0073584C">
        <w:tc>
          <w:tcPr>
            <w:tcW w:w="531" w:type="dxa"/>
            <w:tcBorders>
              <w:left w:val="double" w:sz="4" w:space="0" w:color="auto"/>
            </w:tcBorders>
            <w:vAlign w:val="center"/>
          </w:tcPr>
          <w:p w14:paraId="51664390" w14:textId="77777777" w:rsidR="0073584C" w:rsidRPr="00FD6C96" w:rsidRDefault="0073584C" w:rsidP="0073584C">
            <w:pPr>
              <w:spacing w:before="40" w:after="40"/>
              <w:ind w:left="-57" w:right="-57"/>
              <w:jc w:val="center"/>
              <w:rPr>
                <w:sz w:val="16"/>
                <w:szCs w:val="16"/>
              </w:rPr>
            </w:pPr>
            <w:r w:rsidRPr="00FD6C96">
              <w:rPr>
                <w:sz w:val="16"/>
                <w:szCs w:val="16"/>
              </w:rPr>
              <w:t>PI-8</w:t>
            </w:r>
          </w:p>
        </w:tc>
        <w:tc>
          <w:tcPr>
            <w:tcW w:w="5096" w:type="dxa"/>
          </w:tcPr>
          <w:p w14:paraId="5B3AD6FC" w14:textId="77777777" w:rsidR="0073584C" w:rsidRPr="00FD6C96" w:rsidRDefault="0073584C" w:rsidP="0073584C">
            <w:pPr>
              <w:spacing w:before="40" w:after="40"/>
              <w:rPr>
                <w:sz w:val="16"/>
                <w:szCs w:val="16"/>
              </w:rPr>
            </w:pPr>
            <w:r w:rsidRPr="00FD6C96">
              <w:rPr>
                <w:sz w:val="16"/>
                <w:szCs w:val="16"/>
              </w:rPr>
              <w:t>Performance information for service delivery</w:t>
            </w:r>
          </w:p>
        </w:tc>
        <w:tc>
          <w:tcPr>
            <w:tcW w:w="573" w:type="dxa"/>
            <w:gridSpan w:val="2"/>
            <w:vAlign w:val="center"/>
          </w:tcPr>
          <w:p w14:paraId="7B565C0F"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3B169579" w14:textId="035A5234" w:rsidR="0073584C" w:rsidRPr="00FD6C96" w:rsidRDefault="00346985" w:rsidP="0073584C">
            <w:pPr>
              <w:spacing w:before="40" w:after="40"/>
              <w:jc w:val="center"/>
              <w:rPr>
                <w:sz w:val="16"/>
                <w:szCs w:val="16"/>
              </w:rPr>
            </w:pPr>
            <w:r>
              <w:rPr>
                <w:sz w:val="16"/>
                <w:szCs w:val="16"/>
              </w:rPr>
              <w:t>A</w:t>
            </w:r>
          </w:p>
        </w:tc>
        <w:tc>
          <w:tcPr>
            <w:tcW w:w="603" w:type="dxa"/>
            <w:vAlign w:val="center"/>
          </w:tcPr>
          <w:p w14:paraId="6C711DB1" w14:textId="3B105421" w:rsidR="0073584C" w:rsidRPr="00FD6C96" w:rsidRDefault="00346985" w:rsidP="0073584C">
            <w:pPr>
              <w:spacing w:before="40" w:after="40"/>
              <w:jc w:val="center"/>
              <w:rPr>
                <w:sz w:val="16"/>
                <w:szCs w:val="16"/>
              </w:rPr>
            </w:pPr>
            <w:r>
              <w:rPr>
                <w:sz w:val="16"/>
                <w:szCs w:val="16"/>
              </w:rPr>
              <w:t>A</w:t>
            </w:r>
          </w:p>
        </w:tc>
        <w:tc>
          <w:tcPr>
            <w:tcW w:w="603" w:type="dxa"/>
            <w:vAlign w:val="center"/>
          </w:tcPr>
          <w:p w14:paraId="4A8D0E3B" w14:textId="77777777" w:rsidR="0073584C" w:rsidRPr="00FD6C96" w:rsidRDefault="0073584C" w:rsidP="0073584C">
            <w:pPr>
              <w:spacing w:before="40" w:after="40"/>
              <w:jc w:val="center"/>
              <w:rPr>
                <w:sz w:val="16"/>
                <w:szCs w:val="16"/>
              </w:rPr>
            </w:pPr>
            <w:r>
              <w:rPr>
                <w:sz w:val="16"/>
                <w:szCs w:val="16"/>
              </w:rPr>
              <w:t>C</w:t>
            </w:r>
          </w:p>
        </w:tc>
        <w:tc>
          <w:tcPr>
            <w:tcW w:w="604" w:type="dxa"/>
            <w:vAlign w:val="center"/>
          </w:tcPr>
          <w:p w14:paraId="2067BBE3" w14:textId="77777777" w:rsidR="0073584C" w:rsidRPr="00FD6C96" w:rsidRDefault="0073584C" w:rsidP="0073584C">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469FADC2" w14:textId="2619ABD4" w:rsidR="0073584C" w:rsidRPr="00FD6C96" w:rsidRDefault="0073584C" w:rsidP="0073584C">
            <w:pPr>
              <w:spacing w:before="40" w:after="40"/>
              <w:jc w:val="center"/>
              <w:rPr>
                <w:b/>
                <w:sz w:val="16"/>
                <w:szCs w:val="16"/>
              </w:rPr>
            </w:pPr>
            <w:r>
              <w:rPr>
                <w:b/>
                <w:sz w:val="16"/>
                <w:szCs w:val="16"/>
              </w:rPr>
              <w:t>B</w:t>
            </w:r>
            <w:r w:rsidR="00346985">
              <w:rPr>
                <w:b/>
                <w:sz w:val="16"/>
                <w:szCs w:val="16"/>
              </w:rPr>
              <w:t>+</w:t>
            </w:r>
          </w:p>
        </w:tc>
      </w:tr>
      <w:tr w:rsidR="0073584C" w:rsidRPr="00FD6C96" w14:paraId="27D07087" w14:textId="77777777" w:rsidTr="0073584C">
        <w:tc>
          <w:tcPr>
            <w:tcW w:w="531" w:type="dxa"/>
            <w:tcBorders>
              <w:left w:val="double" w:sz="4" w:space="0" w:color="auto"/>
            </w:tcBorders>
            <w:vAlign w:val="center"/>
          </w:tcPr>
          <w:p w14:paraId="1D453126" w14:textId="77777777" w:rsidR="0073584C" w:rsidRPr="00FD6C96" w:rsidRDefault="0073584C" w:rsidP="0073584C">
            <w:pPr>
              <w:spacing w:before="40" w:after="40"/>
              <w:ind w:left="-57" w:right="-57"/>
              <w:jc w:val="center"/>
              <w:rPr>
                <w:sz w:val="16"/>
                <w:szCs w:val="16"/>
              </w:rPr>
            </w:pPr>
            <w:r w:rsidRPr="00FD6C96">
              <w:rPr>
                <w:sz w:val="16"/>
                <w:szCs w:val="16"/>
              </w:rPr>
              <w:t>PI-9</w:t>
            </w:r>
          </w:p>
        </w:tc>
        <w:tc>
          <w:tcPr>
            <w:tcW w:w="5096" w:type="dxa"/>
          </w:tcPr>
          <w:p w14:paraId="027B48C3" w14:textId="77777777" w:rsidR="0073584C" w:rsidRPr="00FD6C96" w:rsidRDefault="0073584C" w:rsidP="0073584C">
            <w:pPr>
              <w:spacing w:before="40" w:after="40"/>
              <w:rPr>
                <w:sz w:val="16"/>
                <w:szCs w:val="16"/>
              </w:rPr>
            </w:pPr>
            <w:r w:rsidRPr="00FD6C96">
              <w:rPr>
                <w:sz w:val="16"/>
                <w:szCs w:val="16"/>
              </w:rPr>
              <w:t>Public access to fiscal information</w:t>
            </w:r>
          </w:p>
        </w:tc>
        <w:tc>
          <w:tcPr>
            <w:tcW w:w="573" w:type="dxa"/>
            <w:gridSpan w:val="2"/>
            <w:vAlign w:val="center"/>
          </w:tcPr>
          <w:p w14:paraId="4EA31F08"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62EA469B" w14:textId="647A3B6E" w:rsidR="0073584C" w:rsidRPr="00FD6C96" w:rsidRDefault="00135A42" w:rsidP="0073584C">
            <w:pPr>
              <w:spacing w:before="40" w:after="40"/>
              <w:jc w:val="center"/>
              <w:rPr>
                <w:sz w:val="16"/>
                <w:szCs w:val="16"/>
              </w:rPr>
            </w:pPr>
            <w:r>
              <w:rPr>
                <w:sz w:val="16"/>
                <w:szCs w:val="16"/>
              </w:rPr>
              <w:t>A</w:t>
            </w:r>
          </w:p>
        </w:tc>
        <w:tc>
          <w:tcPr>
            <w:tcW w:w="603" w:type="dxa"/>
            <w:shd w:val="clear" w:color="auto" w:fill="F2F2F2"/>
            <w:vAlign w:val="center"/>
          </w:tcPr>
          <w:p w14:paraId="50A38AD7" w14:textId="77777777" w:rsidR="0073584C" w:rsidRPr="00FD6C96" w:rsidRDefault="0073584C" w:rsidP="0073584C">
            <w:pPr>
              <w:spacing w:before="40" w:after="40"/>
              <w:jc w:val="center"/>
              <w:rPr>
                <w:sz w:val="16"/>
                <w:szCs w:val="16"/>
              </w:rPr>
            </w:pPr>
          </w:p>
        </w:tc>
        <w:tc>
          <w:tcPr>
            <w:tcW w:w="603" w:type="dxa"/>
            <w:shd w:val="clear" w:color="auto" w:fill="F2F2F2"/>
            <w:vAlign w:val="center"/>
          </w:tcPr>
          <w:p w14:paraId="2D122E7A" w14:textId="77777777" w:rsidR="0073584C" w:rsidRPr="00FD6C96" w:rsidRDefault="0073584C" w:rsidP="0073584C">
            <w:pPr>
              <w:spacing w:before="40" w:after="40"/>
              <w:jc w:val="center"/>
              <w:rPr>
                <w:sz w:val="16"/>
                <w:szCs w:val="16"/>
              </w:rPr>
            </w:pPr>
          </w:p>
        </w:tc>
        <w:tc>
          <w:tcPr>
            <w:tcW w:w="604" w:type="dxa"/>
            <w:shd w:val="clear" w:color="auto" w:fill="F2F2F2"/>
            <w:vAlign w:val="center"/>
          </w:tcPr>
          <w:p w14:paraId="2D8DC607"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32F2CDDD" w14:textId="4046D4AF" w:rsidR="0073584C" w:rsidRPr="00FD6C96" w:rsidRDefault="00135A42" w:rsidP="0073584C">
            <w:pPr>
              <w:spacing w:before="40" w:after="40"/>
              <w:jc w:val="center"/>
              <w:rPr>
                <w:b/>
                <w:sz w:val="16"/>
                <w:szCs w:val="16"/>
              </w:rPr>
            </w:pPr>
            <w:r>
              <w:rPr>
                <w:b/>
                <w:sz w:val="16"/>
                <w:szCs w:val="16"/>
              </w:rPr>
              <w:t>A</w:t>
            </w:r>
          </w:p>
        </w:tc>
      </w:tr>
      <w:tr w:rsidR="0073584C" w:rsidRPr="00FD6C96" w14:paraId="10AEAFE0" w14:textId="77777777" w:rsidTr="0073584C">
        <w:tc>
          <w:tcPr>
            <w:tcW w:w="9464" w:type="dxa"/>
            <w:gridSpan w:val="9"/>
            <w:tcBorders>
              <w:left w:val="double" w:sz="4" w:space="0" w:color="auto"/>
              <w:right w:val="double" w:sz="4" w:space="0" w:color="auto"/>
            </w:tcBorders>
            <w:shd w:val="clear" w:color="auto" w:fill="D9D9D9"/>
            <w:vAlign w:val="center"/>
          </w:tcPr>
          <w:p w14:paraId="0279AB56" w14:textId="77777777" w:rsidR="0073584C" w:rsidRPr="00FD6C96" w:rsidRDefault="0073584C" w:rsidP="0073584C">
            <w:pPr>
              <w:spacing w:before="40" w:after="40"/>
              <w:rPr>
                <w:sz w:val="16"/>
                <w:szCs w:val="16"/>
              </w:rPr>
            </w:pPr>
            <w:r w:rsidRPr="00FD6C96">
              <w:rPr>
                <w:b/>
                <w:sz w:val="16"/>
                <w:szCs w:val="16"/>
              </w:rPr>
              <w:t>III. Management of Assets and Liabilities</w:t>
            </w:r>
          </w:p>
        </w:tc>
      </w:tr>
      <w:tr w:rsidR="0073584C" w:rsidRPr="00FD6C96" w14:paraId="7F74A4CF" w14:textId="77777777" w:rsidTr="0073584C">
        <w:tc>
          <w:tcPr>
            <w:tcW w:w="531" w:type="dxa"/>
            <w:tcBorders>
              <w:left w:val="double" w:sz="4" w:space="0" w:color="auto"/>
            </w:tcBorders>
            <w:vAlign w:val="center"/>
          </w:tcPr>
          <w:p w14:paraId="189DEF9C" w14:textId="77777777" w:rsidR="0073584C" w:rsidRPr="00FD6C96" w:rsidRDefault="0073584C" w:rsidP="0073584C">
            <w:pPr>
              <w:spacing w:before="40" w:after="40"/>
              <w:ind w:left="-57" w:right="-57"/>
              <w:jc w:val="center"/>
              <w:rPr>
                <w:sz w:val="16"/>
                <w:szCs w:val="16"/>
              </w:rPr>
            </w:pPr>
            <w:r w:rsidRPr="00FD6C96">
              <w:rPr>
                <w:sz w:val="16"/>
                <w:szCs w:val="16"/>
              </w:rPr>
              <w:t>PI-10</w:t>
            </w:r>
          </w:p>
        </w:tc>
        <w:tc>
          <w:tcPr>
            <w:tcW w:w="5096" w:type="dxa"/>
          </w:tcPr>
          <w:p w14:paraId="7DFDE5DF" w14:textId="77777777" w:rsidR="0073584C" w:rsidRPr="00FD6C96" w:rsidRDefault="0073584C" w:rsidP="0073584C">
            <w:pPr>
              <w:spacing w:before="40" w:after="40"/>
              <w:rPr>
                <w:sz w:val="16"/>
                <w:szCs w:val="16"/>
              </w:rPr>
            </w:pPr>
            <w:r w:rsidRPr="00FD6C96">
              <w:rPr>
                <w:sz w:val="16"/>
                <w:szCs w:val="16"/>
              </w:rPr>
              <w:t>Fiscal risk reporting</w:t>
            </w:r>
          </w:p>
        </w:tc>
        <w:tc>
          <w:tcPr>
            <w:tcW w:w="573" w:type="dxa"/>
            <w:gridSpan w:val="2"/>
            <w:vAlign w:val="center"/>
          </w:tcPr>
          <w:p w14:paraId="106890AE"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16830FA5" w14:textId="77777777" w:rsidR="0073584C" w:rsidRPr="00FD6C96" w:rsidRDefault="0073584C" w:rsidP="0073584C">
            <w:pPr>
              <w:spacing w:before="40" w:after="40"/>
              <w:jc w:val="center"/>
              <w:rPr>
                <w:sz w:val="16"/>
                <w:szCs w:val="16"/>
              </w:rPr>
            </w:pPr>
            <w:r w:rsidRPr="00FD6C96">
              <w:rPr>
                <w:sz w:val="16"/>
                <w:szCs w:val="16"/>
              </w:rPr>
              <w:t>C</w:t>
            </w:r>
          </w:p>
        </w:tc>
        <w:tc>
          <w:tcPr>
            <w:tcW w:w="603" w:type="dxa"/>
            <w:vAlign w:val="center"/>
          </w:tcPr>
          <w:p w14:paraId="3CFBFBC4" w14:textId="77777777" w:rsidR="0073584C" w:rsidRPr="00FD6C96" w:rsidRDefault="0073584C" w:rsidP="0073584C">
            <w:pPr>
              <w:spacing w:before="40" w:after="40"/>
              <w:jc w:val="center"/>
              <w:rPr>
                <w:sz w:val="16"/>
                <w:szCs w:val="16"/>
              </w:rPr>
            </w:pPr>
            <w:r>
              <w:rPr>
                <w:sz w:val="16"/>
                <w:szCs w:val="16"/>
              </w:rPr>
              <w:t>C</w:t>
            </w:r>
          </w:p>
        </w:tc>
        <w:tc>
          <w:tcPr>
            <w:tcW w:w="603" w:type="dxa"/>
            <w:vAlign w:val="center"/>
          </w:tcPr>
          <w:p w14:paraId="29F66B57" w14:textId="7C785B83" w:rsidR="0073584C" w:rsidRPr="00FD6C96" w:rsidRDefault="00346985" w:rsidP="0073584C">
            <w:pPr>
              <w:spacing w:before="40" w:after="40"/>
              <w:jc w:val="center"/>
              <w:rPr>
                <w:sz w:val="16"/>
                <w:szCs w:val="16"/>
              </w:rPr>
            </w:pPr>
            <w:r>
              <w:rPr>
                <w:sz w:val="16"/>
                <w:szCs w:val="16"/>
              </w:rPr>
              <w:t>A</w:t>
            </w:r>
          </w:p>
        </w:tc>
        <w:tc>
          <w:tcPr>
            <w:tcW w:w="604" w:type="dxa"/>
            <w:shd w:val="clear" w:color="auto" w:fill="F2F2F2"/>
            <w:vAlign w:val="center"/>
          </w:tcPr>
          <w:p w14:paraId="6D80B9FA"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7E6B8FB2" w14:textId="305BB584" w:rsidR="0073584C" w:rsidRPr="00FD6C96" w:rsidRDefault="00346985" w:rsidP="0073584C">
            <w:pPr>
              <w:spacing w:before="40" w:after="40"/>
              <w:jc w:val="center"/>
              <w:rPr>
                <w:b/>
                <w:sz w:val="16"/>
                <w:szCs w:val="16"/>
              </w:rPr>
            </w:pPr>
            <w:r>
              <w:rPr>
                <w:b/>
                <w:sz w:val="16"/>
                <w:szCs w:val="16"/>
              </w:rPr>
              <w:t>B</w:t>
            </w:r>
          </w:p>
        </w:tc>
      </w:tr>
      <w:tr w:rsidR="0073584C" w:rsidRPr="00FD6C96" w14:paraId="04B61E95" w14:textId="77777777" w:rsidTr="0073584C">
        <w:tc>
          <w:tcPr>
            <w:tcW w:w="531" w:type="dxa"/>
            <w:tcBorders>
              <w:left w:val="double" w:sz="4" w:space="0" w:color="auto"/>
            </w:tcBorders>
            <w:vAlign w:val="center"/>
          </w:tcPr>
          <w:p w14:paraId="38E390DC" w14:textId="77777777" w:rsidR="0073584C" w:rsidRPr="00FD6C96" w:rsidRDefault="0073584C" w:rsidP="0073584C">
            <w:pPr>
              <w:spacing w:before="40" w:after="40"/>
              <w:ind w:left="-57" w:right="-57"/>
              <w:jc w:val="center"/>
              <w:rPr>
                <w:sz w:val="16"/>
                <w:szCs w:val="16"/>
              </w:rPr>
            </w:pPr>
            <w:r w:rsidRPr="00FD6C96">
              <w:rPr>
                <w:sz w:val="16"/>
                <w:szCs w:val="16"/>
              </w:rPr>
              <w:t>PI-11</w:t>
            </w:r>
          </w:p>
        </w:tc>
        <w:tc>
          <w:tcPr>
            <w:tcW w:w="5096" w:type="dxa"/>
          </w:tcPr>
          <w:p w14:paraId="0D3924E9" w14:textId="77777777" w:rsidR="0073584C" w:rsidRPr="00FD6C96" w:rsidRDefault="0073584C" w:rsidP="0073584C">
            <w:pPr>
              <w:spacing w:before="40" w:after="40"/>
              <w:rPr>
                <w:sz w:val="16"/>
                <w:szCs w:val="16"/>
              </w:rPr>
            </w:pPr>
            <w:r w:rsidRPr="00FD6C96">
              <w:rPr>
                <w:sz w:val="16"/>
                <w:szCs w:val="16"/>
              </w:rPr>
              <w:t>Public Investment Management</w:t>
            </w:r>
          </w:p>
        </w:tc>
        <w:tc>
          <w:tcPr>
            <w:tcW w:w="573" w:type="dxa"/>
            <w:gridSpan w:val="2"/>
            <w:vAlign w:val="center"/>
          </w:tcPr>
          <w:p w14:paraId="6449C214"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7CA76562"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3CE964ED"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60D1A98B" w14:textId="77777777" w:rsidR="0073584C" w:rsidRPr="00FD6C96" w:rsidRDefault="0073584C" w:rsidP="0073584C">
            <w:pPr>
              <w:spacing w:before="40" w:after="40"/>
              <w:jc w:val="center"/>
              <w:rPr>
                <w:sz w:val="16"/>
                <w:szCs w:val="16"/>
              </w:rPr>
            </w:pPr>
            <w:r w:rsidRPr="00FD6C96">
              <w:rPr>
                <w:sz w:val="16"/>
                <w:szCs w:val="16"/>
              </w:rPr>
              <w:t>A</w:t>
            </w:r>
          </w:p>
        </w:tc>
        <w:tc>
          <w:tcPr>
            <w:tcW w:w="604" w:type="dxa"/>
            <w:shd w:val="clear" w:color="auto" w:fill="auto"/>
            <w:vAlign w:val="center"/>
          </w:tcPr>
          <w:p w14:paraId="66622458" w14:textId="77777777" w:rsidR="0073584C" w:rsidRPr="00FD6C96" w:rsidRDefault="0073584C" w:rsidP="0073584C">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5E191E8E" w14:textId="7054AF58" w:rsidR="0073584C" w:rsidRPr="00FD6C96" w:rsidRDefault="00CD374D" w:rsidP="0073584C">
            <w:pPr>
              <w:spacing w:before="40" w:after="40"/>
              <w:jc w:val="center"/>
              <w:rPr>
                <w:b/>
                <w:sz w:val="16"/>
                <w:szCs w:val="16"/>
              </w:rPr>
            </w:pPr>
            <w:r>
              <w:rPr>
                <w:b/>
                <w:sz w:val="16"/>
                <w:szCs w:val="16"/>
              </w:rPr>
              <w:t>A</w:t>
            </w:r>
          </w:p>
        </w:tc>
      </w:tr>
      <w:tr w:rsidR="0073584C" w:rsidRPr="00FD6C96" w14:paraId="00257BCE" w14:textId="77777777" w:rsidTr="0073584C">
        <w:tc>
          <w:tcPr>
            <w:tcW w:w="531" w:type="dxa"/>
            <w:tcBorders>
              <w:left w:val="double" w:sz="4" w:space="0" w:color="auto"/>
            </w:tcBorders>
            <w:vAlign w:val="center"/>
          </w:tcPr>
          <w:p w14:paraId="59BFEA4E" w14:textId="77777777" w:rsidR="0073584C" w:rsidRPr="00FD6C96" w:rsidRDefault="0073584C" w:rsidP="0073584C">
            <w:pPr>
              <w:spacing w:before="40" w:after="40"/>
              <w:ind w:left="-57" w:right="-57"/>
              <w:jc w:val="center"/>
              <w:rPr>
                <w:sz w:val="16"/>
                <w:szCs w:val="16"/>
              </w:rPr>
            </w:pPr>
            <w:r w:rsidRPr="00FD6C96">
              <w:rPr>
                <w:sz w:val="16"/>
                <w:szCs w:val="16"/>
              </w:rPr>
              <w:t>PI-12</w:t>
            </w:r>
          </w:p>
        </w:tc>
        <w:tc>
          <w:tcPr>
            <w:tcW w:w="5096" w:type="dxa"/>
          </w:tcPr>
          <w:p w14:paraId="328CAAAC" w14:textId="77777777" w:rsidR="0073584C" w:rsidRPr="00FD6C96" w:rsidRDefault="0073584C" w:rsidP="0073584C">
            <w:pPr>
              <w:spacing w:before="40" w:after="40"/>
              <w:rPr>
                <w:sz w:val="16"/>
                <w:szCs w:val="16"/>
              </w:rPr>
            </w:pPr>
            <w:r w:rsidRPr="00FD6C96">
              <w:rPr>
                <w:sz w:val="16"/>
                <w:szCs w:val="16"/>
              </w:rPr>
              <w:t>Public Asset Management</w:t>
            </w:r>
          </w:p>
        </w:tc>
        <w:tc>
          <w:tcPr>
            <w:tcW w:w="573" w:type="dxa"/>
            <w:gridSpan w:val="2"/>
            <w:vAlign w:val="center"/>
          </w:tcPr>
          <w:p w14:paraId="597C5762"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12312EB5" w14:textId="494F456C" w:rsidR="0073584C" w:rsidRPr="00FD6C96" w:rsidRDefault="00346985" w:rsidP="0073584C">
            <w:pPr>
              <w:spacing w:before="40" w:after="40"/>
              <w:jc w:val="center"/>
              <w:rPr>
                <w:sz w:val="16"/>
                <w:szCs w:val="16"/>
              </w:rPr>
            </w:pPr>
            <w:r>
              <w:rPr>
                <w:sz w:val="16"/>
                <w:szCs w:val="16"/>
              </w:rPr>
              <w:t>C</w:t>
            </w:r>
          </w:p>
        </w:tc>
        <w:tc>
          <w:tcPr>
            <w:tcW w:w="603" w:type="dxa"/>
            <w:vAlign w:val="center"/>
          </w:tcPr>
          <w:p w14:paraId="03D9A302" w14:textId="77777777" w:rsidR="0073584C" w:rsidRPr="00FD6C96" w:rsidRDefault="0073584C" w:rsidP="0073584C">
            <w:pPr>
              <w:spacing w:before="40" w:after="40"/>
              <w:jc w:val="center"/>
              <w:rPr>
                <w:sz w:val="16"/>
                <w:szCs w:val="16"/>
              </w:rPr>
            </w:pPr>
            <w:r>
              <w:rPr>
                <w:sz w:val="16"/>
                <w:szCs w:val="16"/>
              </w:rPr>
              <w:t>C</w:t>
            </w:r>
          </w:p>
        </w:tc>
        <w:tc>
          <w:tcPr>
            <w:tcW w:w="603" w:type="dxa"/>
            <w:vAlign w:val="center"/>
          </w:tcPr>
          <w:p w14:paraId="4F4F419E" w14:textId="77777777" w:rsidR="0073584C" w:rsidRPr="00FD6C96" w:rsidRDefault="0073584C" w:rsidP="0073584C">
            <w:pPr>
              <w:spacing w:before="40" w:after="40"/>
              <w:jc w:val="center"/>
              <w:rPr>
                <w:sz w:val="16"/>
                <w:szCs w:val="16"/>
              </w:rPr>
            </w:pPr>
            <w:r>
              <w:rPr>
                <w:sz w:val="16"/>
                <w:szCs w:val="16"/>
              </w:rPr>
              <w:t>B</w:t>
            </w:r>
          </w:p>
        </w:tc>
        <w:tc>
          <w:tcPr>
            <w:tcW w:w="604" w:type="dxa"/>
            <w:tcBorders>
              <w:bottom w:val="single" w:sz="4" w:space="0" w:color="auto"/>
            </w:tcBorders>
            <w:shd w:val="clear" w:color="auto" w:fill="F2F2F2" w:themeFill="background1" w:themeFillShade="F2"/>
            <w:vAlign w:val="center"/>
          </w:tcPr>
          <w:p w14:paraId="2E952596"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2ACFC781" w14:textId="2336FCE7" w:rsidR="0073584C" w:rsidRPr="00FD6C96" w:rsidRDefault="0073584C" w:rsidP="0073584C">
            <w:pPr>
              <w:spacing w:before="40" w:after="40"/>
              <w:jc w:val="center"/>
              <w:rPr>
                <w:b/>
                <w:sz w:val="16"/>
                <w:szCs w:val="16"/>
              </w:rPr>
            </w:pPr>
            <w:r>
              <w:rPr>
                <w:b/>
                <w:sz w:val="16"/>
                <w:szCs w:val="16"/>
              </w:rPr>
              <w:t>C</w:t>
            </w:r>
            <w:r w:rsidR="00346985">
              <w:rPr>
                <w:b/>
                <w:sz w:val="16"/>
                <w:szCs w:val="16"/>
              </w:rPr>
              <w:t>+</w:t>
            </w:r>
          </w:p>
        </w:tc>
      </w:tr>
      <w:tr w:rsidR="0073584C" w:rsidRPr="00FD6C96" w14:paraId="589CBCF0" w14:textId="77777777" w:rsidTr="0073584C">
        <w:tc>
          <w:tcPr>
            <w:tcW w:w="531" w:type="dxa"/>
            <w:tcBorders>
              <w:left w:val="double" w:sz="4" w:space="0" w:color="auto"/>
            </w:tcBorders>
            <w:vAlign w:val="center"/>
          </w:tcPr>
          <w:p w14:paraId="390B3C71" w14:textId="77777777" w:rsidR="0073584C" w:rsidRPr="00FD6C96" w:rsidRDefault="0073584C" w:rsidP="0073584C">
            <w:pPr>
              <w:spacing w:before="40" w:after="40"/>
              <w:ind w:left="-57" w:right="-57"/>
              <w:jc w:val="center"/>
              <w:rPr>
                <w:sz w:val="16"/>
                <w:szCs w:val="16"/>
              </w:rPr>
            </w:pPr>
            <w:r w:rsidRPr="00FD6C96">
              <w:rPr>
                <w:sz w:val="16"/>
                <w:szCs w:val="16"/>
              </w:rPr>
              <w:t>PI-13</w:t>
            </w:r>
          </w:p>
        </w:tc>
        <w:tc>
          <w:tcPr>
            <w:tcW w:w="5096" w:type="dxa"/>
          </w:tcPr>
          <w:p w14:paraId="7F1A9423" w14:textId="77777777" w:rsidR="0073584C" w:rsidRPr="00FD6C96" w:rsidRDefault="0073584C" w:rsidP="0073584C">
            <w:pPr>
              <w:spacing w:before="40" w:after="40"/>
              <w:rPr>
                <w:sz w:val="16"/>
                <w:szCs w:val="16"/>
              </w:rPr>
            </w:pPr>
            <w:r w:rsidRPr="00FD6C96">
              <w:rPr>
                <w:sz w:val="16"/>
                <w:szCs w:val="16"/>
              </w:rPr>
              <w:t>Debt Management</w:t>
            </w:r>
          </w:p>
        </w:tc>
        <w:tc>
          <w:tcPr>
            <w:tcW w:w="573" w:type="dxa"/>
            <w:gridSpan w:val="2"/>
            <w:vAlign w:val="center"/>
          </w:tcPr>
          <w:p w14:paraId="39B2102E"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7F238C26" w14:textId="01270A1E" w:rsidR="0073584C" w:rsidRPr="00FD6C96" w:rsidRDefault="00346985" w:rsidP="0073584C">
            <w:pPr>
              <w:spacing w:before="40" w:after="40"/>
              <w:jc w:val="center"/>
              <w:rPr>
                <w:sz w:val="16"/>
                <w:szCs w:val="16"/>
              </w:rPr>
            </w:pPr>
            <w:r>
              <w:rPr>
                <w:sz w:val="16"/>
                <w:szCs w:val="16"/>
              </w:rPr>
              <w:t>A</w:t>
            </w:r>
          </w:p>
        </w:tc>
        <w:tc>
          <w:tcPr>
            <w:tcW w:w="603" w:type="dxa"/>
            <w:vAlign w:val="center"/>
          </w:tcPr>
          <w:p w14:paraId="11C48D09"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3C63563B" w14:textId="77777777" w:rsidR="0073584C" w:rsidRPr="00FD6C96" w:rsidRDefault="0073584C" w:rsidP="0073584C">
            <w:pPr>
              <w:spacing w:before="40" w:after="40"/>
              <w:jc w:val="center"/>
              <w:rPr>
                <w:sz w:val="16"/>
                <w:szCs w:val="16"/>
              </w:rPr>
            </w:pPr>
            <w:r>
              <w:rPr>
                <w:sz w:val="16"/>
                <w:szCs w:val="16"/>
              </w:rPr>
              <w:t>D</w:t>
            </w:r>
          </w:p>
        </w:tc>
        <w:tc>
          <w:tcPr>
            <w:tcW w:w="604" w:type="dxa"/>
            <w:shd w:val="clear" w:color="auto" w:fill="F2F2F2"/>
            <w:vAlign w:val="center"/>
          </w:tcPr>
          <w:p w14:paraId="49EFE59B"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134852CA" w14:textId="77777777" w:rsidR="0073584C" w:rsidRPr="00FD6C96" w:rsidRDefault="0073584C" w:rsidP="0073584C">
            <w:pPr>
              <w:spacing w:before="40" w:after="40"/>
              <w:jc w:val="center"/>
              <w:rPr>
                <w:b/>
                <w:sz w:val="16"/>
                <w:szCs w:val="16"/>
              </w:rPr>
            </w:pPr>
            <w:r w:rsidRPr="00FD6C96">
              <w:rPr>
                <w:b/>
                <w:sz w:val="16"/>
                <w:szCs w:val="16"/>
              </w:rPr>
              <w:t>B</w:t>
            </w:r>
          </w:p>
        </w:tc>
      </w:tr>
      <w:tr w:rsidR="0073584C" w:rsidRPr="00FD6C96" w14:paraId="4B2F4A3F" w14:textId="77777777" w:rsidTr="0073584C">
        <w:tc>
          <w:tcPr>
            <w:tcW w:w="9464" w:type="dxa"/>
            <w:gridSpan w:val="9"/>
            <w:tcBorders>
              <w:left w:val="double" w:sz="4" w:space="0" w:color="auto"/>
              <w:right w:val="double" w:sz="4" w:space="0" w:color="auto"/>
            </w:tcBorders>
            <w:shd w:val="clear" w:color="auto" w:fill="D9D9D9"/>
            <w:vAlign w:val="center"/>
          </w:tcPr>
          <w:p w14:paraId="10092DD0" w14:textId="77777777" w:rsidR="0073584C" w:rsidRPr="00FD6C96" w:rsidRDefault="0073584C" w:rsidP="0073584C">
            <w:pPr>
              <w:spacing w:before="40" w:after="40"/>
              <w:rPr>
                <w:b/>
                <w:sz w:val="16"/>
                <w:szCs w:val="16"/>
              </w:rPr>
            </w:pPr>
            <w:r w:rsidRPr="00FD6C96">
              <w:rPr>
                <w:b/>
                <w:sz w:val="16"/>
                <w:szCs w:val="16"/>
              </w:rPr>
              <w:t>Pillars IV-VII. BUDGET CYCLE</w:t>
            </w:r>
          </w:p>
        </w:tc>
      </w:tr>
      <w:tr w:rsidR="0073584C" w:rsidRPr="00FD6C96" w14:paraId="68937228" w14:textId="77777777" w:rsidTr="0073584C">
        <w:tc>
          <w:tcPr>
            <w:tcW w:w="9464" w:type="dxa"/>
            <w:gridSpan w:val="9"/>
            <w:tcBorders>
              <w:left w:val="double" w:sz="4" w:space="0" w:color="auto"/>
              <w:right w:val="double" w:sz="4" w:space="0" w:color="auto"/>
            </w:tcBorders>
            <w:shd w:val="clear" w:color="auto" w:fill="F2F2F2"/>
            <w:vAlign w:val="center"/>
          </w:tcPr>
          <w:p w14:paraId="704029E0" w14:textId="77777777" w:rsidR="0073584C" w:rsidRPr="00FD6C96" w:rsidRDefault="0073584C" w:rsidP="0073584C">
            <w:pPr>
              <w:spacing w:before="40" w:after="40"/>
              <w:rPr>
                <w:b/>
                <w:sz w:val="16"/>
                <w:szCs w:val="16"/>
              </w:rPr>
            </w:pPr>
            <w:r w:rsidRPr="00FD6C96">
              <w:rPr>
                <w:b/>
                <w:sz w:val="16"/>
                <w:szCs w:val="16"/>
              </w:rPr>
              <w:t>IV. Policy-based Fiscal Strategy and Budgeting</w:t>
            </w:r>
          </w:p>
        </w:tc>
      </w:tr>
      <w:tr w:rsidR="0073584C" w:rsidRPr="00FD6C96" w14:paraId="07A629F1" w14:textId="77777777" w:rsidTr="0073584C">
        <w:tc>
          <w:tcPr>
            <w:tcW w:w="531" w:type="dxa"/>
            <w:tcBorders>
              <w:left w:val="double" w:sz="4" w:space="0" w:color="auto"/>
            </w:tcBorders>
            <w:vAlign w:val="center"/>
          </w:tcPr>
          <w:p w14:paraId="7B8F4510" w14:textId="77777777" w:rsidR="0073584C" w:rsidRPr="00FD6C96" w:rsidRDefault="0073584C" w:rsidP="0073584C">
            <w:pPr>
              <w:spacing w:before="40" w:after="40"/>
              <w:ind w:left="-57" w:right="-57"/>
              <w:jc w:val="center"/>
              <w:rPr>
                <w:sz w:val="16"/>
                <w:szCs w:val="16"/>
              </w:rPr>
            </w:pPr>
            <w:r w:rsidRPr="00FD6C96">
              <w:rPr>
                <w:sz w:val="16"/>
                <w:szCs w:val="16"/>
              </w:rPr>
              <w:t>PI-14</w:t>
            </w:r>
          </w:p>
        </w:tc>
        <w:tc>
          <w:tcPr>
            <w:tcW w:w="5096" w:type="dxa"/>
          </w:tcPr>
          <w:p w14:paraId="42598387" w14:textId="77777777" w:rsidR="0073584C" w:rsidRPr="00FD6C96" w:rsidRDefault="0073584C" w:rsidP="0073584C">
            <w:pPr>
              <w:spacing w:before="40" w:after="40"/>
              <w:rPr>
                <w:sz w:val="16"/>
                <w:szCs w:val="16"/>
              </w:rPr>
            </w:pPr>
            <w:r w:rsidRPr="00FD6C96">
              <w:rPr>
                <w:sz w:val="16"/>
                <w:szCs w:val="16"/>
              </w:rPr>
              <w:t>Macroeconomic and fiscal forecasting</w:t>
            </w:r>
          </w:p>
        </w:tc>
        <w:tc>
          <w:tcPr>
            <w:tcW w:w="573" w:type="dxa"/>
            <w:gridSpan w:val="2"/>
            <w:vAlign w:val="center"/>
          </w:tcPr>
          <w:p w14:paraId="7F17B0AD"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4AE1C67F"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5288D478" w14:textId="77777777" w:rsidR="0073584C" w:rsidRPr="00FD6C96" w:rsidRDefault="0073584C" w:rsidP="0073584C">
            <w:pPr>
              <w:spacing w:before="40" w:after="40"/>
              <w:jc w:val="center"/>
              <w:rPr>
                <w:sz w:val="16"/>
                <w:szCs w:val="16"/>
              </w:rPr>
            </w:pPr>
            <w:r w:rsidRPr="00FD6C96">
              <w:rPr>
                <w:sz w:val="16"/>
                <w:szCs w:val="16"/>
              </w:rPr>
              <w:t>B</w:t>
            </w:r>
          </w:p>
        </w:tc>
        <w:tc>
          <w:tcPr>
            <w:tcW w:w="603" w:type="dxa"/>
            <w:tcBorders>
              <w:bottom w:val="single" w:sz="4" w:space="0" w:color="auto"/>
            </w:tcBorders>
            <w:vAlign w:val="center"/>
          </w:tcPr>
          <w:p w14:paraId="664BF3BB" w14:textId="77777777" w:rsidR="0073584C" w:rsidRPr="00FD6C96" w:rsidRDefault="0073584C" w:rsidP="0073584C">
            <w:pPr>
              <w:spacing w:before="40" w:after="40"/>
              <w:jc w:val="center"/>
              <w:rPr>
                <w:sz w:val="16"/>
                <w:szCs w:val="16"/>
              </w:rPr>
            </w:pPr>
            <w:r w:rsidRPr="00FD6C96">
              <w:rPr>
                <w:sz w:val="16"/>
                <w:szCs w:val="16"/>
              </w:rPr>
              <w:t>A</w:t>
            </w:r>
          </w:p>
        </w:tc>
        <w:tc>
          <w:tcPr>
            <w:tcW w:w="604" w:type="dxa"/>
            <w:shd w:val="clear" w:color="auto" w:fill="F2F2F2"/>
            <w:vAlign w:val="center"/>
          </w:tcPr>
          <w:p w14:paraId="0AD23B9B"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3E4567A6" w14:textId="77777777" w:rsidR="0073584C" w:rsidRPr="00FD6C96" w:rsidRDefault="0073584C" w:rsidP="0073584C">
            <w:pPr>
              <w:spacing w:before="40" w:after="40"/>
              <w:jc w:val="center"/>
              <w:rPr>
                <w:b/>
                <w:sz w:val="16"/>
                <w:szCs w:val="16"/>
              </w:rPr>
            </w:pPr>
            <w:r w:rsidRPr="00FD6C96">
              <w:rPr>
                <w:b/>
                <w:sz w:val="16"/>
                <w:szCs w:val="16"/>
              </w:rPr>
              <w:t>A</w:t>
            </w:r>
          </w:p>
        </w:tc>
      </w:tr>
      <w:tr w:rsidR="0073584C" w:rsidRPr="00FD6C96" w14:paraId="2B7BB453" w14:textId="77777777" w:rsidTr="0073584C">
        <w:tc>
          <w:tcPr>
            <w:tcW w:w="531" w:type="dxa"/>
            <w:tcBorders>
              <w:left w:val="double" w:sz="4" w:space="0" w:color="auto"/>
            </w:tcBorders>
            <w:vAlign w:val="center"/>
          </w:tcPr>
          <w:p w14:paraId="0CA3C5D7" w14:textId="77777777" w:rsidR="0073584C" w:rsidRPr="00FD6C96" w:rsidRDefault="0073584C" w:rsidP="0073584C">
            <w:pPr>
              <w:spacing w:before="40" w:after="40"/>
              <w:ind w:left="-57" w:right="-57"/>
              <w:jc w:val="center"/>
              <w:rPr>
                <w:sz w:val="16"/>
                <w:szCs w:val="16"/>
              </w:rPr>
            </w:pPr>
            <w:r w:rsidRPr="00FD6C96">
              <w:rPr>
                <w:sz w:val="16"/>
                <w:szCs w:val="16"/>
              </w:rPr>
              <w:t>PI-15</w:t>
            </w:r>
          </w:p>
        </w:tc>
        <w:tc>
          <w:tcPr>
            <w:tcW w:w="5096" w:type="dxa"/>
          </w:tcPr>
          <w:p w14:paraId="01E980EE" w14:textId="77777777" w:rsidR="0073584C" w:rsidRPr="00FD6C96" w:rsidRDefault="0073584C" w:rsidP="0073584C">
            <w:pPr>
              <w:spacing w:before="40" w:after="40"/>
              <w:rPr>
                <w:sz w:val="16"/>
                <w:szCs w:val="16"/>
              </w:rPr>
            </w:pPr>
            <w:r w:rsidRPr="00FD6C96">
              <w:rPr>
                <w:sz w:val="16"/>
                <w:szCs w:val="16"/>
              </w:rPr>
              <w:t>Fiscal Strategy</w:t>
            </w:r>
          </w:p>
        </w:tc>
        <w:tc>
          <w:tcPr>
            <w:tcW w:w="573" w:type="dxa"/>
            <w:gridSpan w:val="2"/>
            <w:vAlign w:val="center"/>
          </w:tcPr>
          <w:p w14:paraId="7603EA4C"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0F405C87" w14:textId="51BBD81F" w:rsidR="0073584C" w:rsidRPr="00FD6C96" w:rsidRDefault="00346985" w:rsidP="0073584C">
            <w:pPr>
              <w:spacing w:before="40" w:after="40"/>
              <w:jc w:val="center"/>
              <w:rPr>
                <w:sz w:val="16"/>
                <w:szCs w:val="16"/>
              </w:rPr>
            </w:pPr>
            <w:r>
              <w:rPr>
                <w:sz w:val="16"/>
                <w:szCs w:val="16"/>
              </w:rPr>
              <w:t>A</w:t>
            </w:r>
          </w:p>
        </w:tc>
        <w:tc>
          <w:tcPr>
            <w:tcW w:w="603" w:type="dxa"/>
            <w:vAlign w:val="center"/>
          </w:tcPr>
          <w:p w14:paraId="332A5546" w14:textId="77777777" w:rsidR="0073584C" w:rsidRPr="00FD6C96" w:rsidRDefault="0073584C" w:rsidP="0073584C">
            <w:pPr>
              <w:spacing w:before="40" w:after="40"/>
              <w:jc w:val="center"/>
              <w:rPr>
                <w:sz w:val="16"/>
                <w:szCs w:val="16"/>
              </w:rPr>
            </w:pPr>
            <w:r w:rsidRPr="00FD6C96">
              <w:rPr>
                <w:sz w:val="16"/>
                <w:szCs w:val="16"/>
              </w:rPr>
              <w:t>B</w:t>
            </w:r>
          </w:p>
        </w:tc>
        <w:tc>
          <w:tcPr>
            <w:tcW w:w="603" w:type="dxa"/>
            <w:shd w:val="clear" w:color="auto" w:fill="auto"/>
            <w:vAlign w:val="center"/>
          </w:tcPr>
          <w:p w14:paraId="7A163B0A" w14:textId="77777777" w:rsidR="0073584C" w:rsidRPr="00FD6C96" w:rsidRDefault="0073584C" w:rsidP="0073584C">
            <w:pPr>
              <w:spacing w:before="40" w:after="40"/>
              <w:jc w:val="center"/>
              <w:rPr>
                <w:sz w:val="16"/>
                <w:szCs w:val="16"/>
              </w:rPr>
            </w:pPr>
            <w:r w:rsidRPr="00FD6C96">
              <w:rPr>
                <w:sz w:val="16"/>
                <w:szCs w:val="16"/>
              </w:rPr>
              <w:t>C</w:t>
            </w:r>
          </w:p>
        </w:tc>
        <w:tc>
          <w:tcPr>
            <w:tcW w:w="604" w:type="dxa"/>
            <w:shd w:val="clear" w:color="auto" w:fill="F2F2F2"/>
            <w:vAlign w:val="center"/>
          </w:tcPr>
          <w:p w14:paraId="41E3DBF4"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5D79FA14" w14:textId="77777777" w:rsidR="0073584C" w:rsidRPr="00FD6C96" w:rsidRDefault="0073584C" w:rsidP="0073584C">
            <w:pPr>
              <w:spacing w:before="40" w:after="40"/>
              <w:jc w:val="center"/>
              <w:rPr>
                <w:b/>
                <w:sz w:val="16"/>
                <w:szCs w:val="16"/>
              </w:rPr>
            </w:pPr>
            <w:r w:rsidRPr="00FD6C96">
              <w:rPr>
                <w:b/>
                <w:sz w:val="16"/>
                <w:szCs w:val="16"/>
              </w:rPr>
              <w:t>B</w:t>
            </w:r>
          </w:p>
        </w:tc>
      </w:tr>
      <w:tr w:rsidR="0073584C" w:rsidRPr="00FD6C96" w14:paraId="0B836A3F" w14:textId="77777777" w:rsidTr="0073584C">
        <w:tc>
          <w:tcPr>
            <w:tcW w:w="531" w:type="dxa"/>
            <w:tcBorders>
              <w:left w:val="double" w:sz="4" w:space="0" w:color="auto"/>
            </w:tcBorders>
            <w:vAlign w:val="center"/>
          </w:tcPr>
          <w:p w14:paraId="43C18C93" w14:textId="77777777" w:rsidR="0073584C" w:rsidRPr="00FD6C96" w:rsidRDefault="0073584C" w:rsidP="0073584C">
            <w:pPr>
              <w:spacing w:before="40" w:after="40"/>
              <w:ind w:left="-57" w:right="-57"/>
              <w:jc w:val="center"/>
              <w:rPr>
                <w:sz w:val="16"/>
                <w:szCs w:val="16"/>
              </w:rPr>
            </w:pPr>
            <w:r w:rsidRPr="00FD6C96">
              <w:rPr>
                <w:sz w:val="16"/>
                <w:szCs w:val="16"/>
              </w:rPr>
              <w:t>PI-16</w:t>
            </w:r>
          </w:p>
        </w:tc>
        <w:tc>
          <w:tcPr>
            <w:tcW w:w="5096" w:type="dxa"/>
          </w:tcPr>
          <w:p w14:paraId="733AB49F" w14:textId="77777777" w:rsidR="0073584C" w:rsidRPr="00FD6C96" w:rsidRDefault="0073584C" w:rsidP="0073584C">
            <w:pPr>
              <w:spacing w:before="40" w:after="40"/>
              <w:rPr>
                <w:sz w:val="16"/>
                <w:szCs w:val="16"/>
              </w:rPr>
            </w:pPr>
            <w:r w:rsidRPr="00FD6C96">
              <w:rPr>
                <w:sz w:val="16"/>
                <w:szCs w:val="16"/>
              </w:rPr>
              <w:t>Medium-term perspective in expenditure budgeting</w:t>
            </w:r>
          </w:p>
        </w:tc>
        <w:tc>
          <w:tcPr>
            <w:tcW w:w="573" w:type="dxa"/>
            <w:gridSpan w:val="2"/>
            <w:vAlign w:val="center"/>
          </w:tcPr>
          <w:p w14:paraId="2E303412"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0A4A5735"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6100365D" w14:textId="2E5EF215" w:rsidR="0073584C" w:rsidRPr="00FD6C96" w:rsidRDefault="00346985" w:rsidP="0073584C">
            <w:pPr>
              <w:spacing w:before="40" w:after="40"/>
              <w:jc w:val="center"/>
              <w:rPr>
                <w:sz w:val="16"/>
                <w:szCs w:val="16"/>
              </w:rPr>
            </w:pPr>
            <w:r>
              <w:rPr>
                <w:sz w:val="16"/>
                <w:szCs w:val="16"/>
              </w:rPr>
              <w:t>A</w:t>
            </w:r>
          </w:p>
        </w:tc>
        <w:tc>
          <w:tcPr>
            <w:tcW w:w="603" w:type="dxa"/>
            <w:vAlign w:val="center"/>
          </w:tcPr>
          <w:p w14:paraId="60326AC5" w14:textId="77777777" w:rsidR="0073584C" w:rsidRPr="00FD6C96" w:rsidRDefault="0073584C" w:rsidP="0073584C">
            <w:pPr>
              <w:spacing w:before="40" w:after="40"/>
              <w:jc w:val="center"/>
              <w:rPr>
                <w:sz w:val="16"/>
                <w:szCs w:val="16"/>
              </w:rPr>
            </w:pPr>
            <w:r>
              <w:rPr>
                <w:sz w:val="16"/>
                <w:szCs w:val="16"/>
              </w:rPr>
              <w:t>B</w:t>
            </w:r>
          </w:p>
        </w:tc>
        <w:tc>
          <w:tcPr>
            <w:tcW w:w="604" w:type="dxa"/>
            <w:shd w:val="clear" w:color="auto" w:fill="auto"/>
            <w:vAlign w:val="center"/>
          </w:tcPr>
          <w:p w14:paraId="0936F15E" w14:textId="77777777" w:rsidR="0073584C" w:rsidRPr="00FD6C96" w:rsidRDefault="0073584C" w:rsidP="0073584C">
            <w:pPr>
              <w:spacing w:before="40" w:after="40"/>
              <w:jc w:val="center"/>
              <w:rPr>
                <w:sz w:val="16"/>
                <w:szCs w:val="16"/>
              </w:rPr>
            </w:pPr>
            <w:r w:rsidRPr="00FD6C96">
              <w:rPr>
                <w:sz w:val="16"/>
                <w:szCs w:val="16"/>
              </w:rPr>
              <w:t>A</w:t>
            </w:r>
          </w:p>
        </w:tc>
        <w:tc>
          <w:tcPr>
            <w:tcW w:w="851" w:type="dxa"/>
            <w:tcBorders>
              <w:right w:val="double" w:sz="4" w:space="0" w:color="auto"/>
            </w:tcBorders>
            <w:vAlign w:val="center"/>
          </w:tcPr>
          <w:p w14:paraId="1BD668E9" w14:textId="0B79E640" w:rsidR="0073584C" w:rsidRPr="00FD6C96" w:rsidRDefault="00346985" w:rsidP="0073584C">
            <w:pPr>
              <w:spacing w:before="40" w:after="40"/>
              <w:jc w:val="center"/>
              <w:rPr>
                <w:b/>
                <w:sz w:val="16"/>
                <w:szCs w:val="16"/>
              </w:rPr>
            </w:pPr>
            <w:r>
              <w:rPr>
                <w:b/>
                <w:sz w:val="16"/>
                <w:szCs w:val="16"/>
              </w:rPr>
              <w:t>A</w:t>
            </w:r>
          </w:p>
        </w:tc>
      </w:tr>
      <w:tr w:rsidR="0073584C" w:rsidRPr="00FD6C96" w14:paraId="67B7881C" w14:textId="77777777" w:rsidTr="0073584C">
        <w:tc>
          <w:tcPr>
            <w:tcW w:w="531" w:type="dxa"/>
            <w:tcBorders>
              <w:left w:val="double" w:sz="4" w:space="0" w:color="auto"/>
            </w:tcBorders>
            <w:vAlign w:val="center"/>
          </w:tcPr>
          <w:p w14:paraId="4B8F9DD2" w14:textId="77777777" w:rsidR="0073584C" w:rsidRPr="00FD6C96" w:rsidRDefault="0073584C" w:rsidP="0073584C">
            <w:pPr>
              <w:spacing w:before="40" w:after="40"/>
              <w:ind w:left="-57" w:right="-57"/>
              <w:jc w:val="center"/>
              <w:rPr>
                <w:sz w:val="16"/>
                <w:szCs w:val="16"/>
              </w:rPr>
            </w:pPr>
            <w:r w:rsidRPr="00FD6C96">
              <w:rPr>
                <w:sz w:val="16"/>
                <w:szCs w:val="16"/>
              </w:rPr>
              <w:t>PI-17</w:t>
            </w:r>
          </w:p>
        </w:tc>
        <w:tc>
          <w:tcPr>
            <w:tcW w:w="5096" w:type="dxa"/>
          </w:tcPr>
          <w:p w14:paraId="5FA65E33" w14:textId="77777777" w:rsidR="0073584C" w:rsidRPr="00FD6C96" w:rsidRDefault="0073584C" w:rsidP="0073584C">
            <w:pPr>
              <w:spacing w:before="40" w:after="40"/>
              <w:rPr>
                <w:sz w:val="16"/>
                <w:szCs w:val="16"/>
              </w:rPr>
            </w:pPr>
            <w:r w:rsidRPr="00FD6C96">
              <w:rPr>
                <w:sz w:val="16"/>
                <w:szCs w:val="16"/>
              </w:rPr>
              <w:t>Budget preparation process</w:t>
            </w:r>
          </w:p>
        </w:tc>
        <w:tc>
          <w:tcPr>
            <w:tcW w:w="573" w:type="dxa"/>
            <w:gridSpan w:val="2"/>
            <w:vAlign w:val="center"/>
          </w:tcPr>
          <w:p w14:paraId="0C78AD5C"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0C9F6C4E"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5B0AA38F"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423179C5" w14:textId="77777777" w:rsidR="0073584C" w:rsidRPr="00FD6C96" w:rsidRDefault="0073584C" w:rsidP="0073584C">
            <w:pPr>
              <w:spacing w:before="40" w:after="40"/>
              <w:jc w:val="center"/>
              <w:rPr>
                <w:sz w:val="16"/>
                <w:szCs w:val="16"/>
              </w:rPr>
            </w:pPr>
            <w:r w:rsidRPr="00FD6C96">
              <w:rPr>
                <w:sz w:val="16"/>
                <w:szCs w:val="16"/>
              </w:rPr>
              <w:t>A</w:t>
            </w:r>
          </w:p>
        </w:tc>
        <w:tc>
          <w:tcPr>
            <w:tcW w:w="604" w:type="dxa"/>
            <w:shd w:val="clear" w:color="auto" w:fill="F2F2F2"/>
            <w:vAlign w:val="center"/>
          </w:tcPr>
          <w:p w14:paraId="7F1945B7"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079484CE" w14:textId="77777777" w:rsidR="0073584C" w:rsidRPr="00FD6C96" w:rsidRDefault="0073584C" w:rsidP="0073584C">
            <w:pPr>
              <w:spacing w:before="40" w:after="40"/>
              <w:jc w:val="center"/>
              <w:rPr>
                <w:b/>
                <w:sz w:val="16"/>
                <w:szCs w:val="16"/>
              </w:rPr>
            </w:pPr>
            <w:r w:rsidRPr="00FD6C96">
              <w:rPr>
                <w:b/>
                <w:sz w:val="16"/>
                <w:szCs w:val="16"/>
              </w:rPr>
              <w:t>A</w:t>
            </w:r>
          </w:p>
        </w:tc>
      </w:tr>
      <w:tr w:rsidR="0073584C" w:rsidRPr="00FD6C96" w14:paraId="32C91C36" w14:textId="77777777" w:rsidTr="0073584C">
        <w:tc>
          <w:tcPr>
            <w:tcW w:w="531" w:type="dxa"/>
            <w:tcBorders>
              <w:left w:val="double" w:sz="4" w:space="0" w:color="auto"/>
            </w:tcBorders>
            <w:vAlign w:val="center"/>
          </w:tcPr>
          <w:p w14:paraId="06ED79A2" w14:textId="77777777" w:rsidR="0073584C" w:rsidRPr="00FD6C96" w:rsidRDefault="0073584C" w:rsidP="0073584C">
            <w:pPr>
              <w:spacing w:before="40" w:after="40"/>
              <w:ind w:left="-57" w:right="-57"/>
              <w:jc w:val="center"/>
              <w:rPr>
                <w:sz w:val="16"/>
                <w:szCs w:val="16"/>
              </w:rPr>
            </w:pPr>
            <w:r w:rsidRPr="00FD6C96">
              <w:rPr>
                <w:sz w:val="16"/>
                <w:szCs w:val="16"/>
              </w:rPr>
              <w:t>PI-18</w:t>
            </w:r>
          </w:p>
        </w:tc>
        <w:tc>
          <w:tcPr>
            <w:tcW w:w="5096" w:type="dxa"/>
          </w:tcPr>
          <w:p w14:paraId="5F5FFF10" w14:textId="77777777" w:rsidR="0073584C" w:rsidRPr="00FD6C96" w:rsidRDefault="0073584C" w:rsidP="0073584C">
            <w:pPr>
              <w:spacing w:before="40" w:after="40"/>
              <w:rPr>
                <w:sz w:val="16"/>
                <w:szCs w:val="16"/>
              </w:rPr>
            </w:pPr>
            <w:r w:rsidRPr="00FD6C96">
              <w:rPr>
                <w:sz w:val="16"/>
                <w:szCs w:val="16"/>
              </w:rPr>
              <w:t xml:space="preserve">Legislative scrutiny of budgets </w:t>
            </w:r>
          </w:p>
        </w:tc>
        <w:tc>
          <w:tcPr>
            <w:tcW w:w="573" w:type="dxa"/>
            <w:gridSpan w:val="2"/>
            <w:vAlign w:val="center"/>
          </w:tcPr>
          <w:p w14:paraId="00C8E009"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354756DE" w14:textId="77777777" w:rsidR="0073584C" w:rsidRPr="00FD6C96" w:rsidRDefault="0073584C" w:rsidP="0073584C">
            <w:pPr>
              <w:spacing w:before="40" w:after="40"/>
              <w:jc w:val="center"/>
              <w:rPr>
                <w:sz w:val="16"/>
                <w:szCs w:val="16"/>
              </w:rPr>
            </w:pPr>
            <w:r w:rsidRPr="00FD6C96">
              <w:rPr>
                <w:sz w:val="16"/>
                <w:szCs w:val="16"/>
              </w:rPr>
              <w:t>B</w:t>
            </w:r>
          </w:p>
        </w:tc>
        <w:tc>
          <w:tcPr>
            <w:tcW w:w="603" w:type="dxa"/>
            <w:vAlign w:val="center"/>
          </w:tcPr>
          <w:p w14:paraId="0CDC52D4"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7B623543" w14:textId="77777777" w:rsidR="0073584C" w:rsidRPr="00FD6C96" w:rsidRDefault="0073584C" w:rsidP="0073584C">
            <w:pPr>
              <w:spacing w:before="40" w:after="40"/>
              <w:jc w:val="center"/>
              <w:rPr>
                <w:sz w:val="16"/>
                <w:szCs w:val="16"/>
              </w:rPr>
            </w:pPr>
            <w:r w:rsidRPr="00FD6C96">
              <w:rPr>
                <w:sz w:val="16"/>
                <w:szCs w:val="16"/>
              </w:rPr>
              <w:t>A</w:t>
            </w:r>
          </w:p>
        </w:tc>
        <w:tc>
          <w:tcPr>
            <w:tcW w:w="604" w:type="dxa"/>
            <w:vAlign w:val="center"/>
          </w:tcPr>
          <w:p w14:paraId="01A25447" w14:textId="77777777" w:rsidR="0073584C" w:rsidRPr="00FD6C96" w:rsidRDefault="0073584C" w:rsidP="0073584C">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4B87C623" w14:textId="77777777" w:rsidR="0073584C" w:rsidRPr="00FD6C96" w:rsidRDefault="0073584C" w:rsidP="0073584C">
            <w:pPr>
              <w:spacing w:before="40" w:after="40"/>
              <w:jc w:val="center"/>
              <w:rPr>
                <w:b/>
                <w:sz w:val="16"/>
                <w:szCs w:val="16"/>
              </w:rPr>
            </w:pPr>
            <w:r w:rsidRPr="00FD6C96">
              <w:rPr>
                <w:b/>
                <w:sz w:val="16"/>
                <w:szCs w:val="16"/>
              </w:rPr>
              <w:t>B+</w:t>
            </w:r>
          </w:p>
        </w:tc>
      </w:tr>
      <w:tr w:rsidR="0073584C" w:rsidRPr="00FD6C96" w14:paraId="48A8DEFB" w14:textId="77777777" w:rsidTr="0073584C">
        <w:tc>
          <w:tcPr>
            <w:tcW w:w="9464" w:type="dxa"/>
            <w:gridSpan w:val="9"/>
            <w:tcBorders>
              <w:left w:val="double" w:sz="4" w:space="0" w:color="auto"/>
              <w:right w:val="double" w:sz="4" w:space="0" w:color="auto"/>
            </w:tcBorders>
            <w:shd w:val="clear" w:color="auto" w:fill="F2F2F2"/>
            <w:vAlign w:val="center"/>
          </w:tcPr>
          <w:p w14:paraId="684C0D58" w14:textId="77777777" w:rsidR="0073584C" w:rsidRPr="00FD6C96" w:rsidRDefault="0073584C" w:rsidP="0073584C">
            <w:pPr>
              <w:spacing w:before="40" w:after="40"/>
              <w:rPr>
                <w:sz w:val="16"/>
                <w:szCs w:val="16"/>
              </w:rPr>
            </w:pPr>
            <w:r w:rsidRPr="00FD6C96">
              <w:rPr>
                <w:b/>
                <w:sz w:val="16"/>
                <w:szCs w:val="16"/>
              </w:rPr>
              <w:t>V. Predictability and Control in Budget Execution</w:t>
            </w:r>
          </w:p>
        </w:tc>
      </w:tr>
      <w:tr w:rsidR="0073584C" w:rsidRPr="00FD6C96" w14:paraId="1829AE82" w14:textId="77777777" w:rsidTr="0073584C">
        <w:tc>
          <w:tcPr>
            <w:tcW w:w="531" w:type="dxa"/>
            <w:tcBorders>
              <w:left w:val="double" w:sz="4" w:space="0" w:color="auto"/>
            </w:tcBorders>
            <w:vAlign w:val="center"/>
          </w:tcPr>
          <w:p w14:paraId="117F203F" w14:textId="77777777" w:rsidR="0073584C" w:rsidRPr="00FD6C96" w:rsidRDefault="0073584C" w:rsidP="0073584C">
            <w:pPr>
              <w:spacing w:before="40" w:after="40"/>
              <w:ind w:left="-57" w:right="-57"/>
              <w:jc w:val="center"/>
              <w:rPr>
                <w:sz w:val="16"/>
                <w:szCs w:val="16"/>
              </w:rPr>
            </w:pPr>
            <w:r w:rsidRPr="00FD6C96">
              <w:rPr>
                <w:sz w:val="16"/>
                <w:szCs w:val="16"/>
              </w:rPr>
              <w:t>PI-19</w:t>
            </w:r>
          </w:p>
        </w:tc>
        <w:tc>
          <w:tcPr>
            <w:tcW w:w="5096" w:type="dxa"/>
          </w:tcPr>
          <w:p w14:paraId="5504DB4A" w14:textId="77777777" w:rsidR="0073584C" w:rsidRPr="00FD6C96" w:rsidRDefault="0073584C" w:rsidP="0073584C">
            <w:pPr>
              <w:spacing w:before="40" w:after="40"/>
              <w:rPr>
                <w:sz w:val="16"/>
                <w:szCs w:val="16"/>
              </w:rPr>
            </w:pPr>
            <w:r w:rsidRPr="00FD6C96">
              <w:rPr>
                <w:sz w:val="16"/>
                <w:szCs w:val="16"/>
              </w:rPr>
              <w:t>Revenue administration</w:t>
            </w:r>
          </w:p>
        </w:tc>
        <w:tc>
          <w:tcPr>
            <w:tcW w:w="573" w:type="dxa"/>
            <w:gridSpan w:val="2"/>
            <w:vAlign w:val="center"/>
          </w:tcPr>
          <w:p w14:paraId="365D8DE2"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3E18F570" w14:textId="77777777" w:rsidR="0073584C" w:rsidRPr="00FD6C96" w:rsidRDefault="0073584C" w:rsidP="0073584C">
            <w:pPr>
              <w:spacing w:before="40" w:after="40"/>
              <w:jc w:val="center"/>
              <w:rPr>
                <w:sz w:val="16"/>
                <w:szCs w:val="16"/>
              </w:rPr>
            </w:pPr>
            <w:r w:rsidRPr="00FD6C96">
              <w:rPr>
                <w:sz w:val="16"/>
                <w:szCs w:val="16"/>
              </w:rPr>
              <w:t>B</w:t>
            </w:r>
          </w:p>
        </w:tc>
        <w:tc>
          <w:tcPr>
            <w:tcW w:w="603" w:type="dxa"/>
            <w:vAlign w:val="center"/>
          </w:tcPr>
          <w:p w14:paraId="5E8C9776" w14:textId="77777777" w:rsidR="0073584C" w:rsidRPr="00FD6C96" w:rsidRDefault="0073584C" w:rsidP="0073584C">
            <w:pPr>
              <w:spacing w:before="40" w:after="40"/>
              <w:jc w:val="center"/>
              <w:rPr>
                <w:sz w:val="16"/>
                <w:szCs w:val="16"/>
              </w:rPr>
            </w:pPr>
            <w:r>
              <w:rPr>
                <w:sz w:val="16"/>
                <w:szCs w:val="16"/>
              </w:rPr>
              <w:t>B</w:t>
            </w:r>
          </w:p>
        </w:tc>
        <w:tc>
          <w:tcPr>
            <w:tcW w:w="603" w:type="dxa"/>
            <w:vAlign w:val="center"/>
          </w:tcPr>
          <w:p w14:paraId="529B7889" w14:textId="5E82D7D3" w:rsidR="0073584C" w:rsidRPr="00FD6C96" w:rsidRDefault="00346985" w:rsidP="0073584C">
            <w:pPr>
              <w:spacing w:before="40" w:after="40"/>
              <w:jc w:val="center"/>
              <w:rPr>
                <w:sz w:val="16"/>
                <w:szCs w:val="16"/>
              </w:rPr>
            </w:pPr>
            <w:r>
              <w:rPr>
                <w:sz w:val="16"/>
                <w:szCs w:val="16"/>
              </w:rPr>
              <w:t>A</w:t>
            </w:r>
          </w:p>
        </w:tc>
        <w:tc>
          <w:tcPr>
            <w:tcW w:w="604" w:type="dxa"/>
            <w:vAlign w:val="center"/>
          </w:tcPr>
          <w:p w14:paraId="316C0479" w14:textId="5C9EAACB" w:rsidR="0073584C" w:rsidRPr="00FD6C96" w:rsidRDefault="00346985" w:rsidP="0073584C">
            <w:pPr>
              <w:spacing w:before="40" w:after="40"/>
              <w:jc w:val="center"/>
              <w:rPr>
                <w:sz w:val="16"/>
                <w:szCs w:val="16"/>
              </w:rPr>
            </w:pPr>
            <w:r>
              <w:rPr>
                <w:sz w:val="16"/>
                <w:szCs w:val="16"/>
              </w:rPr>
              <w:t>D</w:t>
            </w:r>
          </w:p>
        </w:tc>
        <w:tc>
          <w:tcPr>
            <w:tcW w:w="851" w:type="dxa"/>
            <w:tcBorders>
              <w:right w:val="double" w:sz="4" w:space="0" w:color="auto"/>
            </w:tcBorders>
            <w:vAlign w:val="center"/>
          </w:tcPr>
          <w:p w14:paraId="17F47498" w14:textId="77777777" w:rsidR="0073584C" w:rsidRPr="00FD6C96" w:rsidRDefault="0073584C" w:rsidP="0073584C">
            <w:pPr>
              <w:spacing w:before="40" w:after="40"/>
              <w:jc w:val="center"/>
              <w:rPr>
                <w:b/>
                <w:sz w:val="16"/>
                <w:szCs w:val="16"/>
              </w:rPr>
            </w:pPr>
            <w:r>
              <w:rPr>
                <w:b/>
                <w:sz w:val="16"/>
                <w:szCs w:val="16"/>
              </w:rPr>
              <w:t>B</w:t>
            </w:r>
          </w:p>
        </w:tc>
      </w:tr>
      <w:tr w:rsidR="0073584C" w:rsidRPr="00FD6C96" w14:paraId="3B465A1B" w14:textId="77777777" w:rsidTr="0073584C">
        <w:tc>
          <w:tcPr>
            <w:tcW w:w="531" w:type="dxa"/>
            <w:tcBorders>
              <w:left w:val="double" w:sz="4" w:space="0" w:color="auto"/>
            </w:tcBorders>
            <w:vAlign w:val="center"/>
          </w:tcPr>
          <w:p w14:paraId="1218690D" w14:textId="77777777" w:rsidR="0073584C" w:rsidRPr="00FD6C96" w:rsidRDefault="0073584C" w:rsidP="0073584C">
            <w:pPr>
              <w:spacing w:before="40" w:after="40"/>
              <w:ind w:left="-57" w:right="-57"/>
              <w:jc w:val="center"/>
              <w:rPr>
                <w:sz w:val="16"/>
                <w:szCs w:val="16"/>
              </w:rPr>
            </w:pPr>
            <w:r w:rsidRPr="00FD6C96">
              <w:rPr>
                <w:sz w:val="16"/>
                <w:szCs w:val="16"/>
              </w:rPr>
              <w:t>PI-20</w:t>
            </w:r>
          </w:p>
        </w:tc>
        <w:tc>
          <w:tcPr>
            <w:tcW w:w="5096" w:type="dxa"/>
          </w:tcPr>
          <w:p w14:paraId="4D82D790" w14:textId="77777777" w:rsidR="0073584C" w:rsidRPr="00FD6C96" w:rsidRDefault="0073584C" w:rsidP="0073584C">
            <w:pPr>
              <w:spacing w:before="40" w:after="40"/>
              <w:rPr>
                <w:sz w:val="16"/>
                <w:szCs w:val="16"/>
              </w:rPr>
            </w:pPr>
            <w:r w:rsidRPr="00FD6C96">
              <w:rPr>
                <w:sz w:val="16"/>
                <w:szCs w:val="16"/>
              </w:rPr>
              <w:t>Accounting for revenue</w:t>
            </w:r>
          </w:p>
        </w:tc>
        <w:tc>
          <w:tcPr>
            <w:tcW w:w="573" w:type="dxa"/>
            <w:gridSpan w:val="2"/>
            <w:vAlign w:val="center"/>
          </w:tcPr>
          <w:p w14:paraId="2F947FDD"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6EF9FEE0" w14:textId="4E0B1239" w:rsidR="0073584C" w:rsidRPr="00FD6C96" w:rsidRDefault="00346985" w:rsidP="0073584C">
            <w:pPr>
              <w:spacing w:before="40" w:after="40"/>
              <w:jc w:val="center"/>
              <w:rPr>
                <w:sz w:val="16"/>
                <w:szCs w:val="16"/>
              </w:rPr>
            </w:pPr>
            <w:r>
              <w:rPr>
                <w:sz w:val="16"/>
                <w:szCs w:val="16"/>
              </w:rPr>
              <w:t>A</w:t>
            </w:r>
          </w:p>
        </w:tc>
        <w:tc>
          <w:tcPr>
            <w:tcW w:w="603" w:type="dxa"/>
            <w:vAlign w:val="center"/>
          </w:tcPr>
          <w:p w14:paraId="07B3BD0E"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1568884C" w14:textId="77777777" w:rsidR="0073584C" w:rsidRPr="00FD6C96" w:rsidRDefault="0073584C" w:rsidP="0073584C">
            <w:pPr>
              <w:spacing w:before="40" w:after="40"/>
              <w:jc w:val="center"/>
              <w:rPr>
                <w:sz w:val="16"/>
                <w:szCs w:val="16"/>
              </w:rPr>
            </w:pPr>
            <w:r w:rsidRPr="00FD6C96">
              <w:rPr>
                <w:sz w:val="16"/>
                <w:szCs w:val="16"/>
              </w:rPr>
              <w:t>A</w:t>
            </w:r>
          </w:p>
        </w:tc>
        <w:tc>
          <w:tcPr>
            <w:tcW w:w="604" w:type="dxa"/>
            <w:shd w:val="clear" w:color="auto" w:fill="F2F2F2"/>
            <w:vAlign w:val="center"/>
          </w:tcPr>
          <w:p w14:paraId="664186A7"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7AD79399" w14:textId="19C704CD" w:rsidR="0073584C" w:rsidRPr="00FD6C96" w:rsidRDefault="00346985" w:rsidP="0073584C">
            <w:pPr>
              <w:spacing w:before="40" w:after="40"/>
              <w:jc w:val="center"/>
              <w:rPr>
                <w:b/>
                <w:sz w:val="16"/>
                <w:szCs w:val="16"/>
              </w:rPr>
            </w:pPr>
            <w:r>
              <w:rPr>
                <w:b/>
                <w:sz w:val="16"/>
                <w:szCs w:val="16"/>
              </w:rPr>
              <w:t>A</w:t>
            </w:r>
          </w:p>
        </w:tc>
      </w:tr>
      <w:tr w:rsidR="0073584C" w:rsidRPr="00FD6C96" w14:paraId="00DF942D" w14:textId="77777777" w:rsidTr="0073584C">
        <w:tc>
          <w:tcPr>
            <w:tcW w:w="531" w:type="dxa"/>
            <w:tcBorders>
              <w:left w:val="double" w:sz="4" w:space="0" w:color="auto"/>
            </w:tcBorders>
            <w:vAlign w:val="center"/>
          </w:tcPr>
          <w:p w14:paraId="14FB8BA9" w14:textId="77777777" w:rsidR="0073584C" w:rsidRPr="00FD6C96" w:rsidRDefault="0073584C" w:rsidP="0073584C">
            <w:pPr>
              <w:spacing w:before="40" w:after="40"/>
              <w:ind w:left="-57" w:right="-57"/>
              <w:jc w:val="center"/>
              <w:rPr>
                <w:sz w:val="16"/>
                <w:szCs w:val="16"/>
              </w:rPr>
            </w:pPr>
            <w:r w:rsidRPr="00FD6C96">
              <w:rPr>
                <w:sz w:val="16"/>
                <w:szCs w:val="16"/>
              </w:rPr>
              <w:t>PI-21</w:t>
            </w:r>
          </w:p>
        </w:tc>
        <w:tc>
          <w:tcPr>
            <w:tcW w:w="5096" w:type="dxa"/>
          </w:tcPr>
          <w:p w14:paraId="1129A1AC" w14:textId="77777777" w:rsidR="0073584C" w:rsidRPr="00FD6C96" w:rsidRDefault="0073584C" w:rsidP="0073584C">
            <w:pPr>
              <w:spacing w:before="40" w:after="40"/>
              <w:rPr>
                <w:sz w:val="16"/>
                <w:szCs w:val="16"/>
              </w:rPr>
            </w:pPr>
            <w:r w:rsidRPr="00FD6C96">
              <w:rPr>
                <w:sz w:val="16"/>
                <w:szCs w:val="16"/>
              </w:rPr>
              <w:t>Predictability of in-year resource allocation</w:t>
            </w:r>
          </w:p>
        </w:tc>
        <w:tc>
          <w:tcPr>
            <w:tcW w:w="573" w:type="dxa"/>
            <w:gridSpan w:val="2"/>
            <w:vAlign w:val="center"/>
          </w:tcPr>
          <w:p w14:paraId="052BFDB5"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03B0C167" w14:textId="77777777" w:rsidR="0073584C" w:rsidRPr="00FD6C96" w:rsidRDefault="0073584C" w:rsidP="0073584C">
            <w:pPr>
              <w:spacing w:before="40" w:after="40"/>
              <w:jc w:val="center"/>
              <w:rPr>
                <w:sz w:val="16"/>
                <w:szCs w:val="16"/>
              </w:rPr>
            </w:pPr>
            <w:r w:rsidRPr="00FD6C96">
              <w:rPr>
                <w:sz w:val="16"/>
                <w:szCs w:val="16"/>
              </w:rPr>
              <w:t>C</w:t>
            </w:r>
          </w:p>
        </w:tc>
        <w:tc>
          <w:tcPr>
            <w:tcW w:w="603" w:type="dxa"/>
            <w:vAlign w:val="center"/>
          </w:tcPr>
          <w:p w14:paraId="2EF84C2F"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068F70A8" w14:textId="77777777" w:rsidR="0073584C" w:rsidRPr="00FD6C96" w:rsidRDefault="0073584C" w:rsidP="0073584C">
            <w:pPr>
              <w:spacing w:before="40" w:after="40"/>
              <w:jc w:val="center"/>
              <w:rPr>
                <w:sz w:val="16"/>
                <w:szCs w:val="16"/>
              </w:rPr>
            </w:pPr>
            <w:r w:rsidRPr="00FD6C96">
              <w:rPr>
                <w:sz w:val="16"/>
                <w:szCs w:val="16"/>
              </w:rPr>
              <w:t>A</w:t>
            </w:r>
          </w:p>
        </w:tc>
        <w:tc>
          <w:tcPr>
            <w:tcW w:w="604" w:type="dxa"/>
            <w:vAlign w:val="center"/>
          </w:tcPr>
          <w:p w14:paraId="47E19EBE" w14:textId="77777777" w:rsidR="0073584C" w:rsidRPr="00FD6C96" w:rsidRDefault="0073584C" w:rsidP="0073584C">
            <w:pPr>
              <w:spacing w:before="40" w:after="40"/>
              <w:jc w:val="center"/>
              <w:rPr>
                <w:sz w:val="16"/>
                <w:szCs w:val="16"/>
              </w:rPr>
            </w:pPr>
            <w:r w:rsidRPr="00FD6C96">
              <w:rPr>
                <w:sz w:val="16"/>
                <w:szCs w:val="16"/>
              </w:rPr>
              <w:t>A</w:t>
            </w:r>
          </w:p>
        </w:tc>
        <w:tc>
          <w:tcPr>
            <w:tcW w:w="851" w:type="dxa"/>
            <w:tcBorders>
              <w:right w:val="double" w:sz="4" w:space="0" w:color="auto"/>
            </w:tcBorders>
            <w:vAlign w:val="center"/>
          </w:tcPr>
          <w:p w14:paraId="3593C454" w14:textId="77777777" w:rsidR="0073584C" w:rsidRPr="00FD6C96" w:rsidRDefault="0073584C" w:rsidP="0073584C">
            <w:pPr>
              <w:spacing w:before="40" w:after="40"/>
              <w:jc w:val="center"/>
              <w:rPr>
                <w:b/>
                <w:sz w:val="16"/>
                <w:szCs w:val="16"/>
              </w:rPr>
            </w:pPr>
            <w:r w:rsidRPr="00FD6C96">
              <w:rPr>
                <w:b/>
                <w:sz w:val="16"/>
                <w:szCs w:val="16"/>
              </w:rPr>
              <w:t>B+</w:t>
            </w:r>
          </w:p>
        </w:tc>
      </w:tr>
      <w:tr w:rsidR="0073584C" w:rsidRPr="00FD6C96" w14:paraId="325ECFBB" w14:textId="77777777" w:rsidTr="0073584C">
        <w:tc>
          <w:tcPr>
            <w:tcW w:w="531" w:type="dxa"/>
            <w:tcBorders>
              <w:left w:val="double" w:sz="4" w:space="0" w:color="auto"/>
            </w:tcBorders>
            <w:vAlign w:val="center"/>
          </w:tcPr>
          <w:p w14:paraId="1C4424AB" w14:textId="77777777" w:rsidR="0073584C" w:rsidRPr="00FD6C96" w:rsidRDefault="0073584C" w:rsidP="0073584C">
            <w:pPr>
              <w:spacing w:before="40" w:after="40"/>
              <w:ind w:left="-57" w:right="-57"/>
              <w:jc w:val="center"/>
              <w:rPr>
                <w:sz w:val="16"/>
                <w:szCs w:val="16"/>
              </w:rPr>
            </w:pPr>
            <w:r w:rsidRPr="00FD6C96">
              <w:rPr>
                <w:sz w:val="16"/>
                <w:szCs w:val="16"/>
              </w:rPr>
              <w:t>PI-22</w:t>
            </w:r>
          </w:p>
        </w:tc>
        <w:tc>
          <w:tcPr>
            <w:tcW w:w="5096" w:type="dxa"/>
          </w:tcPr>
          <w:p w14:paraId="7D3F6EF0" w14:textId="77777777" w:rsidR="0073584C" w:rsidRPr="00FD6C96" w:rsidRDefault="0073584C" w:rsidP="0073584C">
            <w:pPr>
              <w:spacing w:before="40" w:after="40"/>
              <w:rPr>
                <w:sz w:val="16"/>
                <w:szCs w:val="16"/>
              </w:rPr>
            </w:pPr>
            <w:r w:rsidRPr="00FD6C96">
              <w:rPr>
                <w:sz w:val="16"/>
                <w:szCs w:val="16"/>
              </w:rPr>
              <w:t>Expenditure arrears</w:t>
            </w:r>
          </w:p>
        </w:tc>
        <w:tc>
          <w:tcPr>
            <w:tcW w:w="573" w:type="dxa"/>
            <w:gridSpan w:val="2"/>
            <w:vAlign w:val="center"/>
          </w:tcPr>
          <w:p w14:paraId="058FE916"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7CED9E78" w14:textId="77777777" w:rsidR="0073584C" w:rsidRPr="00FD6C96" w:rsidRDefault="0073584C" w:rsidP="0073584C">
            <w:pPr>
              <w:spacing w:before="40" w:after="40"/>
              <w:jc w:val="center"/>
              <w:rPr>
                <w:sz w:val="16"/>
                <w:szCs w:val="16"/>
              </w:rPr>
            </w:pPr>
            <w:r w:rsidRPr="00FD6C96">
              <w:rPr>
                <w:sz w:val="16"/>
                <w:szCs w:val="16"/>
              </w:rPr>
              <w:t>B</w:t>
            </w:r>
          </w:p>
        </w:tc>
        <w:tc>
          <w:tcPr>
            <w:tcW w:w="603" w:type="dxa"/>
            <w:vAlign w:val="center"/>
          </w:tcPr>
          <w:p w14:paraId="42E56B9D" w14:textId="030FFC20" w:rsidR="0073584C" w:rsidRPr="00FD6C96" w:rsidRDefault="00346985" w:rsidP="0073584C">
            <w:pPr>
              <w:spacing w:before="40" w:after="40"/>
              <w:jc w:val="center"/>
              <w:rPr>
                <w:sz w:val="16"/>
                <w:szCs w:val="16"/>
              </w:rPr>
            </w:pPr>
            <w:r>
              <w:rPr>
                <w:sz w:val="16"/>
                <w:szCs w:val="16"/>
              </w:rPr>
              <w:t>C</w:t>
            </w:r>
          </w:p>
        </w:tc>
        <w:tc>
          <w:tcPr>
            <w:tcW w:w="603" w:type="dxa"/>
            <w:shd w:val="clear" w:color="auto" w:fill="F2F2F2" w:themeFill="background1" w:themeFillShade="F2"/>
            <w:vAlign w:val="center"/>
          </w:tcPr>
          <w:p w14:paraId="765E2FFD" w14:textId="77777777" w:rsidR="0073584C" w:rsidRPr="00FD6C96" w:rsidRDefault="0073584C" w:rsidP="0073584C">
            <w:pPr>
              <w:spacing w:before="40" w:after="40"/>
              <w:jc w:val="center"/>
              <w:rPr>
                <w:sz w:val="16"/>
                <w:szCs w:val="16"/>
              </w:rPr>
            </w:pPr>
          </w:p>
        </w:tc>
        <w:tc>
          <w:tcPr>
            <w:tcW w:w="604" w:type="dxa"/>
            <w:shd w:val="clear" w:color="auto" w:fill="F2F2F2" w:themeFill="background1" w:themeFillShade="F2"/>
            <w:vAlign w:val="center"/>
          </w:tcPr>
          <w:p w14:paraId="1663E178"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10CD6315" w14:textId="17480E53" w:rsidR="0073584C" w:rsidRPr="00FD6C96" w:rsidRDefault="00346985" w:rsidP="0073584C">
            <w:pPr>
              <w:spacing w:before="40" w:after="40"/>
              <w:jc w:val="center"/>
              <w:rPr>
                <w:b/>
                <w:sz w:val="16"/>
                <w:szCs w:val="16"/>
              </w:rPr>
            </w:pPr>
            <w:r>
              <w:rPr>
                <w:b/>
                <w:sz w:val="16"/>
                <w:szCs w:val="16"/>
              </w:rPr>
              <w:t>C</w:t>
            </w:r>
            <w:r w:rsidR="0073584C" w:rsidRPr="00FD6C96">
              <w:rPr>
                <w:b/>
                <w:sz w:val="16"/>
                <w:szCs w:val="16"/>
              </w:rPr>
              <w:t>+</w:t>
            </w:r>
          </w:p>
        </w:tc>
      </w:tr>
      <w:tr w:rsidR="0073584C" w:rsidRPr="00FD6C96" w14:paraId="6A8A73C7" w14:textId="77777777" w:rsidTr="0073584C">
        <w:tc>
          <w:tcPr>
            <w:tcW w:w="531" w:type="dxa"/>
            <w:tcBorders>
              <w:left w:val="double" w:sz="4" w:space="0" w:color="auto"/>
            </w:tcBorders>
            <w:vAlign w:val="center"/>
          </w:tcPr>
          <w:p w14:paraId="7A540E20" w14:textId="77777777" w:rsidR="0073584C" w:rsidRPr="00FD6C96" w:rsidRDefault="0073584C" w:rsidP="0073584C">
            <w:pPr>
              <w:spacing w:before="40" w:after="40"/>
              <w:ind w:left="-57" w:right="-57"/>
              <w:jc w:val="center"/>
              <w:rPr>
                <w:sz w:val="16"/>
                <w:szCs w:val="16"/>
              </w:rPr>
            </w:pPr>
            <w:r w:rsidRPr="00FD6C96">
              <w:rPr>
                <w:sz w:val="16"/>
                <w:szCs w:val="16"/>
              </w:rPr>
              <w:t>PI-23</w:t>
            </w:r>
          </w:p>
        </w:tc>
        <w:tc>
          <w:tcPr>
            <w:tcW w:w="5096" w:type="dxa"/>
          </w:tcPr>
          <w:p w14:paraId="05AECFA0" w14:textId="77777777" w:rsidR="0073584C" w:rsidRPr="00FD6C96" w:rsidRDefault="0073584C" w:rsidP="0073584C">
            <w:pPr>
              <w:spacing w:before="40" w:after="40"/>
              <w:rPr>
                <w:sz w:val="16"/>
                <w:szCs w:val="16"/>
              </w:rPr>
            </w:pPr>
            <w:r w:rsidRPr="00FD6C96">
              <w:rPr>
                <w:sz w:val="16"/>
                <w:szCs w:val="16"/>
              </w:rPr>
              <w:t>Payroll controls</w:t>
            </w:r>
          </w:p>
        </w:tc>
        <w:tc>
          <w:tcPr>
            <w:tcW w:w="573" w:type="dxa"/>
            <w:gridSpan w:val="2"/>
            <w:vAlign w:val="center"/>
          </w:tcPr>
          <w:p w14:paraId="1E5FD31E"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5D32DCE5" w14:textId="425A508F" w:rsidR="0073584C" w:rsidRPr="00FD6C96" w:rsidRDefault="00346985" w:rsidP="0073584C">
            <w:pPr>
              <w:spacing w:before="40" w:after="40"/>
              <w:jc w:val="center"/>
              <w:rPr>
                <w:sz w:val="16"/>
                <w:szCs w:val="16"/>
              </w:rPr>
            </w:pPr>
            <w:r>
              <w:rPr>
                <w:sz w:val="16"/>
                <w:szCs w:val="16"/>
              </w:rPr>
              <w:t>B</w:t>
            </w:r>
          </w:p>
        </w:tc>
        <w:tc>
          <w:tcPr>
            <w:tcW w:w="603" w:type="dxa"/>
            <w:vAlign w:val="center"/>
          </w:tcPr>
          <w:p w14:paraId="03512379" w14:textId="1DD15698" w:rsidR="0073584C" w:rsidRPr="00FD6C96" w:rsidRDefault="00346985" w:rsidP="0073584C">
            <w:pPr>
              <w:spacing w:before="40" w:after="40"/>
              <w:jc w:val="center"/>
              <w:rPr>
                <w:sz w:val="16"/>
                <w:szCs w:val="16"/>
              </w:rPr>
            </w:pPr>
            <w:r>
              <w:rPr>
                <w:sz w:val="16"/>
                <w:szCs w:val="16"/>
              </w:rPr>
              <w:t>B</w:t>
            </w:r>
          </w:p>
        </w:tc>
        <w:tc>
          <w:tcPr>
            <w:tcW w:w="603" w:type="dxa"/>
            <w:vAlign w:val="center"/>
          </w:tcPr>
          <w:p w14:paraId="5ACA8A1C" w14:textId="02F3B421" w:rsidR="0073584C" w:rsidRPr="00FD6C96" w:rsidRDefault="00346985" w:rsidP="0073584C">
            <w:pPr>
              <w:spacing w:before="40" w:after="40"/>
              <w:jc w:val="center"/>
              <w:rPr>
                <w:sz w:val="16"/>
                <w:szCs w:val="16"/>
              </w:rPr>
            </w:pPr>
            <w:r>
              <w:rPr>
                <w:sz w:val="16"/>
                <w:szCs w:val="16"/>
              </w:rPr>
              <w:t>B</w:t>
            </w:r>
          </w:p>
        </w:tc>
        <w:tc>
          <w:tcPr>
            <w:tcW w:w="604" w:type="dxa"/>
            <w:vAlign w:val="center"/>
          </w:tcPr>
          <w:p w14:paraId="27213402" w14:textId="5A51FE39" w:rsidR="0073584C" w:rsidRPr="00FD6C96" w:rsidRDefault="00346985" w:rsidP="0073584C">
            <w:pPr>
              <w:spacing w:before="40" w:after="40"/>
              <w:jc w:val="center"/>
              <w:rPr>
                <w:sz w:val="16"/>
                <w:szCs w:val="16"/>
              </w:rPr>
            </w:pPr>
            <w:r>
              <w:rPr>
                <w:sz w:val="16"/>
                <w:szCs w:val="16"/>
              </w:rPr>
              <w:t>A</w:t>
            </w:r>
          </w:p>
        </w:tc>
        <w:tc>
          <w:tcPr>
            <w:tcW w:w="851" w:type="dxa"/>
            <w:tcBorders>
              <w:right w:val="double" w:sz="4" w:space="0" w:color="auto"/>
            </w:tcBorders>
            <w:vAlign w:val="center"/>
          </w:tcPr>
          <w:p w14:paraId="3FD5076B" w14:textId="1692BF4E" w:rsidR="0073584C" w:rsidRPr="00FD6C96" w:rsidRDefault="00346985" w:rsidP="0073584C">
            <w:pPr>
              <w:spacing w:before="40" w:after="40"/>
              <w:jc w:val="center"/>
              <w:rPr>
                <w:b/>
                <w:sz w:val="16"/>
                <w:szCs w:val="16"/>
              </w:rPr>
            </w:pPr>
            <w:r>
              <w:rPr>
                <w:b/>
                <w:sz w:val="16"/>
                <w:szCs w:val="16"/>
              </w:rPr>
              <w:t>B+</w:t>
            </w:r>
          </w:p>
        </w:tc>
      </w:tr>
      <w:tr w:rsidR="0073584C" w:rsidRPr="00FD6C96" w14:paraId="0B23ABB4" w14:textId="77777777" w:rsidTr="0073584C">
        <w:tc>
          <w:tcPr>
            <w:tcW w:w="531" w:type="dxa"/>
            <w:tcBorders>
              <w:left w:val="double" w:sz="4" w:space="0" w:color="auto"/>
            </w:tcBorders>
            <w:vAlign w:val="center"/>
          </w:tcPr>
          <w:p w14:paraId="5C888650" w14:textId="77777777" w:rsidR="0073584C" w:rsidRPr="00FD6C96" w:rsidRDefault="0073584C" w:rsidP="0073584C">
            <w:pPr>
              <w:spacing w:before="40" w:after="40"/>
              <w:ind w:left="-57" w:right="-57"/>
              <w:jc w:val="center"/>
              <w:rPr>
                <w:sz w:val="16"/>
                <w:szCs w:val="16"/>
              </w:rPr>
            </w:pPr>
            <w:r w:rsidRPr="00FD6C96">
              <w:rPr>
                <w:sz w:val="16"/>
                <w:szCs w:val="16"/>
              </w:rPr>
              <w:t>PI-24</w:t>
            </w:r>
          </w:p>
        </w:tc>
        <w:tc>
          <w:tcPr>
            <w:tcW w:w="5096" w:type="dxa"/>
          </w:tcPr>
          <w:p w14:paraId="7C958FEA" w14:textId="77777777" w:rsidR="0073584C" w:rsidRPr="00FD6C96" w:rsidRDefault="0073584C" w:rsidP="0073584C">
            <w:pPr>
              <w:spacing w:before="40" w:after="40"/>
              <w:rPr>
                <w:sz w:val="16"/>
                <w:szCs w:val="16"/>
              </w:rPr>
            </w:pPr>
            <w:r w:rsidRPr="00FD6C96">
              <w:rPr>
                <w:sz w:val="16"/>
                <w:szCs w:val="16"/>
              </w:rPr>
              <w:t>Procurement management</w:t>
            </w:r>
          </w:p>
        </w:tc>
        <w:tc>
          <w:tcPr>
            <w:tcW w:w="573" w:type="dxa"/>
            <w:gridSpan w:val="2"/>
            <w:vAlign w:val="center"/>
          </w:tcPr>
          <w:p w14:paraId="10BEF095"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08203F40" w14:textId="77777777" w:rsidR="0073584C" w:rsidRPr="00FD6C96" w:rsidRDefault="0073584C" w:rsidP="0073584C">
            <w:pPr>
              <w:spacing w:before="40" w:after="40"/>
              <w:jc w:val="center"/>
              <w:rPr>
                <w:sz w:val="16"/>
                <w:szCs w:val="16"/>
              </w:rPr>
            </w:pPr>
            <w:r>
              <w:rPr>
                <w:sz w:val="16"/>
                <w:szCs w:val="16"/>
              </w:rPr>
              <w:t>B</w:t>
            </w:r>
          </w:p>
        </w:tc>
        <w:tc>
          <w:tcPr>
            <w:tcW w:w="603" w:type="dxa"/>
            <w:vAlign w:val="center"/>
          </w:tcPr>
          <w:p w14:paraId="582739CA" w14:textId="77777777" w:rsidR="0073584C" w:rsidRPr="00FD6C96" w:rsidRDefault="0073584C" w:rsidP="0073584C">
            <w:pPr>
              <w:spacing w:before="40" w:after="40"/>
              <w:jc w:val="center"/>
              <w:rPr>
                <w:sz w:val="16"/>
                <w:szCs w:val="16"/>
              </w:rPr>
            </w:pPr>
            <w:r>
              <w:rPr>
                <w:sz w:val="16"/>
                <w:szCs w:val="16"/>
              </w:rPr>
              <w:t>B</w:t>
            </w:r>
          </w:p>
        </w:tc>
        <w:tc>
          <w:tcPr>
            <w:tcW w:w="603" w:type="dxa"/>
            <w:vAlign w:val="center"/>
          </w:tcPr>
          <w:p w14:paraId="73E0D56B" w14:textId="77777777" w:rsidR="0073584C" w:rsidRPr="00FD6C96" w:rsidRDefault="0073584C" w:rsidP="0073584C">
            <w:pPr>
              <w:spacing w:before="40" w:after="40"/>
              <w:jc w:val="center"/>
              <w:rPr>
                <w:sz w:val="16"/>
                <w:szCs w:val="16"/>
              </w:rPr>
            </w:pPr>
            <w:r>
              <w:rPr>
                <w:sz w:val="16"/>
                <w:szCs w:val="16"/>
              </w:rPr>
              <w:t>B</w:t>
            </w:r>
          </w:p>
        </w:tc>
        <w:tc>
          <w:tcPr>
            <w:tcW w:w="604" w:type="dxa"/>
            <w:vAlign w:val="center"/>
          </w:tcPr>
          <w:p w14:paraId="13685E50" w14:textId="77777777" w:rsidR="0073584C" w:rsidRPr="00FD6C96" w:rsidRDefault="0073584C" w:rsidP="0073584C">
            <w:pPr>
              <w:spacing w:before="40" w:after="40"/>
              <w:jc w:val="center"/>
              <w:rPr>
                <w:sz w:val="16"/>
                <w:szCs w:val="16"/>
              </w:rPr>
            </w:pPr>
            <w:r w:rsidRPr="00FD6C96">
              <w:rPr>
                <w:sz w:val="16"/>
                <w:szCs w:val="16"/>
              </w:rPr>
              <w:t>D</w:t>
            </w:r>
          </w:p>
        </w:tc>
        <w:tc>
          <w:tcPr>
            <w:tcW w:w="851" w:type="dxa"/>
            <w:tcBorders>
              <w:right w:val="double" w:sz="4" w:space="0" w:color="auto"/>
            </w:tcBorders>
            <w:vAlign w:val="center"/>
          </w:tcPr>
          <w:p w14:paraId="25F6E108" w14:textId="77777777" w:rsidR="0073584C" w:rsidRPr="00FD6C96" w:rsidRDefault="0073584C" w:rsidP="0073584C">
            <w:pPr>
              <w:spacing w:before="40" w:after="40"/>
              <w:jc w:val="center"/>
              <w:rPr>
                <w:b/>
                <w:sz w:val="16"/>
                <w:szCs w:val="16"/>
              </w:rPr>
            </w:pPr>
            <w:r>
              <w:rPr>
                <w:b/>
                <w:sz w:val="16"/>
                <w:szCs w:val="16"/>
              </w:rPr>
              <w:t>C</w:t>
            </w:r>
            <w:r w:rsidRPr="00FD6C96">
              <w:rPr>
                <w:b/>
                <w:sz w:val="16"/>
                <w:szCs w:val="16"/>
              </w:rPr>
              <w:t>+</w:t>
            </w:r>
          </w:p>
        </w:tc>
      </w:tr>
      <w:tr w:rsidR="0073584C" w:rsidRPr="00FD6C96" w14:paraId="348AF44D" w14:textId="77777777" w:rsidTr="0073584C">
        <w:tc>
          <w:tcPr>
            <w:tcW w:w="531" w:type="dxa"/>
            <w:tcBorders>
              <w:left w:val="double" w:sz="4" w:space="0" w:color="auto"/>
            </w:tcBorders>
            <w:vAlign w:val="center"/>
          </w:tcPr>
          <w:p w14:paraId="727EC9EA" w14:textId="77777777" w:rsidR="0073584C" w:rsidRPr="00FD6C96" w:rsidRDefault="0073584C" w:rsidP="0073584C">
            <w:pPr>
              <w:spacing w:before="40" w:after="40"/>
              <w:ind w:left="-57" w:right="-57"/>
              <w:jc w:val="center"/>
              <w:rPr>
                <w:sz w:val="16"/>
                <w:szCs w:val="16"/>
              </w:rPr>
            </w:pPr>
            <w:r w:rsidRPr="00FD6C96">
              <w:rPr>
                <w:sz w:val="16"/>
                <w:szCs w:val="16"/>
              </w:rPr>
              <w:t>PI-25</w:t>
            </w:r>
          </w:p>
        </w:tc>
        <w:tc>
          <w:tcPr>
            <w:tcW w:w="5096" w:type="dxa"/>
          </w:tcPr>
          <w:p w14:paraId="051518B0" w14:textId="77777777" w:rsidR="0073584C" w:rsidRPr="00FD6C96" w:rsidRDefault="0073584C" w:rsidP="0073584C">
            <w:pPr>
              <w:spacing w:before="40" w:after="40"/>
              <w:rPr>
                <w:sz w:val="16"/>
                <w:szCs w:val="16"/>
              </w:rPr>
            </w:pPr>
            <w:r w:rsidRPr="00FD6C96">
              <w:rPr>
                <w:sz w:val="16"/>
                <w:szCs w:val="16"/>
              </w:rPr>
              <w:t>Internal controls on non-salary expenditure</w:t>
            </w:r>
          </w:p>
        </w:tc>
        <w:tc>
          <w:tcPr>
            <w:tcW w:w="573" w:type="dxa"/>
            <w:gridSpan w:val="2"/>
            <w:vAlign w:val="center"/>
          </w:tcPr>
          <w:p w14:paraId="1560C306"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3C2681AA" w14:textId="16C1E1B7" w:rsidR="0073584C" w:rsidRPr="00FD6C96" w:rsidRDefault="00346985" w:rsidP="0073584C">
            <w:pPr>
              <w:spacing w:before="40" w:after="40"/>
              <w:jc w:val="center"/>
              <w:rPr>
                <w:sz w:val="16"/>
                <w:szCs w:val="16"/>
              </w:rPr>
            </w:pPr>
            <w:r>
              <w:rPr>
                <w:sz w:val="16"/>
                <w:szCs w:val="16"/>
              </w:rPr>
              <w:t>A</w:t>
            </w:r>
          </w:p>
        </w:tc>
        <w:tc>
          <w:tcPr>
            <w:tcW w:w="603" w:type="dxa"/>
            <w:vAlign w:val="center"/>
          </w:tcPr>
          <w:p w14:paraId="2C493159" w14:textId="26FCDCCF" w:rsidR="0073584C" w:rsidRPr="00FD6C96" w:rsidRDefault="00346985" w:rsidP="0073584C">
            <w:pPr>
              <w:spacing w:before="40" w:after="40"/>
              <w:jc w:val="center"/>
              <w:rPr>
                <w:sz w:val="16"/>
                <w:szCs w:val="16"/>
              </w:rPr>
            </w:pPr>
            <w:r>
              <w:rPr>
                <w:sz w:val="16"/>
                <w:szCs w:val="16"/>
              </w:rPr>
              <w:t>B</w:t>
            </w:r>
          </w:p>
        </w:tc>
        <w:tc>
          <w:tcPr>
            <w:tcW w:w="603" w:type="dxa"/>
            <w:vAlign w:val="center"/>
          </w:tcPr>
          <w:p w14:paraId="0EF6EDF7" w14:textId="4DAFB4EF" w:rsidR="0073584C" w:rsidRPr="00FD6C96" w:rsidRDefault="00346985" w:rsidP="0073584C">
            <w:pPr>
              <w:spacing w:before="40" w:after="40"/>
              <w:jc w:val="center"/>
              <w:rPr>
                <w:sz w:val="16"/>
                <w:szCs w:val="16"/>
              </w:rPr>
            </w:pPr>
            <w:r>
              <w:rPr>
                <w:sz w:val="16"/>
                <w:szCs w:val="16"/>
              </w:rPr>
              <w:t>B</w:t>
            </w:r>
          </w:p>
        </w:tc>
        <w:tc>
          <w:tcPr>
            <w:tcW w:w="604" w:type="dxa"/>
            <w:shd w:val="clear" w:color="auto" w:fill="F2F2F2"/>
            <w:vAlign w:val="center"/>
          </w:tcPr>
          <w:p w14:paraId="3213CCE9"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3CA8D89E" w14:textId="68BD1674" w:rsidR="0073584C" w:rsidRPr="00FD6C96" w:rsidRDefault="00346985" w:rsidP="0073584C">
            <w:pPr>
              <w:spacing w:before="40" w:after="40"/>
              <w:jc w:val="center"/>
              <w:rPr>
                <w:b/>
                <w:sz w:val="16"/>
                <w:szCs w:val="16"/>
              </w:rPr>
            </w:pPr>
            <w:r>
              <w:rPr>
                <w:b/>
                <w:sz w:val="16"/>
                <w:szCs w:val="16"/>
              </w:rPr>
              <w:t>B</w:t>
            </w:r>
            <w:r w:rsidR="0073584C">
              <w:rPr>
                <w:b/>
                <w:sz w:val="16"/>
                <w:szCs w:val="16"/>
              </w:rPr>
              <w:t>+</w:t>
            </w:r>
          </w:p>
        </w:tc>
      </w:tr>
      <w:tr w:rsidR="0073584C" w:rsidRPr="00FD6C96" w14:paraId="755A15DC" w14:textId="77777777" w:rsidTr="0073584C">
        <w:tc>
          <w:tcPr>
            <w:tcW w:w="531" w:type="dxa"/>
            <w:tcBorders>
              <w:left w:val="double" w:sz="4" w:space="0" w:color="auto"/>
            </w:tcBorders>
            <w:vAlign w:val="center"/>
          </w:tcPr>
          <w:p w14:paraId="51CAEBB6" w14:textId="77777777" w:rsidR="0073584C" w:rsidRPr="00FD6C96" w:rsidRDefault="0073584C" w:rsidP="0073584C">
            <w:pPr>
              <w:spacing w:before="40" w:after="40"/>
              <w:ind w:left="-57" w:right="-57"/>
              <w:jc w:val="center"/>
              <w:rPr>
                <w:sz w:val="16"/>
                <w:szCs w:val="16"/>
              </w:rPr>
            </w:pPr>
            <w:r w:rsidRPr="00FD6C96">
              <w:rPr>
                <w:sz w:val="16"/>
                <w:szCs w:val="16"/>
              </w:rPr>
              <w:t>PI-26</w:t>
            </w:r>
          </w:p>
        </w:tc>
        <w:tc>
          <w:tcPr>
            <w:tcW w:w="5096" w:type="dxa"/>
          </w:tcPr>
          <w:p w14:paraId="70C198BB" w14:textId="77777777" w:rsidR="0073584C" w:rsidRPr="00FD6C96" w:rsidRDefault="0073584C" w:rsidP="0073584C">
            <w:pPr>
              <w:spacing w:before="40" w:after="40"/>
              <w:rPr>
                <w:sz w:val="16"/>
                <w:szCs w:val="16"/>
              </w:rPr>
            </w:pPr>
            <w:r w:rsidRPr="00FD6C96">
              <w:rPr>
                <w:sz w:val="16"/>
                <w:szCs w:val="16"/>
              </w:rPr>
              <w:t>Internal audit</w:t>
            </w:r>
          </w:p>
        </w:tc>
        <w:tc>
          <w:tcPr>
            <w:tcW w:w="573" w:type="dxa"/>
            <w:gridSpan w:val="2"/>
            <w:vAlign w:val="center"/>
          </w:tcPr>
          <w:p w14:paraId="4E0D2230"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68E566C6" w14:textId="77777777" w:rsidR="0073584C" w:rsidRPr="00FD6C96" w:rsidRDefault="0073584C" w:rsidP="0073584C">
            <w:pPr>
              <w:spacing w:before="40" w:after="40"/>
              <w:jc w:val="center"/>
              <w:rPr>
                <w:sz w:val="16"/>
                <w:szCs w:val="16"/>
              </w:rPr>
            </w:pPr>
            <w:r>
              <w:rPr>
                <w:sz w:val="16"/>
                <w:szCs w:val="16"/>
              </w:rPr>
              <w:t>A</w:t>
            </w:r>
          </w:p>
        </w:tc>
        <w:tc>
          <w:tcPr>
            <w:tcW w:w="603" w:type="dxa"/>
            <w:vAlign w:val="center"/>
          </w:tcPr>
          <w:p w14:paraId="43A4A3E1" w14:textId="77777777" w:rsidR="0073584C" w:rsidRPr="00FD6C96" w:rsidRDefault="0073584C" w:rsidP="0073584C">
            <w:pPr>
              <w:spacing w:before="40" w:after="40"/>
              <w:jc w:val="center"/>
              <w:rPr>
                <w:sz w:val="16"/>
                <w:szCs w:val="16"/>
              </w:rPr>
            </w:pPr>
            <w:r w:rsidRPr="00FD6C96">
              <w:rPr>
                <w:sz w:val="16"/>
                <w:szCs w:val="16"/>
              </w:rPr>
              <w:t>B</w:t>
            </w:r>
          </w:p>
        </w:tc>
        <w:tc>
          <w:tcPr>
            <w:tcW w:w="603" w:type="dxa"/>
            <w:vAlign w:val="center"/>
          </w:tcPr>
          <w:p w14:paraId="1E2FC270" w14:textId="77777777" w:rsidR="0073584C" w:rsidRPr="00FD6C96" w:rsidRDefault="0073584C" w:rsidP="0073584C">
            <w:pPr>
              <w:spacing w:before="40" w:after="40"/>
              <w:jc w:val="center"/>
              <w:rPr>
                <w:sz w:val="16"/>
                <w:szCs w:val="16"/>
              </w:rPr>
            </w:pPr>
            <w:r w:rsidRPr="00FD6C96">
              <w:rPr>
                <w:sz w:val="16"/>
                <w:szCs w:val="16"/>
              </w:rPr>
              <w:t>C</w:t>
            </w:r>
          </w:p>
        </w:tc>
        <w:tc>
          <w:tcPr>
            <w:tcW w:w="604" w:type="dxa"/>
            <w:vAlign w:val="center"/>
          </w:tcPr>
          <w:p w14:paraId="2942F20B" w14:textId="77777777" w:rsidR="0073584C" w:rsidRPr="00FD6C96" w:rsidRDefault="0073584C" w:rsidP="0073584C">
            <w:pPr>
              <w:spacing w:before="40" w:after="40"/>
              <w:jc w:val="center"/>
              <w:rPr>
                <w:sz w:val="16"/>
                <w:szCs w:val="16"/>
              </w:rPr>
            </w:pPr>
            <w:r w:rsidRPr="00FD6C96">
              <w:rPr>
                <w:sz w:val="16"/>
                <w:szCs w:val="16"/>
              </w:rPr>
              <w:t>B</w:t>
            </w:r>
          </w:p>
        </w:tc>
        <w:tc>
          <w:tcPr>
            <w:tcW w:w="851" w:type="dxa"/>
            <w:tcBorders>
              <w:right w:val="double" w:sz="4" w:space="0" w:color="auto"/>
            </w:tcBorders>
            <w:vAlign w:val="center"/>
          </w:tcPr>
          <w:p w14:paraId="084C620C" w14:textId="77777777" w:rsidR="0073584C" w:rsidRPr="00FD6C96" w:rsidRDefault="0073584C" w:rsidP="0073584C">
            <w:pPr>
              <w:spacing w:before="40" w:after="40"/>
              <w:jc w:val="center"/>
              <w:rPr>
                <w:b/>
                <w:sz w:val="16"/>
                <w:szCs w:val="16"/>
              </w:rPr>
            </w:pPr>
            <w:r w:rsidRPr="00FD6C96">
              <w:rPr>
                <w:b/>
                <w:sz w:val="16"/>
                <w:szCs w:val="16"/>
              </w:rPr>
              <w:t>C+</w:t>
            </w:r>
          </w:p>
        </w:tc>
      </w:tr>
      <w:tr w:rsidR="0073584C" w:rsidRPr="00FD6C96" w14:paraId="1EBBE7C5" w14:textId="77777777" w:rsidTr="0073584C">
        <w:tc>
          <w:tcPr>
            <w:tcW w:w="9464" w:type="dxa"/>
            <w:gridSpan w:val="9"/>
            <w:tcBorders>
              <w:left w:val="double" w:sz="4" w:space="0" w:color="auto"/>
              <w:right w:val="double" w:sz="4" w:space="0" w:color="auto"/>
            </w:tcBorders>
            <w:shd w:val="clear" w:color="auto" w:fill="F2F2F2"/>
            <w:vAlign w:val="center"/>
          </w:tcPr>
          <w:p w14:paraId="1C059F45" w14:textId="77777777" w:rsidR="0073584C" w:rsidRPr="00FD6C96" w:rsidRDefault="0073584C" w:rsidP="0073584C">
            <w:pPr>
              <w:spacing w:before="40" w:after="40"/>
              <w:rPr>
                <w:sz w:val="16"/>
                <w:szCs w:val="16"/>
              </w:rPr>
            </w:pPr>
            <w:r w:rsidRPr="00FD6C96">
              <w:rPr>
                <w:b/>
                <w:sz w:val="16"/>
                <w:szCs w:val="16"/>
              </w:rPr>
              <w:t>VI. Accounting and Reporting</w:t>
            </w:r>
          </w:p>
        </w:tc>
      </w:tr>
      <w:tr w:rsidR="0073584C" w:rsidRPr="00FD6C96" w14:paraId="39634DC2" w14:textId="77777777" w:rsidTr="0073584C">
        <w:tc>
          <w:tcPr>
            <w:tcW w:w="531" w:type="dxa"/>
            <w:tcBorders>
              <w:left w:val="double" w:sz="4" w:space="0" w:color="auto"/>
            </w:tcBorders>
            <w:vAlign w:val="center"/>
          </w:tcPr>
          <w:p w14:paraId="29B731E8" w14:textId="77777777" w:rsidR="0073584C" w:rsidRPr="00FD6C96" w:rsidRDefault="0073584C" w:rsidP="0073584C">
            <w:pPr>
              <w:spacing w:before="40" w:after="40"/>
              <w:ind w:left="-57" w:right="-57"/>
              <w:jc w:val="center"/>
              <w:rPr>
                <w:sz w:val="16"/>
                <w:szCs w:val="16"/>
              </w:rPr>
            </w:pPr>
            <w:r w:rsidRPr="00FD6C96">
              <w:rPr>
                <w:sz w:val="16"/>
                <w:szCs w:val="16"/>
              </w:rPr>
              <w:t>PI-27</w:t>
            </w:r>
          </w:p>
        </w:tc>
        <w:tc>
          <w:tcPr>
            <w:tcW w:w="5096" w:type="dxa"/>
          </w:tcPr>
          <w:p w14:paraId="740253BD" w14:textId="77777777" w:rsidR="0073584C" w:rsidRPr="00FD6C96" w:rsidRDefault="0073584C" w:rsidP="0073584C">
            <w:pPr>
              <w:spacing w:before="40" w:after="40"/>
              <w:rPr>
                <w:sz w:val="16"/>
                <w:szCs w:val="16"/>
              </w:rPr>
            </w:pPr>
            <w:r w:rsidRPr="00FD6C96">
              <w:rPr>
                <w:sz w:val="16"/>
                <w:szCs w:val="16"/>
              </w:rPr>
              <w:t>Financial data integrity</w:t>
            </w:r>
          </w:p>
        </w:tc>
        <w:tc>
          <w:tcPr>
            <w:tcW w:w="573" w:type="dxa"/>
            <w:gridSpan w:val="2"/>
            <w:vAlign w:val="center"/>
          </w:tcPr>
          <w:p w14:paraId="18537E49" w14:textId="77777777" w:rsidR="0073584C" w:rsidRPr="00FD6C96" w:rsidRDefault="0073584C" w:rsidP="0073584C">
            <w:pPr>
              <w:spacing w:before="40" w:after="40"/>
              <w:jc w:val="center"/>
              <w:rPr>
                <w:sz w:val="16"/>
                <w:szCs w:val="16"/>
              </w:rPr>
            </w:pPr>
            <w:r w:rsidRPr="00FD6C96">
              <w:rPr>
                <w:sz w:val="16"/>
                <w:szCs w:val="16"/>
              </w:rPr>
              <w:t>M2</w:t>
            </w:r>
          </w:p>
        </w:tc>
        <w:tc>
          <w:tcPr>
            <w:tcW w:w="603" w:type="dxa"/>
            <w:vAlign w:val="center"/>
          </w:tcPr>
          <w:p w14:paraId="56207D7A" w14:textId="77777777" w:rsidR="0073584C" w:rsidRPr="00FD6C96" w:rsidRDefault="0073584C" w:rsidP="0073584C">
            <w:pPr>
              <w:spacing w:before="40" w:after="40"/>
              <w:jc w:val="center"/>
              <w:rPr>
                <w:sz w:val="16"/>
                <w:szCs w:val="16"/>
              </w:rPr>
            </w:pPr>
            <w:r w:rsidRPr="00FD6C96">
              <w:rPr>
                <w:sz w:val="16"/>
                <w:szCs w:val="16"/>
              </w:rPr>
              <w:t>D</w:t>
            </w:r>
          </w:p>
        </w:tc>
        <w:tc>
          <w:tcPr>
            <w:tcW w:w="603" w:type="dxa"/>
            <w:vAlign w:val="center"/>
          </w:tcPr>
          <w:p w14:paraId="377A8BAF" w14:textId="391353FB" w:rsidR="0073584C" w:rsidRPr="00FD6C96" w:rsidRDefault="00346985" w:rsidP="0073584C">
            <w:pPr>
              <w:spacing w:before="40" w:after="40"/>
              <w:jc w:val="center"/>
              <w:rPr>
                <w:sz w:val="16"/>
                <w:szCs w:val="16"/>
              </w:rPr>
            </w:pPr>
            <w:r>
              <w:rPr>
                <w:sz w:val="16"/>
                <w:szCs w:val="16"/>
              </w:rPr>
              <w:t>A</w:t>
            </w:r>
          </w:p>
        </w:tc>
        <w:tc>
          <w:tcPr>
            <w:tcW w:w="603" w:type="dxa"/>
            <w:vAlign w:val="center"/>
          </w:tcPr>
          <w:p w14:paraId="734D94A9" w14:textId="77777777" w:rsidR="0073584C" w:rsidRPr="00FD6C96" w:rsidRDefault="0073584C" w:rsidP="0073584C">
            <w:pPr>
              <w:spacing w:before="40" w:after="40"/>
              <w:jc w:val="center"/>
              <w:rPr>
                <w:sz w:val="16"/>
                <w:szCs w:val="16"/>
              </w:rPr>
            </w:pPr>
            <w:r w:rsidRPr="00FD6C96">
              <w:rPr>
                <w:sz w:val="16"/>
                <w:szCs w:val="16"/>
              </w:rPr>
              <w:t>C</w:t>
            </w:r>
          </w:p>
        </w:tc>
        <w:tc>
          <w:tcPr>
            <w:tcW w:w="604" w:type="dxa"/>
            <w:vAlign w:val="center"/>
          </w:tcPr>
          <w:p w14:paraId="024CFA4E" w14:textId="77777777" w:rsidR="0073584C" w:rsidRPr="00FD6C96" w:rsidRDefault="0073584C" w:rsidP="0073584C">
            <w:pPr>
              <w:spacing w:before="40" w:after="40"/>
              <w:jc w:val="center"/>
              <w:rPr>
                <w:sz w:val="16"/>
                <w:szCs w:val="16"/>
              </w:rPr>
            </w:pPr>
            <w:r w:rsidRPr="00FD6C96">
              <w:rPr>
                <w:sz w:val="16"/>
                <w:szCs w:val="16"/>
              </w:rPr>
              <w:t>C</w:t>
            </w:r>
          </w:p>
        </w:tc>
        <w:tc>
          <w:tcPr>
            <w:tcW w:w="851" w:type="dxa"/>
            <w:tcBorders>
              <w:right w:val="double" w:sz="4" w:space="0" w:color="auto"/>
            </w:tcBorders>
            <w:vAlign w:val="center"/>
          </w:tcPr>
          <w:p w14:paraId="5E2B2CD2" w14:textId="358996FB" w:rsidR="0073584C" w:rsidRPr="00FD6C96" w:rsidRDefault="00346985" w:rsidP="0073584C">
            <w:pPr>
              <w:spacing w:before="40" w:after="40"/>
              <w:jc w:val="center"/>
              <w:rPr>
                <w:b/>
                <w:sz w:val="16"/>
                <w:szCs w:val="16"/>
              </w:rPr>
            </w:pPr>
            <w:r>
              <w:rPr>
                <w:b/>
                <w:sz w:val="16"/>
                <w:szCs w:val="16"/>
              </w:rPr>
              <w:t>C</w:t>
            </w:r>
            <w:r w:rsidR="0073584C" w:rsidRPr="00FD6C96">
              <w:rPr>
                <w:b/>
                <w:sz w:val="16"/>
                <w:szCs w:val="16"/>
              </w:rPr>
              <w:t>+</w:t>
            </w:r>
          </w:p>
        </w:tc>
      </w:tr>
      <w:tr w:rsidR="0073584C" w:rsidRPr="00FD6C96" w14:paraId="1A216A53" w14:textId="77777777" w:rsidTr="0073584C">
        <w:tc>
          <w:tcPr>
            <w:tcW w:w="531" w:type="dxa"/>
            <w:tcBorders>
              <w:left w:val="double" w:sz="4" w:space="0" w:color="auto"/>
            </w:tcBorders>
            <w:vAlign w:val="center"/>
          </w:tcPr>
          <w:p w14:paraId="31AAD150" w14:textId="77777777" w:rsidR="0073584C" w:rsidRPr="00FD6C96" w:rsidRDefault="0073584C" w:rsidP="0073584C">
            <w:pPr>
              <w:spacing w:before="40" w:after="40"/>
              <w:ind w:left="-57" w:right="-57"/>
              <w:jc w:val="center"/>
              <w:rPr>
                <w:sz w:val="16"/>
                <w:szCs w:val="16"/>
              </w:rPr>
            </w:pPr>
            <w:r w:rsidRPr="00FD6C96">
              <w:rPr>
                <w:sz w:val="16"/>
                <w:szCs w:val="16"/>
              </w:rPr>
              <w:t>PI-28</w:t>
            </w:r>
          </w:p>
        </w:tc>
        <w:tc>
          <w:tcPr>
            <w:tcW w:w="5096" w:type="dxa"/>
          </w:tcPr>
          <w:p w14:paraId="012CA8A2" w14:textId="77777777" w:rsidR="0073584C" w:rsidRPr="00FD6C96" w:rsidRDefault="0073584C" w:rsidP="0073584C">
            <w:pPr>
              <w:spacing w:before="40" w:after="40"/>
              <w:rPr>
                <w:sz w:val="16"/>
                <w:szCs w:val="16"/>
              </w:rPr>
            </w:pPr>
            <w:r w:rsidRPr="00FD6C96">
              <w:rPr>
                <w:sz w:val="16"/>
                <w:szCs w:val="16"/>
              </w:rPr>
              <w:t>In-year budget reports</w:t>
            </w:r>
          </w:p>
        </w:tc>
        <w:tc>
          <w:tcPr>
            <w:tcW w:w="573" w:type="dxa"/>
            <w:gridSpan w:val="2"/>
            <w:vAlign w:val="center"/>
          </w:tcPr>
          <w:p w14:paraId="294DF5AB"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2ED6580C" w14:textId="77777777" w:rsidR="0073584C" w:rsidRPr="00FD6C96" w:rsidRDefault="0073584C" w:rsidP="0073584C">
            <w:pPr>
              <w:spacing w:before="40" w:after="40"/>
              <w:jc w:val="center"/>
              <w:rPr>
                <w:sz w:val="16"/>
                <w:szCs w:val="16"/>
              </w:rPr>
            </w:pPr>
            <w:r w:rsidRPr="00FD6C96">
              <w:rPr>
                <w:sz w:val="16"/>
                <w:szCs w:val="16"/>
              </w:rPr>
              <w:t>A</w:t>
            </w:r>
          </w:p>
        </w:tc>
        <w:tc>
          <w:tcPr>
            <w:tcW w:w="603" w:type="dxa"/>
            <w:vAlign w:val="center"/>
          </w:tcPr>
          <w:p w14:paraId="6FFC88CE" w14:textId="77777777" w:rsidR="0073584C" w:rsidRPr="00FD6C96" w:rsidRDefault="0073584C" w:rsidP="0073584C">
            <w:pPr>
              <w:spacing w:before="40" w:after="40"/>
              <w:jc w:val="center"/>
              <w:rPr>
                <w:sz w:val="16"/>
                <w:szCs w:val="16"/>
              </w:rPr>
            </w:pPr>
            <w:r w:rsidRPr="00FD6C96">
              <w:rPr>
                <w:sz w:val="16"/>
                <w:szCs w:val="16"/>
              </w:rPr>
              <w:t>D</w:t>
            </w:r>
          </w:p>
        </w:tc>
        <w:tc>
          <w:tcPr>
            <w:tcW w:w="603" w:type="dxa"/>
            <w:vAlign w:val="center"/>
          </w:tcPr>
          <w:p w14:paraId="4619311F" w14:textId="77777777" w:rsidR="0073584C" w:rsidRPr="00FD6C96" w:rsidRDefault="0073584C" w:rsidP="0073584C">
            <w:pPr>
              <w:spacing w:before="40" w:after="40"/>
              <w:jc w:val="center"/>
              <w:rPr>
                <w:sz w:val="16"/>
                <w:szCs w:val="16"/>
              </w:rPr>
            </w:pPr>
            <w:r w:rsidRPr="00FD6C96">
              <w:rPr>
                <w:sz w:val="16"/>
                <w:szCs w:val="16"/>
              </w:rPr>
              <w:t>C</w:t>
            </w:r>
          </w:p>
        </w:tc>
        <w:tc>
          <w:tcPr>
            <w:tcW w:w="604" w:type="dxa"/>
            <w:shd w:val="clear" w:color="auto" w:fill="F2F2F2"/>
            <w:vAlign w:val="center"/>
          </w:tcPr>
          <w:p w14:paraId="4F7E523F"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3C260883" w14:textId="77777777" w:rsidR="0073584C" w:rsidRPr="00FD6C96" w:rsidRDefault="0073584C" w:rsidP="0073584C">
            <w:pPr>
              <w:spacing w:before="40" w:after="40"/>
              <w:jc w:val="center"/>
              <w:rPr>
                <w:b/>
                <w:sz w:val="16"/>
                <w:szCs w:val="16"/>
              </w:rPr>
            </w:pPr>
            <w:r w:rsidRPr="00FD6C96">
              <w:rPr>
                <w:b/>
                <w:sz w:val="16"/>
                <w:szCs w:val="16"/>
              </w:rPr>
              <w:t>D+</w:t>
            </w:r>
          </w:p>
        </w:tc>
      </w:tr>
      <w:tr w:rsidR="0073584C" w:rsidRPr="00FD6C96" w14:paraId="7CACAD1F" w14:textId="77777777" w:rsidTr="0073584C">
        <w:tc>
          <w:tcPr>
            <w:tcW w:w="531" w:type="dxa"/>
            <w:tcBorders>
              <w:left w:val="double" w:sz="4" w:space="0" w:color="auto"/>
            </w:tcBorders>
            <w:vAlign w:val="center"/>
          </w:tcPr>
          <w:p w14:paraId="0EF8B8BD" w14:textId="77777777" w:rsidR="0073584C" w:rsidRPr="00FD6C96" w:rsidRDefault="0073584C" w:rsidP="0073584C">
            <w:pPr>
              <w:spacing w:before="40" w:after="40"/>
              <w:ind w:left="-57" w:right="-57"/>
              <w:jc w:val="center"/>
              <w:rPr>
                <w:sz w:val="16"/>
                <w:szCs w:val="16"/>
              </w:rPr>
            </w:pPr>
            <w:r w:rsidRPr="00FD6C96">
              <w:rPr>
                <w:sz w:val="16"/>
                <w:szCs w:val="16"/>
              </w:rPr>
              <w:t>PI-29</w:t>
            </w:r>
          </w:p>
        </w:tc>
        <w:tc>
          <w:tcPr>
            <w:tcW w:w="5096" w:type="dxa"/>
          </w:tcPr>
          <w:p w14:paraId="76D3E22E" w14:textId="77777777" w:rsidR="0073584C" w:rsidRPr="00FD6C96" w:rsidRDefault="0073584C" w:rsidP="0073584C">
            <w:pPr>
              <w:spacing w:before="40" w:after="40"/>
              <w:rPr>
                <w:sz w:val="16"/>
                <w:szCs w:val="16"/>
              </w:rPr>
            </w:pPr>
            <w:r w:rsidRPr="00FD6C96">
              <w:rPr>
                <w:sz w:val="16"/>
                <w:szCs w:val="16"/>
              </w:rPr>
              <w:t>Annual financial reports</w:t>
            </w:r>
          </w:p>
        </w:tc>
        <w:tc>
          <w:tcPr>
            <w:tcW w:w="573" w:type="dxa"/>
            <w:gridSpan w:val="2"/>
            <w:vAlign w:val="center"/>
          </w:tcPr>
          <w:p w14:paraId="3998EF67"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3B252373" w14:textId="77777777" w:rsidR="0073584C" w:rsidRPr="00FD6C96" w:rsidRDefault="0073584C" w:rsidP="0073584C">
            <w:pPr>
              <w:spacing w:before="40" w:after="40"/>
              <w:jc w:val="center"/>
              <w:rPr>
                <w:sz w:val="16"/>
                <w:szCs w:val="16"/>
              </w:rPr>
            </w:pPr>
            <w:r w:rsidRPr="00FD6C96">
              <w:rPr>
                <w:sz w:val="16"/>
                <w:szCs w:val="16"/>
              </w:rPr>
              <w:t>B</w:t>
            </w:r>
          </w:p>
        </w:tc>
        <w:tc>
          <w:tcPr>
            <w:tcW w:w="603" w:type="dxa"/>
            <w:vAlign w:val="center"/>
          </w:tcPr>
          <w:p w14:paraId="1ACDD53C" w14:textId="7A71EA01" w:rsidR="0073584C" w:rsidRPr="00FD6C96" w:rsidRDefault="00346985" w:rsidP="0073584C">
            <w:pPr>
              <w:spacing w:before="40" w:after="40"/>
              <w:jc w:val="center"/>
              <w:rPr>
                <w:sz w:val="16"/>
                <w:szCs w:val="16"/>
              </w:rPr>
            </w:pPr>
            <w:r>
              <w:rPr>
                <w:sz w:val="16"/>
                <w:szCs w:val="16"/>
              </w:rPr>
              <w:t>C</w:t>
            </w:r>
          </w:p>
        </w:tc>
        <w:tc>
          <w:tcPr>
            <w:tcW w:w="603" w:type="dxa"/>
            <w:vAlign w:val="center"/>
          </w:tcPr>
          <w:p w14:paraId="657A2C32" w14:textId="77777777" w:rsidR="0073584C" w:rsidRPr="00FD6C96" w:rsidRDefault="0073584C" w:rsidP="0073584C">
            <w:pPr>
              <w:spacing w:before="40" w:after="40"/>
              <w:jc w:val="center"/>
              <w:rPr>
                <w:sz w:val="16"/>
                <w:szCs w:val="16"/>
              </w:rPr>
            </w:pPr>
            <w:r>
              <w:rPr>
                <w:sz w:val="16"/>
                <w:szCs w:val="16"/>
              </w:rPr>
              <w:t>A</w:t>
            </w:r>
          </w:p>
        </w:tc>
        <w:tc>
          <w:tcPr>
            <w:tcW w:w="604" w:type="dxa"/>
            <w:shd w:val="clear" w:color="auto" w:fill="F2F2F2"/>
            <w:vAlign w:val="center"/>
          </w:tcPr>
          <w:p w14:paraId="1AFE6C5B" w14:textId="77777777" w:rsidR="0073584C" w:rsidRPr="00FD6C96" w:rsidRDefault="0073584C" w:rsidP="0073584C">
            <w:pPr>
              <w:spacing w:before="40" w:after="40"/>
              <w:jc w:val="center"/>
              <w:rPr>
                <w:sz w:val="16"/>
                <w:szCs w:val="16"/>
              </w:rPr>
            </w:pPr>
          </w:p>
        </w:tc>
        <w:tc>
          <w:tcPr>
            <w:tcW w:w="851" w:type="dxa"/>
            <w:tcBorders>
              <w:right w:val="double" w:sz="4" w:space="0" w:color="auto"/>
            </w:tcBorders>
            <w:vAlign w:val="center"/>
          </w:tcPr>
          <w:p w14:paraId="2D8FB201" w14:textId="7F2B2BDC" w:rsidR="0073584C" w:rsidRPr="00FD6C96" w:rsidRDefault="00346985" w:rsidP="0073584C">
            <w:pPr>
              <w:spacing w:before="40" w:after="40"/>
              <w:jc w:val="center"/>
              <w:rPr>
                <w:b/>
                <w:sz w:val="16"/>
                <w:szCs w:val="16"/>
              </w:rPr>
            </w:pPr>
            <w:r>
              <w:rPr>
                <w:b/>
                <w:sz w:val="16"/>
                <w:szCs w:val="16"/>
              </w:rPr>
              <w:t>C</w:t>
            </w:r>
            <w:r w:rsidR="0073584C">
              <w:rPr>
                <w:b/>
                <w:sz w:val="16"/>
                <w:szCs w:val="16"/>
              </w:rPr>
              <w:t>+</w:t>
            </w:r>
          </w:p>
        </w:tc>
      </w:tr>
      <w:tr w:rsidR="0073584C" w:rsidRPr="00FD6C96" w14:paraId="0094B584" w14:textId="77777777" w:rsidTr="0073584C">
        <w:tc>
          <w:tcPr>
            <w:tcW w:w="9464" w:type="dxa"/>
            <w:gridSpan w:val="9"/>
            <w:tcBorders>
              <w:left w:val="double" w:sz="4" w:space="0" w:color="auto"/>
              <w:right w:val="double" w:sz="4" w:space="0" w:color="auto"/>
            </w:tcBorders>
            <w:shd w:val="clear" w:color="auto" w:fill="F2F2F2"/>
            <w:vAlign w:val="center"/>
          </w:tcPr>
          <w:p w14:paraId="077A7986" w14:textId="77777777" w:rsidR="0073584C" w:rsidRPr="00FD6C96" w:rsidRDefault="0073584C" w:rsidP="0073584C">
            <w:pPr>
              <w:spacing w:before="40" w:after="40"/>
              <w:rPr>
                <w:sz w:val="16"/>
                <w:szCs w:val="16"/>
              </w:rPr>
            </w:pPr>
            <w:r w:rsidRPr="00FD6C96">
              <w:rPr>
                <w:b/>
                <w:sz w:val="16"/>
                <w:szCs w:val="16"/>
              </w:rPr>
              <w:t>VII. External Scrutiny and Audit</w:t>
            </w:r>
          </w:p>
        </w:tc>
      </w:tr>
      <w:tr w:rsidR="0073584C" w:rsidRPr="00FD6C96" w14:paraId="7399D058" w14:textId="77777777" w:rsidTr="0073584C">
        <w:tc>
          <w:tcPr>
            <w:tcW w:w="531" w:type="dxa"/>
            <w:tcBorders>
              <w:left w:val="double" w:sz="4" w:space="0" w:color="auto"/>
            </w:tcBorders>
            <w:vAlign w:val="center"/>
          </w:tcPr>
          <w:p w14:paraId="64044664" w14:textId="77777777" w:rsidR="0073584C" w:rsidRPr="00FD6C96" w:rsidRDefault="0073584C" w:rsidP="0073584C">
            <w:pPr>
              <w:spacing w:before="40" w:after="40"/>
              <w:ind w:left="-57" w:right="-57"/>
              <w:jc w:val="center"/>
              <w:rPr>
                <w:sz w:val="16"/>
                <w:szCs w:val="16"/>
              </w:rPr>
            </w:pPr>
            <w:r w:rsidRPr="00FD6C96">
              <w:rPr>
                <w:sz w:val="16"/>
                <w:szCs w:val="16"/>
              </w:rPr>
              <w:t>PI-30</w:t>
            </w:r>
          </w:p>
        </w:tc>
        <w:tc>
          <w:tcPr>
            <w:tcW w:w="5105" w:type="dxa"/>
            <w:gridSpan w:val="2"/>
          </w:tcPr>
          <w:p w14:paraId="130D6870" w14:textId="77777777" w:rsidR="0073584C" w:rsidRPr="00FD6C96" w:rsidRDefault="0073584C" w:rsidP="0073584C">
            <w:pPr>
              <w:spacing w:before="40" w:after="40"/>
              <w:rPr>
                <w:sz w:val="16"/>
                <w:szCs w:val="16"/>
              </w:rPr>
            </w:pPr>
            <w:r w:rsidRPr="00FD6C96">
              <w:rPr>
                <w:sz w:val="16"/>
                <w:szCs w:val="16"/>
              </w:rPr>
              <w:t>External audit</w:t>
            </w:r>
          </w:p>
        </w:tc>
        <w:tc>
          <w:tcPr>
            <w:tcW w:w="564" w:type="dxa"/>
            <w:vAlign w:val="center"/>
          </w:tcPr>
          <w:p w14:paraId="046C442B" w14:textId="77777777" w:rsidR="0073584C" w:rsidRPr="00FD6C96" w:rsidRDefault="0073584C" w:rsidP="0073584C">
            <w:pPr>
              <w:spacing w:before="40" w:after="40"/>
              <w:jc w:val="center"/>
              <w:rPr>
                <w:sz w:val="16"/>
                <w:szCs w:val="16"/>
              </w:rPr>
            </w:pPr>
            <w:r w:rsidRPr="00FD6C96">
              <w:rPr>
                <w:sz w:val="16"/>
                <w:szCs w:val="16"/>
              </w:rPr>
              <w:t>M1</w:t>
            </w:r>
          </w:p>
        </w:tc>
        <w:tc>
          <w:tcPr>
            <w:tcW w:w="603" w:type="dxa"/>
            <w:vAlign w:val="center"/>
          </w:tcPr>
          <w:p w14:paraId="487FD0EE" w14:textId="77777777" w:rsidR="0073584C" w:rsidRPr="00FD6C96" w:rsidRDefault="0073584C" w:rsidP="0073584C">
            <w:pPr>
              <w:spacing w:before="40" w:after="40"/>
              <w:jc w:val="center"/>
              <w:rPr>
                <w:sz w:val="16"/>
                <w:szCs w:val="16"/>
              </w:rPr>
            </w:pPr>
            <w:r>
              <w:rPr>
                <w:sz w:val="16"/>
                <w:szCs w:val="16"/>
              </w:rPr>
              <w:t>C</w:t>
            </w:r>
          </w:p>
        </w:tc>
        <w:tc>
          <w:tcPr>
            <w:tcW w:w="603" w:type="dxa"/>
            <w:vAlign w:val="center"/>
          </w:tcPr>
          <w:p w14:paraId="6A7F13D9" w14:textId="77777777" w:rsidR="0073584C" w:rsidRPr="00FD6C96" w:rsidRDefault="0073584C" w:rsidP="0073584C">
            <w:pPr>
              <w:spacing w:before="40" w:after="40"/>
              <w:jc w:val="center"/>
              <w:rPr>
                <w:sz w:val="16"/>
                <w:szCs w:val="16"/>
              </w:rPr>
            </w:pPr>
            <w:r>
              <w:rPr>
                <w:sz w:val="16"/>
                <w:szCs w:val="16"/>
              </w:rPr>
              <w:t>C</w:t>
            </w:r>
          </w:p>
        </w:tc>
        <w:tc>
          <w:tcPr>
            <w:tcW w:w="603" w:type="dxa"/>
            <w:vAlign w:val="center"/>
          </w:tcPr>
          <w:p w14:paraId="2829606C" w14:textId="77777777" w:rsidR="0073584C" w:rsidRPr="00FD6C96" w:rsidRDefault="0073584C" w:rsidP="0073584C">
            <w:pPr>
              <w:spacing w:before="40" w:after="40"/>
              <w:jc w:val="center"/>
              <w:rPr>
                <w:sz w:val="16"/>
                <w:szCs w:val="16"/>
              </w:rPr>
            </w:pPr>
            <w:r w:rsidRPr="00FD6C96">
              <w:rPr>
                <w:sz w:val="16"/>
                <w:szCs w:val="16"/>
              </w:rPr>
              <w:t>B</w:t>
            </w:r>
          </w:p>
        </w:tc>
        <w:tc>
          <w:tcPr>
            <w:tcW w:w="604" w:type="dxa"/>
            <w:vAlign w:val="center"/>
          </w:tcPr>
          <w:p w14:paraId="5664DAFC" w14:textId="77777777" w:rsidR="0073584C" w:rsidRPr="00FD6C96" w:rsidRDefault="0073584C" w:rsidP="0073584C">
            <w:pPr>
              <w:spacing w:before="40" w:after="40"/>
              <w:jc w:val="center"/>
              <w:rPr>
                <w:sz w:val="16"/>
                <w:szCs w:val="16"/>
              </w:rPr>
            </w:pPr>
            <w:r>
              <w:rPr>
                <w:sz w:val="16"/>
                <w:szCs w:val="16"/>
              </w:rPr>
              <w:t>B</w:t>
            </w:r>
          </w:p>
        </w:tc>
        <w:tc>
          <w:tcPr>
            <w:tcW w:w="851" w:type="dxa"/>
            <w:tcBorders>
              <w:right w:val="double" w:sz="4" w:space="0" w:color="auto"/>
            </w:tcBorders>
            <w:vAlign w:val="center"/>
          </w:tcPr>
          <w:p w14:paraId="7631E7E2" w14:textId="77777777" w:rsidR="0073584C" w:rsidRPr="00FD6C96" w:rsidRDefault="0073584C" w:rsidP="0073584C">
            <w:pPr>
              <w:spacing w:before="40" w:after="40"/>
              <w:jc w:val="center"/>
              <w:rPr>
                <w:b/>
                <w:sz w:val="16"/>
                <w:szCs w:val="16"/>
              </w:rPr>
            </w:pPr>
            <w:r>
              <w:rPr>
                <w:b/>
                <w:sz w:val="16"/>
                <w:szCs w:val="16"/>
              </w:rPr>
              <w:t>C</w:t>
            </w:r>
            <w:r w:rsidRPr="00FD6C96">
              <w:rPr>
                <w:b/>
                <w:sz w:val="16"/>
                <w:szCs w:val="16"/>
              </w:rPr>
              <w:t>+</w:t>
            </w:r>
          </w:p>
        </w:tc>
      </w:tr>
      <w:tr w:rsidR="0073584C" w:rsidRPr="00FD6C96" w14:paraId="7985936F" w14:textId="77777777" w:rsidTr="0073584C">
        <w:tc>
          <w:tcPr>
            <w:tcW w:w="531" w:type="dxa"/>
            <w:tcBorders>
              <w:left w:val="double" w:sz="4" w:space="0" w:color="auto"/>
              <w:bottom w:val="double" w:sz="4" w:space="0" w:color="auto"/>
            </w:tcBorders>
            <w:vAlign w:val="center"/>
          </w:tcPr>
          <w:p w14:paraId="6EDABAEC" w14:textId="77777777" w:rsidR="0073584C" w:rsidRPr="00FD6C96" w:rsidRDefault="0073584C" w:rsidP="0073584C">
            <w:pPr>
              <w:spacing w:before="40" w:after="40"/>
              <w:ind w:left="-57" w:right="-57"/>
              <w:jc w:val="center"/>
              <w:rPr>
                <w:sz w:val="16"/>
                <w:szCs w:val="16"/>
              </w:rPr>
            </w:pPr>
            <w:r w:rsidRPr="00FD6C96">
              <w:rPr>
                <w:sz w:val="16"/>
                <w:szCs w:val="16"/>
              </w:rPr>
              <w:t>PI-31</w:t>
            </w:r>
          </w:p>
        </w:tc>
        <w:tc>
          <w:tcPr>
            <w:tcW w:w="5105" w:type="dxa"/>
            <w:gridSpan w:val="2"/>
            <w:tcBorders>
              <w:bottom w:val="double" w:sz="4" w:space="0" w:color="auto"/>
            </w:tcBorders>
          </w:tcPr>
          <w:p w14:paraId="5841F2C8" w14:textId="77777777" w:rsidR="0073584C" w:rsidRPr="00FD6C96" w:rsidRDefault="0073584C" w:rsidP="0073584C">
            <w:pPr>
              <w:spacing w:before="40" w:after="40"/>
              <w:rPr>
                <w:sz w:val="16"/>
                <w:szCs w:val="16"/>
              </w:rPr>
            </w:pPr>
            <w:r w:rsidRPr="00FD6C96">
              <w:rPr>
                <w:sz w:val="16"/>
                <w:szCs w:val="16"/>
              </w:rPr>
              <w:t>Legislative scrutiny of audit reports</w:t>
            </w:r>
          </w:p>
        </w:tc>
        <w:tc>
          <w:tcPr>
            <w:tcW w:w="564" w:type="dxa"/>
            <w:tcBorders>
              <w:bottom w:val="double" w:sz="4" w:space="0" w:color="auto"/>
            </w:tcBorders>
            <w:vAlign w:val="center"/>
          </w:tcPr>
          <w:p w14:paraId="750BD704" w14:textId="77777777" w:rsidR="0073584C" w:rsidRPr="00FD6C96" w:rsidRDefault="0073584C" w:rsidP="0073584C">
            <w:pPr>
              <w:spacing w:before="40" w:after="40"/>
              <w:jc w:val="center"/>
              <w:rPr>
                <w:sz w:val="16"/>
                <w:szCs w:val="16"/>
              </w:rPr>
            </w:pPr>
            <w:r w:rsidRPr="00FD6C96">
              <w:rPr>
                <w:sz w:val="16"/>
                <w:szCs w:val="16"/>
              </w:rPr>
              <w:t>M2</w:t>
            </w:r>
          </w:p>
        </w:tc>
        <w:tc>
          <w:tcPr>
            <w:tcW w:w="603" w:type="dxa"/>
            <w:tcBorders>
              <w:bottom w:val="double" w:sz="4" w:space="0" w:color="auto"/>
            </w:tcBorders>
            <w:vAlign w:val="center"/>
          </w:tcPr>
          <w:p w14:paraId="6244B807" w14:textId="77777777" w:rsidR="0073584C" w:rsidRPr="00FD6C96" w:rsidRDefault="0073584C" w:rsidP="0073584C">
            <w:pPr>
              <w:spacing w:before="40" w:after="40"/>
              <w:jc w:val="center"/>
              <w:rPr>
                <w:sz w:val="16"/>
                <w:szCs w:val="16"/>
              </w:rPr>
            </w:pPr>
            <w:r w:rsidRPr="00FD6C96">
              <w:rPr>
                <w:sz w:val="16"/>
                <w:szCs w:val="16"/>
              </w:rPr>
              <w:t>D</w:t>
            </w:r>
          </w:p>
        </w:tc>
        <w:tc>
          <w:tcPr>
            <w:tcW w:w="603" w:type="dxa"/>
            <w:tcBorders>
              <w:bottom w:val="double" w:sz="4" w:space="0" w:color="auto"/>
            </w:tcBorders>
            <w:vAlign w:val="center"/>
          </w:tcPr>
          <w:p w14:paraId="0154BCE3" w14:textId="785A22B9" w:rsidR="0073584C" w:rsidRPr="00FD6C96" w:rsidRDefault="0088314D" w:rsidP="0073584C">
            <w:pPr>
              <w:spacing w:before="40" w:after="40"/>
              <w:jc w:val="center"/>
              <w:rPr>
                <w:sz w:val="16"/>
                <w:szCs w:val="16"/>
              </w:rPr>
            </w:pPr>
            <w:r>
              <w:rPr>
                <w:sz w:val="16"/>
                <w:szCs w:val="16"/>
              </w:rPr>
              <w:t>D</w:t>
            </w:r>
          </w:p>
        </w:tc>
        <w:tc>
          <w:tcPr>
            <w:tcW w:w="603" w:type="dxa"/>
            <w:tcBorders>
              <w:bottom w:val="double" w:sz="4" w:space="0" w:color="auto"/>
            </w:tcBorders>
            <w:vAlign w:val="center"/>
          </w:tcPr>
          <w:p w14:paraId="2ADF09DD" w14:textId="34F31BA7" w:rsidR="0073584C" w:rsidRPr="00FD6C96" w:rsidRDefault="0088314D" w:rsidP="0088314D">
            <w:pPr>
              <w:spacing w:before="40" w:after="40"/>
              <w:jc w:val="center"/>
              <w:rPr>
                <w:sz w:val="16"/>
                <w:szCs w:val="16"/>
              </w:rPr>
            </w:pPr>
            <w:r>
              <w:rPr>
                <w:sz w:val="16"/>
                <w:szCs w:val="16"/>
              </w:rPr>
              <w:t>D</w:t>
            </w:r>
          </w:p>
        </w:tc>
        <w:tc>
          <w:tcPr>
            <w:tcW w:w="604" w:type="dxa"/>
            <w:tcBorders>
              <w:bottom w:val="double" w:sz="4" w:space="0" w:color="auto"/>
            </w:tcBorders>
            <w:vAlign w:val="center"/>
          </w:tcPr>
          <w:p w14:paraId="498A1C02" w14:textId="6D78A6AA" w:rsidR="0073584C" w:rsidRPr="00FD6C96" w:rsidRDefault="0088314D" w:rsidP="0088314D">
            <w:pPr>
              <w:spacing w:before="40" w:after="40"/>
              <w:jc w:val="center"/>
              <w:rPr>
                <w:sz w:val="16"/>
                <w:szCs w:val="16"/>
              </w:rPr>
            </w:pPr>
            <w:r>
              <w:rPr>
                <w:sz w:val="16"/>
                <w:szCs w:val="16"/>
              </w:rPr>
              <w:t>D</w:t>
            </w:r>
          </w:p>
        </w:tc>
        <w:tc>
          <w:tcPr>
            <w:tcW w:w="851" w:type="dxa"/>
            <w:tcBorders>
              <w:bottom w:val="double" w:sz="4" w:space="0" w:color="auto"/>
              <w:right w:val="double" w:sz="4" w:space="0" w:color="auto"/>
            </w:tcBorders>
            <w:vAlign w:val="center"/>
          </w:tcPr>
          <w:p w14:paraId="52614AF6" w14:textId="77777777" w:rsidR="0073584C" w:rsidRPr="00FD6C96" w:rsidRDefault="0073584C" w:rsidP="0073584C">
            <w:pPr>
              <w:spacing w:before="40" w:after="40"/>
              <w:jc w:val="center"/>
              <w:rPr>
                <w:b/>
                <w:sz w:val="16"/>
                <w:szCs w:val="16"/>
              </w:rPr>
            </w:pPr>
            <w:r w:rsidRPr="00FD6C96">
              <w:rPr>
                <w:b/>
                <w:sz w:val="16"/>
                <w:szCs w:val="16"/>
              </w:rPr>
              <w:t>D</w:t>
            </w:r>
          </w:p>
        </w:tc>
      </w:tr>
    </w:tbl>
    <w:p w14:paraId="39DCBA3F" w14:textId="5A3861E4" w:rsidR="0073584C" w:rsidRDefault="0073584C" w:rsidP="00976220"/>
    <w:p w14:paraId="40105872" w14:textId="77777777" w:rsidR="0073584C" w:rsidRDefault="0073584C">
      <w:r>
        <w:br w:type="page"/>
      </w:r>
    </w:p>
    <w:tbl>
      <w:tblPr>
        <w:tblStyle w:val="TableGrid"/>
        <w:tblW w:w="918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675"/>
        <w:gridCol w:w="2673"/>
        <w:gridCol w:w="900"/>
        <w:gridCol w:w="4932"/>
      </w:tblGrid>
      <w:tr w:rsidR="0073584C" w:rsidRPr="005A497D" w14:paraId="73BDB34E" w14:textId="77777777" w:rsidTr="001E212D">
        <w:trPr>
          <w:tblHeader/>
        </w:trPr>
        <w:tc>
          <w:tcPr>
            <w:tcW w:w="3348" w:type="dxa"/>
            <w:gridSpan w:val="2"/>
            <w:vMerge w:val="restart"/>
            <w:tcBorders>
              <w:top w:val="double" w:sz="4" w:space="0" w:color="auto"/>
              <w:bottom w:val="single" w:sz="4" w:space="0" w:color="auto"/>
            </w:tcBorders>
            <w:shd w:val="clear" w:color="auto" w:fill="D9D9D9" w:themeFill="background1" w:themeFillShade="D9"/>
            <w:vAlign w:val="center"/>
          </w:tcPr>
          <w:p w14:paraId="0683BA43" w14:textId="1A51719A" w:rsidR="0073584C" w:rsidRPr="0067432A" w:rsidRDefault="0073584C" w:rsidP="0073584C">
            <w:pPr>
              <w:spacing w:before="40" w:after="40"/>
              <w:jc w:val="center"/>
              <w:rPr>
                <w:b/>
                <w:sz w:val="20"/>
                <w:szCs w:val="20"/>
              </w:rPr>
            </w:pPr>
            <w:r w:rsidRPr="0067432A">
              <w:rPr>
                <w:b/>
                <w:sz w:val="20"/>
                <w:szCs w:val="20"/>
              </w:rPr>
              <w:t xml:space="preserve">Pillars </w:t>
            </w:r>
            <w:r w:rsidR="00EE6F91" w:rsidRPr="0067432A">
              <w:rPr>
                <w:b/>
                <w:sz w:val="20"/>
                <w:szCs w:val="20"/>
              </w:rPr>
              <w:t>and</w:t>
            </w:r>
            <w:r w:rsidRPr="0067432A">
              <w:rPr>
                <w:b/>
                <w:sz w:val="20"/>
                <w:szCs w:val="20"/>
              </w:rPr>
              <w:t xml:space="preserve"> </w:t>
            </w:r>
            <w:r w:rsidR="00EE6F91" w:rsidRPr="0067432A">
              <w:rPr>
                <w:b/>
                <w:sz w:val="20"/>
                <w:szCs w:val="20"/>
              </w:rPr>
              <w:br/>
            </w:r>
            <w:r w:rsidRPr="0067432A">
              <w:rPr>
                <w:b/>
                <w:sz w:val="20"/>
                <w:szCs w:val="20"/>
              </w:rPr>
              <w:t>Performance Indicators (PIs)</w:t>
            </w:r>
          </w:p>
        </w:tc>
        <w:tc>
          <w:tcPr>
            <w:tcW w:w="5832" w:type="dxa"/>
            <w:gridSpan w:val="2"/>
            <w:tcBorders>
              <w:top w:val="double" w:sz="4" w:space="0" w:color="auto"/>
              <w:bottom w:val="single" w:sz="4" w:space="0" w:color="auto"/>
            </w:tcBorders>
            <w:shd w:val="clear" w:color="auto" w:fill="D9D9D9" w:themeFill="background1" w:themeFillShade="D9"/>
            <w:vAlign w:val="center"/>
          </w:tcPr>
          <w:p w14:paraId="068D3F2F" w14:textId="77777777" w:rsidR="0073584C" w:rsidRPr="0067432A" w:rsidRDefault="0073584C" w:rsidP="0073584C">
            <w:pPr>
              <w:spacing w:before="40" w:after="40"/>
              <w:jc w:val="center"/>
              <w:rPr>
                <w:b/>
                <w:sz w:val="20"/>
                <w:szCs w:val="20"/>
              </w:rPr>
            </w:pPr>
            <w:r w:rsidRPr="0067432A">
              <w:rPr>
                <w:b/>
                <w:sz w:val="20"/>
                <w:szCs w:val="20"/>
              </w:rPr>
              <w:t>2016 PEFA Assessment</w:t>
            </w:r>
          </w:p>
        </w:tc>
      </w:tr>
      <w:tr w:rsidR="001E212D" w:rsidRPr="005A497D" w14:paraId="2B72BA28" w14:textId="77777777" w:rsidTr="001E212D">
        <w:trPr>
          <w:tblHeader/>
        </w:trPr>
        <w:tc>
          <w:tcPr>
            <w:tcW w:w="3348" w:type="dxa"/>
            <w:gridSpan w:val="2"/>
            <w:vMerge/>
            <w:tcBorders>
              <w:top w:val="single" w:sz="4" w:space="0" w:color="auto"/>
              <w:bottom w:val="double" w:sz="4" w:space="0" w:color="auto"/>
            </w:tcBorders>
            <w:shd w:val="clear" w:color="auto" w:fill="D9D9D9" w:themeFill="background1" w:themeFillShade="D9"/>
            <w:vAlign w:val="center"/>
          </w:tcPr>
          <w:p w14:paraId="4F94B13E" w14:textId="77777777" w:rsidR="0073584C" w:rsidRPr="0067432A" w:rsidRDefault="0073584C" w:rsidP="0073584C">
            <w:pPr>
              <w:spacing w:before="40" w:after="40"/>
              <w:jc w:val="center"/>
              <w:rPr>
                <w:b/>
                <w:sz w:val="20"/>
                <w:szCs w:val="20"/>
              </w:rPr>
            </w:pPr>
          </w:p>
        </w:tc>
        <w:tc>
          <w:tcPr>
            <w:tcW w:w="900" w:type="dxa"/>
            <w:tcBorders>
              <w:top w:val="single" w:sz="4" w:space="0" w:color="auto"/>
              <w:bottom w:val="double" w:sz="4" w:space="0" w:color="auto"/>
            </w:tcBorders>
            <w:shd w:val="clear" w:color="auto" w:fill="D9D9D9" w:themeFill="background1" w:themeFillShade="D9"/>
            <w:vAlign w:val="center"/>
          </w:tcPr>
          <w:p w14:paraId="166085BF" w14:textId="77777777" w:rsidR="0073584C" w:rsidRPr="0067432A" w:rsidRDefault="0073584C" w:rsidP="0073584C">
            <w:pPr>
              <w:spacing w:before="40" w:after="40"/>
              <w:jc w:val="center"/>
              <w:rPr>
                <w:b/>
                <w:sz w:val="20"/>
                <w:szCs w:val="20"/>
              </w:rPr>
            </w:pPr>
            <w:r w:rsidRPr="0067432A">
              <w:rPr>
                <w:b/>
                <w:sz w:val="20"/>
                <w:szCs w:val="20"/>
              </w:rPr>
              <w:t>Score</w:t>
            </w:r>
          </w:p>
        </w:tc>
        <w:tc>
          <w:tcPr>
            <w:tcW w:w="4932" w:type="dxa"/>
            <w:tcBorders>
              <w:top w:val="single" w:sz="4" w:space="0" w:color="auto"/>
              <w:bottom w:val="double" w:sz="4" w:space="0" w:color="auto"/>
            </w:tcBorders>
            <w:shd w:val="clear" w:color="auto" w:fill="D9D9D9" w:themeFill="background1" w:themeFillShade="D9"/>
            <w:vAlign w:val="center"/>
          </w:tcPr>
          <w:p w14:paraId="0FF7AB49" w14:textId="106C3818" w:rsidR="0073584C" w:rsidRPr="0067432A" w:rsidRDefault="0073584C" w:rsidP="005108BC">
            <w:pPr>
              <w:spacing w:before="40" w:after="40"/>
              <w:jc w:val="center"/>
              <w:rPr>
                <w:b/>
                <w:sz w:val="20"/>
                <w:szCs w:val="20"/>
              </w:rPr>
            </w:pPr>
            <w:r w:rsidRPr="0067432A">
              <w:rPr>
                <w:b/>
                <w:sz w:val="20"/>
                <w:szCs w:val="20"/>
              </w:rPr>
              <w:t xml:space="preserve">Description of </w:t>
            </w:r>
            <w:r w:rsidR="00EE6F91" w:rsidRPr="0067432A">
              <w:rPr>
                <w:b/>
                <w:sz w:val="20"/>
                <w:szCs w:val="20"/>
              </w:rPr>
              <w:t>requirements met</w:t>
            </w:r>
          </w:p>
        </w:tc>
      </w:tr>
      <w:tr w:rsidR="0073584C" w:rsidRPr="005A497D" w14:paraId="4FB21AFD" w14:textId="77777777" w:rsidTr="0073584C">
        <w:tc>
          <w:tcPr>
            <w:tcW w:w="9180" w:type="dxa"/>
            <w:gridSpan w:val="4"/>
            <w:vAlign w:val="center"/>
          </w:tcPr>
          <w:p w14:paraId="6B5C5191" w14:textId="77777777" w:rsidR="0073584C" w:rsidRPr="0073584C" w:rsidRDefault="0073584C" w:rsidP="0073584C">
            <w:pPr>
              <w:spacing w:before="40" w:after="40"/>
              <w:rPr>
                <w:b/>
                <w:sz w:val="20"/>
                <w:szCs w:val="20"/>
              </w:rPr>
            </w:pPr>
            <w:r w:rsidRPr="0073584C">
              <w:rPr>
                <w:b/>
                <w:sz w:val="20"/>
                <w:szCs w:val="20"/>
              </w:rPr>
              <w:t>Pillar I. Budget Reliability</w:t>
            </w:r>
          </w:p>
        </w:tc>
      </w:tr>
      <w:tr w:rsidR="001E212D" w:rsidRPr="005A497D" w14:paraId="74FDB36A" w14:textId="77777777" w:rsidTr="001E212D">
        <w:trPr>
          <w:trHeight w:val="962"/>
        </w:trPr>
        <w:tc>
          <w:tcPr>
            <w:tcW w:w="675" w:type="dxa"/>
            <w:vAlign w:val="center"/>
          </w:tcPr>
          <w:p w14:paraId="7EC24ABA" w14:textId="77777777" w:rsidR="00A975C1" w:rsidRPr="0073584C" w:rsidRDefault="00A975C1" w:rsidP="00A975C1">
            <w:pPr>
              <w:spacing w:before="40" w:after="40"/>
              <w:ind w:left="-57" w:right="-57"/>
              <w:jc w:val="center"/>
              <w:rPr>
                <w:sz w:val="20"/>
                <w:szCs w:val="20"/>
              </w:rPr>
            </w:pPr>
            <w:r w:rsidRPr="0073584C">
              <w:rPr>
                <w:sz w:val="20"/>
                <w:szCs w:val="20"/>
              </w:rPr>
              <w:t>PI-1</w:t>
            </w:r>
          </w:p>
        </w:tc>
        <w:tc>
          <w:tcPr>
            <w:tcW w:w="2673" w:type="dxa"/>
            <w:vAlign w:val="center"/>
          </w:tcPr>
          <w:p w14:paraId="7EB9B435" w14:textId="5D34E3DC" w:rsidR="00A975C1" w:rsidRPr="0073584C" w:rsidRDefault="00A975C1" w:rsidP="00A975C1">
            <w:pPr>
              <w:spacing w:before="40" w:after="40"/>
              <w:rPr>
                <w:sz w:val="20"/>
                <w:szCs w:val="20"/>
              </w:rPr>
            </w:pPr>
            <w:r w:rsidRPr="0073584C">
              <w:rPr>
                <w:sz w:val="20"/>
                <w:szCs w:val="20"/>
              </w:rPr>
              <w:t xml:space="preserve">Aggregate expenditure </w:t>
            </w:r>
            <w:r w:rsidR="0047177B">
              <w:rPr>
                <w:sz w:val="20"/>
                <w:szCs w:val="20"/>
              </w:rPr>
              <w:t>outturn</w:t>
            </w:r>
          </w:p>
        </w:tc>
        <w:tc>
          <w:tcPr>
            <w:tcW w:w="900" w:type="dxa"/>
            <w:vAlign w:val="center"/>
          </w:tcPr>
          <w:p w14:paraId="35435229" w14:textId="51165E90" w:rsidR="00A975C1" w:rsidRPr="00A975C1" w:rsidRDefault="00A975C1" w:rsidP="00A975C1">
            <w:pPr>
              <w:spacing w:before="40" w:after="40"/>
              <w:jc w:val="center"/>
              <w:rPr>
                <w:sz w:val="20"/>
                <w:szCs w:val="20"/>
              </w:rPr>
            </w:pPr>
            <w:r w:rsidRPr="00C13FE4">
              <w:rPr>
                <w:sz w:val="20"/>
                <w:szCs w:val="20"/>
              </w:rPr>
              <w:t>D</w:t>
            </w:r>
          </w:p>
        </w:tc>
        <w:tc>
          <w:tcPr>
            <w:tcW w:w="4932" w:type="dxa"/>
            <w:vAlign w:val="center"/>
          </w:tcPr>
          <w:p w14:paraId="72B3C0F0" w14:textId="64D9F239" w:rsidR="00A975C1" w:rsidRPr="004A07B5" w:rsidRDefault="00A975C1" w:rsidP="004A07B5">
            <w:pPr>
              <w:pStyle w:val="Default"/>
              <w:rPr>
                <w:color w:val="auto"/>
                <w:sz w:val="20"/>
                <w:szCs w:val="20"/>
              </w:rPr>
            </w:pPr>
            <w:r w:rsidRPr="00A975C1">
              <w:rPr>
                <w:color w:val="auto"/>
                <w:sz w:val="20"/>
                <w:szCs w:val="20"/>
              </w:rPr>
              <w:t xml:space="preserve">The obligations incurred </w:t>
            </w:r>
            <w:r w:rsidRPr="00D37B99">
              <w:rPr>
                <w:color w:val="auto"/>
                <w:sz w:val="20"/>
                <w:szCs w:val="20"/>
              </w:rPr>
              <w:t>exceeded the range of 85% to 115% of the original budget in all of the last three fiscal years (2012 to 2014)</w:t>
            </w:r>
            <w:r w:rsidRPr="0010678E">
              <w:rPr>
                <w:color w:val="auto"/>
                <w:sz w:val="20"/>
                <w:szCs w:val="20"/>
              </w:rPr>
              <w:t>.</w:t>
            </w:r>
          </w:p>
        </w:tc>
      </w:tr>
      <w:tr w:rsidR="001E212D" w:rsidRPr="005A497D" w14:paraId="1C4C113A" w14:textId="77777777" w:rsidTr="001E212D">
        <w:trPr>
          <w:trHeight w:val="1178"/>
        </w:trPr>
        <w:tc>
          <w:tcPr>
            <w:tcW w:w="675" w:type="dxa"/>
            <w:vAlign w:val="center"/>
          </w:tcPr>
          <w:p w14:paraId="43D8F001" w14:textId="77777777" w:rsidR="00A975C1" w:rsidRPr="0073584C" w:rsidRDefault="00A975C1" w:rsidP="00A975C1">
            <w:pPr>
              <w:spacing w:before="40" w:after="40"/>
              <w:ind w:left="-57" w:right="-57"/>
              <w:jc w:val="center"/>
              <w:rPr>
                <w:sz w:val="20"/>
                <w:szCs w:val="20"/>
              </w:rPr>
            </w:pPr>
            <w:r w:rsidRPr="0073584C">
              <w:rPr>
                <w:sz w:val="20"/>
                <w:szCs w:val="20"/>
              </w:rPr>
              <w:t>PI-2</w:t>
            </w:r>
          </w:p>
        </w:tc>
        <w:tc>
          <w:tcPr>
            <w:tcW w:w="2673" w:type="dxa"/>
            <w:vAlign w:val="center"/>
          </w:tcPr>
          <w:p w14:paraId="747C31FF" w14:textId="77777777" w:rsidR="00A975C1" w:rsidRPr="0073584C" w:rsidRDefault="00A975C1" w:rsidP="00A975C1">
            <w:pPr>
              <w:spacing w:before="40" w:after="40"/>
              <w:rPr>
                <w:sz w:val="20"/>
                <w:szCs w:val="20"/>
              </w:rPr>
            </w:pPr>
            <w:r w:rsidRPr="0073584C">
              <w:rPr>
                <w:sz w:val="20"/>
                <w:szCs w:val="20"/>
              </w:rPr>
              <w:t>Expenditure composition outturn</w:t>
            </w:r>
          </w:p>
        </w:tc>
        <w:tc>
          <w:tcPr>
            <w:tcW w:w="900" w:type="dxa"/>
            <w:vAlign w:val="center"/>
          </w:tcPr>
          <w:p w14:paraId="5B970975" w14:textId="66930329" w:rsidR="00A975C1" w:rsidRPr="00A975C1" w:rsidRDefault="00A975C1" w:rsidP="00A975C1">
            <w:pPr>
              <w:spacing w:before="40" w:after="40"/>
              <w:jc w:val="center"/>
              <w:rPr>
                <w:sz w:val="20"/>
                <w:szCs w:val="20"/>
              </w:rPr>
            </w:pPr>
            <w:r w:rsidRPr="00C13FE4">
              <w:rPr>
                <w:sz w:val="20"/>
                <w:szCs w:val="20"/>
              </w:rPr>
              <w:t>D+</w:t>
            </w:r>
          </w:p>
        </w:tc>
        <w:tc>
          <w:tcPr>
            <w:tcW w:w="4932" w:type="dxa"/>
            <w:vAlign w:val="center"/>
          </w:tcPr>
          <w:p w14:paraId="4C52B73A" w14:textId="1E7B054B" w:rsidR="00A975C1" w:rsidRPr="00A975C1" w:rsidRDefault="00A975C1" w:rsidP="00C13FE4">
            <w:pPr>
              <w:spacing w:before="40" w:after="40"/>
              <w:rPr>
                <w:sz w:val="20"/>
                <w:szCs w:val="20"/>
              </w:rPr>
            </w:pPr>
            <w:r w:rsidRPr="00C13FE4">
              <w:rPr>
                <w:sz w:val="20"/>
                <w:szCs w:val="20"/>
              </w:rPr>
              <w:t xml:space="preserve">The functional composition variance exceeded 15% and economic composition variance was less than 15% in </w:t>
            </w:r>
            <w:r w:rsidR="00C13FE4">
              <w:rPr>
                <w:sz w:val="20"/>
                <w:szCs w:val="20"/>
              </w:rPr>
              <w:t>2</w:t>
            </w:r>
            <w:r w:rsidR="00C13FE4" w:rsidRPr="00C13FE4">
              <w:rPr>
                <w:sz w:val="20"/>
                <w:szCs w:val="20"/>
              </w:rPr>
              <w:t xml:space="preserve"> </w:t>
            </w:r>
            <w:r w:rsidRPr="00C13FE4">
              <w:rPr>
                <w:sz w:val="20"/>
                <w:szCs w:val="20"/>
              </w:rPr>
              <w:t xml:space="preserve">of the last </w:t>
            </w:r>
            <w:r w:rsidR="00C13FE4">
              <w:rPr>
                <w:sz w:val="20"/>
                <w:szCs w:val="20"/>
              </w:rPr>
              <w:t>3</w:t>
            </w:r>
            <w:r w:rsidR="00C13FE4" w:rsidRPr="00C13FE4">
              <w:rPr>
                <w:sz w:val="20"/>
                <w:szCs w:val="20"/>
              </w:rPr>
              <w:t xml:space="preserve"> </w:t>
            </w:r>
            <w:r w:rsidRPr="00C13FE4">
              <w:rPr>
                <w:sz w:val="20"/>
                <w:szCs w:val="20"/>
              </w:rPr>
              <w:t>years. Average actual expenditure charged to contingency vote was less than 3%.</w:t>
            </w:r>
          </w:p>
        </w:tc>
      </w:tr>
      <w:tr w:rsidR="001E212D" w:rsidRPr="005A497D" w14:paraId="45C40096" w14:textId="77777777" w:rsidTr="001E212D">
        <w:tc>
          <w:tcPr>
            <w:tcW w:w="675" w:type="dxa"/>
            <w:vAlign w:val="center"/>
          </w:tcPr>
          <w:p w14:paraId="2D3D99CA" w14:textId="77777777" w:rsidR="00A975C1" w:rsidRPr="0073584C" w:rsidRDefault="00A975C1" w:rsidP="00A975C1">
            <w:pPr>
              <w:spacing w:before="40" w:after="40"/>
              <w:ind w:left="-57" w:right="-57"/>
              <w:jc w:val="center"/>
              <w:rPr>
                <w:sz w:val="20"/>
                <w:szCs w:val="20"/>
              </w:rPr>
            </w:pPr>
            <w:r w:rsidRPr="0073584C">
              <w:rPr>
                <w:sz w:val="20"/>
                <w:szCs w:val="20"/>
              </w:rPr>
              <w:t>PI-3</w:t>
            </w:r>
          </w:p>
        </w:tc>
        <w:tc>
          <w:tcPr>
            <w:tcW w:w="2673" w:type="dxa"/>
            <w:vAlign w:val="center"/>
          </w:tcPr>
          <w:p w14:paraId="2F41AB4F" w14:textId="77777777" w:rsidR="00A975C1" w:rsidRPr="0073584C" w:rsidRDefault="00A975C1" w:rsidP="00A975C1">
            <w:pPr>
              <w:spacing w:before="40" w:after="40"/>
              <w:rPr>
                <w:sz w:val="20"/>
                <w:szCs w:val="20"/>
              </w:rPr>
            </w:pPr>
            <w:r w:rsidRPr="0073584C">
              <w:rPr>
                <w:sz w:val="20"/>
                <w:szCs w:val="20"/>
              </w:rPr>
              <w:t>Revenue outturn</w:t>
            </w:r>
          </w:p>
        </w:tc>
        <w:tc>
          <w:tcPr>
            <w:tcW w:w="900" w:type="dxa"/>
            <w:vAlign w:val="center"/>
          </w:tcPr>
          <w:p w14:paraId="0555AFC6" w14:textId="4C04003C" w:rsidR="00A975C1" w:rsidRPr="00A975C1" w:rsidRDefault="00A975C1" w:rsidP="00A975C1">
            <w:pPr>
              <w:spacing w:before="40" w:after="40"/>
              <w:jc w:val="center"/>
              <w:rPr>
                <w:sz w:val="20"/>
                <w:szCs w:val="20"/>
              </w:rPr>
            </w:pPr>
            <w:r w:rsidRPr="00C13FE4">
              <w:rPr>
                <w:sz w:val="20"/>
                <w:szCs w:val="20"/>
              </w:rPr>
              <w:t>B</w:t>
            </w:r>
          </w:p>
        </w:tc>
        <w:tc>
          <w:tcPr>
            <w:tcW w:w="4932" w:type="dxa"/>
            <w:vAlign w:val="center"/>
          </w:tcPr>
          <w:p w14:paraId="4344E9A4" w14:textId="3A48110C" w:rsidR="00A975C1" w:rsidRPr="00A975C1" w:rsidRDefault="00A975C1" w:rsidP="00C13FE4">
            <w:pPr>
              <w:spacing w:before="40" w:after="40"/>
              <w:rPr>
                <w:sz w:val="20"/>
                <w:szCs w:val="20"/>
              </w:rPr>
            </w:pPr>
            <w:r w:rsidRPr="00C13FE4">
              <w:rPr>
                <w:sz w:val="20"/>
                <w:szCs w:val="20"/>
              </w:rPr>
              <w:t xml:space="preserve">Aggregate revenue outturn was between 97% and 106% in </w:t>
            </w:r>
            <w:r w:rsidR="00C13FE4">
              <w:rPr>
                <w:sz w:val="20"/>
                <w:szCs w:val="20"/>
              </w:rPr>
              <w:t>2</w:t>
            </w:r>
            <w:r w:rsidR="00C13FE4" w:rsidRPr="00C13FE4">
              <w:rPr>
                <w:sz w:val="20"/>
                <w:szCs w:val="20"/>
              </w:rPr>
              <w:t xml:space="preserve"> </w:t>
            </w:r>
            <w:r w:rsidRPr="00C13FE4">
              <w:rPr>
                <w:sz w:val="20"/>
                <w:szCs w:val="20"/>
              </w:rPr>
              <w:t xml:space="preserve">of the last </w:t>
            </w:r>
            <w:r w:rsidR="00C13FE4">
              <w:rPr>
                <w:sz w:val="20"/>
                <w:szCs w:val="20"/>
              </w:rPr>
              <w:t>3</w:t>
            </w:r>
            <w:r w:rsidR="00C13FE4" w:rsidRPr="00C13FE4">
              <w:rPr>
                <w:sz w:val="20"/>
                <w:szCs w:val="20"/>
              </w:rPr>
              <w:t xml:space="preserve"> </w:t>
            </w:r>
            <w:r w:rsidRPr="00C13FE4">
              <w:rPr>
                <w:sz w:val="20"/>
                <w:szCs w:val="20"/>
              </w:rPr>
              <w:t xml:space="preserve">years and revenue composition variance remained below 15% in the last </w:t>
            </w:r>
            <w:r w:rsidR="00C13FE4">
              <w:rPr>
                <w:sz w:val="20"/>
                <w:szCs w:val="20"/>
              </w:rPr>
              <w:t>3</w:t>
            </w:r>
            <w:r w:rsidR="00C13FE4" w:rsidRPr="00C13FE4">
              <w:rPr>
                <w:sz w:val="20"/>
                <w:szCs w:val="20"/>
              </w:rPr>
              <w:t xml:space="preserve"> </w:t>
            </w:r>
            <w:r w:rsidRPr="00C13FE4">
              <w:rPr>
                <w:sz w:val="20"/>
                <w:szCs w:val="20"/>
              </w:rPr>
              <w:t>years.</w:t>
            </w:r>
          </w:p>
        </w:tc>
      </w:tr>
      <w:tr w:rsidR="0073584C" w:rsidRPr="005A497D" w14:paraId="2DBE8FE9" w14:textId="77777777" w:rsidTr="0073584C">
        <w:tc>
          <w:tcPr>
            <w:tcW w:w="9180" w:type="dxa"/>
            <w:gridSpan w:val="4"/>
            <w:vAlign w:val="center"/>
          </w:tcPr>
          <w:p w14:paraId="0B574353" w14:textId="77777777" w:rsidR="0073584C" w:rsidRPr="0073584C" w:rsidRDefault="0073584C" w:rsidP="0073584C">
            <w:pPr>
              <w:spacing w:before="40" w:after="40"/>
              <w:rPr>
                <w:b/>
                <w:sz w:val="20"/>
                <w:szCs w:val="20"/>
              </w:rPr>
            </w:pPr>
            <w:r w:rsidRPr="0073584C">
              <w:rPr>
                <w:b/>
                <w:sz w:val="20"/>
                <w:szCs w:val="20"/>
              </w:rPr>
              <w:t>Pillar II. Transparency of Public Finances</w:t>
            </w:r>
          </w:p>
        </w:tc>
      </w:tr>
      <w:tr w:rsidR="001E212D" w:rsidRPr="005A497D" w14:paraId="281469C9" w14:textId="77777777" w:rsidTr="004A07B5">
        <w:trPr>
          <w:trHeight w:val="1610"/>
        </w:trPr>
        <w:tc>
          <w:tcPr>
            <w:tcW w:w="675" w:type="dxa"/>
            <w:vAlign w:val="center"/>
          </w:tcPr>
          <w:p w14:paraId="02A39F70" w14:textId="77777777" w:rsidR="0073584C" w:rsidRPr="0073584C" w:rsidRDefault="0073584C" w:rsidP="0073584C">
            <w:pPr>
              <w:spacing w:before="40" w:after="40"/>
              <w:ind w:left="-57" w:right="-57"/>
              <w:jc w:val="center"/>
              <w:rPr>
                <w:sz w:val="20"/>
                <w:szCs w:val="20"/>
              </w:rPr>
            </w:pPr>
            <w:r w:rsidRPr="0073584C">
              <w:rPr>
                <w:sz w:val="20"/>
                <w:szCs w:val="20"/>
              </w:rPr>
              <w:t>PI-4</w:t>
            </w:r>
          </w:p>
        </w:tc>
        <w:tc>
          <w:tcPr>
            <w:tcW w:w="2673" w:type="dxa"/>
            <w:vAlign w:val="center"/>
          </w:tcPr>
          <w:p w14:paraId="5A282B3B" w14:textId="77777777" w:rsidR="0073584C" w:rsidRPr="0073584C" w:rsidRDefault="0073584C" w:rsidP="0073584C">
            <w:pPr>
              <w:spacing w:before="40" w:after="40"/>
              <w:rPr>
                <w:sz w:val="20"/>
                <w:szCs w:val="20"/>
              </w:rPr>
            </w:pPr>
            <w:r w:rsidRPr="0073584C">
              <w:rPr>
                <w:sz w:val="20"/>
                <w:szCs w:val="20"/>
              </w:rPr>
              <w:t>Budget classification</w:t>
            </w:r>
          </w:p>
        </w:tc>
        <w:tc>
          <w:tcPr>
            <w:tcW w:w="900" w:type="dxa"/>
            <w:vAlign w:val="center"/>
          </w:tcPr>
          <w:p w14:paraId="520F6255" w14:textId="77777777" w:rsidR="0073584C" w:rsidRPr="0073584C" w:rsidRDefault="0073584C" w:rsidP="0073584C">
            <w:pPr>
              <w:spacing w:before="40" w:after="40"/>
              <w:jc w:val="center"/>
              <w:rPr>
                <w:sz w:val="20"/>
                <w:szCs w:val="20"/>
              </w:rPr>
            </w:pPr>
            <w:r w:rsidRPr="0073584C">
              <w:rPr>
                <w:sz w:val="20"/>
                <w:szCs w:val="20"/>
              </w:rPr>
              <w:t>C</w:t>
            </w:r>
          </w:p>
        </w:tc>
        <w:tc>
          <w:tcPr>
            <w:tcW w:w="4932" w:type="dxa"/>
            <w:vAlign w:val="center"/>
          </w:tcPr>
          <w:p w14:paraId="333C36F0" w14:textId="79C2CFD3" w:rsidR="0073584C" w:rsidRPr="0073584C" w:rsidRDefault="0073584C" w:rsidP="00530777">
            <w:pPr>
              <w:spacing w:before="40" w:after="40"/>
              <w:rPr>
                <w:rFonts w:asciiTheme="majorHAnsi" w:eastAsiaTheme="majorEastAsia" w:hAnsiTheme="majorHAnsi" w:cstheme="majorBidi"/>
                <w:b/>
                <w:bCs/>
                <w:color w:val="404040" w:themeColor="text1" w:themeTint="BF"/>
                <w:sz w:val="20"/>
                <w:szCs w:val="20"/>
              </w:rPr>
            </w:pPr>
            <w:r w:rsidRPr="0073584C">
              <w:rPr>
                <w:sz w:val="20"/>
                <w:szCs w:val="20"/>
              </w:rPr>
              <w:t>The Unified Accounts Code Structure was implemented in 2014 for budget formulation, execution and reporting. It applies the GFS administrative and economic classification. Full rollout to execution is still underway and reporting is adjusted for compliance at aggregate level.</w:t>
            </w:r>
          </w:p>
        </w:tc>
      </w:tr>
      <w:tr w:rsidR="001E212D" w:rsidRPr="005A497D" w14:paraId="6B9B9708" w14:textId="77777777" w:rsidTr="002E45F4">
        <w:trPr>
          <w:trHeight w:val="800"/>
        </w:trPr>
        <w:tc>
          <w:tcPr>
            <w:tcW w:w="675" w:type="dxa"/>
            <w:vAlign w:val="center"/>
          </w:tcPr>
          <w:p w14:paraId="322AFA45" w14:textId="77777777" w:rsidR="0073584C" w:rsidRPr="0073584C" w:rsidRDefault="0073584C" w:rsidP="0073584C">
            <w:pPr>
              <w:spacing w:before="40" w:after="40"/>
              <w:ind w:left="-57" w:right="-57"/>
              <w:jc w:val="center"/>
              <w:rPr>
                <w:sz w:val="20"/>
                <w:szCs w:val="20"/>
              </w:rPr>
            </w:pPr>
            <w:r w:rsidRPr="0073584C">
              <w:rPr>
                <w:sz w:val="20"/>
                <w:szCs w:val="20"/>
              </w:rPr>
              <w:t>PI-5</w:t>
            </w:r>
          </w:p>
        </w:tc>
        <w:tc>
          <w:tcPr>
            <w:tcW w:w="2673" w:type="dxa"/>
            <w:vAlign w:val="center"/>
          </w:tcPr>
          <w:p w14:paraId="35CFF006" w14:textId="77777777" w:rsidR="0073584C" w:rsidRPr="0073584C" w:rsidRDefault="0073584C" w:rsidP="0073584C">
            <w:pPr>
              <w:spacing w:before="40" w:after="40"/>
              <w:rPr>
                <w:sz w:val="20"/>
                <w:szCs w:val="20"/>
              </w:rPr>
            </w:pPr>
            <w:r w:rsidRPr="0073584C">
              <w:rPr>
                <w:sz w:val="20"/>
                <w:szCs w:val="20"/>
              </w:rPr>
              <w:t>Budget documentation</w:t>
            </w:r>
          </w:p>
        </w:tc>
        <w:tc>
          <w:tcPr>
            <w:tcW w:w="900" w:type="dxa"/>
            <w:vAlign w:val="center"/>
          </w:tcPr>
          <w:p w14:paraId="0537F08C" w14:textId="77777777" w:rsidR="0073584C" w:rsidRPr="0073584C" w:rsidRDefault="0073584C" w:rsidP="0073584C">
            <w:pPr>
              <w:spacing w:before="40" w:after="40"/>
              <w:jc w:val="center"/>
              <w:rPr>
                <w:sz w:val="20"/>
                <w:szCs w:val="20"/>
              </w:rPr>
            </w:pPr>
            <w:r w:rsidRPr="0073584C">
              <w:rPr>
                <w:sz w:val="20"/>
                <w:szCs w:val="20"/>
              </w:rPr>
              <w:t>A</w:t>
            </w:r>
          </w:p>
        </w:tc>
        <w:tc>
          <w:tcPr>
            <w:tcW w:w="4932" w:type="dxa"/>
            <w:vAlign w:val="center"/>
          </w:tcPr>
          <w:p w14:paraId="4E13E095" w14:textId="52B0F648" w:rsidR="0073584C" w:rsidRPr="0073584C" w:rsidRDefault="0073584C" w:rsidP="00C13FE4">
            <w:pPr>
              <w:spacing w:before="40" w:after="40"/>
              <w:rPr>
                <w:sz w:val="20"/>
                <w:szCs w:val="20"/>
              </w:rPr>
            </w:pPr>
            <w:r w:rsidRPr="0073584C">
              <w:rPr>
                <w:sz w:val="20"/>
                <w:szCs w:val="20"/>
              </w:rPr>
              <w:t xml:space="preserve">The 2016 budget documentation </w:t>
            </w:r>
            <w:r w:rsidR="00C13FE4">
              <w:rPr>
                <w:sz w:val="20"/>
                <w:szCs w:val="20"/>
              </w:rPr>
              <w:t>fulfills</w:t>
            </w:r>
            <w:r w:rsidR="00C13FE4" w:rsidRPr="0073584C">
              <w:rPr>
                <w:sz w:val="20"/>
                <w:szCs w:val="20"/>
              </w:rPr>
              <w:t xml:space="preserve"> </w:t>
            </w:r>
            <w:r w:rsidR="00C13FE4">
              <w:rPr>
                <w:sz w:val="20"/>
                <w:szCs w:val="20"/>
              </w:rPr>
              <w:t>10</w:t>
            </w:r>
            <w:r w:rsidR="00C13FE4" w:rsidRPr="0073584C">
              <w:rPr>
                <w:sz w:val="20"/>
                <w:szCs w:val="20"/>
              </w:rPr>
              <w:t xml:space="preserve"> </w:t>
            </w:r>
            <w:r w:rsidRPr="0073584C">
              <w:rPr>
                <w:sz w:val="20"/>
                <w:szCs w:val="20"/>
              </w:rPr>
              <w:t xml:space="preserve">of </w:t>
            </w:r>
            <w:r w:rsidR="00C13FE4">
              <w:rPr>
                <w:sz w:val="20"/>
                <w:szCs w:val="20"/>
              </w:rPr>
              <w:t>12</w:t>
            </w:r>
            <w:r w:rsidR="00C13FE4" w:rsidRPr="0073584C">
              <w:rPr>
                <w:sz w:val="20"/>
                <w:szCs w:val="20"/>
              </w:rPr>
              <w:t xml:space="preserve"> </w:t>
            </w:r>
            <w:r w:rsidRPr="0073584C">
              <w:rPr>
                <w:sz w:val="20"/>
                <w:szCs w:val="20"/>
              </w:rPr>
              <w:t>information benchmarks</w:t>
            </w:r>
            <w:r w:rsidR="00C13FE4">
              <w:rPr>
                <w:sz w:val="20"/>
                <w:szCs w:val="20"/>
              </w:rPr>
              <w:t>,</w:t>
            </w:r>
            <w:r w:rsidRPr="0073584C">
              <w:rPr>
                <w:sz w:val="20"/>
                <w:szCs w:val="20"/>
              </w:rPr>
              <w:t xml:space="preserve"> including all the basic elements.</w:t>
            </w:r>
          </w:p>
        </w:tc>
      </w:tr>
      <w:tr w:rsidR="001E212D" w:rsidRPr="005A497D" w14:paraId="6AD2737A" w14:textId="77777777" w:rsidTr="002E45F4">
        <w:trPr>
          <w:trHeight w:val="1250"/>
        </w:trPr>
        <w:tc>
          <w:tcPr>
            <w:tcW w:w="675" w:type="dxa"/>
            <w:vAlign w:val="center"/>
          </w:tcPr>
          <w:p w14:paraId="4AFE051E" w14:textId="77777777" w:rsidR="0073584C" w:rsidRPr="0073584C" w:rsidRDefault="0073584C" w:rsidP="0073584C">
            <w:pPr>
              <w:spacing w:before="40" w:after="40"/>
              <w:ind w:left="-57" w:right="-57"/>
              <w:jc w:val="center"/>
              <w:rPr>
                <w:sz w:val="20"/>
                <w:szCs w:val="20"/>
              </w:rPr>
            </w:pPr>
            <w:r w:rsidRPr="0073584C">
              <w:rPr>
                <w:sz w:val="20"/>
                <w:szCs w:val="20"/>
              </w:rPr>
              <w:t>PI-6</w:t>
            </w:r>
          </w:p>
        </w:tc>
        <w:tc>
          <w:tcPr>
            <w:tcW w:w="2673" w:type="dxa"/>
            <w:vAlign w:val="center"/>
          </w:tcPr>
          <w:p w14:paraId="0E172971" w14:textId="77777777" w:rsidR="0073584C" w:rsidRPr="0073584C" w:rsidRDefault="0073584C" w:rsidP="0073584C">
            <w:pPr>
              <w:spacing w:before="40" w:after="40"/>
              <w:rPr>
                <w:sz w:val="20"/>
                <w:szCs w:val="20"/>
              </w:rPr>
            </w:pPr>
            <w:r w:rsidRPr="0073584C">
              <w:rPr>
                <w:sz w:val="20"/>
                <w:szCs w:val="20"/>
              </w:rPr>
              <w:t>Central government operations outside financial reports</w:t>
            </w:r>
          </w:p>
        </w:tc>
        <w:tc>
          <w:tcPr>
            <w:tcW w:w="900" w:type="dxa"/>
            <w:vAlign w:val="center"/>
          </w:tcPr>
          <w:p w14:paraId="299D89DA" w14:textId="77777777" w:rsidR="0073584C" w:rsidRPr="0073584C" w:rsidRDefault="0073584C" w:rsidP="0073584C">
            <w:pPr>
              <w:spacing w:before="40" w:after="40"/>
              <w:jc w:val="center"/>
              <w:rPr>
                <w:sz w:val="20"/>
                <w:szCs w:val="20"/>
              </w:rPr>
            </w:pPr>
            <w:r w:rsidRPr="0073584C">
              <w:rPr>
                <w:sz w:val="20"/>
                <w:szCs w:val="20"/>
              </w:rPr>
              <w:t>B+</w:t>
            </w:r>
          </w:p>
        </w:tc>
        <w:tc>
          <w:tcPr>
            <w:tcW w:w="4932" w:type="dxa"/>
            <w:vAlign w:val="center"/>
          </w:tcPr>
          <w:p w14:paraId="1BBE33B5" w14:textId="6A48005F" w:rsidR="0073584C" w:rsidRPr="0073584C" w:rsidRDefault="0073584C" w:rsidP="00C13FE4">
            <w:pPr>
              <w:spacing w:before="40" w:after="40"/>
              <w:rPr>
                <w:sz w:val="20"/>
                <w:szCs w:val="20"/>
              </w:rPr>
            </w:pPr>
            <w:r w:rsidRPr="0073584C">
              <w:rPr>
                <w:sz w:val="20"/>
                <w:szCs w:val="20"/>
              </w:rPr>
              <w:t xml:space="preserve">Revenue and expenditure outside government financial reports is less than 1% of total revenue and expenditures. Detailed financial reports of the majority of extra-budgetary units </w:t>
            </w:r>
            <w:r w:rsidR="00A975C1">
              <w:rPr>
                <w:sz w:val="20"/>
                <w:szCs w:val="20"/>
              </w:rPr>
              <w:t>are</w:t>
            </w:r>
            <w:r w:rsidRPr="0073584C">
              <w:rPr>
                <w:sz w:val="20"/>
                <w:szCs w:val="20"/>
              </w:rPr>
              <w:t xml:space="preserve"> submitted within </w:t>
            </w:r>
            <w:r w:rsidR="00C13FE4">
              <w:rPr>
                <w:sz w:val="20"/>
                <w:szCs w:val="20"/>
              </w:rPr>
              <w:t>9</w:t>
            </w:r>
            <w:r w:rsidR="00C13FE4" w:rsidRPr="0073584C">
              <w:rPr>
                <w:sz w:val="20"/>
                <w:szCs w:val="20"/>
              </w:rPr>
              <w:t xml:space="preserve"> </w:t>
            </w:r>
            <w:r w:rsidRPr="0073584C">
              <w:rPr>
                <w:sz w:val="20"/>
                <w:szCs w:val="20"/>
              </w:rPr>
              <w:t>months of the end of the fiscal year.</w:t>
            </w:r>
          </w:p>
        </w:tc>
      </w:tr>
      <w:tr w:rsidR="001E212D" w:rsidRPr="005A497D" w14:paraId="5D61354C" w14:textId="77777777" w:rsidTr="002E45F4">
        <w:trPr>
          <w:trHeight w:val="890"/>
        </w:trPr>
        <w:tc>
          <w:tcPr>
            <w:tcW w:w="675" w:type="dxa"/>
            <w:vAlign w:val="center"/>
          </w:tcPr>
          <w:p w14:paraId="26A50F86" w14:textId="77777777" w:rsidR="00A975C1" w:rsidRPr="0073584C" w:rsidRDefault="00A975C1" w:rsidP="00A975C1">
            <w:pPr>
              <w:spacing w:before="40" w:after="40"/>
              <w:ind w:left="-57" w:right="-57"/>
              <w:jc w:val="center"/>
              <w:rPr>
                <w:sz w:val="20"/>
                <w:szCs w:val="20"/>
              </w:rPr>
            </w:pPr>
            <w:r w:rsidRPr="0073584C">
              <w:rPr>
                <w:sz w:val="20"/>
                <w:szCs w:val="20"/>
              </w:rPr>
              <w:t>PI-7</w:t>
            </w:r>
          </w:p>
        </w:tc>
        <w:tc>
          <w:tcPr>
            <w:tcW w:w="2673" w:type="dxa"/>
            <w:vAlign w:val="center"/>
          </w:tcPr>
          <w:p w14:paraId="2551596E" w14:textId="77777777" w:rsidR="00A975C1" w:rsidRPr="0073584C" w:rsidRDefault="00A975C1" w:rsidP="00A975C1">
            <w:pPr>
              <w:spacing w:before="40" w:after="40"/>
              <w:rPr>
                <w:sz w:val="20"/>
                <w:szCs w:val="20"/>
              </w:rPr>
            </w:pPr>
            <w:r w:rsidRPr="0073584C">
              <w:rPr>
                <w:sz w:val="20"/>
                <w:szCs w:val="20"/>
              </w:rPr>
              <w:t>Transfers to subnational governments</w:t>
            </w:r>
          </w:p>
        </w:tc>
        <w:tc>
          <w:tcPr>
            <w:tcW w:w="900" w:type="dxa"/>
            <w:vAlign w:val="center"/>
          </w:tcPr>
          <w:p w14:paraId="3CE08AF5" w14:textId="67432B8E" w:rsidR="00A975C1" w:rsidRPr="00A975C1" w:rsidRDefault="00A975C1" w:rsidP="00A975C1">
            <w:pPr>
              <w:spacing w:before="40" w:after="40"/>
              <w:jc w:val="center"/>
              <w:rPr>
                <w:sz w:val="20"/>
                <w:szCs w:val="20"/>
              </w:rPr>
            </w:pPr>
            <w:r w:rsidRPr="00C13FE4">
              <w:rPr>
                <w:sz w:val="20"/>
                <w:szCs w:val="20"/>
              </w:rPr>
              <w:t>A</w:t>
            </w:r>
          </w:p>
        </w:tc>
        <w:tc>
          <w:tcPr>
            <w:tcW w:w="4932" w:type="dxa"/>
            <w:vAlign w:val="center"/>
          </w:tcPr>
          <w:p w14:paraId="0D3FA31D" w14:textId="69E51686" w:rsidR="00A975C1" w:rsidRPr="00D37B99" w:rsidRDefault="00A975C1" w:rsidP="00C13FE4">
            <w:pPr>
              <w:spacing w:before="40" w:after="40"/>
              <w:rPr>
                <w:sz w:val="20"/>
                <w:szCs w:val="20"/>
              </w:rPr>
            </w:pPr>
            <w:r w:rsidRPr="00C13FE4">
              <w:rPr>
                <w:sz w:val="20"/>
                <w:szCs w:val="20"/>
              </w:rPr>
              <w:t>All transfers to LGUs are based on clearly defined set of rules and procedures. Information on transfers is provided by DBM early in the budget cycle.</w:t>
            </w:r>
          </w:p>
        </w:tc>
      </w:tr>
      <w:tr w:rsidR="001E212D" w:rsidRPr="005A497D" w14:paraId="281A32B0" w14:textId="77777777" w:rsidTr="001E212D">
        <w:tc>
          <w:tcPr>
            <w:tcW w:w="675" w:type="dxa"/>
            <w:vAlign w:val="center"/>
          </w:tcPr>
          <w:p w14:paraId="7546936D" w14:textId="77777777" w:rsidR="00A975C1" w:rsidRPr="0073584C" w:rsidRDefault="00A975C1" w:rsidP="00A975C1">
            <w:pPr>
              <w:spacing w:before="40" w:after="40"/>
              <w:ind w:left="-57" w:right="-57"/>
              <w:jc w:val="center"/>
              <w:rPr>
                <w:sz w:val="20"/>
                <w:szCs w:val="20"/>
              </w:rPr>
            </w:pPr>
            <w:r w:rsidRPr="0073584C">
              <w:rPr>
                <w:sz w:val="20"/>
                <w:szCs w:val="20"/>
              </w:rPr>
              <w:t>PI-8</w:t>
            </w:r>
          </w:p>
        </w:tc>
        <w:tc>
          <w:tcPr>
            <w:tcW w:w="2673" w:type="dxa"/>
            <w:vAlign w:val="center"/>
          </w:tcPr>
          <w:p w14:paraId="2F92AF3D" w14:textId="77777777" w:rsidR="00A975C1" w:rsidRPr="0073584C" w:rsidRDefault="00A975C1" w:rsidP="00A975C1">
            <w:pPr>
              <w:spacing w:before="40" w:after="40"/>
              <w:rPr>
                <w:sz w:val="20"/>
                <w:szCs w:val="20"/>
              </w:rPr>
            </w:pPr>
            <w:r w:rsidRPr="0073584C">
              <w:rPr>
                <w:sz w:val="20"/>
                <w:szCs w:val="20"/>
              </w:rPr>
              <w:t>Performance information for service delivery</w:t>
            </w:r>
          </w:p>
        </w:tc>
        <w:tc>
          <w:tcPr>
            <w:tcW w:w="900" w:type="dxa"/>
            <w:vAlign w:val="center"/>
          </w:tcPr>
          <w:p w14:paraId="29598DB4" w14:textId="4F19B4D9" w:rsidR="00A975C1" w:rsidRPr="00A975C1" w:rsidRDefault="00A975C1" w:rsidP="00A975C1">
            <w:pPr>
              <w:spacing w:before="40" w:after="40"/>
              <w:jc w:val="center"/>
              <w:rPr>
                <w:sz w:val="20"/>
                <w:szCs w:val="20"/>
              </w:rPr>
            </w:pPr>
            <w:r w:rsidRPr="00C13FE4">
              <w:rPr>
                <w:sz w:val="20"/>
                <w:szCs w:val="20"/>
              </w:rPr>
              <w:t>B+</w:t>
            </w:r>
          </w:p>
        </w:tc>
        <w:tc>
          <w:tcPr>
            <w:tcW w:w="4932" w:type="dxa"/>
            <w:vAlign w:val="center"/>
          </w:tcPr>
          <w:p w14:paraId="6B9E045C" w14:textId="50E76704" w:rsidR="00A975C1" w:rsidRPr="00D37B99" w:rsidRDefault="00A975C1" w:rsidP="00C13FE4">
            <w:pPr>
              <w:spacing w:before="40" w:after="40"/>
              <w:rPr>
                <w:sz w:val="20"/>
                <w:szCs w:val="20"/>
              </w:rPr>
            </w:pPr>
            <w:r w:rsidRPr="00C13FE4">
              <w:rPr>
                <w:sz w:val="20"/>
                <w:szCs w:val="20"/>
              </w:rPr>
              <w:t xml:space="preserve">Performance information </w:t>
            </w:r>
            <w:r w:rsidR="00C13FE4">
              <w:rPr>
                <w:sz w:val="20"/>
                <w:szCs w:val="20"/>
              </w:rPr>
              <w:t>(</w:t>
            </w:r>
            <w:r w:rsidRPr="00C13FE4">
              <w:rPr>
                <w:sz w:val="20"/>
                <w:szCs w:val="20"/>
              </w:rPr>
              <w:t>both financial and non-financial</w:t>
            </w:r>
            <w:r w:rsidR="00C13FE4">
              <w:rPr>
                <w:sz w:val="20"/>
                <w:szCs w:val="20"/>
              </w:rPr>
              <w:t>)</w:t>
            </w:r>
            <w:r w:rsidRPr="00C13FE4">
              <w:rPr>
                <w:sz w:val="20"/>
                <w:szCs w:val="20"/>
              </w:rPr>
              <w:t xml:space="preserve"> is presented in the budget documentation; performance results are published by most departments on websites</w:t>
            </w:r>
            <w:r w:rsidR="00C13FE4">
              <w:rPr>
                <w:sz w:val="20"/>
                <w:szCs w:val="20"/>
              </w:rPr>
              <w:t>;</w:t>
            </w:r>
            <w:r w:rsidRPr="00C13FE4">
              <w:rPr>
                <w:sz w:val="20"/>
                <w:szCs w:val="20"/>
              </w:rPr>
              <w:t xml:space="preserve"> and the executive summary of all annual audit reports </w:t>
            </w:r>
            <w:r w:rsidR="00C13FE4">
              <w:rPr>
                <w:sz w:val="20"/>
                <w:szCs w:val="20"/>
              </w:rPr>
              <w:t>list</w:t>
            </w:r>
            <w:r w:rsidR="00C13FE4" w:rsidRPr="00C13FE4">
              <w:rPr>
                <w:sz w:val="20"/>
                <w:szCs w:val="20"/>
              </w:rPr>
              <w:t xml:space="preserve"> </w:t>
            </w:r>
            <w:r w:rsidRPr="00C13FE4">
              <w:rPr>
                <w:sz w:val="20"/>
                <w:szCs w:val="20"/>
              </w:rPr>
              <w:t xml:space="preserve">the outputs achieved. PETS was recently conducted for DepEd; and </w:t>
            </w:r>
            <w:r w:rsidR="00C13FE4">
              <w:rPr>
                <w:sz w:val="20"/>
                <w:szCs w:val="20"/>
              </w:rPr>
              <w:t>e</w:t>
            </w:r>
            <w:r w:rsidR="00C13FE4" w:rsidRPr="00C13FE4">
              <w:rPr>
                <w:sz w:val="20"/>
                <w:szCs w:val="20"/>
              </w:rPr>
              <w:t xml:space="preserve">valuations </w:t>
            </w:r>
            <w:r w:rsidRPr="00C13FE4">
              <w:rPr>
                <w:sz w:val="20"/>
                <w:szCs w:val="20"/>
              </w:rPr>
              <w:t>of service delivery have been carried out and published for the majority of the departments.</w:t>
            </w:r>
          </w:p>
        </w:tc>
      </w:tr>
      <w:tr w:rsidR="001E212D" w:rsidRPr="005A497D" w14:paraId="01F73150" w14:textId="77777777" w:rsidTr="001E212D">
        <w:tc>
          <w:tcPr>
            <w:tcW w:w="675" w:type="dxa"/>
            <w:vAlign w:val="center"/>
          </w:tcPr>
          <w:p w14:paraId="101747C2" w14:textId="77777777" w:rsidR="0073584C" w:rsidRPr="0073584C" w:rsidRDefault="0073584C" w:rsidP="0073584C">
            <w:pPr>
              <w:spacing w:before="40" w:after="40"/>
              <w:ind w:left="-57" w:right="-57"/>
              <w:jc w:val="center"/>
              <w:rPr>
                <w:sz w:val="20"/>
                <w:szCs w:val="20"/>
              </w:rPr>
            </w:pPr>
            <w:r w:rsidRPr="0073584C">
              <w:rPr>
                <w:sz w:val="20"/>
                <w:szCs w:val="20"/>
              </w:rPr>
              <w:t>PI-9</w:t>
            </w:r>
          </w:p>
        </w:tc>
        <w:tc>
          <w:tcPr>
            <w:tcW w:w="2673" w:type="dxa"/>
            <w:vAlign w:val="center"/>
          </w:tcPr>
          <w:p w14:paraId="68288B55" w14:textId="77777777" w:rsidR="0073584C" w:rsidRPr="0073584C" w:rsidRDefault="0073584C" w:rsidP="0073584C">
            <w:pPr>
              <w:spacing w:before="40" w:after="40"/>
              <w:rPr>
                <w:sz w:val="20"/>
                <w:szCs w:val="20"/>
              </w:rPr>
            </w:pPr>
            <w:r w:rsidRPr="0073584C">
              <w:rPr>
                <w:sz w:val="20"/>
                <w:szCs w:val="20"/>
              </w:rPr>
              <w:t>Public access to fiscal information</w:t>
            </w:r>
          </w:p>
        </w:tc>
        <w:tc>
          <w:tcPr>
            <w:tcW w:w="900" w:type="dxa"/>
            <w:vAlign w:val="center"/>
          </w:tcPr>
          <w:p w14:paraId="76761C02" w14:textId="489EAF29" w:rsidR="0073584C" w:rsidRPr="0073584C" w:rsidRDefault="00135A42" w:rsidP="0073584C">
            <w:pPr>
              <w:spacing w:before="40" w:after="40"/>
              <w:jc w:val="center"/>
              <w:rPr>
                <w:sz w:val="20"/>
                <w:szCs w:val="20"/>
              </w:rPr>
            </w:pPr>
            <w:r>
              <w:rPr>
                <w:sz w:val="20"/>
                <w:szCs w:val="20"/>
              </w:rPr>
              <w:t>A</w:t>
            </w:r>
          </w:p>
        </w:tc>
        <w:tc>
          <w:tcPr>
            <w:tcW w:w="4932" w:type="dxa"/>
          </w:tcPr>
          <w:p w14:paraId="2C1D7AA7" w14:textId="6195A04A" w:rsidR="0073584C" w:rsidRPr="0073584C" w:rsidRDefault="0073584C" w:rsidP="00135A42">
            <w:pPr>
              <w:spacing w:before="40" w:after="40"/>
              <w:rPr>
                <w:sz w:val="20"/>
                <w:szCs w:val="20"/>
              </w:rPr>
            </w:pPr>
            <w:r w:rsidRPr="0073584C">
              <w:rPr>
                <w:sz w:val="20"/>
                <w:szCs w:val="20"/>
              </w:rPr>
              <w:t xml:space="preserve">The </w:t>
            </w:r>
            <w:r w:rsidR="00B97E18">
              <w:rPr>
                <w:sz w:val="20"/>
                <w:szCs w:val="20"/>
              </w:rPr>
              <w:t>Government</w:t>
            </w:r>
            <w:r w:rsidRPr="0073584C">
              <w:rPr>
                <w:sz w:val="20"/>
                <w:szCs w:val="20"/>
              </w:rPr>
              <w:t xml:space="preserve"> makes available to the public </w:t>
            </w:r>
            <w:r w:rsidR="00135A42">
              <w:rPr>
                <w:sz w:val="20"/>
                <w:szCs w:val="20"/>
              </w:rPr>
              <w:t>all</w:t>
            </w:r>
            <w:r w:rsidR="00135A42" w:rsidRPr="0073584C">
              <w:rPr>
                <w:sz w:val="20"/>
                <w:szCs w:val="20"/>
              </w:rPr>
              <w:t xml:space="preserve"> </w:t>
            </w:r>
            <w:r w:rsidRPr="0073584C">
              <w:rPr>
                <w:sz w:val="20"/>
                <w:szCs w:val="20"/>
              </w:rPr>
              <w:t xml:space="preserve">of the 5 basic elements and all additional elements of information. </w:t>
            </w:r>
          </w:p>
        </w:tc>
      </w:tr>
      <w:tr w:rsidR="0073584C" w:rsidRPr="005A497D" w14:paraId="35CC90B2" w14:textId="77777777" w:rsidTr="0073584C">
        <w:tc>
          <w:tcPr>
            <w:tcW w:w="9180" w:type="dxa"/>
            <w:gridSpan w:val="4"/>
            <w:vAlign w:val="center"/>
          </w:tcPr>
          <w:p w14:paraId="032B78F9" w14:textId="77777777" w:rsidR="0073584C" w:rsidRPr="0073584C" w:rsidRDefault="0073584C" w:rsidP="0073584C">
            <w:pPr>
              <w:spacing w:before="40" w:after="40"/>
              <w:rPr>
                <w:b/>
                <w:sz w:val="20"/>
                <w:szCs w:val="20"/>
              </w:rPr>
            </w:pPr>
            <w:r w:rsidRPr="0073584C">
              <w:rPr>
                <w:b/>
                <w:sz w:val="20"/>
                <w:szCs w:val="20"/>
              </w:rPr>
              <w:t>Pillar III. Management of Assets and Liabilities</w:t>
            </w:r>
          </w:p>
        </w:tc>
      </w:tr>
      <w:tr w:rsidR="001E212D" w:rsidRPr="005A497D" w14:paraId="37AC8B16" w14:textId="77777777" w:rsidTr="001E212D">
        <w:tc>
          <w:tcPr>
            <w:tcW w:w="675" w:type="dxa"/>
            <w:vAlign w:val="center"/>
          </w:tcPr>
          <w:p w14:paraId="03D7DBE6" w14:textId="77777777" w:rsidR="0073584C" w:rsidRPr="0073584C" w:rsidRDefault="0073584C" w:rsidP="0073584C">
            <w:pPr>
              <w:spacing w:before="40" w:after="40"/>
              <w:ind w:left="-57" w:right="-57"/>
              <w:jc w:val="center"/>
              <w:rPr>
                <w:sz w:val="20"/>
                <w:szCs w:val="20"/>
              </w:rPr>
            </w:pPr>
            <w:r w:rsidRPr="0073584C">
              <w:rPr>
                <w:sz w:val="20"/>
                <w:szCs w:val="20"/>
              </w:rPr>
              <w:t>PI-10</w:t>
            </w:r>
          </w:p>
        </w:tc>
        <w:tc>
          <w:tcPr>
            <w:tcW w:w="2673" w:type="dxa"/>
            <w:vAlign w:val="center"/>
          </w:tcPr>
          <w:p w14:paraId="0B1BAD39" w14:textId="77777777" w:rsidR="0073584C" w:rsidRPr="0073584C" w:rsidRDefault="0073584C" w:rsidP="0073584C">
            <w:pPr>
              <w:spacing w:before="40" w:after="40"/>
              <w:rPr>
                <w:sz w:val="20"/>
                <w:szCs w:val="20"/>
              </w:rPr>
            </w:pPr>
            <w:r w:rsidRPr="0073584C">
              <w:rPr>
                <w:sz w:val="20"/>
                <w:szCs w:val="20"/>
              </w:rPr>
              <w:t>Fiscal risk reporting</w:t>
            </w:r>
          </w:p>
        </w:tc>
        <w:tc>
          <w:tcPr>
            <w:tcW w:w="900" w:type="dxa"/>
            <w:vAlign w:val="center"/>
          </w:tcPr>
          <w:p w14:paraId="3FD10CB1" w14:textId="593B1847" w:rsidR="0073584C" w:rsidRPr="0073584C" w:rsidRDefault="00A975C1" w:rsidP="00A975C1">
            <w:pPr>
              <w:spacing w:before="40" w:after="40"/>
              <w:jc w:val="center"/>
              <w:rPr>
                <w:sz w:val="20"/>
                <w:szCs w:val="20"/>
              </w:rPr>
            </w:pPr>
            <w:r>
              <w:rPr>
                <w:sz w:val="20"/>
                <w:szCs w:val="20"/>
              </w:rPr>
              <w:t>B</w:t>
            </w:r>
          </w:p>
        </w:tc>
        <w:tc>
          <w:tcPr>
            <w:tcW w:w="4932" w:type="dxa"/>
            <w:vAlign w:val="center"/>
          </w:tcPr>
          <w:p w14:paraId="51E0C9DA" w14:textId="77777777" w:rsidR="0073584C" w:rsidRPr="0073584C" w:rsidRDefault="0073584C" w:rsidP="0073584C">
            <w:pPr>
              <w:spacing w:before="40" w:after="40"/>
              <w:rPr>
                <w:sz w:val="20"/>
                <w:szCs w:val="20"/>
              </w:rPr>
            </w:pPr>
            <w:r w:rsidRPr="0073584C">
              <w:rPr>
                <w:sz w:val="20"/>
                <w:szCs w:val="20"/>
              </w:rPr>
              <w:t>Annual audit reports from GOCCs and LGUs are received but with delays. Fiscal risk statement comprehensively covers significant contingent liabilities and other risks.</w:t>
            </w:r>
          </w:p>
        </w:tc>
      </w:tr>
      <w:tr w:rsidR="001E212D" w:rsidRPr="005A497D" w14:paraId="1C726DEC" w14:textId="77777777" w:rsidTr="002E45F4">
        <w:trPr>
          <w:trHeight w:val="1610"/>
        </w:trPr>
        <w:tc>
          <w:tcPr>
            <w:tcW w:w="675" w:type="dxa"/>
            <w:vAlign w:val="center"/>
          </w:tcPr>
          <w:p w14:paraId="71608B21" w14:textId="77777777" w:rsidR="00A975C1" w:rsidRPr="0073584C" w:rsidRDefault="00A975C1" w:rsidP="00A975C1">
            <w:pPr>
              <w:spacing w:before="40" w:after="40"/>
              <w:ind w:left="-57" w:right="-57"/>
              <w:jc w:val="center"/>
              <w:rPr>
                <w:sz w:val="20"/>
                <w:szCs w:val="20"/>
              </w:rPr>
            </w:pPr>
            <w:r w:rsidRPr="0073584C">
              <w:rPr>
                <w:sz w:val="20"/>
                <w:szCs w:val="20"/>
              </w:rPr>
              <w:t>PI-11</w:t>
            </w:r>
          </w:p>
        </w:tc>
        <w:tc>
          <w:tcPr>
            <w:tcW w:w="2673" w:type="dxa"/>
            <w:vAlign w:val="center"/>
          </w:tcPr>
          <w:p w14:paraId="1FC65D69" w14:textId="77777777" w:rsidR="00A975C1" w:rsidRPr="0073584C" w:rsidRDefault="00A975C1" w:rsidP="00A975C1">
            <w:pPr>
              <w:spacing w:before="40" w:after="40"/>
              <w:rPr>
                <w:sz w:val="20"/>
                <w:szCs w:val="20"/>
              </w:rPr>
            </w:pPr>
            <w:r w:rsidRPr="0073584C">
              <w:rPr>
                <w:sz w:val="20"/>
                <w:szCs w:val="20"/>
              </w:rPr>
              <w:t>Public investment management</w:t>
            </w:r>
          </w:p>
        </w:tc>
        <w:tc>
          <w:tcPr>
            <w:tcW w:w="900" w:type="dxa"/>
            <w:vAlign w:val="center"/>
          </w:tcPr>
          <w:p w14:paraId="17FA58B1" w14:textId="1E814B14" w:rsidR="00A975C1" w:rsidRPr="0073584C" w:rsidRDefault="00CD374D" w:rsidP="00A975C1">
            <w:pPr>
              <w:spacing w:before="40" w:after="40"/>
              <w:jc w:val="center"/>
              <w:rPr>
                <w:sz w:val="20"/>
                <w:szCs w:val="20"/>
              </w:rPr>
            </w:pPr>
            <w:r>
              <w:rPr>
                <w:sz w:val="20"/>
                <w:szCs w:val="20"/>
              </w:rPr>
              <w:t>A</w:t>
            </w:r>
          </w:p>
        </w:tc>
        <w:tc>
          <w:tcPr>
            <w:tcW w:w="4932" w:type="dxa"/>
            <w:vAlign w:val="center"/>
          </w:tcPr>
          <w:p w14:paraId="7A294614" w14:textId="6ED95E4A" w:rsidR="00A975C1" w:rsidRPr="00D37B99" w:rsidRDefault="00A975C1" w:rsidP="00A975C1">
            <w:pPr>
              <w:spacing w:before="40" w:after="40"/>
              <w:rPr>
                <w:sz w:val="20"/>
                <w:szCs w:val="20"/>
              </w:rPr>
            </w:pPr>
            <w:r w:rsidRPr="00C13FE4">
              <w:rPr>
                <w:sz w:val="20"/>
                <w:szCs w:val="20"/>
              </w:rPr>
              <w:t>All major capital investment projects are subject to ICC approval requiring review of technical, financial, economic, environmental, institutional, social</w:t>
            </w:r>
            <w:r w:rsidR="00C13FE4">
              <w:rPr>
                <w:sz w:val="20"/>
                <w:szCs w:val="20"/>
              </w:rPr>
              <w:t>,</w:t>
            </w:r>
            <w:r w:rsidRPr="00C13FE4">
              <w:rPr>
                <w:sz w:val="20"/>
                <w:szCs w:val="20"/>
              </w:rPr>
              <w:t xml:space="preserve"> and sensitivity analysis. Guidelines are published by NEDA for the costing (including all life-cycle costs) and selection. Monitoring is done by implementing agencies.</w:t>
            </w:r>
          </w:p>
        </w:tc>
      </w:tr>
      <w:tr w:rsidR="001E212D" w:rsidRPr="005A497D" w14:paraId="5445D5E8" w14:textId="77777777" w:rsidTr="002E45F4">
        <w:trPr>
          <w:trHeight w:val="1988"/>
        </w:trPr>
        <w:tc>
          <w:tcPr>
            <w:tcW w:w="675" w:type="dxa"/>
            <w:vAlign w:val="center"/>
          </w:tcPr>
          <w:p w14:paraId="6CEFA590" w14:textId="77777777" w:rsidR="0073584C" w:rsidRPr="0073584C" w:rsidRDefault="0073584C" w:rsidP="0073584C">
            <w:pPr>
              <w:spacing w:before="40" w:after="40"/>
              <w:ind w:left="-57" w:right="-57"/>
              <w:jc w:val="center"/>
              <w:rPr>
                <w:sz w:val="20"/>
                <w:szCs w:val="20"/>
              </w:rPr>
            </w:pPr>
            <w:r w:rsidRPr="0073584C">
              <w:rPr>
                <w:sz w:val="20"/>
                <w:szCs w:val="20"/>
              </w:rPr>
              <w:t>PI-12</w:t>
            </w:r>
          </w:p>
        </w:tc>
        <w:tc>
          <w:tcPr>
            <w:tcW w:w="2673" w:type="dxa"/>
            <w:vAlign w:val="center"/>
          </w:tcPr>
          <w:p w14:paraId="40AF734F" w14:textId="77777777" w:rsidR="0073584C" w:rsidRPr="0073584C" w:rsidRDefault="0073584C" w:rsidP="0073584C">
            <w:pPr>
              <w:spacing w:before="40" w:after="40"/>
              <w:rPr>
                <w:sz w:val="20"/>
                <w:szCs w:val="20"/>
              </w:rPr>
            </w:pPr>
            <w:r w:rsidRPr="0073584C">
              <w:rPr>
                <w:sz w:val="20"/>
                <w:szCs w:val="20"/>
              </w:rPr>
              <w:t>Public asset management</w:t>
            </w:r>
          </w:p>
        </w:tc>
        <w:tc>
          <w:tcPr>
            <w:tcW w:w="900" w:type="dxa"/>
            <w:vAlign w:val="center"/>
          </w:tcPr>
          <w:p w14:paraId="25E76A0E" w14:textId="624ED27A" w:rsidR="0073584C" w:rsidRPr="0073584C" w:rsidRDefault="0073584C" w:rsidP="0073584C">
            <w:pPr>
              <w:spacing w:before="40" w:after="40"/>
              <w:jc w:val="center"/>
              <w:rPr>
                <w:sz w:val="20"/>
                <w:szCs w:val="20"/>
              </w:rPr>
            </w:pPr>
            <w:r w:rsidRPr="0073584C">
              <w:rPr>
                <w:sz w:val="20"/>
                <w:szCs w:val="20"/>
              </w:rPr>
              <w:t>C</w:t>
            </w:r>
            <w:r w:rsidR="00A975C1">
              <w:rPr>
                <w:sz w:val="20"/>
                <w:szCs w:val="20"/>
              </w:rPr>
              <w:t>+</w:t>
            </w:r>
          </w:p>
        </w:tc>
        <w:tc>
          <w:tcPr>
            <w:tcW w:w="4932" w:type="dxa"/>
            <w:vAlign w:val="center"/>
          </w:tcPr>
          <w:p w14:paraId="39DC5216" w14:textId="2382B806" w:rsidR="0073584C" w:rsidRPr="0073584C" w:rsidRDefault="009008FE" w:rsidP="00A975C1">
            <w:pPr>
              <w:spacing w:before="40" w:after="40"/>
              <w:rPr>
                <w:sz w:val="20"/>
                <w:szCs w:val="20"/>
              </w:rPr>
            </w:pPr>
            <w:r>
              <w:rPr>
                <w:sz w:val="20"/>
                <w:szCs w:val="20"/>
              </w:rPr>
              <w:t>CoA</w:t>
            </w:r>
            <w:r w:rsidR="0073584C" w:rsidRPr="0073584C">
              <w:rPr>
                <w:sz w:val="20"/>
                <w:szCs w:val="20"/>
              </w:rPr>
              <w:t xml:space="preserve"> audit reports include substantial observations pointing to absence of up</w:t>
            </w:r>
            <w:r w:rsidR="00C13FE4">
              <w:rPr>
                <w:sz w:val="20"/>
                <w:szCs w:val="20"/>
              </w:rPr>
              <w:t>-</w:t>
            </w:r>
            <w:r w:rsidR="0073584C" w:rsidRPr="0073584C">
              <w:rPr>
                <w:sz w:val="20"/>
                <w:szCs w:val="20"/>
              </w:rPr>
              <w:t>to</w:t>
            </w:r>
            <w:r w:rsidR="00C13FE4">
              <w:rPr>
                <w:sz w:val="20"/>
                <w:szCs w:val="20"/>
              </w:rPr>
              <w:t>-</w:t>
            </w:r>
            <w:r w:rsidR="0073584C" w:rsidRPr="0073584C">
              <w:rPr>
                <w:sz w:val="20"/>
                <w:szCs w:val="20"/>
              </w:rPr>
              <w:t>date and complete financial asset registers. Fixed asset registers exist</w:t>
            </w:r>
            <w:r w:rsidR="00C13FE4">
              <w:rPr>
                <w:sz w:val="20"/>
                <w:szCs w:val="20"/>
              </w:rPr>
              <w:t>,</w:t>
            </w:r>
            <w:r w:rsidR="0073584C" w:rsidRPr="0073584C">
              <w:rPr>
                <w:sz w:val="20"/>
                <w:szCs w:val="20"/>
              </w:rPr>
              <w:t xml:space="preserve"> but comprehensive management and statistical reports are not published annually. The procedures for competitive and transparent disposal of nonfinancial assets are established in legislation and generally respected but do not require reporting to legislature.</w:t>
            </w:r>
          </w:p>
        </w:tc>
      </w:tr>
      <w:tr w:rsidR="001E212D" w:rsidRPr="005A497D" w14:paraId="7BCAFB90" w14:textId="77777777" w:rsidTr="001E212D">
        <w:tc>
          <w:tcPr>
            <w:tcW w:w="675" w:type="dxa"/>
            <w:vAlign w:val="center"/>
          </w:tcPr>
          <w:p w14:paraId="162BFCCD" w14:textId="77777777" w:rsidR="0073584C" w:rsidRPr="0073584C" w:rsidRDefault="0073584C" w:rsidP="0073584C">
            <w:pPr>
              <w:spacing w:before="40" w:after="40"/>
              <w:ind w:left="-57" w:right="-57"/>
              <w:jc w:val="center"/>
              <w:rPr>
                <w:sz w:val="20"/>
                <w:szCs w:val="20"/>
              </w:rPr>
            </w:pPr>
            <w:r w:rsidRPr="0073584C">
              <w:rPr>
                <w:sz w:val="20"/>
                <w:szCs w:val="20"/>
              </w:rPr>
              <w:t>PI-13</w:t>
            </w:r>
          </w:p>
        </w:tc>
        <w:tc>
          <w:tcPr>
            <w:tcW w:w="2673" w:type="dxa"/>
            <w:vAlign w:val="center"/>
          </w:tcPr>
          <w:p w14:paraId="308DFDF2" w14:textId="77777777" w:rsidR="0073584C" w:rsidRPr="0073584C" w:rsidRDefault="0073584C" w:rsidP="0073584C">
            <w:pPr>
              <w:spacing w:before="40" w:after="40"/>
              <w:rPr>
                <w:sz w:val="20"/>
                <w:szCs w:val="20"/>
              </w:rPr>
            </w:pPr>
            <w:r w:rsidRPr="0073584C">
              <w:rPr>
                <w:sz w:val="20"/>
                <w:szCs w:val="20"/>
              </w:rPr>
              <w:t>Debt management</w:t>
            </w:r>
          </w:p>
        </w:tc>
        <w:tc>
          <w:tcPr>
            <w:tcW w:w="900" w:type="dxa"/>
            <w:vAlign w:val="center"/>
          </w:tcPr>
          <w:p w14:paraId="5253EC9A" w14:textId="77777777" w:rsidR="0073584C" w:rsidRPr="0073584C" w:rsidRDefault="0073584C" w:rsidP="0073584C">
            <w:pPr>
              <w:spacing w:before="40" w:after="40"/>
              <w:jc w:val="center"/>
              <w:rPr>
                <w:sz w:val="20"/>
                <w:szCs w:val="20"/>
              </w:rPr>
            </w:pPr>
            <w:r w:rsidRPr="0073584C">
              <w:rPr>
                <w:sz w:val="20"/>
                <w:szCs w:val="20"/>
              </w:rPr>
              <w:t>B</w:t>
            </w:r>
          </w:p>
        </w:tc>
        <w:tc>
          <w:tcPr>
            <w:tcW w:w="4932" w:type="dxa"/>
            <w:vAlign w:val="center"/>
          </w:tcPr>
          <w:p w14:paraId="78A8B8EB" w14:textId="68DA8762" w:rsidR="0073584C" w:rsidRPr="0073584C" w:rsidRDefault="00A975C1" w:rsidP="00C13FE4">
            <w:pPr>
              <w:spacing w:before="40" w:after="40"/>
              <w:rPr>
                <w:sz w:val="20"/>
                <w:szCs w:val="20"/>
              </w:rPr>
            </w:pPr>
            <w:r w:rsidRPr="00A975C1">
              <w:rPr>
                <w:sz w:val="20"/>
                <w:szCs w:val="20"/>
              </w:rPr>
              <w:t>Detailed debt data (domestic and foreign) is maintained and published by BTr. The data is updated monthly, reconciled monthly</w:t>
            </w:r>
            <w:r w:rsidR="00C13FE4">
              <w:rPr>
                <w:sz w:val="20"/>
                <w:szCs w:val="20"/>
              </w:rPr>
              <w:t>,</w:t>
            </w:r>
            <w:r w:rsidRPr="00A975C1">
              <w:rPr>
                <w:sz w:val="20"/>
                <w:szCs w:val="20"/>
              </w:rPr>
              <w:t xml:space="preserve"> and presented </w:t>
            </w:r>
            <w:r w:rsidR="00C13FE4">
              <w:rPr>
                <w:sz w:val="20"/>
                <w:szCs w:val="20"/>
              </w:rPr>
              <w:t>2</w:t>
            </w:r>
            <w:r w:rsidR="00C13FE4" w:rsidRPr="00A975C1">
              <w:rPr>
                <w:sz w:val="20"/>
                <w:szCs w:val="20"/>
              </w:rPr>
              <w:t xml:space="preserve"> </w:t>
            </w:r>
            <w:r w:rsidRPr="00A975C1">
              <w:rPr>
                <w:sz w:val="20"/>
                <w:szCs w:val="20"/>
              </w:rPr>
              <w:t>months from the reference period. Legislation provides clear authorization to DoF to review, approve</w:t>
            </w:r>
            <w:r w:rsidR="00C13FE4">
              <w:rPr>
                <w:sz w:val="20"/>
                <w:szCs w:val="20"/>
              </w:rPr>
              <w:t>,</w:t>
            </w:r>
            <w:r w:rsidRPr="00A975C1">
              <w:rPr>
                <w:sz w:val="20"/>
                <w:szCs w:val="20"/>
              </w:rPr>
              <w:t xml:space="preserve"> and manage debt. Ceilings are prescribed in law. Medium-term debt strategy in the form of strategic guidelines is in place but not published.</w:t>
            </w:r>
          </w:p>
        </w:tc>
      </w:tr>
      <w:tr w:rsidR="0073584C" w:rsidRPr="005A497D" w14:paraId="6CFFDD8F" w14:textId="77777777" w:rsidTr="0073584C">
        <w:tc>
          <w:tcPr>
            <w:tcW w:w="9180" w:type="dxa"/>
            <w:gridSpan w:val="4"/>
            <w:vAlign w:val="center"/>
          </w:tcPr>
          <w:p w14:paraId="3521CE9B" w14:textId="77777777" w:rsidR="0073584C" w:rsidRPr="0073584C" w:rsidRDefault="0073584C" w:rsidP="0073584C">
            <w:pPr>
              <w:spacing w:before="40" w:after="40"/>
              <w:rPr>
                <w:b/>
                <w:sz w:val="20"/>
                <w:szCs w:val="20"/>
              </w:rPr>
            </w:pPr>
            <w:r w:rsidRPr="0073584C">
              <w:rPr>
                <w:b/>
                <w:sz w:val="20"/>
                <w:szCs w:val="20"/>
              </w:rPr>
              <w:t>Pillar IV. Policy-based Fiscal Strategy and Budgeting</w:t>
            </w:r>
          </w:p>
        </w:tc>
      </w:tr>
      <w:tr w:rsidR="001E212D" w:rsidRPr="005A497D" w14:paraId="05921A0E" w14:textId="77777777" w:rsidTr="001E212D">
        <w:tc>
          <w:tcPr>
            <w:tcW w:w="675" w:type="dxa"/>
            <w:vAlign w:val="center"/>
          </w:tcPr>
          <w:p w14:paraId="2EE39B34" w14:textId="77777777" w:rsidR="0073584C" w:rsidRPr="0073584C" w:rsidRDefault="0073584C" w:rsidP="0073584C">
            <w:pPr>
              <w:spacing w:before="40" w:after="40"/>
              <w:ind w:left="-57" w:right="-57"/>
              <w:jc w:val="center"/>
              <w:rPr>
                <w:sz w:val="20"/>
                <w:szCs w:val="20"/>
              </w:rPr>
            </w:pPr>
            <w:r w:rsidRPr="0073584C">
              <w:rPr>
                <w:sz w:val="20"/>
                <w:szCs w:val="20"/>
              </w:rPr>
              <w:t>PI-14</w:t>
            </w:r>
          </w:p>
        </w:tc>
        <w:tc>
          <w:tcPr>
            <w:tcW w:w="2673" w:type="dxa"/>
            <w:vAlign w:val="center"/>
          </w:tcPr>
          <w:p w14:paraId="6CC5F53A" w14:textId="77777777" w:rsidR="0073584C" w:rsidRPr="0073584C" w:rsidRDefault="0073584C" w:rsidP="0073584C">
            <w:pPr>
              <w:spacing w:before="40" w:after="40"/>
              <w:rPr>
                <w:sz w:val="20"/>
                <w:szCs w:val="20"/>
              </w:rPr>
            </w:pPr>
            <w:r w:rsidRPr="0073584C">
              <w:rPr>
                <w:sz w:val="20"/>
                <w:szCs w:val="20"/>
              </w:rPr>
              <w:t>Macroeconomic and fiscal forecasting</w:t>
            </w:r>
          </w:p>
        </w:tc>
        <w:tc>
          <w:tcPr>
            <w:tcW w:w="900" w:type="dxa"/>
            <w:vAlign w:val="center"/>
          </w:tcPr>
          <w:p w14:paraId="015D9C06" w14:textId="77777777" w:rsidR="0073584C" w:rsidRPr="0073584C" w:rsidRDefault="0073584C" w:rsidP="0073584C">
            <w:pPr>
              <w:spacing w:before="40" w:after="40"/>
              <w:jc w:val="center"/>
              <w:rPr>
                <w:sz w:val="20"/>
                <w:szCs w:val="20"/>
              </w:rPr>
            </w:pPr>
            <w:r w:rsidRPr="0073584C">
              <w:rPr>
                <w:sz w:val="20"/>
                <w:szCs w:val="20"/>
              </w:rPr>
              <w:t>A</w:t>
            </w:r>
          </w:p>
        </w:tc>
        <w:tc>
          <w:tcPr>
            <w:tcW w:w="4932" w:type="dxa"/>
            <w:vAlign w:val="center"/>
          </w:tcPr>
          <w:p w14:paraId="7F373FA8" w14:textId="2288A633" w:rsidR="0073584C" w:rsidRPr="0073584C" w:rsidRDefault="0073584C" w:rsidP="00C13FE4">
            <w:pPr>
              <w:spacing w:before="40" w:after="40"/>
              <w:rPr>
                <w:sz w:val="20"/>
                <w:szCs w:val="20"/>
              </w:rPr>
            </w:pPr>
            <w:r w:rsidRPr="0073584C">
              <w:rPr>
                <w:sz w:val="20"/>
                <w:szCs w:val="20"/>
              </w:rPr>
              <w:t xml:space="preserve">Macroeconomic projections are prepared </w:t>
            </w:r>
            <w:r w:rsidR="00D37B99">
              <w:rPr>
                <w:sz w:val="20"/>
                <w:szCs w:val="20"/>
              </w:rPr>
              <w:t xml:space="preserve">for </w:t>
            </w:r>
            <w:r w:rsidR="00C13FE4">
              <w:rPr>
                <w:sz w:val="20"/>
                <w:szCs w:val="20"/>
              </w:rPr>
              <w:t xml:space="preserve">3 </w:t>
            </w:r>
            <w:r w:rsidR="00D37B99">
              <w:rPr>
                <w:sz w:val="20"/>
                <w:szCs w:val="20"/>
              </w:rPr>
              <w:t xml:space="preserve">years </w:t>
            </w:r>
            <w:r w:rsidRPr="0073584C">
              <w:rPr>
                <w:sz w:val="20"/>
                <w:szCs w:val="20"/>
              </w:rPr>
              <w:t xml:space="preserve">and used in the annual budget preparation by DBM. These are reviewed and approved by DBCC and updated mid-year. Forecasts of the budget sensitivity analysis and debt sustainability are published. </w:t>
            </w:r>
          </w:p>
        </w:tc>
      </w:tr>
      <w:tr w:rsidR="001E212D" w:rsidRPr="005A497D" w14:paraId="175ED820" w14:textId="77777777" w:rsidTr="001E212D">
        <w:tc>
          <w:tcPr>
            <w:tcW w:w="675" w:type="dxa"/>
            <w:vAlign w:val="center"/>
          </w:tcPr>
          <w:p w14:paraId="50FE3A11" w14:textId="77777777" w:rsidR="0073584C" w:rsidRPr="0073584C" w:rsidRDefault="0073584C" w:rsidP="0073584C">
            <w:pPr>
              <w:spacing w:before="40" w:after="40"/>
              <w:ind w:left="-57" w:right="-57"/>
              <w:jc w:val="center"/>
              <w:rPr>
                <w:sz w:val="20"/>
                <w:szCs w:val="20"/>
              </w:rPr>
            </w:pPr>
            <w:r w:rsidRPr="0073584C">
              <w:rPr>
                <w:sz w:val="20"/>
                <w:szCs w:val="20"/>
              </w:rPr>
              <w:t>PI-15</w:t>
            </w:r>
          </w:p>
        </w:tc>
        <w:tc>
          <w:tcPr>
            <w:tcW w:w="2673" w:type="dxa"/>
            <w:vAlign w:val="center"/>
          </w:tcPr>
          <w:p w14:paraId="440673BE" w14:textId="77777777" w:rsidR="0073584C" w:rsidRPr="0073584C" w:rsidRDefault="0073584C" w:rsidP="0073584C">
            <w:pPr>
              <w:spacing w:before="40" w:after="40"/>
              <w:rPr>
                <w:sz w:val="20"/>
                <w:szCs w:val="20"/>
              </w:rPr>
            </w:pPr>
            <w:r w:rsidRPr="0073584C">
              <w:rPr>
                <w:sz w:val="20"/>
                <w:szCs w:val="20"/>
              </w:rPr>
              <w:t>Fiscal strategy</w:t>
            </w:r>
          </w:p>
        </w:tc>
        <w:tc>
          <w:tcPr>
            <w:tcW w:w="900" w:type="dxa"/>
            <w:vAlign w:val="center"/>
          </w:tcPr>
          <w:p w14:paraId="46932A7F" w14:textId="77777777" w:rsidR="0073584C" w:rsidRPr="0073584C" w:rsidRDefault="0073584C" w:rsidP="0073584C">
            <w:pPr>
              <w:spacing w:before="40" w:after="40"/>
              <w:jc w:val="center"/>
              <w:rPr>
                <w:sz w:val="20"/>
                <w:szCs w:val="20"/>
              </w:rPr>
            </w:pPr>
            <w:r w:rsidRPr="0073584C">
              <w:rPr>
                <w:sz w:val="20"/>
                <w:szCs w:val="20"/>
              </w:rPr>
              <w:t>B</w:t>
            </w:r>
          </w:p>
        </w:tc>
        <w:tc>
          <w:tcPr>
            <w:tcW w:w="4932" w:type="dxa"/>
            <w:vAlign w:val="center"/>
          </w:tcPr>
          <w:p w14:paraId="16D22840" w14:textId="55278EAF" w:rsidR="0073584C" w:rsidRPr="0073584C" w:rsidRDefault="0073584C" w:rsidP="00C13FE4">
            <w:pPr>
              <w:spacing w:before="40" w:after="40"/>
              <w:rPr>
                <w:sz w:val="20"/>
                <w:szCs w:val="20"/>
              </w:rPr>
            </w:pPr>
            <w:r w:rsidRPr="0073584C">
              <w:rPr>
                <w:sz w:val="20"/>
                <w:szCs w:val="20"/>
              </w:rPr>
              <w:t xml:space="preserve">Impact of proposed policy changes for revenue and expenditure is estimated for a </w:t>
            </w:r>
            <w:r w:rsidR="00C13FE4">
              <w:rPr>
                <w:sz w:val="20"/>
                <w:szCs w:val="20"/>
              </w:rPr>
              <w:t>3-</w:t>
            </w:r>
            <w:r w:rsidRPr="0073584C">
              <w:rPr>
                <w:sz w:val="20"/>
                <w:szCs w:val="20"/>
              </w:rPr>
              <w:t>year horizon. A fiscal strategy</w:t>
            </w:r>
            <w:r w:rsidR="00C13FE4">
              <w:rPr>
                <w:sz w:val="20"/>
                <w:szCs w:val="20"/>
              </w:rPr>
              <w:t>,</w:t>
            </w:r>
            <w:r w:rsidRPr="0073584C">
              <w:rPr>
                <w:sz w:val="20"/>
                <w:szCs w:val="20"/>
              </w:rPr>
              <w:t xml:space="preserve"> including mostly quantitative fiscal objectives</w:t>
            </w:r>
            <w:r w:rsidR="00C13FE4">
              <w:rPr>
                <w:sz w:val="20"/>
                <w:szCs w:val="20"/>
              </w:rPr>
              <w:t>,</w:t>
            </w:r>
            <w:r w:rsidRPr="0073584C">
              <w:rPr>
                <w:sz w:val="20"/>
                <w:szCs w:val="20"/>
              </w:rPr>
              <w:t xml:space="preserve"> is prepared for up to </w:t>
            </w:r>
            <w:r w:rsidR="00C13FE4">
              <w:rPr>
                <w:sz w:val="20"/>
                <w:szCs w:val="20"/>
              </w:rPr>
              <w:t>6</w:t>
            </w:r>
            <w:r w:rsidR="00C13FE4" w:rsidRPr="0073584C">
              <w:rPr>
                <w:sz w:val="20"/>
                <w:szCs w:val="20"/>
              </w:rPr>
              <w:t xml:space="preserve"> </w:t>
            </w:r>
            <w:r w:rsidRPr="0073584C">
              <w:rPr>
                <w:sz w:val="20"/>
                <w:szCs w:val="20"/>
              </w:rPr>
              <w:t xml:space="preserve">years, submitted to Congress and published. DBCC publishes a mid-year and year-end report on </w:t>
            </w:r>
            <w:r w:rsidR="00B97E18">
              <w:rPr>
                <w:sz w:val="20"/>
                <w:szCs w:val="20"/>
              </w:rPr>
              <w:t>Government’s</w:t>
            </w:r>
            <w:r w:rsidRPr="0073584C">
              <w:rPr>
                <w:sz w:val="20"/>
                <w:szCs w:val="20"/>
              </w:rPr>
              <w:t xml:space="preserve"> progress of its fiscal strategy but these are not submitted to the legislature.</w:t>
            </w:r>
          </w:p>
        </w:tc>
      </w:tr>
      <w:tr w:rsidR="001E212D" w:rsidRPr="005A497D" w14:paraId="74147476" w14:textId="77777777" w:rsidTr="002E45F4">
        <w:trPr>
          <w:trHeight w:val="1916"/>
        </w:trPr>
        <w:tc>
          <w:tcPr>
            <w:tcW w:w="675" w:type="dxa"/>
            <w:vAlign w:val="center"/>
          </w:tcPr>
          <w:p w14:paraId="2C95F1EF" w14:textId="77777777" w:rsidR="0073584C" w:rsidRPr="0073584C" w:rsidRDefault="0073584C" w:rsidP="0073584C">
            <w:pPr>
              <w:spacing w:before="40" w:after="40"/>
              <w:ind w:left="-57" w:right="-57"/>
              <w:jc w:val="center"/>
              <w:rPr>
                <w:sz w:val="20"/>
                <w:szCs w:val="20"/>
              </w:rPr>
            </w:pPr>
            <w:r w:rsidRPr="0073584C">
              <w:rPr>
                <w:sz w:val="20"/>
                <w:szCs w:val="20"/>
              </w:rPr>
              <w:t>PI-16</w:t>
            </w:r>
          </w:p>
        </w:tc>
        <w:tc>
          <w:tcPr>
            <w:tcW w:w="2673" w:type="dxa"/>
            <w:vAlign w:val="center"/>
          </w:tcPr>
          <w:p w14:paraId="0F6F1B0B" w14:textId="77777777" w:rsidR="0073584C" w:rsidRPr="0073584C" w:rsidRDefault="0073584C" w:rsidP="0073584C">
            <w:pPr>
              <w:spacing w:before="40" w:after="40"/>
              <w:rPr>
                <w:sz w:val="20"/>
                <w:szCs w:val="20"/>
              </w:rPr>
            </w:pPr>
            <w:r w:rsidRPr="0073584C">
              <w:rPr>
                <w:sz w:val="20"/>
                <w:szCs w:val="20"/>
              </w:rPr>
              <w:t>Medium-term perspective in expenditure budgeting</w:t>
            </w:r>
          </w:p>
        </w:tc>
        <w:tc>
          <w:tcPr>
            <w:tcW w:w="900" w:type="dxa"/>
            <w:vAlign w:val="center"/>
          </w:tcPr>
          <w:p w14:paraId="346D37D5" w14:textId="78DB5B8F" w:rsidR="0073584C" w:rsidRPr="0073584C" w:rsidRDefault="00D37B99" w:rsidP="0073584C">
            <w:pPr>
              <w:spacing w:before="40" w:after="40"/>
              <w:jc w:val="center"/>
              <w:rPr>
                <w:sz w:val="20"/>
                <w:szCs w:val="20"/>
              </w:rPr>
            </w:pPr>
            <w:r>
              <w:rPr>
                <w:sz w:val="20"/>
                <w:szCs w:val="20"/>
              </w:rPr>
              <w:t>A</w:t>
            </w:r>
          </w:p>
        </w:tc>
        <w:tc>
          <w:tcPr>
            <w:tcW w:w="4932" w:type="dxa"/>
            <w:vAlign w:val="center"/>
          </w:tcPr>
          <w:p w14:paraId="5D03C11E" w14:textId="471C1825" w:rsidR="0073584C" w:rsidRPr="0073584C" w:rsidRDefault="00B97E18" w:rsidP="00C13FE4">
            <w:pPr>
              <w:spacing w:before="40" w:after="40"/>
              <w:rPr>
                <w:sz w:val="20"/>
                <w:szCs w:val="20"/>
              </w:rPr>
            </w:pPr>
            <w:r>
              <w:rPr>
                <w:sz w:val="20"/>
                <w:szCs w:val="20"/>
              </w:rPr>
              <w:t>Government</w:t>
            </w:r>
            <w:r w:rsidR="0073584C" w:rsidRPr="0073584C">
              <w:rPr>
                <w:sz w:val="20"/>
                <w:szCs w:val="20"/>
              </w:rPr>
              <w:t xml:space="preserve"> prepares a </w:t>
            </w:r>
            <w:r w:rsidR="00C13FE4">
              <w:rPr>
                <w:sz w:val="20"/>
                <w:szCs w:val="20"/>
              </w:rPr>
              <w:t>3-</w:t>
            </w:r>
            <w:r w:rsidR="0073584C" w:rsidRPr="0073584C">
              <w:rPr>
                <w:sz w:val="20"/>
                <w:szCs w:val="20"/>
              </w:rPr>
              <w:t>year rolling budget allocated by administrative, economic</w:t>
            </w:r>
            <w:r w:rsidR="00C13FE4">
              <w:rPr>
                <w:sz w:val="20"/>
                <w:szCs w:val="20"/>
              </w:rPr>
              <w:t>,</w:t>
            </w:r>
            <w:r w:rsidR="0073584C" w:rsidRPr="0073584C">
              <w:rPr>
                <w:sz w:val="20"/>
                <w:szCs w:val="20"/>
              </w:rPr>
              <w:t xml:space="preserve"> and program classification</w:t>
            </w:r>
            <w:r w:rsidR="00C13FE4">
              <w:rPr>
                <w:sz w:val="20"/>
                <w:szCs w:val="20"/>
              </w:rPr>
              <w:t>;</w:t>
            </w:r>
            <w:r w:rsidR="0073584C" w:rsidRPr="0073584C">
              <w:rPr>
                <w:sz w:val="20"/>
                <w:szCs w:val="20"/>
              </w:rPr>
              <w:t xml:space="preserve"> and </w:t>
            </w:r>
            <w:r w:rsidR="00C13FE4">
              <w:rPr>
                <w:sz w:val="20"/>
                <w:szCs w:val="20"/>
              </w:rPr>
              <w:t>3-</w:t>
            </w:r>
            <w:r w:rsidR="0073584C" w:rsidRPr="0073584C">
              <w:rPr>
                <w:sz w:val="20"/>
                <w:szCs w:val="20"/>
              </w:rPr>
              <w:t xml:space="preserve">year plans include cost information. Budget ceilings based on the agencies’ forward estimates are issued </w:t>
            </w:r>
            <w:r w:rsidR="00D37B99" w:rsidRPr="00D37B99">
              <w:rPr>
                <w:sz w:val="20"/>
                <w:szCs w:val="20"/>
              </w:rPr>
              <w:t>as part of pre-budget documents</w:t>
            </w:r>
            <w:r w:rsidR="0073584C" w:rsidRPr="0073584C">
              <w:rPr>
                <w:sz w:val="20"/>
                <w:szCs w:val="20"/>
              </w:rPr>
              <w:t xml:space="preserve">. Deviations from previous forecasted budget are explained in the budget documents. Majority of agencies align their activities to the priority program of the </w:t>
            </w:r>
            <w:r>
              <w:rPr>
                <w:sz w:val="20"/>
                <w:szCs w:val="20"/>
              </w:rPr>
              <w:t>Government</w:t>
            </w:r>
            <w:r w:rsidR="0073584C" w:rsidRPr="0073584C">
              <w:rPr>
                <w:sz w:val="20"/>
                <w:szCs w:val="20"/>
              </w:rPr>
              <w:t>.</w:t>
            </w:r>
          </w:p>
        </w:tc>
      </w:tr>
      <w:tr w:rsidR="001E212D" w:rsidRPr="005A497D" w14:paraId="12BB9FC6" w14:textId="77777777" w:rsidTr="002E45F4">
        <w:trPr>
          <w:trHeight w:val="1880"/>
        </w:trPr>
        <w:tc>
          <w:tcPr>
            <w:tcW w:w="675" w:type="dxa"/>
            <w:vAlign w:val="center"/>
          </w:tcPr>
          <w:p w14:paraId="4FC4C788" w14:textId="77777777" w:rsidR="0073584C" w:rsidRPr="0073584C" w:rsidRDefault="0073584C" w:rsidP="0073584C">
            <w:pPr>
              <w:spacing w:before="40" w:after="40"/>
              <w:ind w:left="-57" w:right="-57"/>
              <w:jc w:val="center"/>
              <w:rPr>
                <w:sz w:val="20"/>
                <w:szCs w:val="20"/>
              </w:rPr>
            </w:pPr>
            <w:r w:rsidRPr="0073584C">
              <w:rPr>
                <w:sz w:val="20"/>
                <w:szCs w:val="20"/>
              </w:rPr>
              <w:t>PI-17</w:t>
            </w:r>
          </w:p>
        </w:tc>
        <w:tc>
          <w:tcPr>
            <w:tcW w:w="2673" w:type="dxa"/>
            <w:vAlign w:val="center"/>
          </w:tcPr>
          <w:p w14:paraId="4B277F34" w14:textId="77777777" w:rsidR="0073584C" w:rsidRPr="0073584C" w:rsidRDefault="0073584C" w:rsidP="0073584C">
            <w:pPr>
              <w:spacing w:before="40" w:after="40"/>
              <w:rPr>
                <w:sz w:val="20"/>
                <w:szCs w:val="20"/>
              </w:rPr>
            </w:pPr>
            <w:r w:rsidRPr="0073584C">
              <w:rPr>
                <w:sz w:val="20"/>
                <w:szCs w:val="20"/>
              </w:rPr>
              <w:t>Budget preparation process</w:t>
            </w:r>
          </w:p>
        </w:tc>
        <w:tc>
          <w:tcPr>
            <w:tcW w:w="900" w:type="dxa"/>
            <w:vAlign w:val="center"/>
          </w:tcPr>
          <w:p w14:paraId="4547BCB7" w14:textId="77777777" w:rsidR="0073584C" w:rsidRPr="0073584C" w:rsidRDefault="0073584C" w:rsidP="0073584C">
            <w:pPr>
              <w:spacing w:before="40" w:after="40"/>
              <w:jc w:val="center"/>
              <w:rPr>
                <w:sz w:val="20"/>
                <w:szCs w:val="20"/>
              </w:rPr>
            </w:pPr>
            <w:r w:rsidRPr="0073584C">
              <w:rPr>
                <w:sz w:val="20"/>
                <w:szCs w:val="20"/>
              </w:rPr>
              <w:t>A</w:t>
            </w:r>
          </w:p>
        </w:tc>
        <w:tc>
          <w:tcPr>
            <w:tcW w:w="4932" w:type="dxa"/>
            <w:vAlign w:val="center"/>
          </w:tcPr>
          <w:p w14:paraId="6C1F959D" w14:textId="2748DC4B" w:rsidR="0073584C" w:rsidRPr="0073584C" w:rsidRDefault="0073584C" w:rsidP="00B3034D">
            <w:pPr>
              <w:spacing w:before="40" w:after="40"/>
              <w:rPr>
                <w:sz w:val="20"/>
                <w:szCs w:val="20"/>
              </w:rPr>
            </w:pPr>
            <w:r w:rsidRPr="0073584C">
              <w:rPr>
                <w:sz w:val="20"/>
                <w:szCs w:val="20"/>
              </w:rPr>
              <w:t xml:space="preserve">A clear and comprehensive annual budget calendar is issued, allowing sufficient time for submission by departments. The guidance includes the approved “hard” budget ceilings per department and agency. The President has in each of the last </w:t>
            </w:r>
            <w:r w:rsidR="00B3034D">
              <w:rPr>
                <w:sz w:val="20"/>
                <w:szCs w:val="20"/>
              </w:rPr>
              <w:t>3</w:t>
            </w:r>
            <w:r w:rsidR="00B3034D" w:rsidRPr="0073584C">
              <w:rPr>
                <w:sz w:val="20"/>
                <w:szCs w:val="20"/>
              </w:rPr>
              <w:t xml:space="preserve"> </w:t>
            </w:r>
            <w:r w:rsidRPr="0073584C">
              <w:rPr>
                <w:sz w:val="20"/>
                <w:szCs w:val="20"/>
              </w:rPr>
              <w:t xml:space="preserve">years submitted the budget proposal to Congress more than </w:t>
            </w:r>
            <w:r w:rsidR="00B3034D">
              <w:rPr>
                <w:sz w:val="20"/>
                <w:szCs w:val="20"/>
              </w:rPr>
              <w:t>5</w:t>
            </w:r>
            <w:r w:rsidR="00B3034D" w:rsidRPr="0073584C">
              <w:rPr>
                <w:sz w:val="20"/>
                <w:szCs w:val="20"/>
              </w:rPr>
              <w:t xml:space="preserve"> </w:t>
            </w:r>
            <w:r w:rsidRPr="0073584C">
              <w:rPr>
                <w:sz w:val="20"/>
                <w:szCs w:val="20"/>
              </w:rPr>
              <w:t>months before the start of the fiscal year.</w:t>
            </w:r>
          </w:p>
        </w:tc>
      </w:tr>
      <w:tr w:rsidR="001E212D" w:rsidRPr="005A497D" w14:paraId="7337A7C9" w14:textId="77777777" w:rsidTr="001E212D">
        <w:tc>
          <w:tcPr>
            <w:tcW w:w="675" w:type="dxa"/>
            <w:vAlign w:val="center"/>
          </w:tcPr>
          <w:p w14:paraId="42ED2C99" w14:textId="77777777" w:rsidR="0073584C" w:rsidRPr="0073584C" w:rsidRDefault="0073584C" w:rsidP="0073584C">
            <w:pPr>
              <w:spacing w:before="40" w:after="40"/>
              <w:ind w:left="-57" w:right="-57"/>
              <w:jc w:val="center"/>
              <w:rPr>
                <w:sz w:val="20"/>
                <w:szCs w:val="20"/>
              </w:rPr>
            </w:pPr>
            <w:r w:rsidRPr="0073584C">
              <w:rPr>
                <w:sz w:val="20"/>
                <w:szCs w:val="20"/>
              </w:rPr>
              <w:t>PI-18</w:t>
            </w:r>
          </w:p>
        </w:tc>
        <w:tc>
          <w:tcPr>
            <w:tcW w:w="2673" w:type="dxa"/>
            <w:vAlign w:val="center"/>
          </w:tcPr>
          <w:p w14:paraId="1FD4AFDE" w14:textId="77777777" w:rsidR="0073584C" w:rsidRPr="0073584C" w:rsidRDefault="0073584C" w:rsidP="0073584C">
            <w:pPr>
              <w:spacing w:before="40" w:after="40"/>
              <w:rPr>
                <w:sz w:val="20"/>
                <w:szCs w:val="20"/>
              </w:rPr>
            </w:pPr>
            <w:r w:rsidRPr="0073584C">
              <w:rPr>
                <w:sz w:val="20"/>
                <w:szCs w:val="20"/>
              </w:rPr>
              <w:t>Legislative scrutiny of budgets</w:t>
            </w:r>
          </w:p>
        </w:tc>
        <w:tc>
          <w:tcPr>
            <w:tcW w:w="900" w:type="dxa"/>
            <w:vAlign w:val="center"/>
          </w:tcPr>
          <w:p w14:paraId="3D6B99A9" w14:textId="77777777" w:rsidR="0073584C" w:rsidRPr="0073584C" w:rsidRDefault="0073584C" w:rsidP="0073584C">
            <w:pPr>
              <w:spacing w:before="40" w:after="40"/>
              <w:jc w:val="center"/>
              <w:rPr>
                <w:sz w:val="20"/>
                <w:szCs w:val="20"/>
              </w:rPr>
            </w:pPr>
            <w:r w:rsidRPr="0073584C">
              <w:rPr>
                <w:sz w:val="20"/>
                <w:szCs w:val="20"/>
              </w:rPr>
              <w:t>B+</w:t>
            </w:r>
          </w:p>
        </w:tc>
        <w:tc>
          <w:tcPr>
            <w:tcW w:w="4932" w:type="dxa"/>
            <w:vAlign w:val="center"/>
          </w:tcPr>
          <w:p w14:paraId="63F2C335" w14:textId="103A5BDC" w:rsidR="0073584C" w:rsidRPr="0073584C" w:rsidRDefault="0073584C" w:rsidP="00B3034D">
            <w:pPr>
              <w:spacing w:before="40" w:after="40"/>
              <w:rPr>
                <w:sz w:val="20"/>
                <w:szCs w:val="20"/>
              </w:rPr>
            </w:pPr>
            <w:r w:rsidRPr="0073584C">
              <w:rPr>
                <w:sz w:val="20"/>
                <w:szCs w:val="20"/>
              </w:rPr>
              <w:t>Both Houses of Congress have established, comprehensive procedures that are respected</w:t>
            </w:r>
            <w:r w:rsidR="00135A42">
              <w:rPr>
                <w:sz w:val="20"/>
                <w:szCs w:val="20"/>
              </w:rPr>
              <w:t>.</w:t>
            </w:r>
            <w:r w:rsidRPr="0073584C">
              <w:rPr>
                <w:sz w:val="20"/>
                <w:szCs w:val="20"/>
              </w:rPr>
              <w:t xml:space="preserve"> They scrutinize the budget proposal submitted</w:t>
            </w:r>
            <w:r w:rsidR="00B3034D">
              <w:rPr>
                <w:sz w:val="20"/>
                <w:szCs w:val="20"/>
              </w:rPr>
              <w:t>,</w:t>
            </w:r>
            <w:r w:rsidRPr="0073584C">
              <w:rPr>
                <w:sz w:val="20"/>
                <w:szCs w:val="20"/>
              </w:rPr>
              <w:t xml:space="preserve"> which includes fiscal policies, aggregates</w:t>
            </w:r>
            <w:r w:rsidR="00B3034D">
              <w:rPr>
                <w:sz w:val="20"/>
                <w:szCs w:val="20"/>
              </w:rPr>
              <w:t>,</w:t>
            </w:r>
            <w:r w:rsidRPr="0073584C">
              <w:rPr>
                <w:sz w:val="20"/>
                <w:szCs w:val="20"/>
              </w:rPr>
              <w:t xml:space="preserve"> and detailed estimates for revenue and expenditure. MTFF and priorities are not included in the budget document. In each of the last </w:t>
            </w:r>
            <w:r w:rsidR="00B3034D">
              <w:rPr>
                <w:sz w:val="20"/>
                <w:szCs w:val="20"/>
              </w:rPr>
              <w:t>3</w:t>
            </w:r>
            <w:r w:rsidR="00B3034D" w:rsidRPr="0073584C">
              <w:rPr>
                <w:sz w:val="20"/>
                <w:szCs w:val="20"/>
              </w:rPr>
              <w:t xml:space="preserve"> </w:t>
            </w:r>
            <w:r w:rsidRPr="0073584C">
              <w:rPr>
                <w:sz w:val="20"/>
                <w:szCs w:val="20"/>
              </w:rPr>
              <w:t>years, the budget was approved before the start of the fiscal year. Expansion of the total expenditure is not allowed but extensive reallocations are permitted.</w:t>
            </w:r>
          </w:p>
        </w:tc>
      </w:tr>
      <w:tr w:rsidR="0073584C" w:rsidRPr="005A497D" w14:paraId="03FDF990" w14:textId="77777777" w:rsidTr="0073584C">
        <w:tc>
          <w:tcPr>
            <w:tcW w:w="9180" w:type="dxa"/>
            <w:gridSpan w:val="4"/>
            <w:vAlign w:val="center"/>
          </w:tcPr>
          <w:p w14:paraId="392CBA90" w14:textId="77777777" w:rsidR="0073584C" w:rsidRPr="0073584C" w:rsidRDefault="0073584C" w:rsidP="0073584C">
            <w:pPr>
              <w:spacing w:before="40" w:after="40"/>
              <w:rPr>
                <w:b/>
                <w:sz w:val="20"/>
                <w:szCs w:val="20"/>
              </w:rPr>
            </w:pPr>
            <w:r w:rsidRPr="0073584C">
              <w:rPr>
                <w:b/>
                <w:sz w:val="20"/>
                <w:szCs w:val="20"/>
              </w:rPr>
              <w:t>Pillar V. Predictability and Control in Budget Execution</w:t>
            </w:r>
          </w:p>
        </w:tc>
      </w:tr>
      <w:tr w:rsidR="001E212D" w:rsidRPr="005A497D" w14:paraId="35F9BD58" w14:textId="77777777" w:rsidTr="002E45F4">
        <w:trPr>
          <w:trHeight w:val="2708"/>
        </w:trPr>
        <w:tc>
          <w:tcPr>
            <w:tcW w:w="675" w:type="dxa"/>
            <w:vAlign w:val="center"/>
          </w:tcPr>
          <w:p w14:paraId="415BB539" w14:textId="77777777" w:rsidR="0073584C" w:rsidRPr="0073584C" w:rsidRDefault="0073584C" w:rsidP="0073584C">
            <w:pPr>
              <w:spacing w:before="40" w:after="40"/>
              <w:ind w:left="-57" w:right="-57"/>
              <w:jc w:val="center"/>
              <w:rPr>
                <w:sz w:val="20"/>
                <w:szCs w:val="20"/>
              </w:rPr>
            </w:pPr>
            <w:r w:rsidRPr="0073584C">
              <w:rPr>
                <w:sz w:val="20"/>
                <w:szCs w:val="20"/>
              </w:rPr>
              <w:t>PI-19</w:t>
            </w:r>
          </w:p>
        </w:tc>
        <w:tc>
          <w:tcPr>
            <w:tcW w:w="2673" w:type="dxa"/>
            <w:vAlign w:val="center"/>
          </w:tcPr>
          <w:p w14:paraId="7644101D" w14:textId="77777777" w:rsidR="0073584C" w:rsidRPr="0073584C" w:rsidRDefault="0073584C" w:rsidP="0073584C">
            <w:pPr>
              <w:spacing w:before="40" w:after="40"/>
              <w:rPr>
                <w:sz w:val="20"/>
                <w:szCs w:val="20"/>
              </w:rPr>
            </w:pPr>
            <w:r w:rsidRPr="0073584C">
              <w:rPr>
                <w:sz w:val="20"/>
                <w:szCs w:val="20"/>
              </w:rPr>
              <w:t>Revenue administration</w:t>
            </w:r>
          </w:p>
        </w:tc>
        <w:tc>
          <w:tcPr>
            <w:tcW w:w="900" w:type="dxa"/>
            <w:vAlign w:val="center"/>
          </w:tcPr>
          <w:p w14:paraId="2C2B2285" w14:textId="77777777" w:rsidR="0073584C" w:rsidRPr="0073584C" w:rsidRDefault="0073584C" w:rsidP="0073584C">
            <w:pPr>
              <w:spacing w:before="40" w:after="40"/>
              <w:jc w:val="center"/>
              <w:rPr>
                <w:sz w:val="20"/>
                <w:szCs w:val="20"/>
              </w:rPr>
            </w:pPr>
            <w:r w:rsidRPr="0073584C">
              <w:rPr>
                <w:sz w:val="20"/>
                <w:szCs w:val="20"/>
              </w:rPr>
              <w:t>B</w:t>
            </w:r>
          </w:p>
        </w:tc>
        <w:tc>
          <w:tcPr>
            <w:tcW w:w="4932" w:type="dxa"/>
            <w:vAlign w:val="center"/>
          </w:tcPr>
          <w:p w14:paraId="0DD81712" w14:textId="32C15595" w:rsidR="0073584C" w:rsidRPr="0073584C" w:rsidRDefault="0073584C" w:rsidP="00B3034D">
            <w:pPr>
              <w:spacing w:before="40" w:after="40"/>
              <w:rPr>
                <w:sz w:val="20"/>
                <w:szCs w:val="20"/>
              </w:rPr>
            </w:pPr>
            <w:r w:rsidRPr="0073584C">
              <w:rPr>
                <w:sz w:val="20"/>
                <w:szCs w:val="20"/>
              </w:rPr>
              <w:t>BIR provides easy access to comprehensive and up-to-date information about taxpayers</w:t>
            </w:r>
            <w:r w:rsidR="00B3034D">
              <w:rPr>
                <w:sz w:val="20"/>
                <w:szCs w:val="20"/>
              </w:rPr>
              <w:t>’</w:t>
            </w:r>
            <w:r w:rsidRPr="0073584C">
              <w:rPr>
                <w:sz w:val="20"/>
                <w:szCs w:val="20"/>
              </w:rPr>
              <w:t xml:space="preserve"> rights, obligations</w:t>
            </w:r>
            <w:r w:rsidR="00B3034D">
              <w:rPr>
                <w:sz w:val="20"/>
                <w:szCs w:val="20"/>
              </w:rPr>
              <w:t>,</w:t>
            </w:r>
            <w:r w:rsidRPr="0073584C">
              <w:rPr>
                <w:sz w:val="20"/>
                <w:szCs w:val="20"/>
              </w:rPr>
              <w:t xml:space="preserve"> and procedures</w:t>
            </w:r>
            <w:r w:rsidR="00B3034D">
              <w:rPr>
                <w:sz w:val="20"/>
                <w:szCs w:val="20"/>
              </w:rPr>
              <w:t>,</w:t>
            </w:r>
            <w:r w:rsidRPr="0073584C">
              <w:rPr>
                <w:sz w:val="20"/>
                <w:szCs w:val="20"/>
              </w:rPr>
              <w:t xml:space="preserve"> including right to redress. It uses a comprehensive end-to-end compliance improvement strategy for its risk management. </w:t>
            </w:r>
            <w:r w:rsidR="00AC547A">
              <w:rPr>
                <w:sz w:val="20"/>
                <w:szCs w:val="20"/>
              </w:rPr>
              <w:t xml:space="preserve">The </w:t>
            </w:r>
            <w:r w:rsidRPr="0073584C">
              <w:rPr>
                <w:sz w:val="20"/>
                <w:szCs w:val="20"/>
              </w:rPr>
              <w:t xml:space="preserve">DoF Fiscal Intelligence Unit has expanded its scope. BIR conducts audit, investigation and prosecution of cases under the </w:t>
            </w:r>
            <w:r w:rsidR="00B3034D" w:rsidRPr="0073584C">
              <w:rPr>
                <w:sz w:val="20"/>
                <w:szCs w:val="20"/>
              </w:rPr>
              <w:t>Run</w:t>
            </w:r>
            <w:r w:rsidR="00B3034D">
              <w:rPr>
                <w:sz w:val="20"/>
                <w:szCs w:val="20"/>
              </w:rPr>
              <w:t>-</w:t>
            </w:r>
            <w:r w:rsidR="00B3034D" w:rsidRPr="0073584C">
              <w:rPr>
                <w:sz w:val="20"/>
                <w:szCs w:val="20"/>
              </w:rPr>
              <w:t>After</w:t>
            </w:r>
            <w:r w:rsidR="00B3034D">
              <w:rPr>
                <w:sz w:val="20"/>
                <w:szCs w:val="20"/>
              </w:rPr>
              <w:t>-</w:t>
            </w:r>
            <w:r w:rsidR="00B3034D" w:rsidRPr="0073584C">
              <w:rPr>
                <w:sz w:val="20"/>
                <w:szCs w:val="20"/>
              </w:rPr>
              <w:t>Tax</w:t>
            </w:r>
            <w:r w:rsidR="00B3034D">
              <w:rPr>
                <w:sz w:val="20"/>
                <w:szCs w:val="20"/>
              </w:rPr>
              <w:t>-</w:t>
            </w:r>
            <w:r w:rsidRPr="0073584C">
              <w:rPr>
                <w:sz w:val="20"/>
                <w:szCs w:val="20"/>
              </w:rPr>
              <w:t xml:space="preserve">Evaders (RATE) program. </w:t>
            </w:r>
            <w:r w:rsidR="00135A42" w:rsidRPr="00B811A7">
              <w:rPr>
                <w:sz w:val="20"/>
                <w:szCs w:val="20"/>
              </w:rPr>
              <w:t>BoC</w:t>
            </w:r>
            <w:r w:rsidR="00135A42">
              <w:rPr>
                <w:sz w:val="20"/>
                <w:szCs w:val="20"/>
              </w:rPr>
              <w:t xml:space="preserve"> implements </w:t>
            </w:r>
            <w:r w:rsidR="00135A42" w:rsidRPr="00B811A7">
              <w:rPr>
                <w:sz w:val="20"/>
                <w:szCs w:val="20"/>
              </w:rPr>
              <w:t>Run-After-The-Smugglers (RATS) and</w:t>
            </w:r>
            <w:r w:rsidR="00135A42">
              <w:rPr>
                <w:sz w:val="20"/>
                <w:szCs w:val="20"/>
              </w:rPr>
              <w:t xml:space="preserve"> </w:t>
            </w:r>
            <w:r w:rsidR="00135A42" w:rsidRPr="00B811A7">
              <w:rPr>
                <w:sz w:val="20"/>
                <w:szCs w:val="20"/>
              </w:rPr>
              <w:t xml:space="preserve">DoF </w:t>
            </w:r>
            <w:r w:rsidR="00135A42">
              <w:rPr>
                <w:sz w:val="20"/>
                <w:szCs w:val="20"/>
              </w:rPr>
              <w:t xml:space="preserve">created </w:t>
            </w:r>
            <w:r w:rsidR="00135A42" w:rsidRPr="00B811A7">
              <w:rPr>
                <w:sz w:val="20"/>
                <w:szCs w:val="20"/>
              </w:rPr>
              <w:t xml:space="preserve">Fiscal Intelligence Unit to eliminate smuggling. </w:t>
            </w:r>
            <w:r w:rsidR="00135A42" w:rsidRPr="0073584C">
              <w:rPr>
                <w:sz w:val="20"/>
                <w:szCs w:val="20"/>
              </w:rPr>
              <w:t xml:space="preserve"> </w:t>
            </w:r>
            <w:r w:rsidRPr="0073584C">
              <w:rPr>
                <w:sz w:val="20"/>
                <w:szCs w:val="20"/>
              </w:rPr>
              <w:t>Target outputs are exceeded. In 2014, the stock of revenue arrears includes those arrears older than 12 months</w:t>
            </w:r>
            <w:r w:rsidR="00B3034D">
              <w:rPr>
                <w:sz w:val="20"/>
                <w:szCs w:val="20"/>
              </w:rPr>
              <w:t>,</w:t>
            </w:r>
            <w:r w:rsidRPr="0073584C">
              <w:rPr>
                <w:sz w:val="20"/>
                <w:szCs w:val="20"/>
              </w:rPr>
              <w:t xml:space="preserve"> which are </w:t>
            </w:r>
            <w:r w:rsidR="00D37B99">
              <w:rPr>
                <w:sz w:val="20"/>
                <w:szCs w:val="20"/>
              </w:rPr>
              <w:t>more</w:t>
            </w:r>
            <w:r w:rsidRPr="0073584C">
              <w:rPr>
                <w:sz w:val="20"/>
                <w:szCs w:val="20"/>
              </w:rPr>
              <w:t xml:space="preserve"> than 75% of the total revenue arrears.</w:t>
            </w:r>
          </w:p>
        </w:tc>
      </w:tr>
      <w:tr w:rsidR="001E212D" w:rsidRPr="005A497D" w14:paraId="1877C74B" w14:textId="77777777" w:rsidTr="001E212D">
        <w:trPr>
          <w:trHeight w:val="890"/>
        </w:trPr>
        <w:tc>
          <w:tcPr>
            <w:tcW w:w="675" w:type="dxa"/>
            <w:vAlign w:val="center"/>
          </w:tcPr>
          <w:p w14:paraId="48E1AE76" w14:textId="77777777" w:rsidR="0073584C" w:rsidRPr="0073584C" w:rsidRDefault="0073584C" w:rsidP="0073584C">
            <w:pPr>
              <w:spacing w:before="40" w:after="40"/>
              <w:ind w:left="-57" w:right="-57"/>
              <w:jc w:val="center"/>
              <w:rPr>
                <w:sz w:val="20"/>
                <w:szCs w:val="20"/>
              </w:rPr>
            </w:pPr>
            <w:r w:rsidRPr="0073584C">
              <w:rPr>
                <w:sz w:val="20"/>
                <w:szCs w:val="20"/>
              </w:rPr>
              <w:t>PI-20</w:t>
            </w:r>
          </w:p>
        </w:tc>
        <w:tc>
          <w:tcPr>
            <w:tcW w:w="2673" w:type="dxa"/>
            <w:vAlign w:val="center"/>
          </w:tcPr>
          <w:p w14:paraId="14EEC860" w14:textId="44331179" w:rsidR="0073584C" w:rsidRPr="0073584C" w:rsidRDefault="0073584C" w:rsidP="00135A42">
            <w:pPr>
              <w:spacing w:before="40" w:after="40"/>
              <w:rPr>
                <w:sz w:val="20"/>
                <w:szCs w:val="20"/>
              </w:rPr>
            </w:pPr>
            <w:r w:rsidRPr="0073584C">
              <w:rPr>
                <w:sz w:val="20"/>
                <w:szCs w:val="20"/>
              </w:rPr>
              <w:t>Accounting for revenue</w:t>
            </w:r>
          </w:p>
        </w:tc>
        <w:tc>
          <w:tcPr>
            <w:tcW w:w="900" w:type="dxa"/>
            <w:vAlign w:val="center"/>
          </w:tcPr>
          <w:p w14:paraId="2789C6BF" w14:textId="33A3E535" w:rsidR="0073584C" w:rsidRPr="0073584C" w:rsidRDefault="00D37B99" w:rsidP="0073584C">
            <w:pPr>
              <w:spacing w:before="40" w:after="40"/>
              <w:jc w:val="center"/>
              <w:rPr>
                <w:sz w:val="20"/>
                <w:szCs w:val="20"/>
              </w:rPr>
            </w:pPr>
            <w:r>
              <w:rPr>
                <w:sz w:val="20"/>
                <w:szCs w:val="20"/>
              </w:rPr>
              <w:t>A</w:t>
            </w:r>
          </w:p>
        </w:tc>
        <w:tc>
          <w:tcPr>
            <w:tcW w:w="4932" w:type="dxa"/>
            <w:vAlign w:val="center"/>
          </w:tcPr>
          <w:p w14:paraId="6B9A45E1" w14:textId="319CE5EA" w:rsidR="0073584C" w:rsidRPr="0073584C" w:rsidRDefault="0073584C" w:rsidP="0073584C">
            <w:pPr>
              <w:spacing w:before="40" w:after="40"/>
              <w:rPr>
                <w:sz w:val="20"/>
                <w:szCs w:val="20"/>
              </w:rPr>
            </w:pPr>
            <w:r w:rsidRPr="0073584C">
              <w:rPr>
                <w:sz w:val="20"/>
                <w:szCs w:val="20"/>
              </w:rPr>
              <w:t>BIR and BoC comply with TSA. Monthly submissions are consolidated and published by BTr</w:t>
            </w:r>
            <w:r w:rsidR="00B3034D">
              <w:rPr>
                <w:sz w:val="20"/>
                <w:szCs w:val="20"/>
              </w:rPr>
              <w:t>,</w:t>
            </w:r>
            <w:r w:rsidRPr="0073584C">
              <w:rPr>
                <w:sz w:val="20"/>
                <w:szCs w:val="20"/>
              </w:rPr>
              <w:t xml:space="preserve"> which does monthly reconciliations.</w:t>
            </w:r>
          </w:p>
        </w:tc>
      </w:tr>
      <w:tr w:rsidR="001E212D" w:rsidRPr="005A497D" w14:paraId="0E770FB3" w14:textId="77777777" w:rsidTr="002E45F4">
        <w:trPr>
          <w:trHeight w:val="1970"/>
        </w:trPr>
        <w:tc>
          <w:tcPr>
            <w:tcW w:w="675" w:type="dxa"/>
            <w:vAlign w:val="center"/>
          </w:tcPr>
          <w:p w14:paraId="46255A25" w14:textId="77777777" w:rsidR="0073584C" w:rsidRPr="0073584C" w:rsidRDefault="0073584C" w:rsidP="0073584C">
            <w:pPr>
              <w:spacing w:before="40" w:after="40"/>
              <w:ind w:left="-57" w:right="-57"/>
              <w:jc w:val="center"/>
              <w:rPr>
                <w:sz w:val="20"/>
                <w:szCs w:val="20"/>
              </w:rPr>
            </w:pPr>
            <w:r w:rsidRPr="0073584C">
              <w:rPr>
                <w:sz w:val="20"/>
                <w:szCs w:val="20"/>
              </w:rPr>
              <w:t>PI-21</w:t>
            </w:r>
          </w:p>
        </w:tc>
        <w:tc>
          <w:tcPr>
            <w:tcW w:w="2673" w:type="dxa"/>
            <w:vAlign w:val="center"/>
          </w:tcPr>
          <w:p w14:paraId="22000560" w14:textId="77777777" w:rsidR="0073584C" w:rsidRPr="0073584C" w:rsidRDefault="0073584C" w:rsidP="0073584C">
            <w:pPr>
              <w:spacing w:before="40" w:after="40"/>
              <w:rPr>
                <w:sz w:val="20"/>
                <w:szCs w:val="20"/>
              </w:rPr>
            </w:pPr>
            <w:r w:rsidRPr="0073584C">
              <w:rPr>
                <w:sz w:val="20"/>
                <w:szCs w:val="20"/>
              </w:rPr>
              <w:t>Predictability of in-year resource allocation</w:t>
            </w:r>
          </w:p>
        </w:tc>
        <w:tc>
          <w:tcPr>
            <w:tcW w:w="900" w:type="dxa"/>
            <w:vAlign w:val="center"/>
          </w:tcPr>
          <w:p w14:paraId="75DAF5BC" w14:textId="77777777" w:rsidR="0073584C" w:rsidRPr="0073584C" w:rsidRDefault="0073584C" w:rsidP="0073584C">
            <w:pPr>
              <w:spacing w:before="40" w:after="40"/>
              <w:jc w:val="center"/>
              <w:rPr>
                <w:sz w:val="20"/>
                <w:szCs w:val="20"/>
              </w:rPr>
            </w:pPr>
            <w:r w:rsidRPr="0073584C">
              <w:rPr>
                <w:sz w:val="20"/>
                <w:szCs w:val="20"/>
              </w:rPr>
              <w:t>B+</w:t>
            </w:r>
          </w:p>
        </w:tc>
        <w:tc>
          <w:tcPr>
            <w:tcW w:w="4932" w:type="dxa"/>
            <w:vAlign w:val="center"/>
          </w:tcPr>
          <w:p w14:paraId="6C122089" w14:textId="7D60EE78" w:rsidR="0073584C" w:rsidRPr="0073584C" w:rsidRDefault="0073584C" w:rsidP="00B3034D">
            <w:pPr>
              <w:spacing w:before="40" w:after="40"/>
              <w:rPr>
                <w:sz w:val="20"/>
                <w:szCs w:val="20"/>
              </w:rPr>
            </w:pPr>
            <w:r w:rsidRPr="0073584C">
              <w:rPr>
                <w:sz w:val="20"/>
                <w:szCs w:val="20"/>
              </w:rPr>
              <w:t xml:space="preserve">TSA is in place for revenues collected by BIR and BoC and is being rolled out for expenditure. Accounts for foreign-funded projects and those trust accounts with legal basis remain outside the TSA. Cash flow forecast is prepared and updated monthly. Departments can commit for a </w:t>
            </w:r>
            <w:r w:rsidR="00B3034D">
              <w:rPr>
                <w:sz w:val="20"/>
                <w:szCs w:val="20"/>
              </w:rPr>
              <w:t>6-</w:t>
            </w:r>
            <w:r w:rsidRPr="0073584C">
              <w:rPr>
                <w:sz w:val="20"/>
                <w:szCs w:val="20"/>
              </w:rPr>
              <w:t>month horizon and any realignment requires request by the concerned department or agency and should be approved by DBM.</w:t>
            </w:r>
          </w:p>
        </w:tc>
      </w:tr>
      <w:tr w:rsidR="001E212D" w:rsidRPr="005A497D" w14:paraId="0C78FC36" w14:textId="77777777" w:rsidTr="002E45F4">
        <w:trPr>
          <w:trHeight w:val="1070"/>
        </w:trPr>
        <w:tc>
          <w:tcPr>
            <w:tcW w:w="675" w:type="dxa"/>
            <w:vAlign w:val="center"/>
          </w:tcPr>
          <w:p w14:paraId="08A1F71C" w14:textId="77777777" w:rsidR="00D37B99" w:rsidRPr="0073584C" w:rsidRDefault="00D37B99" w:rsidP="00D37B99">
            <w:pPr>
              <w:spacing w:before="40" w:after="40"/>
              <w:ind w:left="-57" w:right="-57"/>
              <w:jc w:val="center"/>
              <w:rPr>
                <w:sz w:val="20"/>
                <w:szCs w:val="20"/>
              </w:rPr>
            </w:pPr>
            <w:r w:rsidRPr="0073584C">
              <w:rPr>
                <w:sz w:val="20"/>
                <w:szCs w:val="20"/>
              </w:rPr>
              <w:t>PI-22</w:t>
            </w:r>
          </w:p>
        </w:tc>
        <w:tc>
          <w:tcPr>
            <w:tcW w:w="2673" w:type="dxa"/>
            <w:vAlign w:val="center"/>
          </w:tcPr>
          <w:p w14:paraId="48919FAC" w14:textId="77777777" w:rsidR="00D37B99" w:rsidRPr="0073584C" w:rsidRDefault="00D37B99" w:rsidP="00D37B99">
            <w:pPr>
              <w:spacing w:before="40" w:after="40"/>
              <w:rPr>
                <w:sz w:val="20"/>
                <w:szCs w:val="20"/>
              </w:rPr>
            </w:pPr>
            <w:r w:rsidRPr="0073584C">
              <w:rPr>
                <w:sz w:val="20"/>
                <w:szCs w:val="20"/>
              </w:rPr>
              <w:t>Expenditure arrears</w:t>
            </w:r>
          </w:p>
        </w:tc>
        <w:tc>
          <w:tcPr>
            <w:tcW w:w="900" w:type="dxa"/>
            <w:vAlign w:val="center"/>
          </w:tcPr>
          <w:p w14:paraId="15A773A9" w14:textId="0DE5F307" w:rsidR="00D37B99" w:rsidRPr="00D37B99" w:rsidRDefault="00D37B99" w:rsidP="00D37B99">
            <w:pPr>
              <w:spacing w:before="40" w:after="40"/>
              <w:jc w:val="center"/>
              <w:rPr>
                <w:sz w:val="20"/>
                <w:szCs w:val="20"/>
              </w:rPr>
            </w:pPr>
            <w:r w:rsidRPr="00B3034D">
              <w:rPr>
                <w:sz w:val="20"/>
                <w:szCs w:val="20"/>
              </w:rPr>
              <w:t>C+</w:t>
            </w:r>
          </w:p>
        </w:tc>
        <w:tc>
          <w:tcPr>
            <w:tcW w:w="4932" w:type="dxa"/>
            <w:vAlign w:val="center"/>
          </w:tcPr>
          <w:p w14:paraId="540CDCA1" w14:textId="0AA96151" w:rsidR="00D37B99" w:rsidRPr="00D37B99" w:rsidRDefault="00D37B99" w:rsidP="00B3034D">
            <w:pPr>
              <w:spacing w:before="40" w:after="40"/>
              <w:rPr>
                <w:sz w:val="20"/>
                <w:szCs w:val="20"/>
              </w:rPr>
            </w:pPr>
            <w:r w:rsidRPr="00B3034D">
              <w:rPr>
                <w:sz w:val="20"/>
                <w:szCs w:val="20"/>
              </w:rPr>
              <w:t xml:space="preserve">CoA requirement for the submission of year-end reports includes the aging of expenditure arrears. Stock of expenditures arrears is no more than 6% of the total obligations incurred for the past </w:t>
            </w:r>
            <w:r w:rsidR="00B3034D">
              <w:rPr>
                <w:sz w:val="20"/>
                <w:szCs w:val="20"/>
              </w:rPr>
              <w:t>3</w:t>
            </w:r>
            <w:r w:rsidR="00B3034D" w:rsidRPr="00B3034D">
              <w:rPr>
                <w:sz w:val="20"/>
                <w:szCs w:val="20"/>
              </w:rPr>
              <w:t xml:space="preserve"> </w:t>
            </w:r>
            <w:r w:rsidRPr="00B3034D">
              <w:rPr>
                <w:sz w:val="20"/>
                <w:szCs w:val="20"/>
              </w:rPr>
              <w:t>years.</w:t>
            </w:r>
          </w:p>
        </w:tc>
      </w:tr>
      <w:tr w:rsidR="001E212D" w:rsidRPr="005A497D" w14:paraId="282B3174" w14:textId="77777777" w:rsidTr="001E212D">
        <w:trPr>
          <w:trHeight w:val="2060"/>
        </w:trPr>
        <w:tc>
          <w:tcPr>
            <w:tcW w:w="675" w:type="dxa"/>
            <w:vAlign w:val="center"/>
          </w:tcPr>
          <w:p w14:paraId="1870506D" w14:textId="77777777" w:rsidR="00D37B99" w:rsidRPr="0073584C" w:rsidRDefault="00D37B99" w:rsidP="00D37B99">
            <w:pPr>
              <w:spacing w:before="40" w:after="40"/>
              <w:ind w:left="-57" w:right="-57"/>
              <w:jc w:val="center"/>
              <w:rPr>
                <w:sz w:val="20"/>
                <w:szCs w:val="20"/>
              </w:rPr>
            </w:pPr>
            <w:r w:rsidRPr="0073584C">
              <w:rPr>
                <w:sz w:val="20"/>
                <w:szCs w:val="20"/>
              </w:rPr>
              <w:t>PI-23</w:t>
            </w:r>
          </w:p>
        </w:tc>
        <w:tc>
          <w:tcPr>
            <w:tcW w:w="2673" w:type="dxa"/>
            <w:vAlign w:val="center"/>
          </w:tcPr>
          <w:p w14:paraId="27CA30E7" w14:textId="77777777" w:rsidR="00D37B99" w:rsidRPr="0073584C" w:rsidRDefault="00D37B99" w:rsidP="00D37B99">
            <w:pPr>
              <w:spacing w:before="40" w:after="40"/>
              <w:rPr>
                <w:sz w:val="20"/>
                <w:szCs w:val="20"/>
              </w:rPr>
            </w:pPr>
            <w:r w:rsidRPr="0073584C">
              <w:rPr>
                <w:sz w:val="20"/>
                <w:szCs w:val="20"/>
              </w:rPr>
              <w:t>Payroll controls</w:t>
            </w:r>
          </w:p>
        </w:tc>
        <w:tc>
          <w:tcPr>
            <w:tcW w:w="900" w:type="dxa"/>
            <w:vAlign w:val="center"/>
          </w:tcPr>
          <w:p w14:paraId="12C2D674" w14:textId="0BC9811B" w:rsidR="00D37B99" w:rsidRPr="00D37B99" w:rsidRDefault="00D37B99" w:rsidP="00D37B99">
            <w:pPr>
              <w:spacing w:before="40" w:after="40"/>
              <w:jc w:val="center"/>
              <w:rPr>
                <w:sz w:val="20"/>
                <w:szCs w:val="20"/>
              </w:rPr>
            </w:pPr>
            <w:r w:rsidRPr="00B3034D">
              <w:rPr>
                <w:sz w:val="20"/>
                <w:szCs w:val="20"/>
              </w:rPr>
              <w:t>B</w:t>
            </w:r>
            <w:r w:rsidR="008D2989">
              <w:rPr>
                <w:sz w:val="20"/>
                <w:szCs w:val="20"/>
              </w:rPr>
              <w:t>+</w:t>
            </w:r>
          </w:p>
        </w:tc>
        <w:tc>
          <w:tcPr>
            <w:tcW w:w="4932" w:type="dxa"/>
            <w:vAlign w:val="center"/>
          </w:tcPr>
          <w:p w14:paraId="57A9CD06" w14:textId="12068559" w:rsidR="00D37B99" w:rsidRPr="00D37B99" w:rsidRDefault="00D37B99" w:rsidP="00B3034D">
            <w:pPr>
              <w:spacing w:before="40" w:after="40"/>
              <w:rPr>
                <w:sz w:val="20"/>
                <w:szCs w:val="20"/>
              </w:rPr>
            </w:pPr>
            <w:r w:rsidRPr="00B3034D">
              <w:rPr>
                <w:sz w:val="20"/>
                <w:szCs w:val="20"/>
              </w:rPr>
              <w:t>Payroll and personnel records are not integrated</w:t>
            </w:r>
            <w:r w:rsidR="00B3034D">
              <w:rPr>
                <w:sz w:val="20"/>
                <w:szCs w:val="20"/>
              </w:rPr>
              <w:t>,</w:t>
            </w:r>
            <w:r w:rsidRPr="00B3034D">
              <w:rPr>
                <w:sz w:val="20"/>
                <w:szCs w:val="20"/>
              </w:rPr>
              <w:t xml:space="preserve"> but reconciliation is conducted monthly. Changes are processed timely</w:t>
            </w:r>
            <w:r w:rsidR="00B3034D">
              <w:rPr>
                <w:sz w:val="20"/>
                <w:szCs w:val="20"/>
              </w:rPr>
              <w:t>,</w:t>
            </w:r>
            <w:r w:rsidRPr="00B3034D">
              <w:rPr>
                <w:sz w:val="20"/>
                <w:szCs w:val="20"/>
              </w:rPr>
              <w:t xml:space="preserve"> but delays may occur in receipt of documents to initiate the process. Biome</w:t>
            </w:r>
            <w:r w:rsidR="00B3034D">
              <w:rPr>
                <w:sz w:val="20"/>
                <w:szCs w:val="20"/>
              </w:rPr>
              <w:t>t</w:t>
            </w:r>
            <w:r w:rsidRPr="00B3034D">
              <w:rPr>
                <w:sz w:val="20"/>
                <w:szCs w:val="20"/>
              </w:rPr>
              <w:t>ric attendance systems minimize the risk of ghost workers</w:t>
            </w:r>
            <w:r w:rsidR="00B3034D">
              <w:rPr>
                <w:sz w:val="20"/>
                <w:szCs w:val="20"/>
              </w:rPr>
              <w:t>,</w:t>
            </w:r>
            <w:r w:rsidRPr="00B3034D">
              <w:rPr>
                <w:sz w:val="20"/>
                <w:szCs w:val="20"/>
              </w:rPr>
              <w:t xml:space="preserve"> and specific procedures are conducted in audit as well. Control exists on the authority and basis for the changes to </w:t>
            </w:r>
            <w:r w:rsidR="009D0CBA">
              <w:rPr>
                <w:sz w:val="20"/>
                <w:szCs w:val="20"/>
              </w:rPr>
              <w:t>personnel</w:t>
            </w:r>
            <w:r w:rsidRPr="00B3034D">
              <w:rPr>
                <w:sz w:val="20"/>
                <w:szCs w:val="20"/>
              </w:rPr>
              <w:t xml:space="preserve"> records and payroll.</w:t>
            </w:r>
          </w:p>
        </w:tc>
      </w:tr>
      <w:tr w:rsidR="001E212D" w:rsidRPr="005A497D" w14:paraId="414FE4F4" w14:textId="77777777" w:rsidTr="002E45F4">
        <w:trPr>
          <w:trHeight w:val="2510"/>
        </w:trPr>
        <w:tc>
          <w:tcPr>
            <w:tcW w:w="675" w:type="dxa"/>
            <w:vAlign w:val="center"/>
          </w:tcPr>
          <w:p w14:paraId="1C14F38D" w14:textId="77777777" w:rsidR="0073584C" w:rsidRPr="0073584C" w:rsidRDefault="0073584C" w:rsidP="0073584C">
            <w:pPr>
              <w:spacing w:before="40" w:after="40"/>
              <w:ind w:left="-57" w:right="-57"/>
              <w:jc w:val="center"/>
              <w:rPr>
                <w:sz w:val="20"/>
                <w:szCs w:val="20"/>
              </w:rPr>
            </w:pPr>
            <w:r w:rsidRPr="0073584C">
              <w:rPr>
                <w:sz w:val="20"/>
                <w:szCs w:val="20"/>
              </w:rPr>
              <w:t>PI-24</w:t>
            </w:r>
          </w:p>
        </w:tc>
        <w:tc>
          <w:tcPr>
            <w:tcW w:w="2673" w:type="dxa"/>
            <w:vAlign w:val="center"/>
          </w:tcPr>
          <w:p w14:paraId="6AD03BD7" w14:textId="77777777" w:rsidR="0073584C" w:rsidRPr="0073584C" w:rsidRDefault="0073584C" w:rsidP="0073584C">
            <w:pPr>
              <w:spacing w:before="40" w:after="40"/>
              <w:rPr>
                <w:sz w:val="20"/>
                <w:szCs w:val="20"/>
              </w:rPr>
            </w:pPr>
            <w:r w:rsidRPr="0073584C">
              <w:rPr>
                <w:sz w:val="20"/>
                <w:szCs w:val="20"/>
              </w:rPr>
              <w:t>Procurement management</w:t>
            </w:r>
          </w:p>
        </w:tc>
        <w:tc>
          <w:tcPr>
            <w:tcW w:w="900" w:type="dxa"/>
            <w:vAlign w:val="center"/>
          </w:tcPr>
          <w:p w14:paraId="51949C38" w14:textId="77777777" w:rsidR="0073584C" w:rsidRPr="0073584C" w:rsidRDefault="0073584C" w:rsidP="0073584C">
            <w:pPr>
              <w:spacing w:before="40" w:after="40"/>
              <w:jc w:val="center"/>
              <w:rPr>
                <w:sz w:val="20"/>
                <w:szCs w:val="20"/>
              </w:rPr>
            </w:pPr>
            <w:r w:rsidRPr="0073584C">
              <w:rPr>
                <w:sz w:val="20"/>
                <w:szCs w:val="20"/>
              </w:rPr>
              <w:t>C+</w:t>
            </w:r>
          </w:p>
        </w:tc>
        <w:tc>
          <w:tcPr>
            <w:tcW w:w="4932" w:type="dxa"/>
            <w:vAlign w:val="center"/>
          </w:tcPr>
          <w:p w14:paraId="4D39E696" w14:textId="76321995" w:rsidR="0073584C" w:rsidRPr="0073584C" w:rsidRDefault="0073584C" w:rsidP="00135A42">
            <w:pPr>
              <w:spacing w:before="40" w:after="40"/>
              <w:rPr>
                <w:sz w:val="20"/>
                <w:szCs w:val="20"/>
              </w:rPr>
            </w:pPr>
            <w:r w:rsidRPr="0073584C">
              <w:rPr>
                <w:sz w:val="20"/>
                <w:szCs w:val="20"/>
              </w:rPr>
              <w:t>APCPI maintains data for contracts on content, value and vendor.  The data are accurate and complete for most of the contracts procured using different methods for goods, services</w:t>
            </w:r>
            <w:r w:rsidR="00B3034D">
              <w:rPr>
                <w:sz w:val="20"/>
                <w:szCs w:val="20"/>
              </w:rPr>
              <w:t>,</w:t>
            </w:r>
            <w:r w:rsidRPr="0073584C">
              <w:rPr>
                <w:sz w:val="20"/>
                <w:szCs w:val="20"/>
              </w:rPr>
              <w:t xml:space="preserve"> and works. 74% of contracts in 2014 were awarded through competitive methods. </w:t>
            </w:r>
            <w:r w:rsidR="00135A42">
              <w:rPr>
                <w:sz w:val="20"/>
                <w:szCs w:val="20"/>
              </w:rPr>
              <w:t>5</w:t>
            </w:r>
            <w:r w:rsidRPr="0073584C">
              <w:rPr>
                <w:sz w:val="20"/>
                <w:szCs w:val="20"/>
              </w:rPr>
              <w:t xml:space="preserve"> of the 6 key procurement information elements are complete and reliable for NGAs representing 75% of procurement operations (by value). There is no independent administrative procurement complaints system provided for under the Government Procurement Reform Act.</w:t>
            </w:r>
          </w:p>
        </w:tc>
      </w:tr>
      <w:tr w:rsidR="001E212D" w:rsidRPr="005A497D" w14:paraId="4F480F6C" w14:textId="77777777" w:rsidTr="001E212D">
        <w:trPr>
          <w:trHeight w:val="593"/>
        </w:trPr>
        <w:tc>
          <w:tcPr>
            <w:tcW w:w="675" w:type="dxa"/>
            <w:vAlign w:val="center"/>
          </w:tcPr>
          <w:p w14:paraId="310F4407" w14:textId="77777777" w:rsidR="00D37B99" w:rsidRPr="0073584C" w:rsidRDefault="00D37B99" w:rsidP="00D37B99">
            <w:pPr>
              <w:spacing w:before="40" w:after="40"/>
              <w:ind w:left="-57" w:right="-57"/>
              <w:jc w:val="center"/>
              <w:rPr>
                <w:sz w:val="20"/>
                <w:szCs w:val="20"/>
              </w:rPr>
            </w:pPr>
            <w:r w:rsidRPr="0073584C">
              <w:rPr>
                <w:sz w:val="20"/>
                <w:szCs w:val="20"/>
              </w:rPr>
              <w:t>PI-25</w:t>
            </w:r>
          </w:p>
        </w:tc>
        <w:tc>
          <w:tcPr>
            <w:tcW w:w="2673" w:type="dxa"/>
            <w:vAlign w:val="center"/>
          </w:tcPr>
          <w:p w14:paraId="31B17CC9" w14:textId="77777777" w:rsidR="00D37B99" w:rsidRPr="0073584C" w:rsidRDefault="00D37B99" w:rsidP="00D37B99">
            <w:pPr>
              <w:spacing w:before="40" w:after="40"/>
              <w:rPr>
                <w:sz w:val="20"/>
                <w:szCs w:val="20"/>
              </w:rPr>
            </w:pPr>
            <w:r w:rsidRPr="0073584C">
              <w:rPr>
                <w:sz w:val="20"/>
                <w:szCs w:val="20"/>
              </w:rPr>
              <w:t>Internal controls on non-salary expenditure</w:t>
            </w:r>
          </w:p>
        </w:tc>
        <w:tc>
          <w:tcPr>
            <w:tcW w:w="900" w:type="dxa"/>
            <w:vAlign w:val="center"/>
          </w:tcPr>
          <w:p w14:paraId="010D065C" w14:textId="2F95D4C7" w:rsidR="00D37B99" w:rsidRPr="00D37B99" w:rsidRDefault="00D37B99" w:rsidP="00D37B99">
            <w:pPr>
              <w:spacing w:before="40" w:after="40"/>
              <w:jc w:val="center"/>
              <w:rPr>
                <w:sz w:val="20"/>
                <w:szCs w:val="20"/>
              </w:rPr>
            </w:pPr>
            <w:r w:rsidRPr="00B3034D">
              <w:rPr>
                <w:sz w:val="20"/>
                <w:szCs w:val="20"/>
              </w:rPr>
              <w:t>B+</w:t>
            </w:r>
          </w:p>
        </w:tc>
        <w:tc>
          <w:tcPr>
            <w:tcW w:w="4932" w:type="dxa"/>
            <w:vAlign w:val="center"/>
          </w:tcPr>
          <w:p w14:paraId="6BB9BB01" w14:textId="46539E91" w:rsidR="00D37B99" w:rsidRPr="00D37B99" w:rsidRDefault="00D37B99" w:rsidP="00D37B99">
            <w:pPr>
              <w:spacing w:before="40" w:after="40"/>
              <w:rPr>
                <w:sz w:val="20"/>
                <w:szCs w:val="20"/>
              </w:rPr>
            </w:pPr>
            <w:r w:rsidRPr="00B3034D">
              <w:rPr>
                <w:sz w:val="20"/>
                <w:szCs w:val="20"/>
              </w:rPr>
              <w:t>NGICS prescribes a comprehensive set of controls</w:t>
            </w:r>
            <w:r w:rsidR="00BA6C1B">
              <w:rPr>
                <w:sz w:val="20"/>
                <w:szCs w:val="20"/>
              </w:rPr>
              <w:t>,</w:t>
            </w:r>
            <w:r w:rsidRPr="00B3034D">
              <w:rPr>
                <w:sz w:val="20"/>
                <w:szCs w:val="20"/>
              </w:rPr>
              <w:t xml:space="preserve"> including segregation of duties. Commitment controls exist but with continuing appropriations</w:t>
            </w:r>
            <w:r w:rsidR="00BA6C1B">
              <w:rPr>
                <w:sz w:val="20"/>
                <w:szCs w:val="20"/>
              </w:rPr>
              <w:t>,</w:t>
            </w:r>
            <w:r w:rsidRPr="00B3034D">
              <w:rPr>
                <w:sz w:val="20"/>
                <w:szCs w:val="20"/>
              </w:rPr>
              <w:t xml:space="preserve"> and absence of automation are challenging to monitor. Most CoA audit opinions are modified</w:t>
            </w:r>
            <w:r w:rsidR="00BA6C1B">
              <w:rPr>
                <w:sz w:val="20"/>
                <w:szCs w:val="20"/>
              </w:rPr>
              <w:t>,</w:t>
            </w:r>
            <w:r w:rsidRPr="00B3034D">
              <w:rPr>
                <w:sz w:val="20"/>
                <w:szCs w:val="20"/>
              </w:rPr>
              <w:t xml:space="preserve"> but instances on non-compliance with payment procedures are not the main cause.</w:t>
            </w:r>
          </w:p>
        </w:tc>
      </w:tr>
      <w:tr w:rsidR="001E212D" w:rsidRPr="005A497D" w14:paraId="7F1D601B" w14:textId="77777777" w:rsidTr="001E212D">
        <w:tc>
          <w:tcPr>
            <w:tcW w:w="675" w:type="dxa"/>
            <w:vAlign w:val="center"/>
          </w:tcPr>
          <w:p w14:paraId="1A848392" w14:textId="77777777" w:rsidR="0073584C" w:rsidRPr="0073584C" w:rsidRDefault="0073584C" w:rsidP="0073584C">
            <w:pPr>
              <w:spacing w:before="40" w:after="40"/>
              <w:ind w:left="-57" w:right="-57"/>
              <w:jc w:val="center"/>
              <w:rPr>
                <w:sz w:val="20"/>
                <w:szCs w:val="20"/>
              </w:rPr>
            </w:pPr>
            <w:r w:rsidRPr="0073584C">
              <w:rPr>
                <w:sz w:val="20"/>
                <w:szCs w:val="20"/>
              </w:rPr>
              <w:t>PI-26</w:t>
            </w:r>
          </w:p>
        </w:tc>
        <w:tc>
          <w:tcPr>
            <w:tcW w:w="2673" w:type="dxa"/>
            <w:vAlign w:val="center"/>
          </w:tcPr>
          <w:p w14:paraId="68B829A4" w14:textId="77777777" w:rsidR="0073584C" w:rsidRPr="0073584C" w:rsidRDefault="0073584C" w:rsidP="0073584C">
            <w:pPr>
              <w:spacing w:before="40" w:after="40"/>
              <w:rPr>
                <w:sz w:val="20"/>
                <w:szCs w:val="20"/>
              </w:rPr>
            </w:pPr>
            <w:r w:rsidRPr="0073584C">
              <w:rPr>
                <w:sz w:val="20"/>
                <w:szCs w:val="20"/>
              </w:rPr>
              <w:t>Internal audit</w:t>
            </w:r>
          </w:p>
        </w:tc>
        <w:tc>
          <w:tcPr>
            <w:tcW w:w="900" w:type="dxa"/>
            <w:vAlign w:val="center"/>
          </w:tcPr>
          <w:p w14:paraId="7C225BDB" w14:textId="77777777" w:rsidR="0073584C" w:rsidRPr="0073584C" w:rsidRDefault="0073584C" w:rsidP="0073584C">
            <w:pPr>
              <w:spacing w:before="40" w:after="40"/>
              <w:jc w:val="center"/>
              <w:rPr>
                <w:sz w:val="20"/>
                <w:szCs w:val="20"/>
              </w:rPr>
            </w:pPr>
            <w:r w:rsidRPr="0073584C">
              <w:rPr>
                <w:sz w:val="20"/>
                <w:szCs w:val="20"/>
              </w:rPr>
              <w:t>C+</w:t>
            </w:r>
          </w:p>
        </w:tc>
        <w:tc>
          <w:tcPr>
            <w:tcW w:w="4932" w:type="dxa"/>
            <w:vAlign w:val="center"/>
          </w:tcPr>
          <w:p w14:paraId="4D2AD43F" w14:textId="10F6E816" w:rsidR="0073584C" w:rsidRPr="0073584C" w:rsidRDefault="0073584C" w:rsidP="00D37B99">
            <w:pPr>
              <w:spacing w:before="40" w:after="40"/>
              <w:rPr>
                <w:sz w:val="20"/>
                <w:szCs w:val="20"/>
              </w:rPr>
            </w:pPr>
            <w:r w:rsidRPr="0073584C">
              <w:rPr>
                <w:sz w:val="20"/>
                <w:szCs w:val="20"/>
              </w:rPr>
              <w:t>Internal audit units are established in all agencies conducting compliance, operations and management audit. Quality assurance does not exist and reports are submitted only to the head of the entity audited. Audit programs prepared are completed but with delays and responses to recommendations are received from management within 12 months.</w:t>
            </w:r>
          </w:p>
        </w:tc>
      </w:tr>
      <w:tr w:rsidR="0073584C" w:rsidRPr="005A497D" w14:paraId="158CA5B3" w14:textId="77777777" w:rsidTr="0073584C">
        <w:tc>
          <w:tcPr>
            <w:tcW w:w="9180" w:type="dxa"/>
            <w:gridSpan w:val="4"/>
            <w:vAlign w:val="center"/>
          </w:tcPr>
          <w:p w14:paraId="24FCE93E" w14:textId="77777777" w:rsidR="0073584C" w:rsidRPr="0073584C" w:rsidRDefault="0073584C" w:rsidP="0073584C">
            <w:pPr>
              <w:spacing w:before="40" w:after="40"/>
              <w:rPr>
                <w:b/>
                <w:sz w:val="20"/>
                <w:szCs w:val="20"/>
              </w:rPr>
            </w:pPr>
            <w:r w:rsidRPr="0073584C">
              <w:rPr>
                <w:b/>
                <w:sz w:val="20"/>
                <w:szCs w:val="20"/>
              </w:rPr>
              <w:t>Pillar VI. Accounting and Reporting</w:t>
            </w:r>
          </w:p>
        </w:tc>
      </w:tr>
      <w:tr w:rsidR="001E212D" w:rsidRPr="005A497D" w14:paraId="10A444B7" w14:textId="77777777" w:rsidTr="002E45F4">
        <w:trPr>
          <w:trHeight w:val="1430"/>
        </w:trPr>
        <w:tc>
          <w:tcPr>
            <w:tcW w:w="675" w:type="dxa"/>
            <w:vAlign w:val="center"/>
          </w:tcPr>
          <w:p w14:paraId="4FBD8404" w14:textId="77777777" w:rsidR="0073584C" w:rsidRPr="0073584C" w:rsidRDefault="0073584C" w:rsidP="0073584C">
            <w:pPr>
              <w:spacing w:before="40" w:after="40"/>
              <w:ind w:left="-57" w:right="-57"/>
              <w:jc w:val="center"/>
              <w:rPr>
                <w:sz w:val="20"/>
                <w:szCs w:val="20"/>
              </w:rPr>
            </w:pPr>
            <w:r w:rsidRPr="0073584C">
              <w:rPr>
                <w:sz w:val="20"/>
                <w:szCs w:val="20"/>
              </w:rPr>
              <w:t>PI-27</w:t>
            </w:r>
          </w:p>
        </w:tc>
        <w:tc>
          <w:tcPr>
            <w:tcW w:w="2673" w:type="dxa"/>
            <w:vAlign w:val="center"/>
          </w:tcPr>
          <w:p w14:paraId="347E6BF0" w14:textId="77777777" w:rsidR="0073584C" w:rsidRPr="0073584C" w:rsidRDefault="0073584C" w:rsidP="0073584C">
            <w:pPr>
              <w:spacing w:before="40" w:after="40"/>
              <w:rPr>
                <w:sz w:val="20"/>
                <w:szCs w:val="20"/>
              </w:rPr>
            </w:pPr>
            <w:r w:rsidRPr="0073584C">
              <w:rPr>
                <w:sz w:val="20"/>
                <w:szCs w:val="20"/>
              </w:rPr>
              <w:t>Financial data integrity</w:t>
            </w:r>
          </w:p>
        </w:tc>
        <w:tc>
          <w:tcPr>
            <w:tcW w:w="900" w:type="dxa"/>
            <w:vAlign w:val="center"/>
          </w:tcPr>
          <w:p w14:paraId="70FFB1E6" w14:textId="6B324B70" w:rsidR="0073584C" w:rsidRPr="0073584C" w:rsidRDefault="00D37B99" w:rsidP="0073584C">
            <w:pPr>
              <w:spacing w:before="40" w:after="40"/>
              <w:jc w:val="center"/>
              <w:rPr>
                <w:sz w:val="20"/>
                <w:szCs w:val="20"/>
              </w:rPr>
            </w:pPr>
            <w:r>
              <w:rPr>
                <w:sz w:val="20"/>
                <w:szCs w:val="20"/>
              </w:rPr>
              <w:t>C</w:t>
            </w:r>
            <w:r w:rsidR="0073584C" w:rsidRPr="0073584C">
              <w:rPr>
                <w:sz w:val="20"/>
                <w:szCs w:val="20"/>
              </w:rPr>
              <w:t>+</w:t>
            </w:r>
          </w:p>
        </w:tc>
        <w:tc>
          <w:tcPr>
            <w:tcW w:w="4932" w:type="dxa"/>
            <w:vAlign w:val="center"/>
          </w:tcPr>
          <w:p w14:paraId="1C58AAFC" w14:textId="39A987D4" w:rsidR="0073584C" w:rsidRPr="0073584C" w:rsidRDefault="0073584C" w:rsidP="00165C1F">
            <w:pPr>
              <w:spacing w:before="40" w:after="40"/>
              <w:rPr>
                <w:sz w:val="20"/>
                <w:szCs w:val="20"/>
              </w:rPr>
            </w:pPr>
            <w:r w:rsidRPr="0073584C">
              <w:rPr>
                <w:sz w:val="20"/>
                <w:szCs w:val="20"/>
              </w:rPr>
              <w:t xml:space="preserve">Reconciliation of </w:t>
            </w:r>
            <w:r w:rsidR="00165C1F">
              <w:rPr>
                <w:sz w:val="20"/>
                <w:szCs w:val="20"/>
              </w:rPr>
              <w:t>b</w:t>
            </w:r>
            <w:r w:rsidR="00165C1F" w:rsidRPr="0073584C">
              <w:rPr>
                <w:sz w:val="20"/>
                <w:szCs w:val="20"/>
              </w:rPr>
              <w:t xml:space="preserve">ank </w:t>
            </w:r>
            <w:r w:rsidRPr="0073584C">
              <w:rPr>
                <w:sz w:val="20"/>
                <w:szCs w:val="20"/>
              </w:rPr>
              <w:t xml:space="preserve">accounts </w:t>
            </w:r>
            <w:r w:rsidR="00D37B99" w:rsidRPr="00D37B99">
              <w:rPr>
                <w:sz w:val="20"/>
                <w:szCs w:val="20"/>
              </w:rPr>
              <w:t>and clearance of advances occurs with much delay</w:t>
            </w:r>
            <w:r w:rsidRPr="0073584C">
              <w:rPr>
                <w:sz w:val="20"/>
                <w:szCs w:val="20"/>
              </w:rPr>
              <w:t>. While access to records is restricted, often without audit trail, the quality and reliability of financial reporting process is low due to use of spreadsheet</w:t>
            </w:r>
            <w:r w:rsidR="00165C1F">
              <w:rPr>
                <w:sz w:val="20"/>
                <w:szCs w:val="20"/>
              </w:rPr>
              <w:t>,</w:t>
            </w:r>
            <w:r w:rsidRPr="0073584C">
              <w:rPr>
                <w:sz w:val="20"/>
                <w:szCs w:val="20"/>
              </w:rPr>
              <w:t xml:space="preserve"> which lacks controls for assuring financial data integrity.</w:t>
            </w:r>
          </w:p>
        </w:tc>
      </w:tr>
      <w:tr w:rsidR="001E212D" w:rsidRPr="005A497D" w14:paraId="45A9F86E" w14:textId="77777777" w:rsidTr="001E212D">
        <w:trPr>
          <w:trHeight w:val="1340"/>
        </w:trPr>
        <w:tc>
          <w:tcPr>
            <w:tcW w:w="675" w:type="dxa"/>
            <w:vAlign w:val="center"/>
          </w:tcPr>
          <w:p w14:paraId="08ECD8AE" w14:textId="77777777" w:rsidR="0073584C" w:rsidRPr="0073584C" w:rsidRDefault="0073584C" w:rsidP="0073584C">
            <w:pPr>
              <w:spacing w:before="40" w:after="40"/>
              <w:ind w:left="-57" w:right="-57"/>
              <w:jc w:val="center"/>
              <w:rPr>
                <w:sz w:val="20"/>
                <w:szCs w:val="20"/>
              </w:rPr>
            </w:pPr>
            <w:r w:rsidRPr="0073584C">
              <w:rPr>
                <w:sz w:val="20"/>
                <w:szCs w:val="20"/>
              </w:rPr>
              <w:t>PI-28</w:t>
            </w:r>
          </w:p>
        </w:tc>
        <w:tc>
          <w:tcPr>
            <w:tcW w:w="2673" w:type="dxa"/>
            <w:vAlign w:val="center"/>
          </w:tcPr>
          <w:p w14:paraId="01414788" w14:textId="77777777" w:rsidR="0073584C" w:rsidRPr="0073584C" w:rsidRDefault="0073584C" w:rsidP="0073584C">
            <w:pPr>
              <w:spacing w:before="40" w:after="40"/>
              <w:rPr>
                <w:sz w:val="20"/>
                <w:szCs w:val="20"/>
              </w:rPr>
            </w:pPr>
            <w:r w:rsidRPr="0073584C">
              <w:rPr>
                <w:sz w:val="20"/>
                <w:szCs w:val="20"/>
              </w:rPr>
              <w:t>In-year budget reports</w:t>
            </w:r>
          </w:p>
        </w:tc>
        <w:tc>
          <w:tcPr>
            <w:tcW w:w="900" w:type="dxa"/>
            <w:vAlign w:val="center"/>
          </w:tcPr>
          <w:p w14:paraId="4061E859" w14:textId="77777777" w:rsidR="0073584C" w:rsidRPr="0073584C" w:rsidRDefault="0073584C" w:rsidP="0073584C">
            <w:pPr>
              <w:spacing w:before="40" w:after="40"/>
              <w:jc w:val="center"/>
              <w:rPr>
                <w:sz w:val="20"/>
                <w:szCs w:val="20"/>
              </w:rPr>
            </w:pPr>
            <w:r w:rsidRPr="0073584C">
              <w:rPr>
                <w:sz w:val="20"/>
                <w:szCs w:val="20"/>
              </w:rPr>
              <w:t>D+</w:t>
            </w:r>
          </w:p>
        </w:tc>
        <w:tc>
          <w:tcPr>
            <w:tcW w:w="4932" w:type="dxa"/>
            <w:vAlign w:val="center"/>
          </w:tcPr>
          <w:p w14:paraId="071B842A" w14:textId="77777777" w:rsidR="0073584C" w:rsidRPr="0073584C" w:rsidRDefault="0073584C" w:rsidP="0073584C">
            <w:pPr>
              <w:spacing w:before="40" w:after="40"/>
              <w:rPr>
                <w:sz w:val="20"/>
                <w:szCs w:val="20"/>
              </w:rPr>
            </w:pPr>
            <w:r w:rsidRPr="0073584C">
              <w:rPr>
                <w:sz w:val="20"/>
                <w:szCs w:val="20"/>
              </w:rPr>
              <w:t>Format of in-year reports comprehensively cover expenditures and comparison with budget estimates. Timely submission is not achieved for most reports and due to the use of spreadsheets these often contain mistakes.</w:t>
            </w:r>
          </w:p>
        </w:tc>
      </w:tr>
      <w:tr w:rsidR="001E212D" w:rsidRPr="005A497D" w14:paraId="601799F0" w14:textId="77777777" w:rsidTr="001E212D">
        <w:tc>
          <w:tcPr>
            <w:tcW w:w="675" w:type="dxa"/>
            <w:vAlign w:val="center"/>
          </w:tcPr>
          <w:p w14:paraId="24AC5E24" w14:textId="77777777" w:rsidR="0073584C" w:rsidRPr="0073584C" w:rsidRDefault="0073584C" w:rsidP="0073584C">
            <w:pPr>
              <w:spacing w:before="40" w:after="40"/>
              <w:ind w:left="-57" w:right="-57"/>
              <w:jc w:val="center"/>
              <w:rPr>
                <w:sz w:val="20"/>
                <w:szCs w:val="20"/>
              </w:rPr>
            </w:pPr>
            <w:r w:rsidRPr="0073584C">
              <w:rPr>
                <w:sz w:val="20"/>
                <w:szCs w:val="20"/>
              </w:rPr>
              <w:t>PI-29</w:t>
            </w:r>
          </w:p>
        </w:tc>
        <w:tc>
          <w:tcPr>
            <w:tcW w:w="2673" w:type="dxa"/>
            <w:vAlign w:val="center"/>
          </w:tcPr>
          <w:p w14:paraId="03A45E2D" w14:textId="77777777" w:rsidR="0073584C" w:rsidRPr="0073584C" w:rsidRDefault="0073584C" w:rsidP="0073584C">
            <w:pPr>
              <w:spacing w:before="40" w:after="40"/>
              <w:rPr>
                <w:sz w:val="20"/>
                <w:szCs w:val="20"/>
              </w:rPr>
            </w:pPr>
            <w:r w:rsidRPr="0073584C">
              <w:rPr>
                <w:sz w:val="20"/>
                <w:szCs w:val="20"/>
              </w:rPr>
              <w:t>Annual financial reports</w:t>
            </w:r>
          </w:p>
        </w:tc>
        <w:tc>
          <w:tcPr>
            <w:tcW w:w="900" w:type="dxa"/>
            <w:vAlign w:val="center"/>
          </w:tcPr>
          <w:p w14:paraId="53BDA8AE" w14:textId="6E4AE641" w:rsidR="0073584C" w:rsidRPr="0073584C" w:rsidRDefault="00165C1F" w:rsidP="0073584C">
            <w:pPr>
              <w:spacing w:before="40" w:after="40"/>
              <w:jc w:val="center"/>
              <w:rPr>
                <w:sz w:val="20"/>
                <w:szCs w:val="20"/>
              </w:rPr>
            </w:pPr>
            <w:r>
              <w:rPr>
                <w:sz w:val="20"/>
                <w:szCs w:val="20"/>
              </w:rPr>
              <w:t>C</w:t>
            </w:r>
            <w:r w:rsidR="0073584C" w:rsidRPr="0073584C">
              <w:rPr>
                <w:sz w:val="20"/>
                <w:szCs w:val="20"/>
              </w:rPr>
              <w:t>+</w:t>
            </w:r>
          </w:p>
        </w:tc>
        <w:tc>
          <w:tcPr>
            <w:tcW w:w="4932" w:type="dxa"/>
            <w:vAlign w:val="center"/>
          </w:tcPr>
          <w:p w14:paraId="2DFD0E3A" w14:textId="25B33951" w:rsidR="0073584C" w:rsidRPr="0073584C" w:rsidRDefault="0073584C" w:rsidP="00135A42">
            <w:pPr>
              <w:spacing w:before="40" w:after="40"/>
              <w:rPr>
                <w:rFonts w:asciiTheme="majorHAnsi" w:eastAsiaTheme="majorEastAsia" w:hAnsiTheme="majorHAnsi" w:cstheme="majorBidi"/>
                <w:b/>
                <w:bCs/>
                <w:color w:val="404040" w:themeColor="text1" w:themeTint="BF"/>
                <w:sz w:val="20"/>
                <w:szCs w:val="20"/>
              </w:rPr>
            </w:pPr>
            <w:r w:rsidRPr="0073584C">
              <w:rPr>
                <w:sz w:val="20"/>
                <w:szCs w:val="20"/>
              </w:rPr>
              <w:t>Annual Financial Report includes information on revenue, expenditure, financial assets, financial liabilities, guarantees</w:t>
            </w:r>
            <w:r w:rsidR="00165C1F">
              <w:rPr>
                <w:sz w:val="20"/>
                <w:szCs w:val="20"/>
              </w:rPr>
              <w:t>,</w:t>
            </w:r>
            <w:r w:rsidRPr="0073584C">
              <w:rPr>
                <w:sz w:val="20"/>
                <w:szCs w:val="20"/>
              </w:rPr>
              <w:t xml:space="preserve"> and long-term obligations. Comparison of budget with outturn is provided in ARAOD</w:t>
            </w:r>
            <w:r w:rsidR="00165C1F">
              <w:rPr>
                <w:sz w:val="20"/>
                <w:szCs w:val="20"/>
              </w:rPr>
              <w:t>,</w:t>
            </w:r>
            <w:r w:rsidRPr="0073584C">
              <w:rPr>
                <w:sz w:val="20"/>
                <w:szCs w:val="20"/>
              </w:rPr>
              <w:t xml:space="preserve"> </w:t>
            </w:r>
            <w:r w:rsidR="00135A42">
              <w:rPr>
                <w:sz w:val="20"/>
                <w:szCs w:val="20"/>
              </w:rPr>
              <w:t xml:space="preserve">1997 and enhanced to ARAAOD in </w:t>
            </w:r>
            <w:r w:rsidRPr="0073584C">
              <w:rPr>
                <w:sz w:val="20"/>
                <w:szCs w:val="20"/>
              </w:rPr>
              <w:t xml:space="preserve">2014. </w:t>
            </w:r>
            <w:r w:rsidR="00D37B99" w:rsidRPr="00D37B99">
              <w:rPr>
                <w:sz w:val="20"/>
                <w:szCs w:val="20"/>
              </w:rPr>
              <w:t xml:space="preserve">Major spending agencies submit financial statements for audit within </w:t>
            </w:r>
            <w:r w:rsidR="00165C1F">
              <w:rPr>
                <w:sz w:val="20"/>
                <w:szCs w:val="20"/>
              </w:rPr>
              <w:t>9</w:t>
            </w:r>
            <w:r w:rsidR="00165C1F" w:rsidRPr="00D37B99">
              <w:rPr>
                <w:sz w:val="20"/>
                <w:szCs w:val="20"/>
              </w:rPr>
              <w:t xml:space="preserve"> </w:t>
            </w:r>
            <w:r w:rsidR="00D37B99" w:rsidRPr="00D37B99">
              <w:rPr>
                <w:sz w:val="20"/>
                <w:szCs w:val="20"/>
              </w:rPr>
              <w:t>months of fiscal year</w:t>
            </w:r>
            <w:r w:rsidR="002D7BF0">
              <w:rPr>
                <w:sz w:val="20"/>
                <w:szCs w:val="20"/>
              </w:rPr>
              <w:t>-end</w:t>
            </w:r>
            <w:r w:rsidR="00D37B99">
              <w:rPr>
                <w:sz w:val="20"/>
                <w:szCs w:val="20"/>
              </w:rPr>
              <w:t>.</w:t>
            </w:r>
            <w:r w:rsidR="00D37B99" w:rsidRPr="00D37B99">
              <w:rPr>
                <w:sz w:val="20"/>
                <w:szCs w:val="20"/>
              </w:rPr>
              <w:t xml:space="preserve"> </w:t>
            </w:r>
            <w:r w:rsidRPr="0073584C">
              <w:rPr>
                <w:sz w:val="20"/>
                <w:szCs w:val="20"/>
              </w:rPr>
              <w:t>The 2014 audited financial statements of NGAs included disclosure on compliance with PPSAS in the notes to financial statements.</w:t>
            </w:r>
          </w:p>
        </w:tc>
      </w:tr>
      <w:tr w:rsidR="0073584C" w:rsidRPr="005A497D" w14:paraId="457070FC" w14:textId="77777777" w:rsidTr="0073584C">
        <w:tc>
          <w:tcPr>
            <w:tcW w:w="9180" w:type="dxa"/>
            <w:gridSpan w:val="4"/>
            <w:vAlign w:val="center"/>
          </w:tcPr>
          <w:p w14:paraId="04798859" w14:textId="77777777" w:rsidR="0073584C" w:rsidRPr="0073584C" w:rsidRDefault="0073584C" w:rsidP="0073584C">
            <w:pPr>
              <w:spacing w:before="40" w:after="40"/>
              <w:rPr>
                <w:b/>
                <w:sz w:val="20"/>
                <w:szCs w:val="20"/>
              </w:rPr>
            </w:pPr>
            <w:r w:rsidRPr="0073584C">
              <w:rPr>
                <w:b/>
                <w:sz w:val="20"/>
                <w:szCs w:val="20"/>
              </w:rPr>
              <w:t>Pillar VII. External Scrutiny and Audit</w:t>
            </w:r>
          </w:p>
        </w:tc>
      </w:tr>
      <w:tr w:rsidR="001E212D" w:rsidRPr="005A497D" w14:paraId="075675AD" w14:textId="77777777" w:rsidTr="001E212D">
        <w:tc>
          <w:tcPr>
            <w:tcW w:w="675" w:type="dxa"/>
            <w:vAlign w:val="center"/>
          </w:tcPr>
          <w:p w14:paraId="05AB454C" w14:textId="77777777" w:rsidR="0073584C" w:rsidRPr="0073584C" w:rsidRDefault="0073584C" w:rsidP="0073584C">
            <w:pPr>
              <w:spacing w:before="40" w:after="40"/>
              <w:ind w:left="-57" w:right="-57"/>
              <w:jc w:val="center"/>
              <w:rPr>
                <w:sz w:val="20"/>
                <w:szCs w:val="20"/>
              </w:rPr>
            </w:pPr>
            <w:r w:rsidRPr="0073584C">
              <w:rPr>
                <w:sz w:val="20"/>
                <w:szCs w:val="20"/>
              </w:rPr>
              <w:t>PI-30</w:t>
            </w:r>
          </w:p>
        </w:tc>
        <w:tc>
          <w:tcPr>
            <w:tcW w:w="2673" w:type="dxa"/>
            <w:vAlign w:val="center"/>
          </w:tcPr>
          <w:p w14:paraId="168E2E9B" w14:textId="77777777" w:rsidR="0073584C" w:rsidRPr="0073584C" w:rsidRDefault="0073584C" w:rsidP="0073584C">
            <w:pPr>
              <w:spacing w:before="40" w:after="40"/>
              <w:rPr>
                <w:sz w:val="20"/>
                <w:szCs w:val="20"/>
              </w:rPr>
            </w:pPr>
            <w:r w:rsidRPr="0073584C">
              <w:rPr>
                <w:sz w:val="20"/>
                <w:szCs w:val="20"/>
              </w:rPr>
              <w:t>External audit</w:t>
            </w:r>
          </w:p>
        </w:tc>
        <w:tc>
          <w:tcPr>
            <w:tcW w:w="900" w:type="dxa"/>
            <w:vAlign w:val="center"/>
          </w:tcPr>
          <w:p w14:paraId="679EBA69" w14:textId="77777777" w:rsidR="0073584C" w:rsidRPr="0073584C" w:rsidRDefault="0073584C" w:rsidP="0073584C">
            <w:pPr>
              <w:spacing w:before="40" w:after="40"/>
              <w:jc w:val="center"/>
              <w:rPr>
                <w:sz w:val="20"/>
                <w:szCs w:val="20"/>
              </w:rPr>
            </w:pPr>
            <w:r w:rsidRPr="0073584C">
              <w:rPr>
                <w:sz w:val="20"/>
                <w:szCs w:val="20"/>
              </w:rPr>
              <w:t>C+</w:t>
            </w:r>
          </w:p>
        </w:tc>
        <w:tc>
          <w:tcPr>
            <w:tcW w:w="4932" w:type="dxa"/>
            <w:vAlign w:val="center"/>
          </w:tcPr>
          <w:p w14:paraId="4F6240A2" w14:textId="67AAAE5E" w:rsidR="0073584C" w:rsidRPr="0073584C" w:rsidRDefault="0073584C" w:rsidP="00135A42">
            <w:pPr>
              <w:spacing w:before="40" w:after="40"/>
              <w:rPr>
                <w:sz w:val="20"/>
                <w:szCs w:val="20"/>
              </w:rPr>
            </w:pPr>
            <w:r w:rsidRPr="0073584C">
              <w:rPr>
                <w:sz w:val="20"/>
                <w:szCs w:val="20"/>
              </w:rPr>
              <w:t xml:space="preserve">PPSSA, based on ISSAI, were adopted </w:t>
            </w:r>
            <w:r w:rsidR="002D7BF0">
              <w:rPr>
                <w:sz w:val="20"/>
                <w:szCs w:val="20"/>
              </w:rPr>
              <w:t xml:space="preserve">and </w:t>
            </w:r>
            <w:r w:rsidRPr="0073584C">
              <w:rPr>
                <w:sz w:val="20"/>
                <w:szCs w:val="20"/>
              </w:rPr>
              <w:t xml:space="preserve">applied for all audits. The scope of the audit covers the entire government </w:t>
            </w:r>
            <w:r w:rsidR="00135A42">
              <w:rPr>
                <w:sz w:val="20"/>
                <w:szCs w:val="20"/>
              </w:rPr>
              <w:t xml:space="preserve">but excluding verification of </w:t>
            </w:r>
            <w:r w:rsidR="002D7BF0">
              <w:rPr>
                <w:sz w:val="20"/>
                <w:szCs w:val="20"/>
              </w:rPr>
              <w:t xml:space="preserve">BIR-collected </w:t>
            </w:r>
            <w:r w:rsidRPr="0073584C">
              <w:rPr>
                <w:sz w:val="20"/>
                <w:szCs w:val="20"/>
              </w:rPr>
              <w:t>revenues</w:t>
            </w:r>
            <w:r w:rsidR="002D7BF0">
              <w:rPr>
                <w:sz w:val="20"/>
                <w:szCs w:val="20"/>
              </w:rPr>
              <w:t>.</w:t>
            </w:r>
            <w:r w:rsidRPr="0073584C">
              <w:rPr>
                <w:sz w:val="20"/>
                <w:szCs w:val="20"/>
              </w:rPr>
              <w:t xml:space="preserve"> Audit reports are submitted to the head of the auditee entity within 9 months of receipt of the financial reports for audit and formal responses are received in a timely manner. </w:t>
            </w:r>
            <w:r w:rsidR="009008FE">
              <w:rPr>
                <w:sz w:val="20"/>
                <w:szCs w:val="20"/>
              </w:rPr>
              <w:t>CoA</w:t>
            </w:r>
            <w:r w:rsidRPr="0073584C">
              <w:rPr>
                <w:sz w:val="20"/>
                <w:szCs w:val="20"/>
              </w:rPr>
              <w:t>’s independence is laid down in the Constitution</w:t>
            </w:r>
            <w:r w:rsidR="002D7BF0">
              <w:rPr>
                <w:sz w:val="20"/>
                <w:szCs w:val="20"/>
              </w:rPr>
              <w:t>,</w:t>
            </w:r>
            <w:r w:rsidRPr="0073584C">
              <w:rPr>
                <w:sz w:val="20"/>
                <w:szCs w:val="20"/>
              </w:rPr>
              <w:t xml:space="preserve"> and it has unrestricted access except for BIR revenues.</w:t>
            </w:r>
          </w:p>
        </w:tc>
      </w:tr>
      <w:tr w:rsidR="001E212D" w:rsidRPr="005A497D" w14:paraId="707CA2AB" w14:textId="77777777" w:rsidTr="001E212D">
        <w:tc>
          <w:tcPr>
            <w:tcW w:w="675" w:type="dxa"/>
            <w:vAlign w:val="center"/>
          </w:tcPr>
          <w:p w14:paraId="1AED13C4" w14:textId="77777777" w:rsidR="0073584C" w:rsidRPr="0073584C" w:rsidRDefault="0073584C" w:rsidP="0073584C">
            <w:pPr>
              <w:spacing w:before="40" w:after="40"/>
              <w:ind w:left="-57" w:right="-57"/>
              <w:jc w:val="center"/>
              <w:rPr>
                <w:sz w:val="20"/>
                <w:szCs w:val="20"/>
              </w:rPr>
            </w:pPr>
            <w:r w:rsidRPr="0073584C">
              <w:rPr>
                <w:sz w:val="20"/>
                <w:szCs w:val="20"/>
              </w:rPr>
              <w:t>PI-31</w:t>
            </w:r>
          </w:p>
        </w:tc>
        <w:tc>
          <w:tcPr>
            <w:tcW w:w="2673" w:type="dxa"/>
            <w:vAlign w:val="center"/>
          </w:tcPr>
          <w:p w14:paraId="141BF63C" w14:textId="77777777" w:rsidR="0073584C" w:rsidRPr="0073584C" w:rsidRDefault="0073584C" w:rsidP="0073584C">
            <w:pPr>
              <w:spacing w:before="40" w:after="40"/>
              <w:rPr>
                <w:sz w:val="20"/>
                <w:szCs w:val="20"/>
              </w:rPr>
            </w:pPr>
            <w:r w:rsidRPr="0073584C">
              <w:rPr>
                <w:sz w:val="20"/>
                <w:szCs w:val="20"/>
              </w:rPr>
              <w:t>Legislative scrutiny of audit reports</w:t>
            </w:r>
          </w:p>
        </w:tc>
        <w:tc>
          <w:tcPr>
            <w:tcW w:w="900" w:type="dxa"/>
            <w:vAlign w:val="center"/>
          </w:tcPr>
          <w:p w14:paraId="0FC21FD6" w14:textId="77777777" w:rsidR="0073584C" w:rsidRPr="0073584C" w:rsidRDefault="0073584C" w:rsidP="0073584C">
            <w:pPr>
              <w:spacing w:before="40" w:after="40"/>
              <w:jc w:val="center"/>
              <w:rPr>
                <w:sz w:val="20"/>
                <w:szCs w:val="20"/>
              </w:rPr>
            </w:pPr>
            <w:r w:rsidRPr="0073584C">
              <w:rPr>
                <w:sz w:val="20"/>
                <w:szCs w:val="20"/>
              </w:rPr>
              <w:t>D</w:t>
            </w:r>
          </w:p>
        </w:tc>
        <w:tc>
          <w:tcPr>
            <w:tcW w:w="4932" w:type="dxa"/>
            <w:vAlign w:val="center"/>
          </w:tcPr>
          <w:p w14:paraId="254C0586" w14:textId="19F0331A" w:rsidR="0073584C" w:rsidRPr="0073584C" w:rsidRDefault="0073584C" w:rsidP="00135A42">
            <w:pPr>
              <w:spacing w:before="40" w:after="40"/>
              <w:rPr>
                <w:sz w:val="20"/>
                <w:szCs w:val="20"/>
              </w:rPr>
            </w:pPr>
            <w:r w:rsidRPr="0073584C">
              <w:rPr>
                <w:sz w:val="20"/>
                <w:szCs w:val="20"/>
              </w:rPr>
              <w:t xml:space="preserve">There is no formal </w:t>
            </w:r>
            <w:r w:rsidR="00135A42">
              <w:rPr>
                <w:sz w:val="20"/>
                <w:szCs w:val="20"/>
              </w:rPr>
              <w:t>scrutiny</w:t>
            </w:r>
            <w:r w:rsidR="00135A42" w:rsidRPr="0073584C">
              <w:rPr>
                <w:sz w:val="20"/>
                <w:szCs w:val="20"/>
              </w:rPr>
              <w:t xml:space="preserve"> </w:t>
            </w:r>
            <w:r w:rsidRPr="0073584C">
              <w:rPr>
                <w:sz w:val="20"/>
                <w:szCs w:val="20"/>
              </w:rPr>
              <w:t>of audit reports by the legislature</w:t>
            </w:r>
            <w:r w:rsidR="00135A42">
              <w:rPr>
                <w:sz w:val="20"/>
                <w:szCs w:val="20"/>
              </w:rPr>
              <w:t>.</w:t>
            </w:r>
          </w:p>
        </w:tc>
      </w:tr>
    </w:tbl>
    <w:p w14:paraId="0E331EFC" w14:textId="77777777" w:rsidR="0027211D" w:rsidRPr="005A497D" w:rsidRDefault="0027211D" w:rsidP="00976220"/>
    <w:p w14:paraId="413F1923" w14:textId="77777777" w:rsidR="00A54F68" w:rsidRPr="005A497D" w:rsidRDefault="00A54F68" w:rsidP="00976220"/>
    <w:p w14:paraId="18A6428F" w14:textId="77777777" w:rsidR="0027211D" w:rsidRDefault="0027211D" w:rsidP="0027211D">
      <w:pPr>
        <w:pStyle w:val="Heading2"/>
        <w:rPr>
          <w:rFonts w:ascii="Times New Roman" w:hAnsi="Times New Roman"/>
          <w:sz w:val="32"/>
          <w:szCs w:val="32"/>
        </w:rPr>
        <w:sectPr w:rsidR="0027211D" w:rsidSect="00473EFD">
          <w:footnotePr>
            <w:numRestart w:val="eachSect"/>
          </w:footnotePr>
          <w:endnotePr>
            <w:numFmt w:val="decimal"/>
          </w:endnotePr>
          <w:pgSz w:w="12240" w:h="15840" w:code="1"/>
          <w:pgMar w:top="1080" w:right="1440" w:bottom="1152" w:left="1440" w:header="720" w:footer="720" w:gutter="0"/>
          <w:cols w:space="720"/>
          <w:noEndnote/>
          <w:titlePg/>
          <w:docGrid w:linePitch="326"/>
        </w:sectPr>
      </w:pPr>
    </w:p>
    <w:p w14:paraId="10C18118" w14:textId="09A9DD27" w:rsidR="00FA7A46" w:rsidRPr="002E45F4" w:rsidRDefault="00FA7A46" w:rsidP="002E45F4">
      <w:pPr>
        <w:pStyle w:val="Heading2"/>
        <w:rPr>
          <w:rFonts w:ascii="Times New Roman" w:hAnsi="Times New Roman"/>
          <w:sz w:val="32"/>
          <w:szCs w:val="32"/>
        </w:rPr>
      </w:pPr>
      <w:bookmarkStart w:id="298" w:name="_Toc454811735"/>
      <w:bookmarkStart w:id="299" w:name="_Toc454888879"/>
      <w:r w:rsidRPr="002E45F4">
        <w:rPr>
          <w:rFonts w:ascii="Times New Roman" w:hAnsi="Times New Roman"/>
          <w:sz w:val="32"/>
          <w:szCs w:val="32"/>
        </w:rPr>
        <w:t>Annex 2: Summary of Observations on the Internal Control Framework</w:t>
      </w:r>
      <w:bookmarkEnd w:id="298"/>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592"/>
      </w:tblGrid>
      <w:tr w:rsidR="000A4582" w:rsidRPr="002E45F4" w14:paraId="58623FCF" w14:textId="77777777" w:rsidTr="00BA28D1">
        <w:trPr>
          <w:trHeight w:val="720"/>
          <w:tblHeader/>
        </w:trPr>
        <w:tc>
          <w:tcPr>
            <w:tcW w:w="2758" w:type="dxa"/>
            <w:shd w:val="clear" w:color="auto" w:fill="E6E6E6"/>
            <w:vAlign w:val="center"/>
          </w:tcPr>
          <w:p w14:paraId="3A08D116" w14:textId="25585713" w:rsidR="000A4582" w:rsidRPr="002E45F4" w:rsidRDefault="00CD374D" w:rsidP="000E4F0C">
            <w:pPr>
              <w:keepNext/>
              <w:jc w:val="center"/>
              <w:outlineLvl w:val="2"/>
              <w:rPr>
                <w:b/>
                <w:i/>
                <w:sz w:val="20"/>
                <w:szCs w:val="20"/>
              </w:rPr>
            </w:pPr>
            <w:bookmarkStart w:id="300" w:name="_Toc454811736"/>
            <w:bookmarkStart w:id="301" w:name="_Toc454888880"/>
            <w:r>
              <w:rPr>
                <w:b/>
                <w:i/>
                <w:sz w:val="20"/>
                <w:szCs w:val="20"/>
              </w:rPr>
              <w:t>I</w:t>
            </w:r>
            <w:r w:rsidR="000A4582" w:rsidRPr="002E45F4">
              <w:rPr>
                <w:b/>
                <w:i/>
                <w:sz w:val="20"/>
                <w:szCs w:val="20"/>
              </w:rPr>
              <w:t>nternal control components and elements</w:t>
            </w:r>
            <w:bookmarkEnd w:id="300"/>
            <w:bookmarkEnd w:id="301"/>
          </w:p>
        </w:tc>
        <w:tc>
          <w:tcPr>
            <w:tcW w:w="6592" w:type="dxa"/>
            <w:shd w:val="clear" w:color="auto" w:fill="E6E6E6"/>
            <w:vAlign w:val="center"/>
          </w:tcPr>
          <w:p w14:paraId="7F4A1706" w14:textId="77777777" w:rsidR="000A4582" w:rsidRPr="002E45F4" w:rsidRDefault="000A4582" w:rsidP="000E4F0C">
            <w:pPr>
              <w:jc w:val="center"/>
              <w:rPr>
                <w:b/>
                <w:i/>
                <w:sz w:val="20"/>
                <w:szCs w:val="20"/>
              </w:rPr>
            </w:pPr>
            <w:r w:rsidRPr="002E45F4">
              <w:rPr>
                <w:b/>
                <w:i/>
                <w:sz w:val="20"/>
                <w:szCs w:val="20"/>
              </w:rPr>
              <w:t>Summary of observations</w:t>
            </w:r>
          </w:p>
        </w:tc>
      </w:tr>
      <w:tr w:rsidR="000A4582" w:rsidRPr="00530777" w14:paraId="47D3864E" w14:textId="77777777" w:rsidTr="00CD374D">
        <w:trPr>
          <w:trHeight w:val="5660"/>
          <w:tblHeader/>
        </w:trPr>
        <w:tc>
          <w:tcPr>
            <w:tcW w:w="2758" w:type="dxa"/>
            <w:shd w:val="clear" w:color="auto" w:fill="auto"/>
          </w:tcPr>
          <w:p w14:paraId="4C36C124" w14:textId="77777777" w:rsidR="000A4582" w:rsidRPr="00530777" w:rsidRDefault="000A4582" w:rsidP="000E4F0C">
            <w:pPr>
              <w:keepNext/>
              <w:outlineLvl w:val="2"/>
              <w:rPr>
                <w:rFonts w:eastAsia="Calibri"/>
                <w:b/>
                <w:bCs/>
                <w:sz w:val="20"/>
                <w:szCs w:val="20"/>
              </w:rPr>
            </w:pPr>
            <w:bookmarkStart w:id="302" w:name="_Toc454811737"/>
            <w:bookmarkStart w:id="303" w:name="_Toc454888881"/>
            <w:r w:rsidRPr="00530777">
              <w:rPr>
                <w:sz w:val="20"/>
                <w:szCs w:val="20"/>
              </w:rPr>
              <w:t>1. Control environment</w:t>
            </w:r>
            <w:bookmarkEnd w:id="302"/>
            <w:bookmarkEnd w:id="303"/>
          </w:p>
        </w:tc>
        <w:tc>
          <w:tcPr>
            <w:tcW w:w="6592" w:type="dxa"/>
            <w:shd w:val="clear" w:color="auto" w:fill="auto"/>
          </w:tcPr>
          <w:p w14:paraId="6B9C4CDB" w14:textId="2EE535F4" w:rsidR="000A4582" w:rsidRDefault="000A4582" w:rsidP="000E4F0C">
            <w:pPr>
              <w:rPr>
                <w:sz w:val="20"/>
                <w:szCs w:val="20"/>
              </w:rPr>
            </w:pPr>
            <w:r w:rsidRPr="00530777">
              <w:rPr>
                <w:sz w:val="20"/>
                <w:szCs w:val="20"/>
              </w:rPr>
              <w:t>There is a strong regulatory framework. The Philippines Constitution</w:t>
            </w:r>
            <w:r>
              <w:rPr>
                <w:sz w:val="20"/>
                <w:szCs w:val="20"/>
              </w:rPr>
              <w:t>,</w:t>
            </w:r>
            <w:r w:rsidRPr="00530777">
              <w:rPr>
                <w:sz w:val="20"/>
                <w:szCs w:val="20"/>
              </w:rPr>
              <w:t xml:space="preserve"> Article XI</w:t>
            </w:r>
            <w:r>
              <w:rPr>
                <w:sz w:val="20"/>
                <w:szCs w:val="20"/>
              </w:rPr>
              <w:t>,</w:t>
            </w:r>
            <w:r w:rsidRPr="00530777">
              <w:rPr>
                <w:sz w:val="20"/>
                <w:szCs w:val="20"/>
              </w:rPr>
              <w:t xml:space="preserve"> provides a strong imperative through its provisions on the accountability of public officers, supported by comprehensive </w:t>
            </w:r>
            <w:r>
              <w:rPr>
                <w:sz w:val="20"/>
                <w:szCs w:val="20"/>
              </w:rPr>
              <w:t>Government</w:t>
            </w:r>
            <w:r w:rsidRPr="00530777">
              <w:rPr>
                <w:sz w:val="20"/>
                <w:szCs w:val="20"/>
              </w:rPr>
              <w:t xml:space="preserve"> instructions in </w:t>
            </w:r>
            <w:r>
              <w:rPr>
                <w:sz w:val="20"/>
                <w:szCs w:val="20"/>
              </w:rPr>
              <w:t xml:space="preserve">the </w:t>
            </w:r>
            <w:r w:rsidRPr="00530777">
              <w:rPr>
                <w:sz w:val="20"/>
                <w:szCs w:val="20"/>
              </w:rPr>
              <w:t xml:space="preserve">Administrative Code, National Guidelines on Internal Control Systems, and Government Internal Audit Manual. These </w:t>
            </w:r>
            <w:r>
              <w:rPr>
                <w:sz w:val="20"/>
                <w:szCs w:val="20"/>
              </w:rPr>
              <w:t xml:space="preserve">instructions </w:t>
            </w:r>
            <w:r w:rsidRPr="00530777">
              <w:rPr>
                <w:sz w:val="20"/>
                <w:szCs w:val="20"/>
              </w:rPr>
              <w:t xml:space="preserve">provide standards </w:t>
            </w:r>
            <w:r>
              <w:rPr>
                <w:sz w:val="20"/>
                <w:szCs w:val="20"/>
              </w:rPr>
              <w:t>to</w:t>
            </w:r>
            <w:r w:rsidRPr="00530777">
              <w:rPr>
                <w:sz w:val="20"/>
                <w:szCs w:val="20"/>
              </w:rPr>
              <w:t xml:space="preserve"> guide each government agency in developing its detailed and comprehensive system of internal controls. Agency characteristics such as mandate, functions, nature of activities, operating environment, </w:t>
            </w:r>
            <w:r w:rsidR="00EE70C7">
              <w:rPr>
                <w:sz w:val="20"/>
                <w:szCs w:val="20"/>
              </w:rPr>
              <w:t>hu</w:t>
            </w:r>
            <w:r w:rsidRPr="00530777">
              <w:rPr>
                <w:sz w:val="20"/>
                <w:szCs w:val="20"/>
              </w:rPr>
              <w:t>man</w:t>
            </w:r>
            <w:r w:rsidR="00EE70C7">
              <w:rPr>
                <w:sz w:val="20"/>
                <w:szCs w:val="20"/>
              </w:rPr>
              <w:t xml:space="preserve"> resource</w:t>
            </w:r>
            <w:r w:rsidRPr="00530777">
              <w:rPr>
                <w:sz w:val="20"/>
                <w:szCs w:val="20"/>
              </w:rPr>
              <w:t xml:space="preserve"> profile, size</w:t>
            </w:r>
            <w:r>
              <w:rPr>
                <w:sz w:val="20"/>
                <w:szCs w:val="20"/>
              </w:rPr>
              <w:t>,</w:t>
            </w:r>
            <w:r w:rsidRPr="00530777">
              <w:rPr>
                <w:sz w:val="20"/>
                <w:szCs w:val="20"/>
              </w:rPr>
              <w:t xml:space="preserve"> and organizational structure will have to be considered in developing or improving the individual controls. A strong and responsive internal control system is an essential component of an organization’s internal and external processes. </w:t>
            </w:r>
          </w:p>
          <w:p w14:paraId="663D5209" w14:textId="77777777" w:rsidR="000A4582" w:rsidRPr="00530777" w:rsidRDefault="000A4582" w:rsidP="000E4F0C">
            <w:pPr>
              <w:rPr>
                <w:sz w:val="20"/>
                <w:szCs w:val="20"/>
              </w:rPr>
            </w:pPr>
          </w:p>
          <w:p w14:paraId="59811370" w14:textId="2A538C63" w:rsidR="000A4582" w:rsidRPr="00530777" w:rsidRDefault="000A4582" w:rsidP="00D641E5">
            <w:pPr>
              <w:keepNext/>
              <w:jc w:val="both"/>
              <w:outlineLvl w:val="2"/>
              <w:rPr>
                <w:sz w:val="20"/>
                <w:szCs w:val="20"/>
              </w:rPr>
            </w:pPr>
            <w:bookmarkStart w:id="304" w:name="_Toc454811738"/>
            <w:bookmarkStart w:id="305" w:name="_Toc454888882"/>
            <w:r w:rsidRPr="00530777">
              <w:rPr>
                <w:sz w:val="20"/>
                <w:szCs w:val="20"/>
              </w:rPr>
              <w:t xml:space="preserve">This </w:t>
            </w:r>
            <w:r>
              <w:rPr>
                <w:sz w:val="20"/>
                <w:szCs w:val="20"/>
              </w:rPr>
              <w:t xml:space="preserve">regulatory </w:t>
            </w:r>
            <w:r w:rsidRPr="00530777">
              <w:rPr>
                <w:sz w:val="20"/>
                <w:szCs w:val="20"/>
              </w:rPr>
              <w:t xml:space="preserve">framework is shown to be effective by </w:t>
            </w:r>
            <w:r>
              <w:rPr>
                <w:sz w:val="20"/>
                <w:szCs w:val="20"/>
              </w:rPr>
              <w:t>the results assessed for PI-</w:t>
            </w:r>
            <w:r w:rsidRPr="00530777">
              <w:rPr>
                <w:sz w:val="20"/>
                <w:szCs w:val="20"/>
              </w:rPr>
              <w:t xml:space="preserve"> 23 and </w:t>
            </w:r>
            <w:r>
              <w:rPr>
                <w:sz w:val="20"/>
                <w:szCs w:val="20"/>
              </w:rPr>
              <w:t>PI-</w:t>
            </w:r>
            <w:r w:rsidRPr="00530777">
              <w:rPr>
                <w:sz w:val="20"/>
                <w:szCs w:val="20"/>
              </w:rPr>
              <w:t>25 on internal controls over payroll and non-salary expenditure</w:t>
            </w:r>
            <w:r>
              <w:rPr>
                <w:sz w:val="20"/>
                <w:szCs w:val="20"/>
              </w:rPr>
              <w:t>,</w:t>
            </w:r>
            <w:r w:rsidRPr="00530777">
              <w:rPr>
                <w:sz w:val="20"/>
                <w:szCs w:val="20"/>
              </w:rPr>
              <w:t xml:space="preserve"> which </w:t>
            </w:r>
            <w:r>
              <w:rPr>
                <w:sz w:val="20"/>
                <w:szCs w:val="20"/>
              </w:rPr>
              <w:t>were rated</w:t>
            </w:r>
            <w:r w:rsidRPr="00530777">
              <w:rPr>
                <w:sz w:val="20"/>
                <w:szCs w:val="20"/>
              </w:rPr>
              <w:t xml:space="preserve"> </w:t>
            </w:r>
            <w:r>
              <w:rPr>
                <w:sz w:val="20"/>
                <w:szCs w:val="20"/>
              </w:rPr>
              <w:t>“B</w:t>
            </w:r>
            <w:r w:rsidRPr="00530777">
              <w:rPr>
                <w:sz w:val="20"/>
                <w:szCs w:val="20"/>
              </w:rPr>
              <w:t>+</w:t>
            </w:r>
            <w:r>
              <w:rPr>
                <w:sz w:val="20"/>
                <w:szCs w:val="20"/>
              </w:rPr>
              <w:t>”</w:t>
            </w:r>
            <w:r w:rsidRPr="00530777">
              <w:rPr>
                <w:sz w:val="20"/>
                <w:szCs w:val="20"/>
              </w:rPr>
              <w:t>. PI</w:t>
            </w:r>
            <w:r>
              <w:rPr>
                <w:sz w:val="20"/>
                <w:szCs w:val="20"/>
              </w:rPr>
              <w:t>-</w:t>
            </w:r>
            <w:r w:rsidRPr="00530777">
              <w:rPr>
                <w:sz w:val="20"/>
                <w:szCs w:val="20"/>
              </w:rPr>
              <w:t xml:space="preserve">25.3 </w:t>
            </w:r>
            <w:r>
              <w:rPr>
                <w:sz w:val="20"/>
                <w:szCs w:val="20"/>
              </w:rPr>
              <w:t xml:space="preserve">on </w:t>
            </w:r>
            <w:r w:rsidRPr="00530777">
              <w:rPr>
                <w:sz w:val="20"/>
                <w:szCs w:val="20"/>
              </w:rPr>
              <w:t xml:space="preserve">compliance with payment rules and procedures was rated </w:t>
            </w:r>
            <w:r>
              <w:rPr>
                <w:sz w:val="20"/>
                <w:szCs w:val="20"/>
              </w:rPr>
              <w:t>“B”,</w:t>
            </w:r>
            <w:r w:rsidRPr="00530777">
              <w:rPr>
                <w:sz w:val="20"/>
                <w:szCs w:val="20"/>
              </w:rPr>
              <w:t xml:space="preserve"> and </w:t>
            </w:r>
            <w:r>
              <w:rPr>
                <w:sz w:val="20"/>
                <w:szCs w:val="20"/>
              </w:rPr>
              <w:t xml:space="preserve">the assessment </w:t>
            </w:r>
            <w:r w:rsidRPr="00530777">
              <w:rPr>
                <w:sz w:val="20"/>
                <w:szCs w:val="20"/>
              </w:rPr>
              <w:t xml:space="preserve">found </w:t>
            </w:r>
            <w:r>
              <w:rPr>
                <w:sz w:val="20"/>
                <w:szCs w:val="20"/>
              </w:rPr>
              <w:t xml:space="preserve">that </w:t>
            </w:r>
            <w:r w:rsidRPr="00530777">
              <w:rPr>
                <w:sz w:val="20"/>
                <w:szCs w:val="20"/>
              </w:rPr>
              <w:t xml:space="preserve">most payments comply with regular payment procedures. </w:t>
            </w:r>
            <w:r>
              <w:rPr>
                <w:sz w:val="20"/>
                <w:szCs w:val="20"/>
              </w:rPr>
              <w:t xml:space="preserve"> The CoA-conducted audits identify instances of non-compliance, which need to be corrected; but in the </w:t>
            </w:r>
            <w:r w:rsidRPr="00530777">
              <w:rPr>
                <w:sz w:val="20"/>
                <w:szCs w:val="20"/>
              </w:rPr>
              <w:t xml:space="preserve">majority of </w:t>
            </w:r>
            <w:r>
              <w:rPr>
                <w:sz w:val="20"/>
                <w:szCs w:val="20"/>
              </w:rPr>
              <w:t xml:space="preserve">cases, </w:t>
            </w:r>
            <w:r w:rsidRPr="00530777">
              <w:rPr>
                <w:sz w:val="20"/>
                <w:szCs w:val="20"/>
              </w:rPr>
              <w:t>the</w:t>
            </w:r>
            <w:r>
              <w:rPr>
                <w:sz w:val="20"/>
                <w:szCs w:val="20"/>
              </w:rPr>
              <w:t>se</w:t>
            </w:r>
            <w:r w:rsidRPr="00530777">
              <w:rPr>
                <w:sz w:val="20"/>
                <w:szCs w:val="20"/>
              </w:rPr>
              <w:t xml:space="preserve"> exceptions </w:t>
            </w:r>
            <w:r>
              <w:rPr>
                <w:sz w:val="20"/>
                <w:szCs w:val="20"/>
              </w:rPr>
              <w:t>are not the main causes of qualified opinions on the annual accounts. They are therefore not considered to seriously compromise the control environment as a whole but are significant in some cases.</w:t>
            </w:r>
            <w:r w:rsidRPr="00530777">
              <w:rPr>
                <w:sz w:val="20"/>
                <w:szCs w:val="20"/>
              </w:rPr>
              <w:t xml:space="preserve"> </w:t>
            </w:r>
            <w:r>
              <w:rPr>
                <w:sz w:val="20"/>
                <w:szCs w:val="20"/>
              </w:rPr>
              <w:t>A more comprehensive, integrated, computerized accounting system for processing government transactions can provide a user-friendly set of controls that are applied automatically to prevent instances of failure.</w:t>
            </w:r>
            <w:bookmarkEnd w:id="304"/>
            <w:bookmarkEnd w:id="305"/>
          </w:p>
        </w:tc>
      </w:tr>
      <w:tr w:rsidR="000A4582" w:rsidRPr="00530777" w14:paraId="2133EA85" w14:textId="77777777" w:rsidTr="00CD374D">
        <w:trPr>
          <w:trHeight w:val="1700"/>
          <w:tblHeader/>
        </w:trPr>
        <w:tc>
          <w:tcPr>
            <w:tcW w:w="2758" w:type="dxa"/>
            <w:shd w:val="clear" w:color="auto" w:fill="auto"/>
          </w:tcPr>
          <w:p w14:paraId="18D43747" w14:textId="77777777" w:rsidR="000A4582" w:rsidRPr="00530777" w:rsidRDefault="000A4582" w:rsidP="000E4F0C">
            <w:pPr>
              <w:keepNext/>
              <w:outlineLvl w:val="2"/>
              <w:rPr>
                <w:rFonts w:eastAsia="Calibri"/>
                <w:b/>
                <w:bCs/>
                <w:sz w:val="20"/>
                <w:szCs w:val="20"/>
              </w:rPr>
            </w:pPr>
            <w:bookmarkStart w:id="306" w:name="_Toc454811739"/>
            <w:bookmarkStart w:id="307" w:name="_Toc454888883"/>
            <w:r w:rsidRPr="00530777">
              <w:rPr>
                <w:sz w:val="20"/>
                <w:szCs w:val="20"/>
              </w:rPr>
              <w:t>1.1 The personal and professional integrity and ethical values of management and staff, including a supportive attitude toward internal control constantly throughout the organization.</w:t>
            </w:r>
            <w:bookmarkEnd w:id="306"/>
            <w:bookmarkEnd w:id="307"/>
            <w:r w:rsidRPr="00530777">
              <w:rPr>
                <w:sz w:val="20"/>
                <w:szCs w:val="20"/>
              </w:rPr>
              <w:t xml:space="preserve">  </w:t>
            </w:r>
          </w:p>
        </w:tc>
        <w:tc>
          <w:tcPr>
            <w:tcW w:w="6592" w:type="dxa"/>
            <w:shd w:val="clear" w:color="auto" w:fill="auto"/>
          </w:tcPr>
          <w:p w14:paraId="20596993" w14:textId="77777777" w:rsidR="000A4582" w:rsidRPr="00530777" w:rsidRDefault="000A4582" w:rsidP="000E4F0C">
            <w:pPr>
              <w:keepNext/>
              <w:jc w:val="both"/>
              <w:outlineLvl w:val="2"/>
              <w:rPr>
                <w:sz w:val="20"/>
                <w:szCs w:val="20"/>
              </w:rPr>
            </w:pPr>
            <w:bookmarkStart w:id="308" w:name="_Toc454811740"/>
            <w:bookmarkStart w:id="309" w:name="_Toc454888884"/>
            <w:r w:rsidRPr="00530777">
              <w:rPr>
                <w:sz w:val="20"/>
                <w:szCs w:val="20"/>
              </w:rPr>
              <w:t>The Administrative Code states that public officers and employees must at all times be accountable to the people</w:t>
            </w:r>
            <w:r>
              <w:rPr>
                <w:sz w:val="20"/>
                <w:szCs w:val="20"/>
              </w:rPr>
              <w:t>;</w:t>
            </w:r>
            <w:r w:rsidRPr="00530777">
              <w:rPr>
                <w:sz w:val="20"/>
                <w:szCs w:val="20"/>
              </w:rPr>
              <w:t xml:space="preserve"> serve them with utmost responsibility, integrity, loyalty, and efficiency</w:t>
            </w:r>
            <w:r>
              <w:rPr>
                <w:sz w:val="20"/>
                <w:szCs w:val="20"/>
              </w:rPr>
              <w:t xml:space="preserve">; </w:t>
            </w:r>
            <w:r w:rsidRPr="00530777">
              <w:rPr>
                <w:sz w:val="20"/>
                <w:szCs w:val="20"/>
              </w:rPr>
              <w:t>act with patriotism and justice</w:t>
            </w:r>
            <w:r>
              <w:rPr>
                <w:sz w:val="20"/>
                <w:szCs w:val="20"/>
              </w:rPr>
              <w:t>;</w:t>
            </w:r>
            <w:r w:rsidRPr="00530777">
              <w:rPr>
                <w:sz w:val="20"/>
                <w:szCs w:val="20"/>
              </w:rPr>
              <w:t xml:space="preserve"> and lead modest lives. This principle relates to accountability, norms of conduct and ethical standards, and performance of the management and staff, including the manner by which an agency operates and provides public service.</w:t>
            </w:r>
            <w:bookmarkEnd w:id="308"/>
            <w:bookmarkEnd w:id="309"/>
          </w:p>
        </w:tc>
      </w:tr>
      <w:tr w:rsidR="000A4582" w:rsidRPr="00530777" w14:paraId="69DFDFC9" w14:textId="77777777" w:rsidTr="00CD374D">
        <w:trPr>
          <w:trHeight w:val="1610"/>
          <w:tblHeader/>
        </w:trPr>
        <w:tc>
          <w:tcPr>
            <w:tcW w:w="2758" w:type="dxa"/>
            <w:shd w:val="clear" w:color="auto" w:fill="auto"/>
          </w:tcPr>
          <w:p w14:paraId="5FB8BA0B" w14:textId="77777777" w:rsidR="000A4582" w:rsidRPr="00530777" w:rsidRDefault="000A4582" w:rsidP="000E4F0C">
            <w:pPr>
              <w:keepNext/>
              <w:outlineLvl w:val="2"/>
              <w:rPr>
                <w:rFonts w:eastAsia="Calibri"/>
                <w:b/>
                <w:bCs/>
                <w:sz w:val="20"/>
                <w:szCs w:val="20"/>
              </w:rPr>
            </w:pPr>
            <w:bookmarkStart w:id="310" w:name="_Toc454811741"/>
            <w:bookmarkStart w:id="311" w:name="_Toc454888885"/>
            <w:r w:rsidRPr="00530777">
              <w:rPr>
                <w:sz w:val="20"/>
                <w:szCs w:val="20"/>
              </w:rPr>
              <w:t>1.2. Commitment to competence</w:t>
            </w:r>
            <w:bookmarkEnd w:id="310"/>
            <w:bookmarkEnd w:id="311"/>
            <w:r>
              <w:rPr>
                <w:sz w:val="20"/>
                <w:szCs w:val="20"/>
              </w:rPr>
              <w:t xml:space="preserve"> </w:t>
            </w:r>
          </w:p>
        </w:tc>
        <w:tc>
          <w:tcPr>
            <w:tcW w:w="6592" w:type="dxa"/>
            <w:shd w:val="clear" w:color="auto" w:fill="auto"/>
          </w:tcPr>
          <w:p w14:paraId="4CC62E02" w14:textId="77777777" w:rsidR="000A4582" w:rsidRPr="00530777" w:rsidRDefault="000A4582" w:rsidP="000E4F0C">
            <w:pPr>
              <w:keepNext/>
              <w:jc w:val="both"/>
              <w:outlineLvl w:val="2"/>
              <w:rPr>
                <w:sz w:val="20"/>
                <w:szCs w:val="20"/>
              </w:rPr>
            </w:pPr>
            <w:bookmarkStart w:id="312" w:name="_Toc454811742"/>
            <w:bookmarkStart w:id="313" w:name="_Toc454888886"/>
            <w:r w:rsidRPr="00530777">
              <w:rPr>
                <w:sz w:val="20"/>
                <w:szCs w:val="20"/>
              </w:rPr>
              <w:t xml:space="preserve">The Administrative Code requires Government employees to commit and demonstrate competence in the conduct of their duties and responsibilities. Each one, from the head of agency to the rank and file, </w:t>
            </w:r>
            <w:r>
              <w:rPr>
                <w:sz w:val="20"/>
                <w:szCs w:val="20"/>
              </w:rPr>
              <w:t>must</w:t>
            </w:r>
            <w:r w:rsidRPr="00530777">
              <w:rPr>
                <w:sz w:val="20"/>
                <w:szCs w:val="20"/>
              </w:rPr>
              <w:t xml:space="preserve"> work for the achievement of the agency’s objectives. They must show full support for internal control and the continual improvement of systems and processes that would increase the efficiency and effectiveness of the agency.</w:t>
            </w:r>
            <w:bookmarkEnd w:id="312"/>
            <w:bookmarkEnd w:id="313"/>
          </w:p>
        </w:tc>
      </w:tr>
      <w:tr w:rsidR="000A4582" w:rsidRPr="00530777" w14:paraId="71324B26" w14:textId="77777777" w:rsidTr="00CD374D">
        <w:trPr>
          <w:trHeight w:val="1610"/>
          <w:tblHeader/>
        </w:trPr>
        <w:tc>
          <w:tcPr>
            <w:tcW w:w="2758" w:type="dxa"/>
            <w:shd w:val="clear" w:color="auto" w:fill="auto"/>
          </w:tcPr>
          <w:p w14:paraId="4C9912C9" w14:textId="77777777" w:rsidR="000A4582" w:rsidRPr="00530777" w:rsidRDefault="000A4582" w:rsidP="000E4F0C">
            <w:pPr>
              <w:keepNext/>
              <w:outlineLvl w:val="2"/>
              <w:rPr>
                <w:rFonts w:eastAsia="Calibri"/>
                <w:b/>
                <w:bCs/>
                <w:sz w:val="20"/>
                <w:szCs w:val="20"/>
              </w:rPr>
            </w:pPr>
            <w:bookmarkStart w:id="314" w:name="_Toc454811743"/>
            <w:bookmarkStart w:id="315" w:name="_Toc454888887"/>
            <w:r w:rsidRPr="00530777">
              <w:rPr>
                <w:sz w:val="20"/>
                <w:szCs w:val="20"/>
              </w:rPr>
              <w:t>1.3. The “tone at the top” (i.e.</w:t>
            </w:r>
            <w:r>
              <w:rPr>
                <w:sz w:val="20"/>
                <w:szCs w:val="20"/>
              </w:rPr>
              <w:t>,</w:t>
            </w:r>
            <w:r w:rsidRPr="00530777">
              <w:rPr>
                <w:sz w:val="20"/>
                <w:szCs w:val="20"/>
              </w:rPr>
              <w:t xml:space="preserve"> management’s philosophy and operating style)</w:t>
            </w:r>
            <w:bookmarkEnd w:id="314"/>
            <w:bookmarkEnd w:id="315"/>
          </w:p>
        </w:tc>
        <w:tc>
          <w:tcPr>
            <w:tcW w:w="6592" w:type="dxa"/>
            <w:shd w:val="clear" w:color="auto" w:fill="auto"/>
          </w:tcPr>
          <w:p w14:paraId="27729106" w14:textId="77777777" w:rsidR="000A4582" w:rsidRPr="00530777" w:rsidRDefault="000A4582" w:rsidP="000E4F0C">
            <w:pPr>
              <w:keepNext/>
              <w:jc w:val="both"/>
              <w:outlineLvl w:val="2"/>
              <w:rPr>
                <w:sz w:val="20"/>
                <w:szCs w:val="20"/>
              </w:rPr>
            </w:pPr>
            <w:bookmarkStart w:id="316" w:name="_Toc454811744"/>
            <w:bookmarkStart w:id="317" w:name="_Toc454888888"/>
            <w:r>
              <w:rPr>
                <w:sz w:val="20"/>
                <w:szCs w:val="20"/>
              </w:rPr>
              <w:t>The</w:t>
            </w:r>
            <w:r w:rsidRPr="00530777">
              <w:rPr>
                <w:sz w:val="20"/>
                <w:szCs w:val="20"/>
              </w:rPr>
              <w:t xml:space="preserve"> Administrative Code provides that all resources of the </w:t>
            </w:r>
            <w:r>
              <w:rPr>
                <w:sz w:val="20"/>
                <w:szCs w:val="20"/>
              </w:rPr>
              <w:t>G</w:t>
            </w:r>
            <w:r w:rsidRPr="00530777">
              <w:rPr>
                <w:sz w:val="20"/>
                <w:szCs w:val="20"/>
              </w:rPr>
              <w:t>overnment shall be managed, expended</w:t>
            </w:r>
            <w:r>
              <w:rPr>
                <w:sz w:val="20"/>
                <w:szCs w:val="20"/>
              </w:rPr>
              <w:t>,</w:t>
            </w:r>
            <w:r w:rsidRPr="00530777">
              <w:rPr>
                <w:sz w:val="20"/>
                <w:szCs w:val="20"/>
              </w:rPr>
              <w:t xml:space="preserve"> or utilized in accordance with law and regulations and safeguarded against loss or wastage through illegal or improper disposition to ensure efficiency, economy</w:t>
            </w:r>
            <w:r>
              <w:rPr>
                <w:sz w:val="20"/>
                <w:szCs w:val="20"/>
              </w:rPr>
              <w:t>,</w:t>
            </w:r>
            <w:r w:rsidRPr="00530777">
              <w:rPr>
                <w:sz w:val="20"/>
                <w:szCs w:val="20"/>
              </w:rPr>
              <w:t xml:space="preserve"> and effectiveness in </w:t>
            </w:r>
            <w:r>
              <w:rPr>
                <w:sz w:val="20"/>
                <w:szCs w:val="20"/>
              </w:rPr>
              <w:t>government</w:t>
            </w:r>
            <w:r w:rsidRPr="00530777">
              <w:rPr>
                <w:sz w:val="20"/>
                <w:szCs w:val="20"/>
              </w:rPr>
              <w:t xml:space="preserve"> operations. The responsibility to take care that such policy is faithfully adhered to rests directly with the head of the government agency.</w:t>
            </w:r>
            <w:bookmarkEnd w:id="316"/>
            <w:bookmarkEnd w:id="317"/>
          </w:p>
        </w:tc>
      </w:tr>
      <w:tr w:rsidR="006110D8" w:rsidRPr="00467396" w14:paraId="76544833" w14:textId="77777777" w:rsidTr="00CD374D">
        <w:trPr>
          <w:trHeight w:val="5669"/>
          <w:tblHeader/>
        </w:trPr>
        <w:tc>
          <w:tcPr>
            <w:tcW w:w="2758" w:type="dxa"/>
            <w:shd w:val="clear" w:color="auto" w:fill="auto"/>
          </w:tcPr>
          <w:p w14:paraId="30C6B9C3" w14:textId="77777777" w:rsidR="00FA7A46" w:rsidRPr="00530777" w:rsidRDefault="00FA7A46" w:rsidP="00E35674">
            <w:pPr>
              <w:keepNext/>
              <w:outlineLvl w:val="2"/>
              <w:rPr>
                <w:rFonts w:eastAsia="Calibri"/>
                <w:b/>
                <w:bCs/>
                <w:sz w:val="20"/>
                <w:szCs w:val="20"/>
              </w:rPr>
            </w:pPr>
            <w:bookmarkStart w:id="318" w:name="_Toc454811745"/>
            <w:bookmarkStart w:id="319" w:name="_Toc454888889"/>
            <w:r w:rsidRPr="00530777">
              <w:rPr>
                <w:sz w:val="20"/>
                <w:szCs w:val="20"/>
              </w:rPr>
              <w:t>1. Control environment</w:t>
            </w:r>
            <w:bookmarkEnd w:id="318"/>
            <w:bookmarkEnd w:id="319"/>
          </w:p>
        </w:tc>
        <w:tc>
          <w:tcPr>
            <w:tcW w:w="6592" w:type="dxa"/>
            <w:shd w:val="clear" w:color="auto" w:fill="auto"/>
          </w:tcPr>
          <w:p w14:paraId="52D13B8A" w14:textId="59882E22" w:rsidR="00FA7A46" w:rsidRDefault="00FA7A46" w:rsidP="00AE562B">
            <w:pPr>
              <w:rPr>
                <w:sz w:val="20"/>
                <w:szCs w:val="20"/>
              </w:rPr>
            </w:pPr>
            <w:r w:rsidRPr="00530777">
              <w:rPr>
                <w:sz w:val="20"/>
                <w:szCs w:val="20"/>
              </w:rPr>
              <w:t>There is a strong regulatory framework. The Philippines Constitution</w:t>
            </w:r>
            <w:r w:rsidR="00DB4428">
              <w:rPr>
                <w:sz w:val="20"/>
                <w:szCs w:val="20"/>
              </w:rPr>
              <w:t>,</w:t>
            </w:r>
            <w:r w:rsidRPr="00530777">
              <w:rPr>
                <w:sz w:val="20"/>
                <w:szCs w:val="20"/>
              </w:rPr>
              <w:t xml:space="preserve"> Article XI</w:t>
            </w:r>
            <w:r w:rsidR="00DB4428">
              <w:rPr>
                <w:sz w:val="20"/>
                <w:szCs w:val="20"/>
              </w:rPr>
              <w:t>,</w:t>
            </w:r>
            <w:r w:rsidRPr="00530777">
              <w:rPr>
                <w:sz w:val="20"/>
                <w:szCs w:val="20"/>
              </w:rPr>
              <w:t xml:space="preserve"> provides a strong imperative through its provisions on the accountability of public officers, supported by comprehensive </w:t>
            </w:r>
            <w:r w:rsidR="00B97E18">
              <w:rPr>
                <w:sz w:val="20"/>
                <w:szCs w:val="20"/>
              </w:rPr>
              <w:t>Government</w:t>
            </w:r>
            <w:r w:rsidRPr="00530777">
              <w:rPr>
                <w:sz w:val="20"/>
                <w:szCs w:val="20"/>
              </w:rPr>
              <w:t xml:space="preserve"> instructions in </w:t>
            </w:r>
            <w:r w:rsidR="008D7A1F">
              <w:rPr>
                <w:sz w:val="20"/>
                <w:szCs w:val="20"/>
              </w:rPr>
              <w:t xml:space="preserve">the </w:t>
            </w:r>
            <w:r w:rsidRPr="00530777">
              <w:rPr>
                <w:sz w:val="20"/>
                <w:szCs w:val="20"/>
              </w:rPr>
              <w:t xml:space="preserve">Administrative Code, National Guidelines on Internal Control Systems, and Government Internal Audit Manual. These </w:t>
            </w:r>
            <w:r w:rsidR="008D7A1F">
              <w:rPr>
                <w:sz w:val="20"/>
                <w:szCs w:val="20"/>
              </w:rPr>
              <w:t xml:space="preserve">instructions </w:t>
            </w:r>
            <w:r w:rsidRPr="00530777">
              <w:rPr>
                <w:sz w:val="20"/>
                <w:szCs w:val="20"/>
              </w:rPr>
              <w:t xml:space="preserve">provide standards </w:t>
            </w:r>
            <w:r w:rsidR="008D7A1F">
              <w:rPr>
                <w:sz w:val="20"/>
                <w:szCs w:val="20"/>
              </w:rPr>
              <w:t>to</w:t>
            </w:r>
            <w:r w:rsidRPr="00530777">
              <w:rPr>
                <w:sz w:val="20"/>
                <w:szCs w:val="20"/>
              </w:rPr>
              <w:t xml:space="preserve"> guide each government agency in developing its detailed and comprehensive system of internal controls. Agency characteristics such as mandate, functions, nature of activities, operating environment, manpower profile, size</w:t>
            </w:r>
            <w:r w:rsidR="00DB4428">
              <w:rPr>
                <w:sz w:val="20"/>
                <w:szCs w:val="20"/>
              </w:rPr>
              <w:t>,</w:t>
            </w:r>
            <w:r w:rsidRPr="00530777">
              <w:rPr>
                <w:sz w:val="20"/>
                <w:szCs w:val="20"/>
              </w:rPr>
              <w:t xml:space="preserve"> and organizational structure will have to be considered in developing or improving the individual controls. A strong and responsive internal control system is an essential component of an organization’s internal and external processes. </w:t>
            </w:r>
          </w:p>
          <w:p w14:paraId="5EFA2B75" w14:textId="77777777" w:rsidR="006110D8" w:rsidRPr="00530777" w:rsidRDefault="006110D8" w:rsidP="00AE562B">
            <w:pPr>
              <w:rPr>
                <w:sz w:val="20"/>
                <w:szCs w:val="20"/>
              </w:rPr>
            </w:pPr>
          </w:p>
          <w:p w14:paraId="3FE604D5" w14:textId="0B188189" w:rsidR="00FA7A46" w:rsidRPr="00530777" w:rsidRDefault="00FA7A46" w:rsidP="00AE562B">
            <w:pPr>
              <w:keepNext/>
              <w:jc w:val="both"/>
              <w:outlineLvl w:val="2"/>
              <w:rPr>
                <w:sz w:val="20"/>
                <w:szCs w:val="20"/>
              </w:rPr>
            </w:pPr>
            <w:bookmarkStart w:id="320" w:name="_Toc454811746"/>
            <w:bookmarkStart w:id="321" w:name="_Toc454888890"/>
            <w:r w:rsidRPr="00530777">
              <w:rPr>
                <w:sz w:val="20"/>
                <w:szCs w:val="20"/>
              </w:rPr>
              <w:t xml:space="preserve">This </w:t>
            </w:r>
            <w:r w:rsidR="008D7A1F">
              <w:rPr>
                <w:sz w:val="20"/>
                <w:szCs w:val="20"/>
              </w:rPr>
              <w:t xml:space="preserve">regulatory </w:t>
            </w:r>
            <w:r w:rsidRPr="00530777">
              <w:rPr>
                <w:sz w:val="20"/>
                <w:szCs w:val="20"/>
              </w:rPr>
              <w:t xml:space="preserve">framework is shown to be effective by </w:t>
            </w:r>
            <w:r w:rsidR="008D7A1F">
              <w:rPr>
                <w:sz w:val="20"/>
                <w:szCs w:val="20"/>
              </w:rPr>
              <w:t>the results assessed for PI</w:t>
            </w:r>
            <w:r w:rsidR="00DB4428">
              <w:rPr>
                <w:sz w:val="20"/>
                <w:szCs w:val="20"/>
              </w:rPr>
              <w:t>-</w:t>
            </w:r>
            <w:r w:rsidRPr="00530777">
              <w:rPr>
                <w:sz w:val="20"/>
                <w:szCs w:val="20"/>
              </w:rPr>
              <w:t xml:space="preserve"> 23 and </w:t>
            </w:r>
            <w:r w:rsidR="00DB4428">
              <w:rPr>
                <w:sz w:val="20"/>
                <w:szCs w:val="20"/>
              </w:rPr>
              <w:t>PI-</w:t>
            </w:r>
            <w:r w:rsidRPr="00530777">
              <w:rPr>
                <w:sz w:val="20"/>
                <w:szCs w:val="20"/>
              </w:rPr>
              <w:t>25 on internal controls over payroll and non-salary expenditure</w:t>
            </w:r>
            <w:r w:rsidR="008D7A1F">
              <w:rPr>
                <w:sz w:val="20"/>
                <w:szCs w:val="20"/>
              </w:rPr>
              <w:t>,</w:t>
            </w:r>
            <w:r w:rsidRPr="00530777">
              <w:rPr>
                <w:sz w:val="20"/>
                <w:szCs w:val="20"/>
              </w:rPr>
              <w:t xml:space="preserve"> which </w:t>
            </w:r>
            <w:r w:rsidR="008D7A1F">
              <w:rPr>
                <w:sz w:val="20"/>
                <w:szCs w:val="20"/>
              </w:rPr>
              <w:t>were rated</w:t>
            </w:r>
            <w:r w:rsidR="008D7A1F" w:rsidRPr="00530777">
              <w:rPr>
                <w:sz w:val="20"/>
                <w:szCs w:val="20"/>
              </w:rPr>
              <w:t xml:space="preserve"> </w:t>
            </w:r>
            <w:r w:rsidR="008D7A1F">
              <w:rPr>
                <w:sz w:val="20"/>
                <w:szCs w:val="20"/>
              </w:rPr>
              <w:t>“B</w:t>
            </w:r>
            <w:r w:rsidR="00B74F79" w:rsidRPr="00530777">
              <w:rPr>
                <w:sz w:val="20"/>
                <w:szCs w:val="20"/>
              </w:rPr>
              <w:t>+</w:t>
            </w:r>
            <w:r w:rsidR="008D7A1F">
              <w:rPr>
                <w:sz w:val="20"/>
                <w:szCs w:val="20"/>
              </w:rPr>
              <w:t>”</w:t>
            </w:r>
            <w:r w:rsidRPr="00530777">
              <w:rPr>
                <w:sz w:val="20"/>
                <w:szCs w:val="20"/>
              </w:rPr>
              <w:t xml:space="preserve">. </w:t>
            </w:r>
            <w:r w:rsidR="00DB4428" w:rsidRPr="00530777">
              <w:rPr>
                <w:sz w:val="20"/>
                <w:szCs w:val="20"/>
              </w:rPr>
              <w:t>PI</w:t>
            </w:r>
            <w:r w:rsidR="00DB4428">
              <w:rPr>
                <w:sz w:val="20"/>
                <w:szCs w:val="20"/>
              </w:rPr>
              <w:t>-</w:t>
            </w:r>
            <w:r w:rsidR="00B74F79" w:rsidRPr="00530777">
              <w:rPr>
                <w:sz w:val="20"/>
                <w:szCs w:val="20"/>
              </w:rPr>
              <w:t>25.3</w:t>
            </w:r>
            <w:r w:rsidRPr="00530777">
              <w:rPr>
                <w:sz w:val="20"/>
                <w:szCs w:val="20"/>
              </w:rPr>
              <w:t xml:space="preserve"> </w:t>
            </w:r>
            <w:r w:rsidR="008D7A1F">
              <w:rPr>
                <w:sz w:val="20"/>
                <w:szCs w:val="20"/>
              </w:rPr>
              <w:t xml:space="preserve">on </w:t>
            </w:r>
            <w:r w:rsidRPr="00530777">
              <w:rPr>
                <w:sz w:val="20"/>
                <w:szCs w:val="20"/>
              </w:rPr>
              <w:t xml:space="preserve">compliance with payment rules and procedures was rated </w:t>
            </w:r>
            <w:r w:rsidR="008D7A1F">
              <w:rPr>
                <w:sz w:val="20"/>
                <w:szCs w:val="20"/>
              </w:rPr>
              <w:t>“B”</w:t>
            </w:r>
            <w:r w:rsidR="00DB4428">
              <w:rPr>
                <w:sz w:val="20"/>
                <w:szCs w:val="20"/>
              </w:rPr>
              <w:t>,</w:t>
            </w:r>
            <w:r w:rsidR="008D7A1F" w:rsidRPr="00530777">
              <w:rPr>
                <w:sz w:val="20"/>
                <w:szCs w:val="20"/>
              </w:rPr>
              <w:t xml:space="preserve"> </w:t>
            </w:r>
            <w:r w:rsidRPr="00530777">
              <w:rPr>
                <w:sz w:val="20"/>
                <w:szCs w:val="20"/>
              </w:rPr>
              <w:t xml:space="preserve">and </w:t>
            </w:r>
            <w:r w:rsidR="008D7A1F">
              <w:rPr>
                <w:sz w:val="20"/>
                <w:szCs w:val="20"/>
              </w:rPr>
              <w:t xml:space="preserve">the assessment </w:t>
            </w:r>
            <w:r w:rsidRPr="00530777">
              <w:rPr>
                <w:sz w:val="20"/>
                <w:szCs w:val="20"/>
              </w:rPr>
              <w:t xml:space="preserve">found </w:t>
            </w:r>
            <w:r w:rsidR="008D7A1F">
              <w:rPr>
                <w:sz w:val="20"/>
                <w:szCs w:val="20"/>
              </w:rPr>
              <w:t xml:space="preserve">that </w:t>
            </w:r>
            <w:r w:rsidRPr="00530777">
              <w:rPr>
                <w:sz w:val="20"/>
                <w:szCs w:val="20"/>
              </w:rPr>
              <w:t xml:space="preserve">most payments comply with regular payment procedures. </w:t>
            </w:r>
            <w:r w:rsidR="008D7A1F">
              <w:rPr>
                <w:sz w:val="20"/>
                <w:szCs w:val="20"/>
              </w:rPr>
              <w:t xml:space="preserve"> The CoA-conducted audits do identify instances of non-compliance, which need to be corrected; but in the </w:t>
            </w:r>
            <w:r w:rsidR="008D7A1F" w:rsidRPr="00530777">
              <w:rPr>
                <w:sz w:val="20"/>
                <w:szCs w:val="20"/>
              </w:rPr>
              <w:t xml:space="preserve">majority of </w:t>
            </w:r>
            <w:r w:rsidR="008D7A1F">
              <w:rPr>
                <w:sz w:val="20"/>
                <w:szCs w:val="20"/>
              </w:rPr>
              <w:t xml:space="preserve">cases, </w:t>
            </w:r>
            <w:r w:rsidR="008D7A1F" w:rsidRPr="00530777">
              <w:rPr>
                <w:sz w:val="20"/>
                <w:szCs w:val="20"/>
              </w:rPr>
              <w:t>the</w:t>
            </w:r>
            <w:r w:rsidR="008D7A1F">
              <w:rPr>
                <w:sz w:val="20"/>
                <w:szCs w:val="20"/>
              </w:rPr>
              <w:t>se</w:t>
            </w:r>
            <w:r w:rsidR="008D7A1F" w:rsidRPr="00530777">
              <w:rPr>
                <w:sz w:val="20"/>
                <w:szCs w:val="20"/>
              </w:rPr>
              <w:t xml:space="preserve"> exceptions </w:t>
            </w:r>
            <w:r w:rsidR="008D7A1F">
              <w:rPr>
                <w:sz w:val="20"/>
                <w:szCs w:val="20"/>
              </w:rPr>
              <w:t>are not the main causes of qualified opinions on the annual accounts. They are therefore not considered to seriously compromise the control environment as a whole but are significant in some cases.</w:t>
            </w:r>
            <w:r w:rsidR="008D7A1F" w:rsidRPr="00530777">
              <w:rPr>
                <w:sz w:val="20"/>
                <w:szCs w:val="20"/>
              </w:rPr>
              <w:t xml:space="preserve"> </w:t>
            </w:r>
            <w:r w:rsidR="008D7A1F">
              <w:rPr>
                <w:sz w:val="20"/>
                <w:szCs w:val="20"/>
              </w:rPr>
              <w:t>A more comprehensive, integrated, computerized accounting system for processing government transactions can provide a user-friendly set of controls that are applied automatically to prevent instances of failure.</w:t>
            </w:r>
            <w:bookmarkEnd w:id="320"/>
            <w:bookmarkEnd w:id="321"/>
          </w:p>
        </w:tc>
      </w:tr>
      <w:tr w:rsidR="006110D8" w:rsidRPr="00467396" w14:paraId="4F5281FD" w14:textId="77777777" w:rsidTr="000A4582">
        <w:trPr>
          <w:trHeight w:val="720"/>
          <w:tblHeader/>
        </w:trPr>
        <w:tc>
          <w:tcPr>
            <w:tcW w:w="2758" w:type="dxa"/>
            <w:shd w:val="clear" w:color="auto" w:fill="auto"/>
          </w:tcPr>
          <w:p w14:paraId="1A62D127" w14:textId="77777777" w:rsidR="00FA7A46" w:rsidRPr="00530777" w:rsidRDefault="00FA7A46" w:rsidP="00AE562B">
            <w:pPr>
              <w:keepNext/>
              <w:outlineLvl w:val="2"/>
              <w:rPr>
                <w:rFonts w:eastAsia="Calibri"/>
                <w:b/>
                <w:bCs/>
                <w:sz w:val="20"/>
                <w:szCs w:val="20"/>
              </w:rPr>
            </w:pPr>
            <w:bookmarkStart w:id="322" w:name="_Toc454811747"/>
            <w:bookmarkStart w:id="323" w:name="_Toc454888891"/>
            <w:r w:rsidRPr="00530777">
              <w:rPr>
                <w:sz w:val="20"/>
                <w:szCs w:val="20"/>
              </w:rPr>
              <w:t>1.1 The personal and professional integrity and ethical values of management and staff, including a supportive attitude toward internal control constantly throughout the organization.</w:t>
            </w:r>
            <w:bookmarkEnd w:id="322"/>
            <w:bookmarkEnd w:id="323"/>
            <w:r w:rsidRPr="00530777">
              <w:rPr>
                <w:sz w:val="20"/>
                <w:szCs w:val="20"/>
              </w:rPr>
              <w:t xml:space="preserve">  </w:t>
            </w:r>
          </w:p>
        </w:tc>
        <w:tc>
          <w:tcPr>
            <w:tcW w:w="6592" w:type="dxa"/>
            <w:shd w:val="clear" w:color="auto" w:fill="auto"/>
          </w:tcPr>
          <w:p w14:paraId="5BFE8C20" w14:textId="7098E3BD" w:rsidR="00FA7A46" w:rsidRPr="00530777" w:rsidRDefault="00FA7A46" w:rsidP="00AE562B">
            <w:pPr>
              <w:keepNext/>
              <w:jc w:val="both"/>
              <w:outlineLvl w:val="2"/>
              <w:rPr>
                <w:sz w:val="20"/>
                <w:szCs w:val="20"/>
              </w:rPr>
            </w:pPr>
            <w:bookmarkStart w:id="324" w:name="_Toc454811748"/>
            <w:bookmarkStart w:id="325" w:name="_Toc454888892"/>
            <w:r w:rsidRPr="00530777">
              <w:rPr>
                <w:sz w:val="20"/>
                <w:szCs w:val="20"/>
              </w:rPr>
              <w:t>The Administrative Code states that public officers and employees must at all times be accountable to the people</w:t>
            </w:r>
            <w:r w:rsidR="00DB4428">
              <w:rPr>
                <w:sz w:val="20"/>
                <w:szCs w:val="20"/>
              </w:rPr>
              <w:t>;</w:t>
            </w:r>
            <w:r w:rsidR="00DB4428" w:rsidRPr="00530777">
              <w:rPr>
                <w:sz w:val="20"/>
                <w:szCs w:val="20"/>
              </w:rPr>
              <w:t xml:space="preserve"> </w:t>
            </w:r>
            <w:r w:rsidRPr="00530777">
              <w:rPr>
                <w:sz w:val="20"/>
                <w:szCs w:val="20"/>
              </w:rPr>
              <w:t>serve them with utmost responsibility, integrity, loyalty, and efficiency</w:t>
            </w:r>
            <w:r w:rsidR="00DB4428">
              <w:rPr>
                <w:sz w:val="20"/>
                <w:szCs w:val="20"/>
              </w:rPr>
              <w:t xml:space="preserve">; </w:t>
            </w:r>
            <w:r w:rsidRPr="00530777">
              <w:rPr>
                <w:sz w:val="20"/>
                <w:szCs w:val="20"/>
              </w:rPr>
              <w:t>act with patriotism and justice</w:t>
            </w:r>
            <w:r w:rsidR="00DB4428">
              <w:rPr>
                <w:sz w:val="20"/>
                <w:szCs w:val="20"/>
              </w:rPr>
              <w:t>;</w:t>
            </w:r>
            <w:r w:rsidRPr="00530777">
              <w:rPr>
                <w:sz w:val="20"/>
                <w:szCs w:val="20"/>
              </w:rPr>
              <w:t xml:space="preserve"> and lead modest lives. This principle relates to accountability, norms of conduct and ethical standards, and performance of the management and staff, including the manner by which an agency operates and provides public service.</w:t>
            </w:r>
            <w:bookmarkEnd w:id="324"/>
            <w:bookmarkEnd w:id="325"/>
          </w:p>
        </w:tc>
      </w:tr>
      <w:tr w:rsidR="006110D8" w:rsidRPr="00467396" w14:paraId="3819EC58" w14:textId="77777777" w:rsidTr="00CD374D">
        <w:trPr>
          <w:trHeight w:val="1520"/>
          <w:tblHeader/>
        </w:trPr>
        <w:tc>
          <w:tcPr>
            <w:tcW w:w="2758" w:type="dxa"/>
            <w:shd w:val="clear" w:color="auto" w:fill="auto"/>
          </w:tcPr>
          <w:p w14:paraId="2B51A300" w14:textId="49626E1D" w:rsidR="00FA7A46" w:rsidRPr="00530777" w:rsidRDefault="00FA7A46" w:rsidP="00AE562B">
            <w:pPr>
              <w:keepNext/>
              <w:outlineLvl w:val="2"/>
              <w:rPr>
                <w:rFonts w:eastAsia="Calibri"/>
                <w:b/>
                <w:bCs/>
                <w:sz w:val="20"/>
                <w:szCs w:val="20"/>
              </w:rPr>
            </w:pPr>
            <w:bookmarkStart w:id="326" w:name="_Toc454811749"/>
            <w:bookmarkStart w:id="327" w:name="_Toc454888893"/>
            <w:r w:rsidRPr="00530777">
              <w:rPr>
                <w:sz w:val="20"/>
                <w:szCs w:val="20"/>
              </w:rPr>
              <w:t>1.2. Commitment to competence</w:t>
            </w:r>
            <w:bookmarkEnd w:id="326"/>
            <w:bookmarkEnd w:id="327"/>
            <w:r w:rsidR="002E45F4">
              <w:rPr>
                <w:sz w:val="20"/>
                <w:szCs w:val="20"/>
              </w:rPr>
              <w:t xml:space="preserve"> </w:t>
            </w:r>
          </w:p>
        </w:tc>
        <w:tc>
          <w:tcPr>
            <w:tcW w:w="6592" w:type="dxa"/>
            <w:shd w:val="clear" w:color="auto" w:fill="auto"/>
          </w:tcPr>
          <w:p w14:paraId="75E6F38A" w14:textId="3DC7AE96" w:rsidR="00FA7A46" w:rsidRPr="00530777" w:rsidRDefault="00FA7A46" w:rsidP="00AE562B">
            <w:pPr>
              <w:keepNext/>
              <w:jc w:val="both"/>
              <w:outlineLvl w:val="2"/>
              <w:rPr>
                <w:sz w:val="20"/>
                <w:szCs w:val="20"/>
              </w:rPr>
            </w:pPr>
            <w:bookmarkStart w:id="328" w:name="_Toc454811750"/>
            <w:bookmarkStart w:id="329" w:name="_Toc454888894"/>
            <w:r w:rsidRPr="00530777">
              <w:rPr>
                <w:sz w:val="20"/>
                <w:szCs w:val="20"/>
              </w:rPr>
              <w:t xml:space="preserve">The Administrative Code requires Government employees to commit and demonstrate competence in the conduct of their duties and responsibilities. Each one, from the head of agency to the rank and file, </w:t>
            </w:r>
            <w:r w:rsidR="00DB4428">
              <w:rPr>
                <w:sz w:val="20"/>
                <w:szCs w:val="20"/>
              </w:rPr>
              <w:t>must</w:t>
            </w:r>
            <w:r w:rsidRPr="00530777">
              <w:rPr>
                <w:sz w:val="20"/>
                <w:szCs w:val="20"/>
              </w:rPr>
              <w:t xml:space="preserve"> work for the achievement of the agency’s objectives. They must show full support for internal control and the continual improvement of systems and processes that would increase the efficiency and effectiveness of the agency.</w:t>
            </w:r>
            <w:bookmarkEnd w:id="328"/>
            <w:bookmarkEnd w:id="329"/>
          </w:p>
        </w:tc>
      </w:tr>
      <w:tr w:rsidR="006110D8" w:rsidRPr="00467396" w14:paraId="56BD07D6" w14:textId="77777777" w:rsidTr="00CD374D">
        <w:trPr>
          <w:trHeight w:val="1484"/>
          <w:tblHeader/>
        </w:trPr>
        <w:tc>
          <w:tcPr>
            <w:tcW w:w="2758" w:type="dxa"/>
            <w:shd w:val="clear" w:color="auto" w:fill="auto"/>
          </w:tcPr>
          <w:p w14:paraId="558CC582" w14:textId="16919180" w:rsidR="00FA7A46" w:rsidRPr="00530777" w:rsidRDefault="00FA7A46" w:rsidP="00AE562B">
            <w:pPr>
              <w:keepNext/>
              <w:outlineLvl w:val="2"/>
              <w:rPr>
                <w:rFonts w:eastAsia="Calibri"/>
                <w:b/>
                <w:bCs/>
                <w:sz w:val="20"/>
                <w:szCs w:val="20"/>
              </w:rPr>
            </w:pPr>
            <w:bookmarkStart w:id="330" w:name="_Toc454811751"/>
            <w:bookmarkStart w:id="331" w:name="_Toc454888895"/>
            <w:r w:rsidRPr="00530777">
              <w:rPr>
                <w:sz w:val="20"/>
                <w:szCs w:val="20"/>
              </w:rPr>
              <w:t>1.3. The “tone at the top” (i.e.</w:t>
            </w:r>
            <w:r w:rsidR="00DB4428">
              <w:rPr>
                <w:sz w:val="20"/>
                <w:szCs w:val="20"/>
              </w:rPr>
              <w:t>,</w:t>
            </w:r>
            <w:r w:rsidRPr="00530777">
              <w:rPr>
                <w:sz w:val="20"/>
                <w:szCs w:val="20"/>
              </w:rPr>
              <w:t xml:space="preserve"> management’s philosophy and operating style)</w:t>
            </w:r>
            <w:bookmarkEnd w:id="330"/>
            <w:bookmarkEnd w:id="331"/>
          </w:p>
        </w:tc>
        <w:tc>
          <w:tcPr>
            <w:tcW w:w="6592" w:type="dxa"/>
            <w:shd w:val="clear" w:color="auto" w:fill="auto"/>
          </w:tcPr>
          <w:p w14:paraId="1481E864" w14:textId="536CF636" w:rsidR="00FA7A46" w:rsidRPr="00530777" w:rsidRDefault="008610C3" w:rsidP="00AE562B">
            <w:pPr>
              <w:keepNext/>
              <w:jc w:val="both"/>
              <w:outlineLvl w:val="2"/>
              <w:rPr>
                <w:sz w:val="20"/>
                <w:szCs w:val="20"/>
              </w:rPr>
            </w:pPr>
            <w:bookmarkStart w:id="332" w:name="_Toc454811752"/>
            <w:bookmarkStart w:id="333" w:name="_Toc454888896"/>
            <w:r>
              <w:rPr>
                <w:sz w:val="20"/>
                <w:szCs w:val="20"/>
              </w:rPr>
              <w:t>The</w:t>
            </w:r>
            <w:r w:rsidR="00FA7A46" w:rsidRPr="00530777">
              <w:rPr>
                <w:sz w:val="20"/>
                <w:szCs w:val="20"/>
              </w:rPr>
              <w:t xml:space="preserve"> Administrative Code provides that all resources of the </w:t>
            </w:r>
            <w:r>
              <w:rPr>
                <w:sz w:val="20"/>
                <w:szCs w:val="20"/>
              </w:rPr>
              <w:t>G</w:t>
            </w:r>
            <w:r w:rsidRPr="00530777">
              <w:rPr>
                <w:sz w:val="20"/>
                <w:szCs w:val="20"/>
              </w:rPr>
              <w:t xml:space="preserve">overnment </w:t>
            </w:r>
            <w:r w:rsidR="00FA7A46" w:rsidRPr="00530777">
              <w:rPr>
                <w:sz w:val="20"/>
                <w:szCs w:val="20"/>
              </w:rPr>
              <w:t>shall be managed, expended</w:t>
            </w:r>
            <w:r>
              <w:rPr>
                <w:sz w:val="20"/>
                <w:szCs w:val="20"/>
              </w:rPr>
              <w:t>,</w:t>
            </w:r>
            <w:r w:rsidR="00FA7A46" w:rsidRPr="00530777">
              <w:rPr>
                <w:sz w:val="20"/>
                <w:szCs w:val="20"/>
              </w:rPr>
              <w:t xml:space="preserve"> or utilized in accordance with law and regulations and safeguarded against loss or wastage through illegal or improper disposition to ensure efficiency, economy</w:t>
            </w:r>
            <w:r>
              <w:rPr>
                <w:sz w:val="20"/>
                <w:szCs w:val="20"/>
              </w:rPr>
              <w:t>,</w:t>
            </w:r>
            <w:r w:rsidR="00FA7A46" w:rsidRPr="00530777">
              <w:rPr>
                <w:sz w:val="20"/>
                <w:szCs w:val="20"/>
              </w:rPr>
              <w:t xml:space="preserve"> and effectiveness in </w:t>
            </w:r>
            <w:r>
              <w:rPr>
                <w:sz w:val="20"/>
                <w:szCs w:val="20"/>
              </w:rPr>
              <w:t>government</w:t>
            </w:r>
            <w:r w:rsidRPr="00530777">
              <w:rPr>
                <w:sz w:val="20"/>
                <w:szCs w:val="20"/>
              </w:rPr>
              <w:t xml:space="preserve"> </w:t>
            </w:r>
            <w:r w:rsidR="00FA7A46" w:rsidRPr="00530777">
              <w:rPr>
                <w:sz w:val="20"/>
                <w:szCs w:val="20"/>
              </w:rPr>
              <w:t>operations. The responsibility to take care that such policy is faithfully adhered to rests directly with the head of the government agency.</w:t>
            </w:r>
            <w:bookmarkEnd w:id="332"/>
            <w:bookmarkEnd w:id="333"/>
          </w:p>
        </w:tc>
      </w:tr>
      <w:tr w:rsidR="006110D8" w:rsidRPr="00467396" w14:paraId="520C0E04" w14:textId="77777777" w:rsidTr="000A4582">
        <w:trPr>
          <w:trHeight w:val="720"/>
          <w:tblHeader/>
        </w:trPr>
        <w:tc>
          <w:tcPr>
            <w:tcW w:w="2758" w:type="dxa"/>
            <w:shd w:val="clear" w:color="auto" w:fill="auto"/>
          </w:tcPr>
          <w:p w14:paraId="2CE28FD5" w14:textId="39A378D1" w:rsidR="00FA7A46" w:rsidRPr="00530777" w:rsidRDefault="00FA7A46" w:rsidP="00AE562B">
            <w:pPr>
              <w:keepNext/>
              <w:outlineLvl w:val="2"/>
              <w:rPr>
                <w:rFonts w:eastAsia="Calibri"/>
                <w:b/>
                <w:bCs/>
                <w:sz w:val="20"/>
                <w:szCs w:val="20"/>
              </w:rPr>
            </w:pPr>
            <w:bookmarkStart w:id="334" w:name="_Toc454811753"/>
            <w:bookmarkStart w:id="335" w:name="_Toc454888897"/>
            <w:r w:rsidRPr="00530777">
              <w:rPr>
                <w:sz w:val="20"/>
                <w:szCs w:val="20"/>
              </w:rPr>
              <w:t xml:space="preserve">1.4. </w:t>
            </w:r>
            <w:r w:rsidR="00E532C7" w:rsidRPr="00530777">
              <w:rPr>
                <w:sz w:val="20"/>
                <w:szCs w:val="20"/>
              </w:rPr>
              <w:t>Organizational</w:t>
            </w:r>
            <w:r w:rsidRPr="00530777">
              <w:rPr>
                <w:sz w:val="20"/>
                <w:szCs w:val="20"/>
              </w:rPr>
              <w:t xml:space="preserve"> structure</w:t>
            </w:r>
            <w:bookmarkEnd w:id="334"/>
            <w:bookmarkEnd w:id="335"/>
          </w:p>
        </w:tc>
        <w:tc>
          <w:tcPr>
            <w:tcW w:w="6592" w:type="dxa"/>
            <w:shd w:val="clear" w:color="auto" w:fill="auto"/>
          </w:tcPr>
          <w:p w14:paraId="0AB4B839" w14:textId="56A68BA2" w:rsidR="00FA7A46" w:rsidRPr="00530777" w:rsidRDefault="00FA7A46" w:rsidP="00AE562B">
            <w:pPr>
              <w:keepNext/>
              <w:jc w:val="both"/>
              <w:outlineLvl w:val="2"/>
              <w:rPr>
                <w:sz w:val="20"/>
                <w:szCs w:val="20"/>
              </w:rPr>
            </w:pPr>
            <w:bookmarkStart w:id="336" w:name="_Toc454811754"/>
            <w:bookmarkStart w:id="337" w:name="_Toc454888898"/>
            <w:r w:rsidRPr="00530777">
              <w:rPr>
                <w:sz w:val="20"/>
                <w:szCs w:val="20"/>
              </w:rPr>
              <w:t xml:space="preserve">The Administrative Code provides the basis for </w:t>
            </w:r>
            <w:r w:rsidR="00B97E18">
              <w:rPr>
                <w:sz w:val="20"/>
                <w:szCs w:val="20"/>
              </w:rPr>
              <w:t>Government</w:t>
            </w:r>
            <w:r w:rsidRPr="00530777">
              <w:rPr>
                <w:sz w:val="20"/>
                <w:szCs w:val="20"/>
              </w:rPr>
              <w:t xml:space="preserve"> organization structures. The Code organizes departments on the basis of major functions to achieve simplicity, economy, and efficiency in government operations and minimize duplication and overlapping of activities. Adequate authority shall be delegated to subordinate officials. Administrative decisions and actions shall, as much as feasible, be at the level closest to the public. The organizational structure is to provide the framework within which the activities of an agency are planned, executed, controlled, and reviewed. It is to consider key areas of authority and responsibility and the appropriate lines of reporting.</w:t>
            </w:r>
            <w:bookmarkEnd w:id="336"/>
            <w:bookmarkEnd w:id="337"/>
          </w:p>
        </w:tc>
      </w:tr>
      <w:tr w:rsidR="006110D8" w:rsidRPr="00467396" w14:paraId="76FD3C6A" w14:textId="77777777" w:rsidTr="000A4582">
        <w:trPr>
          <w:trHeight w:val="720"/>
          <w:tblHeader/>
        </w:trPr>
        <w:tc>
          <w:tcPr>
            <w:tcW w:w="2758" w:type="dxa"/>
            <w:shd w:val="clear" w:color="auto" w:fill="auto"/>
          </w:tcPr>
          <w:p w14:paraId="338288D8" w14:textId="77777777" w:rsidR="00FA7A46" w:rsidRPr="00530777" w:rsidRDefault="00FA7A46" w:rsidP="00AE562B">
            <w:pPr>
              <w:keepNext/>
              <w:outlineLvl w:val="2"/>
              <w:rPr>
                <w:rFonts w:eastAsia="Calibri"/>
                <w:b/>
                <w:bCs/>
                <w:sz w:val="20"/>
                <w:szCs w:val="20"/>
              </w:rPr>
            </w:pPr>
            <w:bookmarkStart w:id="338" w:name="_Toc454811755"/>
            <w:bookmarkStart w:id="339" w:name="_Toc454888899"/>
            <w:r w:rsidRPr="00530777">
              <w:rPr>
                <w:sz w:val="20"/>
                <w:szCs w:val="20"/>
              </w:rPr>
              <w:t>1.5. Human resource policies and practices</w:t>
            </w:r>
            <w:bookmarkEnd w:id="338"/>
            <w:bookmarkEnd w:id="339"/>
          </w:p>
        </w:tc>
        <w:tc>
          <w:tcPr>
            <w:tcW w:w="6592" w:type="dxa"/>
            <w:shd w:val="clear" w:color="auto" w:fill="auto"/>
          </w:tcPr>
          <w:p w14:paraId="31C894B2" w14:textId="128A8B8E" w:rsidR="00FA7A46" w:rsidRPr="00530777" w:rsidRDefault="00FA7A46" w:rsidP="00AE562B">
            <w:pPr>
              <w:keepNext/>
              <w:jc w:val="both"/>
              <w:outlineLvl w:val="2"/>
              <w:rPr>
                <w:sz w:val="20"/>
                <w:szCs w:val="20"/>
              </w:rPr>
            </w:pPr>
            <w:bookmarkStart w:id="340" w:name="_Toc454811756"/>
            <w:bookmarkStart w:id="341" w:name="_Toc454888900"/>
            <w:r w:rsidRPr="00530777">
              <w:rPr>
                <w:sz w:val="20"/>
                <w:szCs w:val="20"/>
              </w:rPr>
              <w:t xml:space="preserve">Departments have human resource development services with divisions for staff development, </w:t>
            </w:r>
            <w:r w:rsidR="00E532C7" w:rsidRPr="00530777">
              <w:rPr>
                <w:sz w:val="20"/>
                <w:szCs w:val="20"/>
              </w:rPr>
              <w:t>employees’</w:t>
            </w:r>
            <w:r w:rsidRPr="00530777">
              <w:rPr>
                <w:sz w:val="20"/>
                <w:szCs w:val="20"/>
              </w:rPr>
              <w:t xml:space="preserve"> benefits and payroll. The Administrative Code provides for entrance based on competitive examination, or based on highly technical qualifications; and for advancement through merit and fitness. There is periodic and continuing review of the performance through the performance evaluation promulgated by the Civil Service Commission. There is also a policy on discipline.</w:t>
            </w:r>
            <w:bookmarkEnd w:id="340"/>
            <w:bookmarkEnd w:id="341"/>
          </w:p>
        </w:tc>
      </w:tr>
      <w:tr w:rsidR="006110D8" w:rsidRPr="00467396" w14:paraId="37049251" w14:textId="77777777" w:rsidTr="000A4582">
        <w:trPr>
          <w:trHeight w:val="720"/>
          <w:tblHeader/>
        </w:trPr>
        <w:tc>
          <w:tcPr>
            <w:tcW w:w="2758" w:type="dxa"/>
            <w:shd w:val="clear" w:color="auto" w:fill="auto"/>
          </w:tcPr>
          <w:p w14:paraId="6C03A0D9" w14:textId="77777777" w:rsidR="00FA7A46" w:rsidRPr="00530777" w:rsidRDefault="00FA7A46" w:rsidP="00AE562B">
            <w:pPr>
              <w:keepNext/>
              <w:outlineLvl w:val="2"/>
              <w:rPr>
                <w:rFonts w:eastAsia="Calibri"/>
                <w:b/>
                <w:bCs/>
                <w:sz w:val="20"/>
                <w:szCs w:val="20"/>
              </w:rPr>
            </w:pPr>
            <w:bookmarkStart w:id="342" w:name="_Toc454811757"/>
            <w:bookmarkStart w:id="343" w:name="_Toc454888901"/>
            <w:r w:rsidRPr="00530777">
              <w:rPr>
                <w:sz w:val="20"/>
                <w:szCs w:val="20"/>
              </w:rPr>
              <w:t>2. Risk assessment</w:t>
            </w:r>
            <w:bookmarkEnd w:id="342"/>
            <w:bookmarkEnd w:id="343"/>
            <w:r w:rsidRPr="00530777">
              <w:rPr>
                <w:sz w:val="20"/>
                <w:szCs w:val="20"/>
              </w:rPr>
              <w:t xml:space="preserve">  </w:t>
            </w:r>
          </w:p>
        </w:tc>
        <w:tc>
          <w:tcPr>
            <w:tcW w:w="6592" w:type="dxa"/>
            <w:shd w:val="clear" w:color="auto" w:fill="auto"/>
          </w:tcPr>
          <w:p w14:paraId="623E85DD" w14:textId="4360BC46" w:rsidR="00FA7A46" w:rsidRDefault="00FA7A46" w:rsidP="00AE562B">
            <w:pPr>
              <w:rPr>
                <w:sz w:val="20"/>
                <w:szCs w:val="20"/>
              </w:rPr>
            </w:pPr>
            <w:r w:rsidRPr="00530777">
              <w:rPr>
                <w:sz w:val="20"/>
                <w:szCs w:val="20"/>
              </w:rPr>
              <w:t>For departments and agencies the NGICS requires effective and efficient systems of risk management and internal control for PFM. It mandates the establishment of standards on risk management in public service organizations. It has a section on risk assessment with specifications on risk identification, analysis and evaluation.</w:t>
            </w:r>
          </w:p>
          <w:p w14:paraId="3E620D7B" w14:textId="77777777" w:rsidR="006110D8" w:rsidRPr="00530777" w:rsidRDefault="006110D8" w:rsidP="00AE562B">
            <w:pPr>
              <w:rPr>
                <w:sz w:val="20"/>
                <w:szCs w:val="20"/>
              </w:rPr>
            </w:pPr>
          </w:p>
          <w:p w14:paraId="13A251D2" w14:textId="4982B55D" w:rsidR="00FA7A46" w:rsidRDefault="00FA7A46" w:rsidP="00AE562B">
            <w:pPr>
              <w:rPr>
                <w:sz w:val="20"/>
                <w:szCs w:val="20"/>
              </w:rPr>
            </w:pPr>
            <w:r w:rsidRPr="00530777">
              <w:rPr>
                <w:sz w:val="20"/>
                <w:szCs w:val="20"/>
              </w:rPr>
              <w:t xml:space="preserve">PI 19 revenue administration included an assessment of the approach to revenue risk management and rated it B for both BIR and BoC. </w:t>
            </w:r>
          </w:p>
          <w:p w14:paraId="52AC09B0" w14:textId="77777777" w:rsidR="006110D8" w:rsidRPr="00530777" w:rsidRDefault="006110D8" w:rsidP="00AE562B">
            <w:pPr>
              <w:rPr>
                <w:sz w:val="20"/>
                <w:szCs w:val="20"/>
              </w:rPr>
            </w:pPr>
          </w:p>
          <w:p w14:paraId="5529934B" w14:textId="77777777" w:rsidR="00FA7A46" w:rsidRPr="00530777" w:rsidRDefault="00FA7A46" w:rsidP="00AE562B">
            <w:pPr>
              <w:keepNext/>
              <w:jc w:val="both"/>
              <w:outlineLvl w:val="2"/>
              <w:rPr>
                <w:sz w:val="20"/>
                <w:szCs w:val="20"/>
              </w:rPr>
            </w:pPr>
            <w:bookmarkStart w:id="344" w:name="_Toc454811758"/>
            <w:bookmarkStart w:id="345" w:name="_Toc454888902"/>
            <w:r w:rsidRPr="00530777">
              <w:rPr>
                <w:sz w:val="20"/>
                <w:szCs w:val="20"/>
              </w:rPr>
              <w:t>For GOCCs annual performance agreements set out the components of internal control. The agreements include a charter statement and a strategy map, together with identification of indicators for measurement of performance. For LGUs summarized risks are identified and presented in annual Fiscal Risks Statements.</w:t>
            </w:r>
            <w:bookmarkEnd w:id="344"/>
            <w:bookmarkEnd w:id="345"/>
            <w:r w:rsidRPr="00530777">
              <w:rPr>
                <w:sz w:val="20"/>
                <w:szCs w:val="20"/>
              </w:rPr>
              <w:t xml:space="preserve"> </w:t>
            </w:r>
          </w:p>
        </w:tc>
      </w:tr>
      <w:tr w:rsidR="006110D8" w:rsidRPr="00467396" w14:paraId="351D3E4A" w14:textId="77777777" w:rsidTr="000A4582">
        <w:trPr>
          <w:trHeight w:val="720"/>
          <w:tblHeader/>
        </w:trPr>
        <w:tc>
          <w:tcPr>
            <w:tcW w:w="2758" w:type="dxa"/>
            <w:shd w:val="clear" w:color="auto" w:fill="auto"/>
          </w:tcPr>
          <w:p w14:paraId="456E00BF" w14:textId="77777777" w:rsidR="00FA7A46" w:rsidRPr="00530777" w:rsidRDefault="00FA7A46" w:rsidP="00AE562B">
            <w:pPr>
              <w:keepNext/>
              <w:outlineLvl w:val="2"/>
              <w:rPr>
                <w:rFonts w:eastAsia="Calibri"/>
                <w:b/>
                <w:bCs/>
                <w:sz w:val="20"/>
                <w:szCs w:val="20"/>
              </w:rPr>
            </w:pPr>
            <w:bookmarkStart w:id="346" w:name="_Toc454811759"/>
            <w:bookmarkStart w:id="347" w:name="_Toc454888903"/>
            <w:r w:rsidRPr="00530777">
              <w:rPr>
                <w:sz w:val="20"/>
                <w:szCs w:val="20"/>
              </w:rPr>
              <w:t>2.1 Risk identification</w:t>
            </w:r>
            <w:bookmarkEnd w:id="346"/>
            <w:bookmarkEnd w:id="347"/>
            <w:r w:rsidRPr="00530777">
              <w:rPr>
                <w:sz w:val="20"/>
                <w:szCs w:val="20"/>
              </w:rPr>
              <w:t xml:space="preserve">  </w:t>
            </w:r>
          </w:p>
        </w:tc>
        <w:tc>
          <w:tcPr>
            <w:tcW w:w="6592" w:type="dxa"/>
            <w:shd w:val="clear" w:color="auto" w:fill="auto"/>
          </w:tcPr>
          <w:p w14:paraId="281F78A1" w14:textId="77777777" w:rsidR="00FA7A46" w:rsidRPr="00530777" w:rsidRDefault="00FA7A46" w:rsidP="00AE562B">
            <w:pPr>
              <w:keepNext/>
              <w:jc w:val="both"/>
              <w:outlineLvl w:val="2"/>
              <w:rPr>
                <w:sz w:val="20"/>
                <w:szCs w:val="20"/>
              </w:rPr>
            </w:pPr>
            <w:bookmarkStart w:id="348" w:name="_Toc454811760"/>
            <w:bookmarkStart w:id="349" w:name="_Toc454888904"/>
            <w:r w:rsidRPr="00530777">
              <w:rPr>
                <w:sz w:val="20"/>
                <w:szCs w:val="20"/>
              </w:rPr>
              <w:t>The NGICS includes - The purpose of doing risk identification is to generate a comprehensive list of risks based on factors that might enhance, prevent, degrade or delay the achievement of the general control objectives. This will include identifying the risks in case of not pursuing an opportunity.</w:t>
            </w:r>
            <w:bookmarkEnd w:id="348"/>
            <w:bookmarkEnd w:id="349"/>
          </w:p>
          <w:p w14:paraId="6823C29F" w14:textId="77777777" w:rsidR="00FA7A46" w:rsidRDefault="00FA7A46" w:rsidP="00AE562B">
            <w:pPr>
              <w:rPr>
                <w:sz w:val="20"/>
                <w:szCs w:val="20"/>
              </w:rPr>
            </w:pPr>
            <w:r w:rsidRPr="00530777">
              <w:rPr>
                <w:sz w:val="20"/>
                <w:szCs w:val="20"/>
              </w:rPr>
              <w:t>Comprehensive identification is very important because a risk that is not identified will not be included in the next step of analyzing risks.</w:t>
            </w:r>
          </w:p>
          <w:p w14:paraId="5A6378C7" w14:textId="77777777" w:rsidR="006110D8" w:rsidRPr="00530777" w:rsidRDefault="006110D8" w:rsidP="00AE562B">
            <w:pPr>
              <w:rPr>
                <w:sz w:val="20"/>
                <w:szCs w:val="20"/>
              </w:rPr>
            </w:pPr>
          </w:p>
        </w:tc>
      </w:tr>
      <w:tr w:rsidR="006110D8" w:rsidRPr="00467396" w14:paraId="7BBFB072" w14:textId="77777777" w:rsidTr="000A4582">
        <w:trPr>
          <w:trHeight w:val="720"/>
          <w:tblHeader/>
        </w:trPr>
        <w:tc>
          <w:tcPr>
            <w:tcW w:w="2758" w:type="dxa"/>
            <w:shd w:val="clear" w:color="auto" w:fill="auto"/>
          </w:tcPr>
          <w:p w14:paraId="3DEB681C" w14:textId="77777777" w:rsidR="00FA7A46" w:rsidRPr="00530777" w:rsidRDefault="00FA7A46" w:rsidP="00AE562B">
            <w:pPr>
              <w:keepNext/>
              <w:outlineLvl w:val="2"/>
              <w:rPr>
                <w:rFonts w:eastAsia="Calibri"/>
                <w:b/>
                <w:bCs/>
                <w:sz w:val="20"/>
                <w:szCs w:val="20"/>
              </w:rPr>
            </w:pPr>
            <w:bookmarkStart w:id="350" w:name="_Toc454811761"/>
            <w:bookmarkStart w:id="351" w:name="_Toc454888905"/>
            <w:r w:rsidRPr="00530777">
              <w:rPr>
                <w:sz w:val="20"/>
                <w:szCs w:val="20"/>
              </w:rPr>
              <w:t>2.2 Risk assessment (significance and likelihood)</w:t>
            </w:r>
            <w:bookmarkEnd w:id="350"/>
            <w:bookmarkEnd w:id="351"/>
            <w:r w:rsidRPr="00530777">
              <w:rPr>
                <w:sz w:val="20"/>
                <w:szCs w:val="20"/>
              </w:rPr>
              <w:t xml:space="preserve">  </w:t>
            </w:r>
          </w:p>
        </w:tc>
        <w:tc>
          <w:tcPr>
            <w:tcW w:w="6592" w:type="dxa"/>
            <w:shd w:val="clear" w:color="auto" w:fill="auto"/>
          </w:tcPr>
          <w:p w14:paraId="0B05E21A" w14:textId="77777777" w:rsidR="00FA7A46" w:rsidRPr="00530777" w:rsidRDefault="00FA7A46" w:rsidP="00AE562B">
            <w:pPr>
              <w:keepNext/>
              <w:jc w:val="both"/>
              <w:outlineLvl w:val="2"/>
              <w:rPr>
                <w:sz w:val="20"/>
                <w:szCs w:val="20"/>
              </w:rPr>
            </w:pPr>
            <w:bookmarkStart w:id="352" w:name="_Toc454811762"/>
            <w:bookmarkStart w:id="353" w:name="_Toc454888906"/>
            <w:r w:rsidRPr="00530777">
              <w:rPr>
                <w:sz w:val="20"/>
                <w:szCs w:val="20"/>
              </w:rPr>
              <w:t>The NGICS includes - After the identification, it is necessary to consider possible causes and scenarios that would show what consequences can occur. All significant causes should be considered to estimate the risk.</w:t>
            </w:r>
            <w:bookmarkEnd w:id="352"/>
            <w:bookmarkEnd w:id="353"/>
            <w:r w:rsidRPr="00530777">
              <w:rPr>
                <w:sz w:val="20"/>
                <w:szCs w:val="20"/>
              </w:rPr>
              <w:t xml:space="preserve"> </w:t>
            </w:r>
          </w:p>
        </w:tc>
      </w:tr>
      <w:tr w:rsidR="006110D8" w:rsidRPr="00467396" w14:paraId="2064A364" w14:textId="77777777" w:rsidTr="000A4582">
        <w:trPr>
          <w:trHeight w:val="720"/>
          <w:tblHeader/>
        </w:trPr>
        <w:tc>
          <w:tcPr>
            <w:tcW w:w="2758" w:type="dxa"/>
            <w:shd w:val="clear" w:color="auto" w:fill="auto"/>
          </w:tcPr>
          <w:p w14:paraId="03E0FDAE" w14:textId="77777777" w:rsidR="00FA7A46" w:rsidRPr="00530777" w:rsidRDefault="00FA7A46" w:rsidP="00AE562B">
            <w:pPr>
              <w:keepNext/>
              <w:outlineLvl w:val="2"/>
              <w:rPr>
                <w:rFonts w:eastAsia="Calibri"/>
                <w:b/>
                <w:bCs/>
                <w:sz w:val="20"/>
                <w:szCs w:val="20"/>
              </w:rPr>
            </w:pPr>
            <w:bookmarkStart w:id="354" w:name="_Toc454811763"/>
            <w:bookmarkStart w:id="355" w:name="_Toc454888907"/>
            <w:r w:rsidRPr="00530777">
              <w:rPr>
                <w:sz w:val="20"/>
                <w:szCs w:val="20"/>
              </w:rPr>
              <w:t>2.3 Risk evaluation</w:t>
            </w:r>
            <w:bookmarkEnd w:id="354"/>
            <w:bookmarkEnd w:id="355"/>
            <w:r w:rsidRPr="00530777">
              <w:rPr>
                <w:sz w:val="20"/>
                <w:szCs w:val="20"/>
              </w:rPr>
              <w:t xml:space="preserve">  </w:t>
            </w:r>
          </w:p>
        </w:tc>
        <w:tc>
          <w:tcPr>
            <w:tcW w:w="6592" w:type="dxa"/>
            <w:shd w:val="clear" w:color="auto" w:fill="auto"/>
          </w:tcPr>
          <w:p w14:paraId="69709DDA" w14:textId="77777777" w:rsidR="00FA7A46" w:rsidRPr="00530777" w:rsidRDefault="00FA7A46" w:rsidP="00AE562B">
            <w:pPr>
              <w:keepNext/>
              <w:jc w:val="both"/>
              <w:outlineLvl w:val="2"/>
              <w:rPr>
                <w:sz w:val="20"/>
                <w:szCs w:val="20"/>
              </w:rPr>
            </w:pPr>
            <w:bookmarkStart w:id="356" w:name="_Toc454811764"/>
            <w:bookmarkStart w:id="357" w:name="_Toc454888908"/>
            <w:r w:rsidRPr="00530777">
              <w:rPr>
                <w:sz w:val="20"/>
                <w:szCs w:val="20"/>
              </w:rPr>
              <w:t>The NGICS includes - This is about developing an understanding of the risk and providing an input to risk evaluation and to decisions on whether risks need to be responded to, as well as on the most appropriate response strategies and methods. The objective of evaluating risks is to assist in coming up with a decision on which risks need treatment based on the results of the risk analysis.</w:t>
            </w:r>
            <w:bookmarkEnd w:id="356"/>
            <w:bookmarkEnd w:id="357"/>
            <w:r w:rsidRPr="00530777">
              <w:rPr>
                <w:sz w:val="20"/>
                <w:szCs w:val="20"/>
              </w:rPr>
              <w:t xml:space="preserve"> </w:t>
            </w:r>
          </w:p>
        </w:tc>
      </w:tr>
      <w:tr w:rsidR="006110D8" w:rsidRPr="00467396" w14:paraId="307B5391" w14:textId="77777777" w:rsidTr="000A4582">
        <w:trPr>
          <w:trHeight w:val="720"/>
          <w:tblHeader/>
        </w:trPr>
        <w:tc>
          <w:tcPr>
            <w:tcW w:w="2758" w:type="dxa"/>
            <w:shd w:val="clear" w:color="auto" w:fill="auto"/>
          </w:tcPr>
          <w:p w14:paraId="4FDCFC15" w14:textId="77777777" w:rsidR="00FA7A46" w:rsidRPr="00530777" w:rsidRDefault="00FA7A46" w:rsidP="00AE562B">
            <w:pPr>
              <w:keepNext/>
              <w:outlineLvl w:val="2"/>
              <w:rPr>
                <w:sz w:val="20"/>
                <w:szCs w:val="20"/>
              </w:rPr>
            </w:pPr>
            <w:bookmarkStart w:id="358" w:name="_Toc454811765"/>
            <w:bookmarkStart w:id="359" w:name="_Toc454888909"/>
            <w:r w:rsidRPr="00530777">
              <w:rPr>
                <w:sz w:val="20"/>
                <w:szCs w:val="20"/>
              </w:rPr>
              <w:t>2.4 Risk appetite assessment</w:t>
            </w:r>
            <w:bookmarkEnd w:id="358"/>
            <w:bookmarkEnd w:id="359"/>
            <w:r w:rsidRPr="00530777">
              <w:rPr>
                <w:sz w:val="20"/>
                <w:szCs w:val="20"/>
              </w:rPr>
              <w:t xml:space="preserve">  </w:t>
            </w:r>
          </w:p>
        </w:tc>
        <w:tc>
          <w:tcPr>
            <w:tcW w:w="6592" w:type="dxa"/>
            <w:shd w:val="clear" w:color="auto" w:fill="auto"/>
          </w:tcPr>
          <w:p w14:paraId="6BBF99C7" w14:textId="1CF020A8" w:rsidR="00FA7A46" w:rsidRPr="00530777" w:rsidRDefault="00FA7A46" w:rsidP="00AE562B">
            <w:pPr>
              <w:keepNext/>
              <w:jc w:val="both"/>
              <w:outlineLvl w:val="2"/>
              <w:rPr>
                <w:sz w:val="20"/>
                <w:szCs w:val="20"/>
              </w:rPr>
            </w:pPr>
            <w:bookmarkStart w:id="360" w:name="_Toc454811766"/>
            <w:bookmarkStart w:id="361" w:name="_Toc454888910"/>
            <w:r w:rsidRPr="00530777">
              <w:rPr>
                <w:sz w:val="20"/>
                <w:szCs w:val="20"/>
              </w:rPr>
              <w:t>The NGICS includes - An organization should apply risk identification tools and techniques</w:t>
            </w:r>
            <w:r w:rsidR="008D7A1F">
              <w:rPr>
                <w:sz w:val="20"/>
                <w:szCs w:val="20"/>
              </w:rPr>
              <w:t>,</w:t>
            </w:r>
            <w:r w:rsidRPr="00530777">
              <w:rPr>
                <w:sz w:val="20"/>
                <w:szCs w:val="20"/>
              </w:rPr>
              <w:t xml:space="preserve"> which are suited to its objectives and capabilities, and to the risks faced.</w:t>
            </w:r>
            <w:bookmarkEnd w:id="360"/>
            <w:bookmarkEnd w:id="361"/>
          </w:p>
        </w:tc>
      </w:tr>
      <w:tr w:rsidR="006110D8" w:rsidRPr="00467396" w14:paraId="13446E6F" w14:textId="77777777" w:rsidTr="000A4582">
        <w:trPr>
          <w:trHeight w:val="720"/>
          <w:tblHeader/>
        </w:trPr>
        <w:tc>
          <w:tcPr>
            <w:tcW w:w="2758" w:type="dxa"/>
            <w:shd w:val="clear" w:color="auto" w:fill="auto"/>
          </w:tcPr>
          <w:p w14:paraId="0641A74A" w14:textId="77777777" w:rsidR="00FA7A46" w:rsidRPr="00530777" w:rsidRDefault="00FA7A46" w:rsidP="00AE562B">
            <w:pPr>
              <w:keepNext/>
              <w:outlineLvl w:val="2"/>
              <w:rPr>
                <w:rFonts w:eastAsia="Calibri"/>
                <w:b/>
                <w:bCs/>
                <w:sz w:val="20"/>
                <w:szCs w:val="20"/>
              </w:rPr>
            </w:pPr>
            <w:bookmarkStart w:id="362" w:name="_Toc454811767"/>
            <w:bookmarkStart w:id="363" w:name="_Toc454888911"/>
            <w:r w:rsidRPr="00530777">
              <w:rPr>
                <w:sz w:val="20"/>
                <w:szCs w:val="20"/>
              </w:rPr>
              <w:t>2.5 Responses to risk (transfer, tolerance, treatment or termination)</w:t>
            </w:r>
            <w:bookmarkEnd w:id="362"/>
            <w:bookmarkEnd w:id="363"/>
          </w:p>
        </w:tc>
        <w:tc>
          <w:tcPr>
            <w:tcW w:w="6592" w:type="dxa"/>
            <w:shd w:val="clear" w:color="auto" w:fill="auto"/>
          </w:tcPr>
          <w:p w14:paraId="51D6AC17" w14:textId="42BEF411" w:rsidR="00FA7A46" w:rsidRDefault="00FA7A46" w:rsidP="00AE562B">
            <w:pPr>
              <w:rPr>
                <w:sz w:val="20"/>
                <w:szCs w:val="20"/>
              </w:rPr>
            </w:pPr>
            <w:r w:rsidRPr="00530777">
              <w:rPr>
                <w:sz w:val="20"/>
                <w:szCs w:val="20"/>
              </w:rPr>
              <w:t xml:space="preserve">The NGICS includes </w:t>
            </w:r>
            <w:r w:rsidR="001610D9" w:rsidRPr="00530777">
              <w:rPr>
                <w:sz w:val="20"/>
                <w:szCs w:val="20"/>
              </w:rPr>
              <w:t xml:space="preserve">- </w:t>
            </w:r>
            <w:r w:rsidR="001610D9" w:rsidRPr="00530777">
              <w:rPr>
                <w:rFonts w:ascii="Arial" w:eastAsiaTheme="minorHAnsi" w:hAnsi="Arial" w:cs="Arial"/>
                <w:sz w:val="20"/>
                <w:szCs w:val="20"/>
              </w:rPr>
              <w:t>Risk</w:t>
            </w:r>
            <w:r w:rsidRPr="00530777">
              <w:rPr>
                <w:sz w:val="20"/>
                <w:szCs w:val="20"/>
              </w:rPr>
              <w:t xml:space="preserve"> evaluation may lead to a decision to undertake further analysis</w:t>
            </w:r>
            <w:r w:rsidR="006110D8">
              <w:rPr>
                <w:sz w:val="20"/>
                <w:szCs w:val="20"/>
              </w:rPr>
              <w:t xml:space="preserve"> </w:t>
            </w:r>
            <w:r w:rsidRPr="00530777">
              <w:rPr>
                <w:sz w:val="20"/>
                <w:szCs w:val="20"/>
              </w:rPr>
              <w:t>or a decision not to treat the risk in any way but maintain existing risk controls (INTOSAI Guidelines for Internal Control Standards for the Public Sector). Responses to risks can be divided into the four categories. In some instances, risks can be transferred, tolerated or terminated. However, in most instances, the risk will have to be treated. The results of risk evaluation are an input to prioritizing treatment implementation. Risk evaluation may lead to a decision to undertake further analysis or a decision not to treat the risk in any way but maintain existing risk controls (INTOSAI Guidelines for Internal Control Standards for the Public Sector). The NGICS gives some illustrations on risk treatment.</w:t>
            </w:r>
          </w:p>
          <w:p w14:paraId="74198D08" w14:textId="77777777" w:rsidR="006110D8" w:rsidRPr="00530777" w:rsidRDefault="006110D8" w:rsidP="00AE562B">
            <w:pPr>
              <w:rPr>
                <w:sz w:val="20"/>
                <w:szCs w:val="20"/>
              </w:rPr>
            </w:pPr>
          </w:p>
        </w:tc>
      </w:tr>
      <w:tr w:rsidR="006110D8" w:rsidRPr="00467396" w14:paraId="68428A66" w14:textId="77777777" w:rsidTr="000A4582">
        <w:trPr>
          <w:trHeight w:val="720"/>
          <w:tblHeader/>
        </w:trPr>
        <w:tc>
          <w:tcPr>
            <w:tcW w:w="2758" w:type="dxa"/>
            <w:shd w:val="clear" w:color="auto" w:fill="auto"/>
          </w:tcPr>
          <w:p w14:paraId="434D5BFC" w14:textId="77777777" w:rsidR="00FA7A46" w:rsidRPr="00530777" w:rsidRDefault="00FA7A46" w:rsidP="00AE562B">
            <w:pPr>
              <w:keepNext/>
              <w:outlineLvl w:val="2"/>
              <w:rPr>
                <w:rFonts w:eastAsia="Calibri"/>
                <w:b/>
                <w:bCs/>
                <w:sz w:val="20"/>
                <w:szCs w:val="20"/>
              </w:rPr>
            </w:pPr>
            <w:bookmarkStart w:id="364" w:name="_Toc454811768"/>
            <w:bookmarkStart w:id="365" w:name="_Toc454888912"/>
            <w:r w:rsidRPr="00530777">
              <w:rPr>
                <w:sz w:val="20"/>
                <w:szCs w:val="20"/>
              </w:rPr>
              <w:t>3. Control activities</w:t>
            </w:r>
            <w:bookmarkEnd w:id="364"/>
            <w:bookmarkEnd w:id="365"/>
            <w:r w:rsidRPr="00530777">
              <w:rPr>
                <w:sz w:val="20"/>
                <w:szCs w:val="20"/>
              </w:rPr>
              <w:t xml:space="preserve">       </w:t>
            </w:r>
          </w:p>
        </w:tc>
        <w:tc>
          <w:tcPr>
            <w:tcW w:w="6592" w:type="dxa"/>
            <w:shd w:val="clear" w:color="auto" w:fill="auto"/>
          </w:tcPr>
          <w:p w14:paraId="3394D0F6" w14:textId="0E42465B" w:rsidR="00FA7A46" w:rsidRDefault="00FA7A46" w:rsidP="00AE562B">
            <w:pPr>
              <w:keepNext/>
              <w:jc w:val="both"/>
              <w:outlineLvl w:val="2"/>
              <w:rPr>
                <w:sz w:val="20"/>
                <w:szCs w:val="20"/>
              </w:rPr>
            </w:pPr>
            <w:bookmarkStart w:id="366" w:name="_Toc454811769"/>
            <w:bookmarkStart w:id="367" w:name="_Toc454888913"/>
            <w:r w:rsidRPr="00530777">
              <w:rPr>
                <w:sz w:val="20"/>
                <w:szCs w:val="20"/>
              </w:rPr>
              <w:t>The NGICs has a section setting out control activities.</w:t>
            </w:r>
            <w:r w:rsidR="008610C3">
              <w:rPr>
                <w:sz w:val="20"/>
                <w:szCs w:val="20"/>
              </w:rPr>
              <w:t xml:space="preserve"> </w:t>
            </w:r>
            <w:r w:rsidRPr="00530777">
              <w:rPr>
                <w:sz w:val="20"/>
                <w:szCs w:val="20"/>
              </w:rPr>
              <w:t>In PI</w:t>
            </w:r>
            <w:r w:rsidR="00217A7E">
              <w:rPr>
                <w:sz w:val="20"/>
                <w:szCs w:val="20"/>
              </w:rPr>
              <w:t>-</w:t>
            </w:r>
            <w:r w:rsidRPr="00530777">
              <w:rPr>
                <w:sz w:val="20"/>
                <w:szCs w:val="20"/>
              </w:rPr>
              <w:t>25</w:t>
            </w:r>
            <w:r w:rsidR="008610C3">
              <w:rPr>
                <w:sz w:val="20"/>
                <w:szCs w:val="20"/>
              </w:rPr>
              <w:t>,</w:t>
            </w:r>
            <w:r w:rsidRPr="00530777">
              <w:rPr>
                <w:sz w:val="20"/>
                <w:szCs w:val="20"/>
              </w:rPr>
              <w:t xml:space="preserve"> internal control was examined</w:t>
            </w:r>
            <w:r w:rsidR="008610C3">
              <w:rPr>
                <w:sz w:val="20"/>
                <w:szCs w:val="20"/>
              </w:rPr>
              <w:t>.</w:t>
            </w:r>
            <w:r w:rsidRPr="00530777">
              <w:rPr>
                <w:sz w:val="20"/>
                <w:szCs w:val="20"/>
              </w:rPr>
              <w:t xml:space="preserve"> </w:t>
            </w:r>
            <w:r w:rsidR="008610C3">
              <w:rPr>
                <w:sz w:val="20"/>
                <w:szCs w:val="20"/>
              </w:rPr>
              <w:t>It</w:t>
            </w:r>
            <w:r w:rsidRPr="00530777">
              <w:rPr>
                <w:sz w:val="20"/>
                <w:szCs w:val="20"/>
              </w:rPr>
              <w:t xml:space="preserve"> was found that the Accounting Division, in charge of recording and keeping the books, is usually under the Financial Management Service and is separate from the Administrative Service</w:t>
            </w:r>
            <w:r w:rsidR="008610C3">
              <w:rPr>
                <w:sz w:val="20"/>
                <w:szCs w:val="20"/>
              </w:rPr>
              <w:t>,</w:t>
            </w:r>
            <w:r w:rsidRPr="00530777">
              <w:rPr>
                <w:sz w:val="20"/>
                <w:szCs w:val="20"/>
              </w:rPr>
              <w:t xml:space="preserve"> which normally handles the cashiering function. Procurement is also a separate function that works alongside the Bids and Awards Committee. Functions and responsibilities, as well as clear procedures in handling transactions, are also outlined in Volume 1 of the NGAS </w:t>
            </w:r>
            <w:r w:rsidR="008610C3">
              <w:rPr>
                <w:sz w:val="20"/>
                <w:szCs w:val="20"/>
              </w:rPr>
              <w:t>M</w:t>
            </w:r>
            <w:r w:rsidR="008610C3" w:rsidRPr="00530777">
              <w:rPr>
                <w:sz w:val="20"/>
                <w:szCs w:val="20"/>
              </w:rPr>
              <w:t>anual</w:t>
            </w:r>
            <w:r w:rsidR="000165FB">
              <w:rPr>
                <w:sz w:val="20"/>
                <w:szCs w:val="20"/>
              </w:rPr>
              <w:t xml:space="preserve"> and the Government Accounting Manual for National Government Agencies</w:t>
            </w:r>
            <w:r w:rsidRPr="00530777">
              <w:rPr>
                <w:sz w:val="20"/>
                <w:szCs w:val="20"/>
              </w:rPr>
              <w:t>.</w:t>
            </w:r>
            <w:bookmarkEnd w:id="366"/>
            <w:bookmarkEnd w:id="367"/>
          </w:p>
          <w:p w14:paraId="58D7C237" w14:textId="77777777" w:rsidR="006110D8" w:rsidRPr="00530777" w:rsidRDefault="006110D8" w:rsidP="00AE562B">
            <w:pPr>
              <w:rPr>
                <w:sz w:val="20"/>
                <w:szCs w:val="20"/>
              </w:rPr>
            </w:pPr>
          </w:p>
        </w:tc>
      </w:tr>
      <w:tr w:rsidR="006110D8" w:rsidRPr="00467396" w14:paraId="4A658F9D" w14:textId="77777777" w:rsidTr="000A4582">
        <w:trPr>
          <w:trHeight w:val="720"/>
          <w:tblHeader/>
        </w:trPr>
        <w:tc>
          <w:tcPr>
            <w:tcW w:w="2758" w:type="dxa"/>
            <w:shd w:val="clear" w:color="auto" w:fill="auto"/>
          </w:tcPr>
          <w:p w14:paraId="5BC463C3" w14:textId="77777777" w:rsidR="00FA7A46" w:rsidRPr="00530777" w:rsidRDefault="00FA7A46" w:rsidP="00AE562B">
            <w:pPr>
              <w:rPr>
                <w:rFonts w:asciiTheme="majorHAnsi" w:eastAsiaTheme="majorEastAsia" w:hAnsiTheme="majorHAnsi" w:cstheme="majorBidi"/>
                <w:b/>
                <w:bCs/>
                <w:i/>
                <w:iCs/>
                <w:color w:val="4F81BD" w:themeColor="accent1"/>
                <w:sz w:val="20"/>
                <w:szCs w:val="20"/>
              </w:rPr>
            </w:pPr>
            <w:r w:rsidRPr="00530777">
              <w:rPr>
                <w:sz w:val="20"/>
                <w:szCs w:val="20"/>
              </w:rPr>
              <w:t xml:space="preserve">3.1 Authorization and approval procedures  </w:t>
            </w:r>
          </w:p>
        </w:tc>
        <w:tc>
          <w:tcPr>
            <w:tcW w:w="6592" w:type="dxa"/>
            <w:shd w:val="clear" w:color="auto" w:fill="auto"/>
          </w:tcPr>
          <w:p w14:paraId="18342195" w14:textId="38D5A6EC" w:rsidR="00FA7A46" w:rsidRPr="00530777" w:rsidRDefault="00FA7A46" w:rsidP="00AE562B">
            <w:pPr>
              <w:keepNext/>
              <w:jc w:val="both"/>
              <w:outlineLvl w:val="2"/>
              <w:rPr>
                <w:sz w:val="20"/>
                <w:szCs w:val="20"/>
              </w:rPr>
            </w:pPr>
            <w:bookmarkStart w:id="368" w:name="_Toc454811770"/>
            <w:bookmarkStart w:id="369" w:name="_Toc454888914"/>
            <w:r w:rsidRPr="00530777">
              <w:rPr>
                <w:sz w:val="20"/>
                <w:szCs w:val="20"/>
              </w:rPr>
              <w:t xml:space="preserve">The </w:t>
            </w:r>
            <w:r w:rsidR="00217A7E">
              <w:rPr>
                <w:sz w:val="20"/>
                <w:szCs w:val="20"/>
              </w:rPr>
              <w:t>CoA-prepared Government</w:t>
            </w:r>
            <w:r w:rsidR="00217A7E" w:rsidRPr="00530777">
              <w:rPr>
                <w:sz w:val="20"/>
                <w:szCs w:val="20"/>
              </w:rPr>
              <w:t xml:space="preserve"> </w:t>
            </w:r>
            <w:r w:rsidRPr="00530777">
              <w:rPr>
                <w:sz w:val="20"/>
                <w:szCs w:val="20"/>
              </w:rPr>
              <w:t>Accounting Manual sets out the systems of authorization, policies, standards,</w:t>
            </w:r>
            <w:r w:rsidR="008610C3">
              <w:rPr>
                <w:sz w:val="20"/>
                <w:szCs w:val="20"/>
              </w:rPr>
              <w:t xml:space="preserve"> and</w:t>
            </w:r>
            <w:r w:rsidRPr="00530777">
              <w:rPr>
                <w:sz w:val="20"/>
                <w:szCs w:val="20"/>
              </w:rPr>
              <w:t xml:space="preserve"> accounting procedures and reports used by the </w:t>
            </w:r>
            <w:r w:rsidR="00217A7E" w:rsidRPr="00530777">
              <w:rPr>
                <w:sz w:val="20"/>
                <w:szCs w:val="20"/>
              </w:rPr>
              <w:t>agenc</w:t>
            </w:r>
            <w:r w:rsidR="00217A7E">
              <w:rPr>
                <w:sz w:val="20"/>
                <w:szCs w:val="20"/>
              </w:rPr>
              <w:t>ies</w:t>
            </w:r>
            <w:r w:rsidR="00217A7E" w:rsidRPr="00530777">
              <w:rPr>
                <w:sz w:val="20"/>
                <w:szCs w:val="20"/>
              </w:rPr>
              <w:t xml:space="preserve"> </w:t>
            </w:r>
            <w:r w:rsidRPr="00530777">
              <w:rPr>
                <w:sz w:val="20"/>
                <w:szCs w:val="20"/>
              </w:rPr>
              <w:t xml:space="preserve">to control operations and resources and enable the various units to meet </w:t>
            </w:r>
            <w:r w:rsidR="00217A7E">
              <w:rPr>
                <w:sz w:val="20"/>
                <w:szCs w:val="20"/>
              </w:rPr>
              <w:t>their</w:t>
            </w:r>
            <w:r w:rsidR="00217A7E" w:rsidRPr="00530777">
              <w:rPr>
                <w:sz w:val="20"/>
                <w:szCs w:val="20"/>
              </w:rPr>
              <w:t xml:space="preserve"> </w:t>
            </w:r>
            <w:r w:rsidRPr="00530777">
              <w:rPr>
                <w:sz w:val="20"/>
                <w:szCs w:val="20"/>
              </w:rPr>
              <w:t xml:space="preserve">objectives. These systems and work processes </w:t>
            </w:r>
            <w:r w:rsidR="00217A7E">
              <w:rPr>
                <w:sz w:val="20"/>
                <w:szCs w:val="20"/>
              </w:rPr>
              <w:t xml:space="preserve">are </w:t>
            </w:r>
            <w:r w:rsidRPr="00530777">
              <w:rPr>
                <w:sz w:val="20"/>
                <w:szCs w:val="20"/>
              </w:rPr>
              <w:t xml:space="preserve">integral to the operations of </w:t>
            </w:r>
            <w:r w:rsidR="00217A7E">
              <w:rPr>
                <w:sz w:val="20"/>
                <w:szCs w:val="20"/>
              </w:rPr>
              <w:t>agencies</w:t>
            </w:r>
            <w:r w:rsidRPr="00530777">
              <w:rPr>
                <w:sz w:val="20"/>
                <w:szCs w:val="20"/>
              </w:rPr>
              <w:t xml:space="preserve"> and </w:t>
            </w:r>
            <w:r w:rsidR="00217A7E">
              <w:rPr>
                <w:sz w:val="20"/>
                <w:szCs w:val="20"/>
              </w:rPr>
              <w:t xml:space="preserve">are to be </w:t>
            </w:r>
            <w:r w:rsidRPr="00530777">
              <w:rPr>
                <w:sz w:val="20"/>
                <w:szCs w:val="20"/>
              </w:rPr>
              <w:t>consistently applied by all units in the public service. These procedures or activities are implemented in order to achieve the control objectives of safeguarding resources, ensuring the accuracy of data and enabling adherence to laws, policies, rules and regulations.</w:t>
            </w:r>
            <w:bookmarkEnd w:id="368"/>
            <w:bookmarkEnd w:id="369"/>
            <w:r w:rsidRPr="00530777">
              <w:rPr>
                <w:sz w:val="20"/>
                <w:szCs w:val="20"/>
              </w:rPr>
              <w:t xml:space="preserve"> </w:t>
            </w:r>
          </w:p>
          <w:p w14:paraId="22F920A1" w14:textId="77777777" w:rsidR="00FA7A46" w:rsidRPr="00530777" w:rsidRDefault="00FA7A46" w:rsidP="00AE562B">
            <w:pPr>
              <w:rPr>
                <w:sz w:val="20"/>
                <w:szCs w:val="20"/>
              </w:rPr>
            </w:pPr>
          </w:p>
        </w:tc>
      </w:tr>
      <w:tr w:rsidR="006110D8" w:rsidRPr="00467396" w14:paraId="5F06CB95" w14:textId="77777777" w:rsidTr="000A4582">
        <w:trPr>
          <w:trHeight w:val="720"/>
          <w:tblHeader/>
        </w:trPr>
        <w:tc>
          <w:tcPr>
            <w:tcW w:w="2758" w:type="dxa"/>
            <w:shd w:val="clear" w:color="auto" w:fill="auto"/>
          </w:tcPr>
          <w:p w14:paraId="35434CAF" w14:textId="77777777" w:rsidR="00FA7A46" w:rsidRPr="00530777" w:rsidRDefault="00FA7A46" w:rsidP="00E35674">
            <w:pPr>
              <w:keepNext/>
              <w:outlineLvl w:val="2"/>
              <w:rPr>
                <w:rFonts w:eastAsia="Calibri"/>
                <w:b/>
                <w:bCs/>
                <w:sz w:val="20"/>
                <w:szCs w:val="20"/>
              </w:rPr>
            </w:pPr>
            <w:bookmarkStart w:id="370" w:name="_Toc454811771"/>
            <w:bookmarkStart w:id="371" w:name="_Toc454888915"/>
            <w:r w:rsidRPr="00530777">
              <w:rPr>
                <w:sz w:val="20"/>
                <w:szCs w:val="20"/>
              </w:rPr>
              <w:t>3.2 Segregation of duties (authorizing, processing, recording, reviewing)</w:t>
            </w:r>
            <w:bookmarkEnd w:id="370"/>
            <w:bookmarkEnd w:id="371"/>
            <w:r w:rsidRPr="00530777">
              <w:rPr>
                <w:sz w:val="20"/>
                <w:szCs w:val="20"/>
              </w:rPr>
              <w:t xml:space="preserve">  </w:t>
            </w:r>
          </w:p>
        </w:tc>
        <w:tc>
          <w:tcPr>
            <w:tcW w:w="6592" w:type="dxa"/>
            <w:shd w:val="clear" w:color="auto" w:fill="auto"/>
          </w:tcPr>
          <w:p w14:paraId="71E19676" w14:textId="77718DF6" w:rsidR="00FA7A46" w:rsidRPr="00530777" w:rsidRDefault="00FA7A46" w:rsidP="00AE562B">
            <w:pPr>
              <w:keepNext/>
              <w:jc w:val="both"/>
              <w:outlineLvl w:val="2"/>
              <w:rPr>
                <w:sz w:val="20"/>
                <w:szCs w:val="20"/>
              </w:rPr>
            </w:pPr>
            <w:bookmarkStart w:id="372" w:name="_Toc454811772"/>
            <w:bookmarkStart w:id="373" w:name="_Toc454888916"/>
            <w:r w:rsidRPr="00530777">
              <w:rPr>
                <w:sz w:val="20"/>
                <w:szCs w:val="20"/>
              </w:rPr>
              <w:t>The NGICS sets out the usual internal control components</w:t>
            </w:r>
            <w:r w:rsidR="008610C3">
              <w:rPr>
                <w:sz w:val="20"/>
                <w:szCs w:val="20"/>
              </w:rPr>
              <w:t>,</w:t>
            </w:r>
            <w:r w:rsidRPr="00530777">
              <w:rPr>
                <w:sz w:val="20"/>
                <w:szCs w:val="20"/>
              </w:rPr>
              <w:t xml:space="preserve"> including segregation of duties</w:t>
            </w:r>
            <w:r w:rsidR="008610C3">
              <w:rPr>
                <w:sz w:val="20"/>
                <w:szCs w:val="20"/>
              </w:rPr>
              <w:t>.</w:t>
            </w:r>
            <w:r w:rsidRPr="00530777">
              <w:rPr>
                <w:sz w:val="20"/>
                <w:szCs w:val="20"/>
              </w:rPr>
              <w:t xml:space="preserve"> Key duties and responsibilities need to be divided or segregated among different people to reduce the risk of error or fraud. This includes separating the assignment of responsibilities for processing, reviewing, recording, custody</w:t>
            </w:r>
            <w:r w:rsidR="008610C3">
              <w:rPr>
                <w:sz w:val="20"/>
                <w:szCs w:val="20"/>
              </w:rPr>
              <w:t>,</w:t>
            </w:r>
            <w:r w:rsidRPr="00530777">
              <w:rPr>
                <w:sz w:val="20"/>
                <w:szCs w:val="20"/>
              </w:rPr>
              <w:t xml:space="preserve"> and approval/authorization of certain transactions.</w:t>
            </w:r>
            <w:bookmarkEnd w:id="372"/>
            <w:bookmarkEnd w:id="373"/>
          </w:p>
          <w:p w14:paraId="2CFC9542" w14:textId="77777777" w:rsidR="006110D8" w:rsidRDefault="006110D8" w:rsidP="00AE562B">
            <w:pPr>
              <w:rPr>
                <w:sz w:val="20"/>
                <w:szCs w:val="20"/>
              </w:rPr>
            </w:pPr>
          </w:p>
          <w:p w14:paraId="7656123E" w14:textId="495185EC" w:rsidR="00FA7A46" w:rsidRPr="00530777" w:rsidRDefault="00FA7A46" w:rsidP="00AE562B">
            <w:pPr>
              <w:keepNext/>
              <w:jc w:val="both"/>
              <w:outlineLvl w:val="2"/>
              <w:rPr>
                <w:sz w:val="20"/>
                <w:szCs w:val="20"/>
              </w:rPr>
            </w:pPr>
            <w:bookmarkStart w:id="374" w:name="_Toc454811773"/>
            <w:bookmarkStart w:id="375" w:name="_Toc454888917"/>
            <w:r w:rsidRPr="00530777">
              <w:rPr>
                <w:sz w:val="20"/>
                <w:szCs w:val="20"/>
              </w:rPr>
              <w:t>PI</w:t>
            </w:r>
            <w:r w:rsidR="00217A7E">
              <w:rPr>
                <w:sz w:val="20"/>
                <w:szCs w:val="20"/>
              </w:rPr>
              <w:t>-</w:t>
            </w:r>
            <w:r w:rsidRPr="00530777">
              <w:rPr>
                <w:sz w:val="20"/>
                <w:szCs w:val="20"/>
              </w:rPr>
              <w:t>25</w:t>
            </w:r>
            <w:r w:rsidR="00B74F79" w:rsidRPr="00530777">
              <w:rPr>
                <w:sz w:val="20"/>
                <w:szCs w:val="20"/>
              </w:rPr>
              <w:t>.1</w:t>
            </w:r>
            <w:r w:rsidRPr="00530777">
              <w:rPr>
                <w:sz w:val="20"/>
                <w:szCs w:val="20"/>
              </w:rPr>
              <w:t xml:space="preserve"> segregation of duties is rated </w:t>
            </w:r>
            <w:r w:rsidR="00217A7E">
              <w:rPr>
                <w:sz w:val="20"/>
                <w:szCs w:val="20"/>
              </w:rPr>
              <w:t>“A”.</w:t>
            </w:r>
            <w:r w:rsidR="00217A7E" w:rsidRPr="00530777">
              <w:rPr>
                <w:sz w:val="20"/>
                <w:szCs w:val="20"/>
              </w:rPr>
              <w:t xml:space="preserve"> </w:t>
            </w:r>
            <w:r w:rsidR="00217A7E">
              <w:rPr>
                <w:sz w:val="20"/>
                <w:szCs w:val="20"/>
              </w:rPr>
              <w:t>S</w:t>
            </w:r>
            <w:r w:rsidRPr="00530777">
              <w:rPr>
                <w:sz w:val="20"/>
                <w:szCs w:val="20"/>
              </w:rPr>
              <w:t>egregation of duties exists throughout the process. Management override of controls occurs in some instances but not the majority.</w:t>
            </w:r>
            <w:bookmarkEnd w:id="374"/>
            <w:bookmarkEnd w:id="375"/>
          </w:p>
        </w:tc>
      </w:tr>
      <w:tr w:rsidR="006110D8" w:rsidRPr="00467396" w14:paraId="33647DBC" w14:textId="77777777" w:rsidTr="000D0E8D">
        <w:trPr>
          <w:trHeight w:val="2168"/>
          <w:tblHeader/>
        </w:trPr>
        <w:tc>
          <w:tcPr>
            <w:tcW w:w="2758" w:type="dxa"/>
            <w:shd w:val="clear" w:color="auto" w:fill="auto"/>
          </w:tcPr>
          <w:p w14:paraId="22BD0519" w14:textId="77777777" w:rsidR="00FA7A46" w:rsidRPr="00530777" w:rsidRDefault="00FA7A46" w:rsidP="00E35674">
            <w:pPr>
              <w:keepNext/>
              <w:outlineLvl w:val="2"/>
              <w:rPr>
                <w:rFonts w:eastAsia="Calibri"/>
                <w:b/>
                <w:bCs/>
                <w:sz w:val="20"/>
                <w:szCs w:val="20"/>
              </w:rPr>
            </w:pPr>
            <w:bookmarkStart w:id="376" w:name="_Toc454811774"/>
            <w:bookmarkStart w:id="377" w:name="_Toc454888918"/>
            <w:r w:rsidRPr="00530777">
              <w:rPr>
                <w:sz w:val="20"/>
                <w:szCs w:val="20"/>
              </w:rPr>
              <w:t>3.3 Controls over access to resources and records</w:t>
            </w:r>
            <w:bookmarkEnd w:id="376"/>
            <w:bookmarkEnd w:id="377"/>
            <w:r w:rsidRPr="00530777">
              <w:rPr>
                <w:sz w:val="20"/>
                <w:szCs w:val="20"/>
              </w:rPr>
              <w:t xml:space="preserve">  </w:t>
            </w:r>
          </w:p>
        </w:tc>
        <w:tc>
          <w:tcPr>
            <w:tcW w:w="6592" w:type="dxa"/>
            <w:shd w:val="clear" w:color="auto" w:fill="auto"/>
          </w:tcPr>
          <w:p w14:paraId="48794E1F" w14:textId="735EB797" w:rsidR="00FA7A46" w:rsidRPr="00530777" w:rsidRDefault="00FA7A46" w:rsidP="00AE562B">
            <w:pPr>
              <w:keepNext/>
              <w:jc w:val="both"/>
              <w:outlineLvl w:val="2"/>
              <w:rPr>
                <w:sz w:val="20"/>
                <w:szCs w:val="20"/>
              </w:rPr>
            </w:pPr>
            <w:bookmarkStart w:id="378" w:name="_Toc454811775"/>
            <w:bookmarkStart w:id="379" w:name="_Toc454888919"/>
            <w:r w:rsidRPr="00530777">
              <w:rPr>
                <w:sz w:val="20"/>
                <w:szCs w:val="20"/>
              </w:rPr>
              <w:t>The NGICS sets out the usual internal control instructions for access over resources, assets</w:t>
            </w:r>
            <w:r w:rsidR="008610C3">
              <w:rPr>
                <w:sz w:val="20"/>
                <w:szCs w:val="20"/>
              </w:rPr>
              <w:t>,</w:t>
            </w:r>
            <w:r w:rsidRPr="00530777">
              <w:rPr>
                <w:sz w:val="20"/>
                <w:szCs w:val="20"/>
              </w:rPr>
              <w:t xml:space="preserve"> and facilities.</w:t>
            </w:r>
            <w:bookmarkEnd w:id="378"/>
            <w:bookmarkEnd w:id="379"/>
            <w:r w:rsidRPr="00530777">
              <w:rPr>
                <w:sz w:val="20"/>
                <w:szCs w:val="20"/>
              </w:rPr>
              <w:t xml:space="preserve"> </w:t>
            </w:r>
          </w:p>
          <w:p w14:paraId="70F6C32A" w14:textId="77777777" w:rsidR="006110D8" w:rsidRDefault="006110D8" w:rsidP="00AE562B">
            <w:pPr>
              <w:rPr>
                <w:sz w:val="20"/>
                <w:szCs w:val="20"/>
              </w:rPr>
            </w:pPr>
          </w:p>
          <w:p w14:paraId="70B6E462" w14:textId="727F85F2" w:rsidR="00FA7A46" w:rsidRPr="00530777" w:rsidRDefault="00FA7A46" w:rsidP="000165FB">
            <w:pPr>
              <w:keepNext/>
              <w:jc w:val="both"/>
              <w:outlineLvl w:val="2"/>
              <w:rPr>
                <w:sz w:val="20"/>
                <w:szCs w:val="20"/>
              </w:rPr>
            </w:pPr>
            <w:bookmarkStart w:id="380" w:name="_Toc454811776"/>
            <w:bookmarkStart w:id="381" w:name="_Toc454888920"/>
            <w:r w:rsidRPr="00530777">
              <w:rPr>
                <w:sz w:val="20"/>
                <w:szCs w:val="20"/>
              </w:rPr>
              <w:t>PI</w:t>
            </w:r>
            <w:r w:rsidR="00217A7E">
              <w:rPr>
                <w:sz w:val="20"/>
                <w:szCs w:val="20"/>
              </w:rPr>
              <w:t>-</w:t>
            </w:r>
            <w:r w:rsidRPr="00530777">
              <w:rPr>
                <w:sz w:val="20"/>
                <w:szCs w:val="20"/>
              </w:rPr>
              <w:t>27</w:t>
            </w:r>
            <w:r w:rsidR="00B74F79" w:rsidRPr="00530777">
              <w:rPr>
                <w:sz w:val="20"/>
                <w:szCs w:val="20"/>
              </w:rPr>
              <w:t>.4</w:t>
            </w:r>
            <w:r w:rsidR="008610C3">
              <w:rPr>
                <w:sz w:val="20"/>
                <w:szCs w:val="20"/>
              </w:rPr>
              <w:t>,</w:t>
            </w:r>
            <w:r w:rsidRPr="00530777">
              <w:rPr>
                <w:sz w:val="20"/>
                <w:szCs w:val="20"/>
              </w:rPr>
              <w:t xml:space="preserve"> financial data integrity processes</w:t>
            </w:r>
            <w:r w:rsidR="008610C3">
              <w:rPr>
                <w:sz w:val="20"/>
                <w:szCs w:val="20"/>
              </w:rPr>
              <w:t>,</w:t>
            </w:r>
            <w:r w:rsidRPr="00530777">
              <w:rPr>
                <w:sz w:val="20"/>
                <w:szCs w:val="20"/>
              </w:rPr>
              <w:t xml:space="preserve"> is rated </w:t>
            </w:r>
            <w:r w:rsidR="00217A7E">
              <w:rPr>
                <w:sz w:val="20"/>
                <w:szCs w:val="20"/>
              </w:rPr>
              <w:t>“</w:t>
            </w:r>
            <w:r w:rsidRPr="00530777">
              <w:rPr>
                <w:sz w:val="20"/>
                <w:szCs w:val="20"/>
              </w:rPr>
              <w:t>C</w:t>
            </w:r>
            <w:r w:rsidR="00217A7E">
              <w:rPr>
                <w:sz w:val="20"/>
                <w:szCs w:val="20"/>
              </w:rPr>
              <w:t>”.</w:t>
            </w:r>
            <w:r w:rsidRPr="00530777">
              <w:rPr>
                <w:sz w:val="20"/>
                <w:szCs w:val="20"/>
              </w:rPr>
              <w:t xml:space="preserve"> While access to records is restricted, often there is no audit trail</w:t>
            </w:r>
            <w:r w:rsidR="008610C3">
              <w:rPr>
                <w:sz w:val="20"/>
                <w:szCs w:val="20"/>
              </w:rPr>
              <w:t>;</w:t>
            </w:r>
            <w:r w:rsidR="008610C3" w:rsidRPr="00530777">
              <w:rPr>
                <w:sz w:val="20"/>
                <w:szCs w:val="20"/>
              </w:rPr>
              <w:t xml:space="preserve"> </w:t>
            </w:r>
            <w:r w:rsidRPr="00530777">
              <w:rPr>
                <w:sz w:val="20"/>
                <w:szCs w:val="20"/>
              </w:rPr>
              <w:t xml:space="preserve">and the quality and reliability of financial reporting process is low due </w:t>
            </w:r>
            <w:r w:rsidR="00217A7E">
              <w:rPr>
                <w:sz w:val="20"/>
                <w:szCs w:val="20"/>
              </w:rPr>
              <w:t>the absence of an integrated accounting and reporting system for government transactions. T</w:t>
            </w:r>
            <w:r w:rsidR="00217A7E" w:rsidRPr="00530777">
              <w:rPr>
                <w:sz w:val="20"/>
                <w:szCs w:val="20"/>
              </w:rPr>
              <w:t xml:space="preserve">he </w:t>
            </w:r>
            <w:r w:rsidR="00217A7E">
              <w:rPr>
                <w:sz w:val="20"/>
                <w:szCs w:val="20"/>
              </w:rPr>
              <w:t xml:space="preserve">practice of </w:t>
            </w:r>
            <w:r w:rsidR="00217A7E" w:rsidRPr="00530777">
              <w:rPr>
                <w:sz w:val="20"/>
                <w:szCs w:val="20"/>
              </w:rPr>
              <w:t>us</w:t>
            </w:r>
            <w:r w:rsidR="00217A7E">
              <w:rPr>
                <w:sz w:val="20"/>
                <w:szCs w:val="20"/>
              </w:rPr>
              <w:t>ing</w:t>
            </w:r>
            <w:r w:rsidR="00217A7E" w:rsidRPr="00530777">
              <w:rPr>
                <w:sz w:val="20"/>
                <w:szCs w:val="20"/>
              </w:rPr>
              <w:t xml:space="preserve"> spreadsheets </w:t>
            </w:r>
            <w:r w:rsidR="00217A7E">
              <w:rPr>
                <w:sz w:val="20"/>
                <w:szCs w:val="20"/>
              </w:rPr>
              <w:t xml:space="preserve">that lack built-in controls for preparation of financial reports reduces assurance of </w:t>
            </w:r>
            <w:r w:rsidRPr="00530777">
              <w:rPr>
                <w:sz w:val="20"/>
                <w:szCs w:val="20"/>
              </w:rPr>
              <w:t>financial data integrity.</w:t>
            </w:r>
            <w:bookmarkEnd w:id="380"/>
            <w:bookmarkEnd w:id="381"/>
          </w:p>
        </w:tc>
      </w:tr>
      <w:tr w:rsidR="006110D8" w:rsidRPr="00467396" w14:paraId="7A4E31FA" w14:textId="77777777" w:rsidTr="000D0E8D">
        <w:trPr>
          <w:trHeight w:val="1430"/>
          <w:tblHeader/>
        </w:trPr>
        <w:tc>
          <w:tcPr>
            <w:tcW w:w="2758" w:type="dxa"/>
            <w:shd w:val="clear" w:color="auto" w:fill="auto"/>
          </w:tcPr>
          <w:p w14:paraId="31387222" w14:textId="77777777" w:rsidR="00FA7A46" w:rsidRPr="00530777" w:rsidRDefault="00FA7A46" w:rsidP="00E35674">
            <w:pPr>
              <w:keepNext/>
              <w:outlineLvl w:val="2"/>
              <w:rPr>
                <w:rFonts w:eastAsia="Calibri"/>
                <w:b/>
                <w:bCs/>
                <w:sz w:val="20"/>
                <w:szCs w:val="20"/>
              </w:rPr>
            </w:pPr>
            <w:bookmarkStart w:id="382" w:name="_Toc454811777"/>
            <w:bookmarkStart w:id="383" w:name="_Toc454888921"/>
            <w:r w:rsidRPr="00530777">
              <w:rPr>
                <w:sz w:val="20"/>
                <w:szCs w:val="20"/>
              </w:rPr>
              <w:t>3.4 Verifications</w:t>
            </w:r>
            <w:bookmarkEnd w:id="382"/>
            <w:bookmarkEnd w:id="383"/>
            <w:r w:rsidRPr="00530777">
              <w:rPr>
                <w:sz w:val="20"/>
                <w:szCs w:val="20"/>
              </w:rPr>
              <w:t xml:space="preserve">  </w:t>
            </w:r>
          </w:p>
        </w:tc>
        <w:tc>
          <w:tcPr>
            <w:tcW w:w="6592" w:type="dxa"/>
            <w:shd w:val="clear" w:color="auto" w:fill="auto"/>
          </w:tcPr>
          <w:p w14:paraId="5D7F5E36" w14:textId="5AE8D1B5" w:rsidR="00FA7A46" w:rsidRPr="00530777" w:rsidRDefault="00FA7A46" w:rsidP="00AE562B">
            <w:pPr>
              <w:keepNext/>
              <w:jc w:val="both"/>
              <w:outlineLvl w:val="2"/>
              <w:rPr>
                <w:sz w:val="20"/>
                <w:szCs w:val="20"/>
              </w:rPr>
            </w:pPr>
            <w:bookmarkStart w:id="384" w:name="_Toc454811778"/>
            <w:bookmarkStart w:id="385" w:name="_Toc454888922"/>
            <w:r w:rsidRPr="00530777">
              <w:rPr>
                <w:sz w:val="20"/>
                <w:szCs w:val="20"/>
              </w:rPr>
              <w:t xml:space="preserve">The NGICS sets out the usual internal control instructions for verification </w:t>
            </w:r>
            <w:r w:rsidR="008610C3">
              <w:rPr>
                <w:sz w:val="20"/>
                <w:szCs w:val="20"/>
              </w:rPr>
              <w:t>—</w:t>
            </w:r>
            <w:r w:rsidRPr="00530777">
              <w:rPr>
                <w:sz w:val="20"/>
                <w:szCs w:val="20"/>
              </w:rPr>
              <w:t xml:space="preserve"> review of transactions to check the propriety and reliability of documentation, costing</w:t>
            </w:r>
            <w:r w:rsidR="008610C3">
              <w:rPr>
                <w:sz w:val="20"/>
                <w:szCs w:val="20"/>
              </w:rPr>
              <w:t>,</w:t>
            </w:r>
            <w:r w:rsidRPr="00530777">
              <w:rPr>
                <w:sz w:val="20"/>
                <w:szCs w:val="20"/>
              </w:rPr>
              <w:t xml:space="preserve"> or mathematical computation. It </w:t>
            </w:r>
            <w:r w:rsidR="00217A7E">
              <w:rPr>
                <w:sz w:val="20"/>
                <w:szCs w:val="20"/>
              </w:rPr>
              <w:t>includes</w:t>
            </w:r>
            <w:r w:rsidRPr="00530777">
              <w:rPr>
                <w:sz w:val="20"/>
                <w:szCs w:val="20"/>
              </w:rPr>
              <w:t xml:space="preserve"> checking the conformity of acquired goods and services with agreed quantity and quality specifications. The verification procedures should be built-in in every transaction. This is an internal checking procedure to avoid errors or fraud.</w:t>
            </w:r>
            <w:bookmarkEnd w:id="384"/>
            <w:bookmarkEnd w:id="385"/>
          </w:p>
        </w:tc>
      </w:tr>
      <w:tr w:rsidR="006110D8" w:rsidRPr="00467396" w14:paraId="310F58D8" w14:textId="77777777" w:rsidTr="000A4582">
        <w:trPr>
          <w:trHeight w:val="720"/>
          <w:tblHeader/>
        </w:trPr>
        <w:tc>
          <w:tcPr>
            <w:tcW w:w="2758" w:type="dxa"/>
            <w:shd w:val="clear" w:color="auto" w:fill="auto"/>
          </w:tcPr>
          <w:p w14:paraId="24E04765" w14:textId="77777777" w:rsidR="00FA7A46" w:rsidRPr="00530777" w:rsidRDefault="00FA7A46" w:rsidP="00E35674">
            <w:pPr>
              <w:keepNext/>
              <w:outlineLvl w:val="2"/>
              <w:rPr>
                <w:rFonts w:eastAsia="Calibri"/>
                <w:b/>
                <w:bCs/>
                <w:sz w:val="20"/>
                <w:szCs w:val="20"/>
              </w:rPr>
            </w:pPr>
            <w:bookmarkStart w:id="386" w:name="_Toc454811779"/>
            <w:bookmarkStart w:id="387" w:name="_Toc454888923"/>
            <w:r w:rsidRPr="00530777">
              <w:rPr>
                <w:sz w:val="20"/>
                <w:szCs w:val="20"/>
              </w:rPr>
              <w:t>3.5 Reconciliations</w:t>
            </w:r>
            <w:bookmarkEnd w:id="386"/>
            <w:bookmarkEnd w:id="387"/>
            <w:r w:rsidRPr="00530777">
              <w:rPr>
                <w:sz w:val="20"/>
                <w:szCs w:val="20"/>
              </w:rPr>
              <w:t xml:space="preserve">  </w:t>
            </w:r>
          </w:p>
        </w:tc>
        <w:tc>
          <w:tcPr>
            <w:tcW w:w="6592" w:type="dxa"/>
            <w:shd w:val="clear" w:color="auto" w:fill="auto"/>
          </w:tcPr>
          <w:p w14:paraId="4B1FC608" w14:textId="1E0DB4F9" w:rsidR="00FA7A46" w:rsidRPr="00530777" w:rsidRDefault="00FA7A46" w:rsidP="00AE562B">
            <w:pPr>
              <w:keepNext/>
              <w:jc w:val="both"/>
              <w:outlineLvl w:val="2"/>
              <w:rPr>
                <w:sz w:val="20"/>
                <w:szCs w:val="20"/>
              </w:rPr>
            </w:pPr>
            <w:bookmarkStart w:id="388" w:name="_Toc454811780"/>
            <w:bookmarkStart w:id="389" w:name="_Toc454888924"/>
            <w:r w:rsidRPr="00530777">
              <w:rPr>
                <w:sz w:val="20"/>
                <w:szCs w:val="20"/>
              </w:rPr>
              <w:t xml:space="preserve">The NGICS sets out the usual internal control instructions for reconciliation of financial and non-financial data. Operating procedures of every office require that the cash records of the </w:t>
            </w:r>
            <w:r w:rsidR="00217A7E">
              <w:rPr>
                <w:sz w:val="20"/>
                <w:szCs w:val="20"/>
              </w:rPr>
              <w:t>a</w:t>
            </w:r>
            <w:r w:rsidR="00217A7E" w:rsidRPr="00530777">
              <w:rPr>
                <w:sz w:val="20"/>
                <w:szCs w:val="20"/>
              </w:rPr>
              <w:t xml:space="preserve">ccounting </w:t>
            </w:r>
            <w:r w:rsidRPr="00530777">
              <w:rPr>
                <w:sz w:val="20"/>
                <w:szCs w:val="20"/>
              </w:rPr>
              <w:t xml:space="preserve">and the </w:t>
            </w:r>
            <w:r w:rsidR="00217A7E">
              <w:rPr>
                <w:sz w:val="20"/>
                <w:szCs w:val="20"/>
              </w:rPr>
              <w:t>c</w:t>
            </w:r>
            <w:r w:rsidR="00217A7E" w:rsidRPr="00530777">
              <w:rPr>
                <w:sz w:val="20"/>
                <w:szCs w:val="20"/>
              </w:rPr>
              <w:t xml:space="preserve">ash </w:t>
            </w:r>
            <w:r w:rsidRPr="00530777">
              <w:rPr>
                <w:sz w:val="20"/>
                <w:szCs w:val="20"/>
              </w:rPr>
              <w:t>units should be regularly reconciled.</w:t>
            </w:r>
            <w:bookmarkEnd w:id="388"/>
            <w:bookmarkEnd w:id="389"/>
            <w:r w:rsidRPr="00530777">
              <w:rPr>
                <w:sz w:val="20"/>
                <w:szCs w:val="20"/>
              </w:rPr>
              <w:t xml:space="preserve"> </w:t>
            </w:r>
          </w:p>
          <w:p w14:paraId="45AA1952" w14:textId="77777777" w:rsidR="006110D8" w:rsidRDefault="006110D8" w:rsidP="00AE562B">
            <w:pPr>
              <w:rPr>
                <w:sz w:val="20"/>
                <w:szCs w:val="20"/>
              </w:rPr>
            </w:pPr>
          </w:p>
          <w:p w14:paraId="1CFD00AB" w14:textId="684C33B7" w:rsidR="00FA7A46" w:rsidRPr="00530777" w:rsidRDefault="00FA7A46" w:rsidP="00AE562B">
            <w:pPr>
              <w:keepNext/>
              <w:jc w:val="both"/>
              <w:outlineLvl w:val="2"/>
              <w:rPr>
                <w:sz w:val="20"/>
                <w:szCs w:val="20"/>
              </w:rPr>
            </w:pPr>
            <w:bookmarkStart w:id="390" w:name="_Toc454811781"/>
            <w:bookmarkStart w:id="391" w:name="_Toc454888925"/>
            <w:r w:rsidRPr="00530777">
              <w:rPr>
                <w:sz w:val="20"/>
                <w:szCs w:val="20"/>
              </w:rPr>
              <w:t>PI</w:t>
            </w:r>
            <w:r w:rsidR="00217A7E">
              <w:rPr>
                <w:sz w:val="20"/>
                <w:szCs w:val="20"/>
              </w:rPr>
              <w:t>-</w:t>
            </w:r>
            <w:r w:rsidRPr="00530777">
              <w:rPr>
                <w:sz w:val="20"/>
                <w:szCs w:val="20"/>
              </w:rPr>
              <w:t>27</w:t>
            </w:r>
            <w:r w:rsidR="00B74F79" w:rsidRPr="00530777">
              <w:rPr>
                <w:sz w:val="20"/>
                <w:szCs w:val="20"/>
              </w:rPr>
              <w:t>.1</w:t>
            </w:r>
            <w:r w:rsidR="008610C3">
              <w:rPr>
                <w:sz w:val="20"/>
                <w:szCs w:val="20"/>
              </w:rPr>
              <w:t>,</w:t>
            </w:r>
            <w:r w:rsidRPr="00530777">
              <w:rPr>
                <w:sz w:val="20"/>
                <w:szCs w:val="20"/>
              </w:rPr>
              <w:t xml:space="preserve"> bank account reconciliation</w:t>
            </w:r>
            <w:r w:rsidR="008610C3">
              <w:rPr>
                <w:sz w:val="20"/>
                <w:szCs w:val="20"/>
              </w:rPr>
              <w:t>,</w:t>
            </w:r>
            <w:r w:rsidRPr="00530777">
              <w:rPr>
                <w:sz w:val="20"/>
                <w:szCs w:val="20"/>
              </w:rPr>
              <w:t xml:space="preserve"> was rated </w:t>
            </w:r>
            <w:r w:rsidR="00217A7E">
              <w:rPr>
                <w:sz w:val="20"/>
                <w:szCs w:val="20"/>
              </w:rPr>
              <w:t>“</w:t>
            </w:r>
            <w:r w:rsidRPr="00530777">
              <w:rPr>
                <w:sz w:val="20"/>
                <w:szCs w:val="20"/>
              </w:rPr>
              <w:t>D</w:t>
            </w:r>
            <w:r w:rsidR="00217A7E">
              <w:rPr>
                <w:sz w:val="20"/>
                <w:szCs w:val="20"/>
              </w:rPr>
              <w:t>”.</w:t>
            </w:r>
            <w:r w:rsidRPr="00530777">
              <w:rPr>
                <w:sz w:val="20"/>
                <w:szCs w:val="20"/>
              </w:rPr>
              <w:t xml:space="preserve"> While monthly </w:t>
            </w:r>
            <w:r w:rsidR="008610C3">
              <w:rPr>
                <w:sz w:val="20"/>
                <w:szCs w:val="20"/>
              </w:rPr>
              <w:t>b</w:t>
            </w:r>
            <w:r w:rsidR="008610C3" w:rsidRPr="00530777">
              <w:rPr>
                <w:sz w:val="20"/>
                <w:szCs w:val="20"/>
              </w:rPr>
              <w:t xml:space="preserve">ank </w:t>
            </w:r>
            <w:r w:rsidR="008610C3">
              <w:rPr>
                <w:sz w:val="20"/>
                <w:szCs w:val="20"/>
              </w:rPr>
              <w:t>r</w:t>
            </w:r>
            <w:r w:rsidR="008610C3" w:rsidRPr="00530777">
              <w:rPr>
                <w:sz w:val="20"/>
                <w:szCs w:val="20"/>
              </w:rPr>
              <w:t xml:space="preserve">econciliation </w:t>
            </w:r>
            <w:r w:rsidR="008610C3">
              <w:rPr>
                <w:sz w:val="20"/>
                <w:szCs w:val="20"/>
              </w:rPr>
              <w:t>s</w:t>
            </w:r>
            <w:r w:rsidR="008610C3" w:rsidRPr="00530777">
              <w:rPr>
                <w:sz w:val="20"/>
                <w:szCs w:val="20"/>
              </w:rPr>
              <w:t xml:space="preserve">tatements </w:t>
            </w:r>
            <w:r w:rsidRPr="00530777">
              <w:rPr>
                <w:sz w:val="20"/>
                <w:szCs w:val="20"/>
              </w:rPr>
              <w:t>are prescribed per law, issues of non-preparation</w:t>
            </w:r>
            <w:r w:rsidR="00217A7E">
              <w:rPr>
                <w:sz w:val="20"/>
                <w:szCs w:val="20"/>
              </w:rPr>
              <w:t>,</w:t>
            </w:r>
            <w:r w:rsidRPr="00530777">
              <w:rPr>
                <w:sz w:val="20"/>
                <w:szCs w:val="20"/>
              </w:rPr>
              <w:t xml:space="preserve"> delayed submission</w:t>
            </w:r>
            <w:r w:rsidR="00217A7E">
              <w:rPr>
                <w:sz w:val="20"/>
                <w:szCs w:val="20"/>
              </w:rPr>
              <w:t>,</w:t>
            </w:r>
            <w:r w:rsidRPr="00530777">
              <w:rPr>
                <w:sz w:val="20"/>
                <w:szCs w:val="20"/>
              </w:rPr>
              <w:t xml:space="preserve"> and non-recording of reconciling items are substantial as per </w:t>
            </w:r>
            <w:r w:rsidR="009008FE" w:rsidRPr="00530777">
              <w:rPr>
                <w:sz w:val="20"/>
                <w:szCs w:val="20"/>
              </w:rPr>
              <w:t>CoA</w:t>
            </w:r>
            <w:r w:rsidRPr="00530777">
              <w:rPr>
                <w:sz w:val="20"/>
                <w:szCs w:val="20"/>
              </w:rPr>
              <w:t xml:space="preserve"> audit reports </w:t>
            </w:r>
            <w:r w:rsidR="00217A7E">
              <w:rPr>
                <w:sz w:val="20"/>
                <w:szCs w:val="20"/>
              </w:rPr>
              <w:t>that</w:t>
            </w:r>
            <w:r w:rsidR="00217A7E" w:rsidRPr="00530777">
              <w:rPr>
                <w:sz w:val="20"/>
                <w:szCs w:val="20"/>
              </w:rPr>
              <w:t xml:space="preserve"> </w:t>
            </w:r>
            <w:r w:rsidRPr="00530777">
              <w:rPr>
                <w:sz w:val="20"/>
                <w:szCs w:val="20"/>
              </w:rPr>
              <w:t>cite unreliable cash balances.</w:t>
            </w:r>
            <w:bookmarkEnd w:id="390"/>
            <w:bookmarkEnd w:id="391"/>
          </w:p>
        </w:tc>
      </w:tr>
      <w:tr w:rsidR="006110D8" w:rsidRPr="00467396" w14:paraId="3EC253C8" w14:textId="77777777" w:rsidTr="000A4582">
        <w:trPr>
          <w:trHeight w:val="720"/>
          <w:tblHeader/>
        </w:trPr>
        <w:tc>
          <w:tcPr>
            <w:tcW w:w="2758" w:type="dxa"/>
            <w:shd w:val="clear" w:color="auto" w:fill="auto"/>
          </w:tcPr>
          <w:p w14:paraId="34D01D34" w14:textId="77777777" w:rsidR="00FA7A46" w:rsidRPr="00530777" w:rsidRDefault="00FA7A46" w:rsidP="00AE562B">
            <w:pPr>
              <w:keepNext/>
              <w:outlineLvl w:val="2"/>
              <w:rPr>
                <w:sz w:val="20"/>
                <w:szCs w:val="20"/>
              </w:rPr>
            </w:pPr>
            <w:bookmarkStart w:id="392" w:name="_Toc454811782"/>
            <w:bookmarkStart w:id="393" w:name="_Toc454888926"/>
            <w:r w:rsidRPr="00530777">
              <w:rPr>
                <w:sz w:val="20"/>
                <w:szCs w:val="20"/>
              </w:rPr>
              <w:t>3.6 Reviews of operating performance</w:t>
            </w:r>
            <w:bookmarkEnd w:id="392"/>
            <w:bookmarkEnd w:id="393"/>
            <w:r w:rsidRPr="00530777">
              <w:rPr>
                <w:sz w:val="20"/>
                <w:szCs w:val="20"/>
              </w:rPr>
              <w:t xml:space="preserve">  </w:t>
            </w:r>
          </w:p>
        </w:tc>
        <w:tc>
          <w:tcPr>
            <w:tcW w:w="6592" w:type="dxa"/>
            <w:shd w:val="clear" w:color="auto" w:fill="auto"/>
          </w:tcPr>
          <w:p w14:paraId="2EFD195A" w14:textId="349FCB01" w:rsidR="00FA7A46" w:rsidRPr="00530777" w:rsidRDefault="00FA7A46" w:rsidP="00AE562B">
            <w:pPr>
              <w:keepNext/>
              <w:jc w:val="both"/>
              <w:outlineLvl w:val="2"/>
              <w:rPr>
                <w:sz w:val="20"/>
                <w:szCs w:val="20"/>
              </w:rPr>
            </w:pPr>
            <w:bookmarkStart w:id="394" w:name="_Toc454811783"/>
            <w:bookmarkStart w:id="395" w:name="_Toc454888927"/>
            <w:r w:rsidRPr="00530777">
              <w:rPr>
                <w:sz w:val="20"/>
                <w:szCs w:val="20"/>
              </w:rPr>
              <w:t xml:space="preserve">The NGICS includes </w:t>
            </w:r>
            <w:r w:rsidR="00217A7E">
              <w:rPr>
                <w:sz w:val="20"/>
                <w:szCs w:val="20"/>
              </w:rPr>
              <w:t>t</w:t>
            </w:r>
            <w:r w:rsidRPr="00530777">
              <w:rPr>
                <w:sz w:val="20"/>
                <w:szCs w:val="20"/>
              </w:rPr>
              <w:t>he evaluation of agency performance</w:t>
            </w:r>
            <w:r w:rsidR="008610C3">
              <w:rPr>
                <w:sz w:val="20"/>
                <w:szCs w:val="20"/>
              </w:rPr>
              <w:t>, which</w:t>
            </w:r>
            <w:r w:rsidRPr="00530777">
              <w:rPr>
                <w:sz w:val="20"/>
                <w:szCs w:val="20"/>
              </w:rPr>
              <w:t xml:space="preserve"> covers the financial position and results of operation of an agency. The Administrative Code provides that the President, through the Secretary of Budget and Management, shall evaluate on a continuing basis the quantitative and qualitative measures of agency performance.</w:t>
            </w:r>
            <w:bookmarkEnd w:id="394"/>
            <w:bookmarkEnd w:id="395"/>
          </w:p>
        </w:tc>
      </w:tr>
      <w:tr w:rsidR="006110D8" w:rsidRPr="00467396" w14:paraId="6C680CFF" w14:textId="77777777" w:rsidTr="000A4582">
        <w:trPr>
          <w:trHeight w:val="720"/>
          <w:tblHeader/>
        </w:trPr>
        <w:tc>
          <w:tcPr>
            <w:tcW w:w="2758" w:type="dxa"/>
            <w:shd w:val="clear" w:color="auto" w:fill="auto"/>
          </w:tcPr>
          <w:p w14:paraId="40150170" w14:textId="77777777" w:rsidR="00FA7A46" w:rsidRPr="00530777" w:rsidRDefault="00FA7A46" w:rsidP="00E35674">
            <w:pPr>
              <w:keepNext/>
              <w:outlineLvl w:val="2"/>
              <w:rPr>
                <w:rFonts w:eastAsia="Calibri"/>
                <w:b/>
                <w:bCs/>
                <w:sz w:val="20"/>
                <w:szCs w:val="20"/>
              </w:rPr>
            </w:pPr>
            <w:bookmarkStart w:id="396" w:name="_Toc454811784"/>
            <w:bookmarkStart w:id="397" w:name="_Toc454888928"/>
            <w:r w:rsidRPr="00530777">
              <w:rPr>
                <w:sz w:val="20"/>
                <w:szCs w:val="20"/>
              </w:rPr>
              <w:t>3.7 Reviews of operations, processes and activities</w:t>
            </w:r>
            <w:bookmarkEnd w:id="396"/>
            <w:bookmarkEnd w:id="397"/>
            <w:r w:rsidRPr="00530777">
              <w:rPr>
                <w:sz w:val="20"/>
                <w:szCs w:val="20"/>
              </w:rPr>
              <w:t xml:space="preserve">   </w:t>
            </w:r>
          </w:p>
        </w:tc>
        <w:tc>
          <w:tcPr>
            <w:tcW w:w="6592" w:type="dxa"/>
            <w:shd w:val="clear" w:color="auto" w:fill="auto"/>
          </w:tcPr>
          <w:p w14:paraId="00E5011B" w14:textId="524E157B" w:rsidR="00FA7A46" w:rsidRPr="00530777" w:rsidRDefault="00FA7A46" w:rsidP="00AE562B">
            <w:pPr>
              <w:keepNext/>
              <w:jc w:val="both"/>
              <w:outlineLvl w:val="2"/>
              <w:rPr>
                <w:sz w:val="20"/>
                <w:szCs w:val="20"/>
              </w:rPr>
            </w:pPr>
            <w:bookmarkStart w:id="398" w:name="_Toc454811785"/>
            <w:bookmarkStart w:id="399" w:name="_Toc454888929"/>
            <w:r w:rsidRPr="00530777">
              <w:rPr>
                <w:sz w:val="20"/>
                <w:szCs w:val="20"/>
              </w:rPr>
              <w:t xml:space="preserve">The NGICS includes </w:t>
            </w:r>
            <w:r w:rsidR="008610C3">
              <w:rPr>
                <w:sz w:val="20"/>
                <w:szCs w:val="20"/>
              </w:rPr>
              <w:t>the</w:t>
            </w:r>
            <w:r w:rsidR="00F367CC" w:rsidRPr="00530777">
              <w:rPr>
                <w:sz w:val="20"/>
                <w:szCs w:val="20"/>
              </w:rPr>
              <w:t xml:space="preserve"> </w:t>
            </w:r>
            <w:r w:rsidRPr="00530777">
              <w:rPr>
                <w:sz w:val="20"/>
                <w:szCs w:val="20"/>
              </w:rPr>
              <w:t>Organizational Performance Indicator Framework</w:t>
            </w:r>
            <w:r w:rsidR="008610C3">
              <w:rPr>
                <w:sz w:val="20"/>
                <w:szCs w:val="20"/>
              </w:rPr>
              <w:t>, which</w:t>
            </w:r>
            <w:r w:rsidRPr="00530777">
              <w:rPr>
                <w:sz w:val="20"/>
                <w:szCs w:val="20"/>
              </w:rPr>
              <w:t xml:space="preserve"> is a useful tool in expenditure and budget accountability. The </w:t>
            </w:r>
            <w:r w:rsidR="00F367CC" w:rsidRPr="00530777">
              <w:rPr>
                <w:sz w:val="20"/>
                <w:szCs w:val="20"/>
              </w:rPr>
              <w:t xml:space="preserve">Framework </w:t>
            </w:r>
            <w:r w:rsidRPr="00530777">
              <w:rPr>
                <w:sz w:val="20"/>
                <w:szCs w:val="20"/>
              </w:rPr>
              <w:t xml:space="preserve">directs resources of an agency toward its major final outputs </w:t>
            </w:r>
            <w:r w:rsidR="008610C3">
              <w:rPr>
                <w:sz w:val="20"/>
                <w:szCs w:val="20"/>
              </w:rPr>
              <w:t>that</w:t>
            </w:r>
            <w:r w:rsidR="008610C3" w:rsidRPr="00530777">
              <w:rPr>
                <w:sz w:val="20"/>
                <w:szCs w:val="20"/>
              </w:rPr>
              <w:t xml:space="preserve"> </w:t>
            </w:r>
            <w:r w:rsidRPr="00530777">
              <w:rPr>
                <w:sz w:val="20"/>
                <w:szCs w:val="20"/>
              </w:rPr>
              <w:t>are linked to sectoral and societal goals.</w:t>
            </w:r>
            <w:bookmarkEnd w:id="398"/>
            <w:bookmarkEnd w:id="399"/>
          </w:p>
        </w:tc>
      </w:tr>
      <w:tr w:rsidR="006110D8" w:rsidRPr="00467396" w14:paraId="676493D1" w14:textId="77777777" w:rsidTr="000A4582">
        <w:trPr>
          <w:trHeight w:val="720"/>
          <w:tblHeader/>
        </w:trPr>
        <w:tc>
          <w:tcPr>
            <w:tcW w:w="2758" w:type="dxa"/>
            <w:shd w:val="clear" w:color="auto" w:fill="auto"/>
          </w:tcPr>
          <w:p w14:paraId="6EC78893" w14:textId="77777777" w:rsidR="00FA7A46" w:rsidRPr="00530777" w:rsidRDefault="00FA7A46" w:rsidP="00E35674">
            <w:pPr>
              <w:keepNext/>
              <w:outlineLvl w:val="2"/>
              <w:rPr>
                <w:rFonts w:eastAsia="Calibri"/>
                <w:b/>
                <w:bCs/>
                <w:sz w:val="20"/>
                <w:szCs w:val="20"/>
              </w:rPr>
            </w:pPr>
            <w:bookmarkStart w:id="400" w:name="_Toc454811786"/>
            <w:bookmarkStart w:id="401" w:name="_Toc454888930"/>
            <w:r w:rsidRPr="00530777">
              <w:rPr>
                <w:sz w:val="20"/>
                <w:szCs w:val="20"/>
              </w:rPr>
              <w:t>3.8 Supervision (assigning, reviewing and approving, guidance and training)</w:t>
            </w:r>
            <w:bookmarkEnd w:id="400"/>
            <w:bookmarkEnd w:id="401"/>
          </w:p>
        </w:tc>
        <w:tc>
          <w:tcPr>
            <w:tcW w:w="6592" w:type="dxa"/>
            <w:shd w:val="clear" w:color="auto" w:fill="auto"/>
          </w:tcPr>
          <w:p w14:paraId="6F2148B4" w14:textId="77777777" w:rsidR="00FA7A46" w:rsidRDefault="00FA7A46" w:rsidP="00AE562B">
            <w:pPr>
              <w:rPr>
                <w:sz w:val="20"/>
                <w:szCs w:val="20"/>
              </w:rPr>
            </w:pPr>
            <w:r w:rsidRPr="00530777">
              <w:rPr>
                <w:sz w:val="20"/>
                <w:szCs w:val="20"/>
              </w:rPr>
              <w:t>The NGICS provides that supervision and control includes the authority to act directly whenever a specific function is entrusted by law or regulation to a subordinate. It provides guidance on administrative supervision.</w:t>
            </w:r>
          </w:p>
          <w:p w14:paraId="77CF5108" w14:textId="77777777" w:rsidR="006110D8" w:rsidRPr="00530777" w:rsidRDefault="006110D8" w:rsidP="00AE562B">
            <w:pPr>
              <w:rPr>
                <w:sz w:val="20"/>
                <w:szCs w:val="20"/>
              </w:rPr>
            </w:pPr>
          </w:p>
        </w:tc>
      </w:tr>
      <w:tr w:rsidR="006110D8" w:rsidRPr="00467396" w14:paraId="10B144CA" w14:textId="77777777" w:rsidTr="000A4582">
        <w:trPr>
          <w:trHeight w:val="720"/>
          <w:tblHeader/>
        </w:trPr>
        <w:tc>
          <w:tcPr>
            <w:tcW w:w="2758" w:type="dxa"/>
            <w:shd w:val="clear" w:color="auto" w:fill="auto"/>
          </w:tcPr>
          <w:p w14:paraId="1887B921" w14:textId="77777777" w:rsidR="00FA7A46" w:rsidRPr="00530777" w:rsidRDefault="00FA7A46" w:rsidP="00E35674">
            <w:pPr>
              <w:keepNext/>
              <w:outlineLvl w:val="2"/>
              <w:rPr>
                <w:rFonts w:eastAsia="Calibri"/>
                <w:b/>
                <w:bCs/>
                <w:sz w:val="20"/>
                <w:szCs w:val="20"/>
              </w:rPr>
            </w:pPr>
            <w:bookmarkStart w:id="402" w:name="_Toc454811787"/>
            <w:bookmarkStart w:id="403" w:name="_Toc454888931"/>
            <w:r w:rsidRPr="00530777">
              <w:rPr>
                <w:sz w:val="20"/>
                <w:szCs w:val="20"/>
              </w:rPr>
              <w:t>4. Information and communication</w:t>
            </w:r>
            <w:bookmarkEnd w:id="402"/>
            <w:bookmarkEnd w:id="403"/>
          </w:p>
        </w:tc>
        <w:tc>
          <w:tcPr>
            <w:tcW w:w="6592" w:type="dxa"/>
            <w:shd w:val="clear" w:color="auto" w:fill="auto"/>
          </w:tcPr>
          <w:p w14:paraId="29D5F8A9" w14:textId="77777777" w:rsidR="00FA7A46" w:rsidRPr="00530777" w:rsidRDefault="00FA7A46" w:rsidP="00AE562B">
            <w:pPr>
              <w:keepNext/>
              <w:jc w:val="both"/>
              <w:outlineLvl w:val="2"/>
              <w:rPr>
                <w:sz w:val="20"/>
                <w:szCs w:val="20"/>
              </w:rPr>
            </w:pPr>
            <w:bookmarkStart w:id="404" w:name="_Toc454811788"/>
            <w:bookmarkStart w:id="405" w:name="_Toc454888932"/>
            <w:r w:rsidRPr="00530777">
              <w:rPr>
                <w:sz w:val="20"/>
                <w:szCs w:val="20"/>
              </w:rPr>
              <w:t>A performance evaluation system guidebook is used for GOCCs.</w:t>
            </w:r>
            <w:bookmarkEnd w:id="404"/>
            <w:bookmarkEnd w:id="405"/>
          </w:p>
        </w:tc>
      </w:tr>
      <w:tr w:rsidR="006110D8" w:rsidRPr="00467396" w14:paraId="06F9F628" w14:textId="77777777" w:rsidTr="000A4582">
        <w:trPr>
          <w:trHeight w:val="720"/>
          <w:tblHeader/>
        </w:trPr>
        <w:tc>
          <w:tcPr>
            <w:tcW w:w="2758" w:type="dxa"/>
            <w:shd w:val="clear" w:color="auto" w:fill="auto"/>
          </w:tcPr>
          <w:p w14:paraId="7BA8A13E" w14:textId="77777777" w:rsidR="00FA7A46" w:rsidRPr="00530777" w:rsidRDefault="00FA7A46" w:rsidP="00E35674">
            <w:pPr>
              <w:keepNext/>
              <w:outlineLvl w:val="2"/>
              <w:rPr>
                <w:rFonts w:eastAsia="Calibri"/>
                <w:b/>
                <w:bCs/>
                <w:sz w:val="20"/>
                <w:szCs w:val="20"/>
              </w:rPr>
            </w:pPr>
            <w:bookmarkStart w:id="406" w:name="_Toc454811789"/>
            <w:bookmarkStart w:id="407" w:name="_Toc454888933"/>
            <w:r w:rsidRPr="00530777">
              <w:rPr>
                <w:sz w:val="20"/>
                <w:szCs w:val="20"/>
              </w:rPr>
              <w:t>5. Monitoring</w:t>
            </w:r>
            <w:bookmarkEnd w:id="406"/>
            <w:bookmarkEnd w:id="407"/>
            <w:r w:rsidRPr="00530777">
              <w:rPr>
                <w:sz w:val="20"/>
                <w:szCs w:val="20"/>
              </w:rPr>
              <w:t xml:space="preserve">  </w:t>
            </w:r>
          </w:p>
        </w:tc>
        <w:tc>
          <w:tcPr>
            <w:tcW w:w="6592" w:type="dxa"/>
            <w:shd w:val="clear" w:color="auto" w:fill="auto"/>
          </w:tcPr>
          <w:p w14:paraId="0F3EB9A4" w14:textId="189AEC73" w:rsidR="00FA7A46" w:rsidRPr="00530777" w:rsidRDefault="00FA7A46" w:rsidP="00AE562B">
            <w:pPr>
              <w:keepNext/>
              <w:jc w:val="both"/>
              <w:outlineLvl w:val="2"/>
              <w:rPr>
                <w:sz w:val="20"/>
                <w:szCs w:val="20"/>
              </w:rPr>
            </w:pPr>
            <w:bookmarkStart w:id="408" w:name="_Toc454811790"/>
            <w:bookmarkStart w:id="409" w:name="_Toc454888934"/>
            <w:r w:rsidRPr="00530777">
              <w:rPr>
                <w:sz w:val="20"/>
                <w:szCs w:val="20"/>
              </w:rPr>
              <w:t>In departments and agencies</w:t>
            </w:r>
            <w:r w:rsidR="008610C3">
              <w:rPr>
                <w:sz w:val="20"/>
                <w:szCs w:val="20"/>
              </w:rPr>
              <w:t>,</w:t>
            </w:r>
            <w:r w:rsidRPr="00530777">
              <w:rPr>
                <w:sz w:val="20"/>
                <w:szCs w:val="20"/>
              </w:rPr>
              <w:t xml:space="preserve"> monitoring of internal control is dealt with in the NGICS covering ongoing monitoring and the work of the Internal Audit Service. Monitoring the internal control activities themselves should be clearly distinguished from reviewing the operations of a unit</w:t>
            </w:r>
            <w:r w:rsidR="008610C3">
              <w:rPr>
                <w:sz w:val="20"/>
                <w:szCs w:val="20"/>
              </w:rPr>
              <w:t>,</w:t>
            </w:r>
            <w:r w:rsidRPr="00530777">
              <w:rPr>
                <w:sz w:val="20"/>
                <w:szCs w:val="20"/>
              </w:rPr>
              <w:t xml:space="preserve"> which is an internal control activity performed by the unit</w:t>
            </w:r>
            <w:r w:rsidR="00DB4428">
              <w:rPr>
                <w:sz w:val="20"/>
                <w:szCs w:val="20"/>
              </w:rPr>
              <w:t xml:space="preserve"> and its management.</w:t>
            </w:r>
            <w:bookmarkEnd w:id="408"/>
            <w:bookmarkEnd w:id="409"/>
          </w:p>
          <w:p w14:paraId="299A2A65" w14:textId="77777777" w:rsidR="006110D8" w:rsidRDefault="006110D8" w:rsidP="00AE562B">
            <w:pPr>
              <w:rPr>
                <w:sz w:val="20"/>
                <w:szCs w:val="20"/>
              </w:rPr>
            </w:pPr>
          </w:p>
          <w:p w14:paraId="746494A1" w14:textId="2B91F6D2" w:rsidR="00FA7A46" w:rsidRDefault="00DB4428" w:rsidP="00AE562B">
            <w:pPr>
              <w:rPr>
                <w:sz w:val="20"/>
                <w:szCs w:val="20"/>
              </w:rPr>
            </w:pPr>
            <w:r w:rsidRPr="00530777">
              <w:rPr>
                <w:sz w:val="20"/>
                <w:szCs w:val="20"/>
              </w:rPr>
              <w:t>PI</w:t>
            </w:r>
            <w:r>
              <w:rPr>
                <w:sz w:val="20"/>
                <w:szCs w:val="20"/>
              </w:rPr>
              <w:t>-</w:t>
            </w:r>
            <w:r w:rsidR="00FA7A46" w:rsidRPr="00530777">
              <w:rPr>
                <w:sz w:val="20"/>
                <w:szCs w:val="20"/>
              </w:rPr>
              <w:t>26</w:t>
            </w:r>
            <w:r>
              <w:rPr>
                <w:sz w:val="20"/>
                <w:szCs w:val="20"/>
              </w:rPr>
              <w:t>,</w:t>
            </w:r>
            <w:r w:rsidR="00FA7A46" w:rsidRPr="00530777">
              <w:rPr>
                <w:sz w:val="20"/>
                <w:szCs w:val="20"/>
              </w:rPr>
              <w:t xml:space="preserve"> Internal Audit</w:t>
            </w:r>
            <w:r>
              <w:rPr>
                <w:sz w:val="20"/>
                <w:szCs w:val="20"/>
              </w:rPr>
              <w:t>,</w:t>
            </w:r>
            <w:r w:rsidR="00FA7A46" w:rsidRPr="00530777">
              <w:rPr>
                <w:sz w:val="20"/>
                <w:szCs w:val="20"/>
              </w:rPr>
              <w:t xml:space="preserve"> found that </w:t>
            </w:r>
            <w:r>
              <w:rPr>
                <w:sz w:val="20"/>
                <w:szCs w:val="20"/>
              </w:rPr>
              <w:t>internal audit</w:t>
            </w:r>
            <w:r w:rsidRPr="00530777">
              <w:rPr>
                <w:sz w:val="20"/>
                <w:szCs w:val="20"/>
              </w:rPr>
              <w:t xml:space="preserve"> </w:t>
            </w:r>
            <w:r w:rsidR="00FA7A46" w:rsidRPr="00530777">
              <w:rPr>
                <w:sz w:val="20"/>
                <w:szCs w:val="20"/>
              </w:rPr>
              <w:t>has been formally established in most agencies and that audit programs are largely completed, but with delays.</w:t>
            </w:r>
            <w:r>
              <w:rPr>
                <w:sz w:val="20"/>
                <w:szCs w:val="20"/>
              </w:rPr>
              <w:t xml:space="preserve"> The performance is rated “C+”.</w:t>
            </w:r>
          </w:p>
          <w:p w14:paraId="1A5922BC" w14:textId="77777777" w:rsidR="006110D8" w:rsidRPr="00530777" w:rsidRDefault="006110D8" w:rsidP="00AE562B">
            <w:pPr>
              <w:rPr>
                <w:sz w:val="20"/>
                <w:szCs w:val="20"/>
              </w:rPr>
            </w:pPr>
          </w:p>
          <w:p w14:paraId="51A6CC57" w14:textId="1102AE7E" w:rsidR="00FA7A46" w:rsidRPr="00530777" w:rsidRDefault="00FA7A46" w:rsidP="00AE562B">
            <w:pPr>
              <w:keepNext/>
              <w:jc w:val="both"/>
              <w:outlineLvl w:val="2"/>
              <w:rPr>
                <w:sz w:val="20"/>
                <w:szCs w:val="20"/>
              </w:rPr>
            </w:pPr>
            <w:bookmarkStart w:id="410" w:name="_Toc454811791"/>
            <w:bookmarkStart w:id="411" w:name="_Toc454888935"/>
            <w:r w:rsidRPr="00530777">
              <w:rPr>
                <w:sz w:val="20"/>
                <w:szCs w:val="20"/>
              </w:rPr>
              <w:t>Monitoring o</w:t>
            </w:r>
            <w:r w:rsidR="00B97E18">
              <w:rPr>
                <w:sz w:val="20"/>
                <w:szCs w:val="20"/>
              </w:rPr>
              <w:t xml:space="preserve">f GOCCs is exercised through a </w:t>
            </w:r>
            <w:r w:rsidRPr="00530777">
              <w:rPr>
                <w:sz w:val="20"/>
                <w:szCs w:val="20"/>
              </w:rPr>
              <w:t xml:space="preserve">quarterly report to </w:t>
            </w:r>
            <w:r w:rsidR="00B97E18">
              <w:rPr>
                <w:sz w:val="20"/>
                <w:szCs w:val="20"/>
              </w:rPr>
              <w:t xml:space="preserve">the </w:t>
            </w:r>
            <w:r w:rsidR="008610C3">
              <w:rPr>
                <w:sz w:val="20"/>
                <w:szCs w:val="20"/>
              </w:rPr>
              <w:t>Government.</w:t>
            </w:r>
            <w:r w:rsidRPr="00530777">
              <w:rPr>
                <w:sz w:val="20"/>
                <w:szCs w:val="20"/>
              </w:rPr>
              <w:t xml:space="preserve"> Monitoring of LGUs is exercised through a substantial performance monitoring system with multiple indicators</w:t>
            </w:r>
            <w:r w:rsidR="00DB4428">
              <w:rPr>
                <w:sz w:val="20"/>
                <w:szCs w:val="20"/>
              </w:rPr>
              <w:t>,</w:t>
            </w:r>
            <w:r w:rsidRPr="00530777">
              <w:rPr>
                <w:sz w:val="20"/>
                <w:szCs w:val="20"/>
              </w:rPr>
              <w:t xml:space="preserve"> including fiscal risks, financial position</w:t>
            </w:r>
            <w:r w:rsidR="00DB4428">
              <w:rPr>
                <w:sz w:val="20"/>
                <w:szCs w:val="20"/>
              </w:rPr>
              <w:t>,</w:t>
            </w:r>
            <w:r w:rsidRPr="00530777">
              <w:rPr>
                <w:sz w:val="20"/>
                <w:szCs w:val="20"/>
              </w:rPr>
              <w:t xml:space="preserve"> and debts.</w:t>
            </w:r>
            <w:r w:rsidR="00DB4428">
              <w:rPr>
                <w:sz w:val="20"/>
                <w:szCs w:val="20"/>
              </w:rPr>
              <w:t xml:space="preserve">  The performance indicator on fiscal risk reporting for GOCCs and LGUs is rated “B”. Audited annual reports for these entities are usually published by CoA within 9 months of year-end.</w:t>
            </w:r>
            <w:bookmarkEnd w:id="410"/>
            <w:bookmarkEnd w:id="411"/>
          </w:p>
        </w:tc>
      </w:tr>
      <w:tr w:rsidR="006110D8" w:rsidRPr="00467396" w14:paraId="098C6704" w14:textId="77777777" w:rsidTr="000A4582">
        <w:trPr>
          <w:trHeight w:val="720"/>
          <w:tblHeader/>
        </w:trPr>
        <w:tc>
          <w:tcPr>
            <w:tcW w:w="2758" w:type="dxa"/>
            <w:shd w:val="clear" w:color="auto" w:fill="auto"/>
          </w:tcPr>
          <w:p w14:paraId="3E651A1F" w14:textId="77777777" w:rsidR="00FA7A46" w:rsidRPr="00530777" w:rsidRDefault="00FA7A46" w:rsidP="00E35674">
            <w:pPr>
              <w:keepNext/>
              <w:outlineLvl w:val="2"/>
              <w:rPr>
                <w:rFonts w:eastAsia="Calibri"/>
                <w:b/>
                <w:bCs/>
                <w:sz w:val="20"/>
                <w:szCs w:val="20"/>
              </w:rPr>
            </w:pPr>
            <w:bookmarkStart w:id="412" w:name="_Toc454811792"/>
            <w:bookmarkStart w:id="413" w:name="_Toc454888936"/>
            <w:r w:rsidRPr="00530777">
              <w:rPr>
                <w:sz w:val="20"/>
                <w:szCs w:val="20"/>
              </w:rPr>
              <w:t>5.1 Ongoing monitoring</w:t>
            </w:r>
            <w:bookmarkEnd w:id="412"/>
            <w:bookmarkEnd w:id="413"/>
            <w:r w:rsidRPr="00530777">
              <w:rPr>
                <w:sz w:val="20"/>
                <w:szCs w:val="20"/>
              </w:rPr>
              <w:t xml:space="preserve">  </w:t>
            </w:r>
          </w:p>
        </w:tc>
        <w:tc>
          <w:tcPr>
            <w:tcW w:w="6592" w:type="dxa"/>
            <w:shd w:val="clear" w:color="auto" w:fill="auto"/>
          </w:tcPr>
          <w:p w14:paraId="47A7FCF0" w14:textId="6668C714" w:rsidR="00FA7A46" w:rsidRPr="00530777" w:rsidRDefault="00FA7A46" w:rsidP="00E35674">
            <w:pPr>
              <w:jc w:val="both"/>
              <w:rPr>
                <w:rFonts w:eastAsia="Calibri"/>
                <w:b/>
                <w:bCs/>
                <w:sz w:val="20"/>
                <w:szCs w:val="20"/>
              </w:rPr>
            </w:pPr>
            <w:r w:rsidRPr="00530777">
              <w:rPr>
                <w:sz w:val="20"/>
                <w:szCs w:val="20"/>
              </w:rPr>
              <w:t xml:space="preserve">In the agency structure, the Financial and Management Service is tasked to assist agency management in the ongoing monitoring of internal controls by regular management surveys of the organizational structure, </w:t>
            </w:r>
            <w:r w:rsidR="000165FB">
              <w:rPr>
                <w:sz w:val="20"/>
                <w:szCs w:val="20"/>
              </w:rPr>
              <w:t>hu</w:t>
            </w:r>
            <w:r w:rsidRPr="00530777">
              <w:rPr>
                <w:sz w:val="20"/>
                <w:szCs w:val="20"/>
              </w:rPr>
              <w:t>man</w:t>
            </w:r>
            <w:r w:rsidR="000165FB">
              <w:rPr>
                <w:sz w:val="20"/>
                <w:szCs w:val="20"/>
              </w:rPr>
              <w:t xml:space="preserve"> resource</w:t>
            </w:r>
            <w:r w:rsidR="008610C3">
              <w:rPr>
                <w:sz w:val="20"/>
                <w:szCs w:val="20"/>
              </w:rPr>
              <w:t>,</w:t>
            </w:r>
            <w:r w:rsidRPr="00530777">
              <w:rPr>
                <w:sz w:val="20"/>
                <w:szCs w:val="20"/>
              </w:rPr>
              <w:t xml:space="preserve"> and operations. </w:t>
            </w:r>
          </w:p>
          <w:p w14:paraId="6896490E" w14:textId="77777777" w:rsidR="006110D8" w:rsidRDefault="006110D8" w:rsidP="00E35674">
            <w:pPr>
              <w:jc w:val="both"/>
              <w:rPr>
                <w:sz w:val="20"/>
                <w:szCs w:val="20"/>
              </w:rPr>
            </w:pPr>
          </w:p>
          <w:p w14:paraId="687D9838" w14:textId="4B77FC5B" w:rsidR="006110D8" w:rsidRDefault="00FA7A46" w:rsidP="00E35674">
            <w:pPr>
              <w:jc w:val="both"/>
              <w:rPr>
                <w:rFonts w:eastAsia="Calibri"/>
                <w:b/>
                <w:bCs/>
                <w:sz w:val="20"/>
                <w:szCs w:val="20"/>
              </w:rPr>
            </w:pPr>
            <w:r w:rsidRPr="00530777">
              <w:rPr>
                <w:sz w:val="20"/>
                <w:szCs w:val="20"/>
              </w:rPr>
              <w:t xml:space="preserve">Control in government departments and agencies, according to NGICS, includes checking the completeness of transaction documents and reports. </w:t>
            </w:r>
          </w:p>
          <w:p w14:paraId="4540F5D5" w14:textId="77777777" w:rsidR="006110D8" w:rsidRDefault="006110D8" w:rsidP="00AE562B">
            <w:pPr>
              <w:rPr>
                <w:sz w:val="20"/>
                <w:szCs w:val="20"/>
              </w:rPr>
            </w:pPr>
          </w:p>
          <w:p w14:paraId="129F6FB0" w14:textId="6A39D409" w:rsidR="00FA7A46" w:rsidRPr="00530777" w:rsidRDefault="00FA7A46" w:rsidP="00AE562B">
            <w:pPr>
              <w:keepNext/>
              <w:jc w:val="both"/>
              <w:outlineLvl w:val="2"/>
              <w:rPr>
                <w:sz w:val="20"/>
                <w:szCs w:val="20"/>
              </w:rPr>
            </w:pPr>
            <w:bookmarkStart w:id="414" w:name="_Toc454811793"/>
            <w:bookmarkStart w:id="415" w:name="_Toc454888937"/>
            <w:r w:rsidRPr="00530777">
              <w:rPr>
                <w:sz w:val="20"/>
                <w:szCs w:val="20"/>
              </w:rPr>
              <w:t xml:space="preserve">Transaction documentation has to be complete in order to substantiate the transaction. Operational and financial reports are tools for monitoring performance, subsequent planning, and </w:t>
            </w:r>
            <w:r w:rsidR="00250522" w:rsidRPr="00530777">
              <w:rPr>
                <w:sz w:val="20"/>
                <w:szCs w:val="20"/>
              </w:rPr>
              <w:t>decision-making</w:t>
            </w:r>
            <w:r w:rsidRPr="00530777">
              <w:rPr>
                <w:sz w:val="20"/>
                <w:szCs w:val="20"/>
              </w:rPr>
              <w:t xml:space="preserve">. These reports have to be checked at the source and by the management of the operating unit concerned. These reports have to be certified </w:t>
            </w:r>
            <w:r w:rsidR="008610C3">
              <w:rPr>
                <w:sz w:val="20"/>
                <w:szCs w:val="20"/>
              </w:rPr>
              <w:t>for accuracy</w:t>
            </w:r>
            <w:r w:rsidRPr="00530777">
              <w:rPr>
                <w:sz w:val="20"/>
                <w:szCs w:val="20"/>
              </w:rPr>
              <w:t xml:space="preserve"> by management of the office concerned before </w:t>
            </w:r>
            <w:r w:rsidR="008610C3">
              <w:rPr>
                <w:sz w:val="20"/>
                <w:szCs w:val="20"/>
              </w:rPr>
              <w:t>they</w:t>
            </w:r>
            <w:r w:rsidR="008610C3" w:rsidRPr="00530777">
              <w:rPr>
                <w:sz w:val="20"/>
                <w:szCs w:val="20"/>
              </w:rPr>
              <w:t xml:space="preserve"> </w:t>
            </w:r>
            <w:r w:rsidRPr="00530777">
              <w:rPr>
                <w:sz w:val="20"/>
                <w:szCs w:val="20"/>
              </w:rPr>
              <w:t xml:space="preserve">are submitted to the </w:t>
            </w:r>
            <w:r w:rsidR="008610C3">
              <w:rPr>
                <w:sz w:val="20"/>
                <w:szCs w:val="20"/>
              </w:rPr>
              <w:t xml:space="preserve">report </w:t>
            </w:r>
            <w:r w:rsidRPr="00530777">
              <w:rPr>
                <w:sz w:val="20"/>
                <w:szCs w:val="20"/>
              </w:rPr>
              <w:t>users.</w:t>
            </w:r>
            <w:bookmarkEnd w:id="414"/>
            <w:bookmarkEnd w:id="415"/>
            <w:r w:rsidRPr="00530777">
              <w:rPr>
                <w:sz w:val="20"/>
                <w:szCs w:val="20"/>
              </w:rPr>
              <w:t xml:space="preserve"> </w:t>
            </w:r>
          </w:p>
        </w:tc>
      </w:tr>
      <w:tr w:rsidR="006110D8" w:rsidRPr="00467396" w14:paraId="106F4C31" w14:textId="77777777" w:rsidTr="000A4582">
        <w:trPr>
          <w:trHeight w:val="720"/>
          <w:tblHeader/>
        </w:trPr>
        <w:tc>
          <w:tcPr>
            <w:tcW w:w="2758" w:type="dxa"/>
            <w:shd w:val="clear" w:color="auto" w:fill="auto"/>
          </w:tcPr>
          <w:p w14:paraId="6A58C125" w14:textId="77777777" w:rsidR="00FA7A46" w:rsidRPr="00530777" w:rsidRDefault="00FA7A46" w:rsidP="00E35674">
            <w:pPr>
              <w:keepNext/>
              <w:outlineLvl w:val="2"/>
              <w:rPr>
                <w:rFonts w:eastAsia="Calibri"/>
                <w:b/>
                <w:bCs/>
                <w:sz w:val="20"/>
                <w:szCs w:val="20"/>
              </w:rPr>
            </w:pPr>
            <w:bookmarkStart w:id="416" w:name="_Toc454811794"/>
            <w:bookmarkStart w:id="417" w:name="_Toc454888938"/>
            <w:r w:rsidRPr="00530777">
              <w:rPr>
                <w:sz w:val="20"/>
                <w:szCs w:val="20"/>
              </w:rPr>
              <w:t>5.2 Evaluations</w:t>
            </w:r>
            <w:bookmarkEnd w:id="416"/>
            <w:bookmarkEnd w:id="417"/>
            <w:r w:rsidRPr="00530777">
              <w:rPr>
                <w:sz w:val="20"/>
                <w:szCs w:val="20"/>
              </w:rPr>
              <w:t xml:space="preserve">  </w:t>
            </w:r>
          </w:p>
        </w:tc>
        <w:tc>
          <w:tcPr>
            <w:tcW w:w="6592" w:type="dxa"/>
            <w:shd w:val="clear" w:color="auto" w:fill="auto"/>
          </w:tcPr>
          <w:p w14:paraId="69F68739" w14:textId="7F701311" w:rsidR="00FA7A46" w:rsidRPr="00530777" w:rsidRDefault="00FA7A46" w:rsidP="00AE562B">
            <w:pPr>
              <w:keepNext/>
              <w:jc w:val="both"/>
              <w:outlineLvl w:val="2"/>
              <w:rPr>
                <w:sz w:val="20"/>
                <w:szCs w:val="20"/>
              </w:rPr>
            </w:pPr>
            <w:bookmarkStart w:id="418" w:name="_Toc454811795"/>
            <w:bookmarkStart w:id="419" w:name="_Toc454888939"/>
            <w:r w:rsidRPr="00530777">
              <w:rPr>
                <w:sz w:val="20"/>
                <w:szCs w:val="20"/>
              </w:rPr>
              <w:t xml:space="preserve">In the agency structure, the Internal Audit Service is mandated to conduct a separate evaluation or appraisal of the internal control system to determine whether internal controls are well designed and properly operated. The </w:t>
            </w:r>
            <w:r w:rsidR="008B0256">
              <w:rPr>
                <w:sz w:val="20"/>
                <w:szCs w:val="20"/>
              </w:rPr>
              <w:t>Internal Audit Service</w:t>
            </w:r>
            <w:r w:rsidRPr="00530777">
              <w:rPr>
                <w:sz w:val="20"/>
                <w:szCs w:val="20"/>
              </w:rPr>
              <w:t xml:space="preserve"> in departments and equivalent agencies shall consist of two divisions: Management Audit Division and Operations Audit Division.</w:t>
            </w:r>
            <w:bookmarkEnd w:id="418"/>
            <w:bookmarkEnd w:id="419"/>
          </w:p>
          <w:p w14:paraId="7E361351" w14:textId="77777777" w:rsidR="00DB4428" w:rsidRDefault="00DB4428" w:rsidP="00AE562B">
            <w:pPr>
              <w:keepNext/>
              <w:jc w:val="both"/>
              <w:outlineLvl w:val="2"/>
              <w:rPr>
                <w:sz w:val="20"/>
                <w:szCs w:val="20"/>
              </w:rPr>
            </w:pPr>
          </w:p>
          <w:p w14:paraId="31AE8D4B" w14:textId="1C5EC39F" w:rsidR="00FA7A46" w:rsidRPr="00530777" w:rsidRDefault="00FA7A46" w:rsidP="00AE562B">
            <w:pPr>
              <w:keepNext/>
              <w:jc w:val="both"/>
              <w:outlineLvl w:val="2"/>
              <w:rPr>
                <w:sz w:val="20"/>
                <w:szCs w:val="20"/>
              </w:rPr>
            </w:pPr>
            <w:bookmarkStart w:id="420" w:name="_Toc454811796"/>
            <w:bookmarkStart w:id="421" w:name="_Toc454888940"/>
            <w:r w:rsidRPr="00530777">
              <w:rPr>
                <w:sz w:val="20"/>
                <w:szCs w:val="20"/>
              </w:rPr>
              <w:t>External review is carried out by the Commission on Audit. The Constitution, as well as the Administrative Code</w:t>
            </w:r>
            <w:r w:rsidR="008610C3">
              <w:rPr>
                <w:sz w:val="20"/>
                <w:szCs w:val="20"/>
              </w:rPr>
              <w:t>,</w:t>
            </w:r>
            <w:r w:rsidRPr="00530777">
              <w:rPr>
                <w:sz w:val="20"/>
                <w:szCs w:val="20"/>
              </w:rPr>
              <w:t xml:space="preserve"> provides that where the internal control system of the audited agencies is inadequate, </w:t>
            </w:r>
            <w:r w:rsidR="00A177AB">
              <w:rPr>
                <w:sz w:val="20"/>
                <w:szCs w:val="20"/>
              </w:rPr>
              <w:t>CoA</w:t>
            </w:r>
            <w:r w:rsidRPr="00530777">
              <w:rPr>
                <w:sz w:val="20"/>
                <w:szCs w:val="20"/>
              </w:rPr>
              <w:t xml:space="preserve"> may adopt such measures, including temporary or special pre-audit as necessary and appropriate to correct the deficiencies.</w:t>
            </w:r>
            <w:bookmarkEnd w:id="420"/>
            <w:bookmarkEnd w:id="421"/>
          </w:p>
        </w:tc>
      </w:tr>
      <w:tr w:rsidR="006110D8" w:rsidRPr="00467396" w14:paraId="7D8CB17C" w14:textId="77777777" w:rsidTr="000A4582">
        <w:trPr>
          <w:trHeight w:val="720"/>
          <w:tblHeader/>
        </w:trPr>
        <w:tc>
          <w:tcPr>
            <w:tcW w:w="2758" w:type="dxa"/>
            <w:shd w:val="clear" w:color="auto" w:fill="auto"/>
          </w:tcPr>
          <w:p w14:paraId="18CAB464" w14:textId="77777777" w:rsidR="00FA7A46" w:rsidRPr="00530777" w:rsidRDefault="00FA7A46" w:rsidP="00E35674">
            <w:pPr>
              <w:keepNext/>
              <w:outlineLvl w:val="2"/>
              <w:rPr>
                <w:rFonts w:eastAsia="Calibri"/>
                <w:b/>
                <w:bCs/>
                <w:sz w:val="20"/>
                <w:szCs w:val="20"/>
              </w:rPr>
            </w:pPr>
            <w:bookmarkStart w:id="422" w:name="_Toc454811797"/>
            <w:bookmarkStart w:id="423" w:name="_Toc454888941"/>
            <w:r w:rsidRPr="00530777">
              <w:rPr>
                <w:sz w:val="20"/>
                <w:szCs w:val="20"/>
              </w:rPr>
              <w:t>5.3 Management responses</w:t>
            </w:r>
            <w:bookmarkEnd w:id="422"/>
            <w:bookmarkEnd w:id="423"/>
          </w:p>
        </w:tc>
        <w:tc>
          <w:tcPr>
            <w:tcW w:w="6592" w:type="dxa"/>
            <w:shd w:val="clear" w:color="auto" w:fill="auto"/>
          </w:tcPr>
          <w:p w14:paraId="337729D5" w14:textId="37444B86" w:rsidR="00FA7A46" w:rsidRPr="00530777" w:rsidRDefault="00FA7A46" w:rsidP="00AE562B">
            <w:pPr>
              <w:keepNext/>
              <w:jc w:val="both"/>
              <w:outlineLvl w:val="2"/>
              <w:rPr>
                <w:sz w:val="20"/>
                <w:szCs w:val="20"/>
              </w:rPr>
            </w:pPr>
            <w:bookmarkStart w:id="424" w:name="_Toc454811798"/>
            <w:bookmarkStart w:id="425" w:name="_Toc454888942"/>
            <w:r w:rsidRPr="00530777">
              <w:rPr>
                <w:sz w:val="20"/>
                <w:szCs w:val="20"/>
              </w:rPr>
              <w:t>PI</w:t>
            </w:r>
            <w:r w:rsidR="00DB4428">
              <w:rPr>
                <w:sz w:val="20"/>
                <w:szCs w:val="20"/>
              </w:rPr>
              <w:t>-</w:t>
            </w:r>
            <w:r w:rsidRPr="00530777">
              <w:rPr>
                <w:sz w:val="20"/>
                <w:szCs w:val="20"/>
              </w:rPr>
              <w:t>26</w:t>
            </w:r>
            <w:r w:rsidR="00B74F79" w:rsidRPr="00530777">
              <w:rPr>
                <w:sz w:val="20"/>
                <w:szCs w:val="20"/>
              </w:rPr>
              <w:t>.4</w:t>
            </w:r>
            <w:r w:rsidRPr="00530777">
              <w:rPr>
                <w:sz w:val="20"/>
                <w:szCs w:val="20"/>
              </w:rPr>
              <w:t xml:space="preserve"> examined response to internal audits and was rated </w:t>
            </w:r>
            <w:r w:rsidR="00DB4428">
              <w:rPr>
                <w:sz w:val="20"/>
                <w:szCs w:val="20"/>
              </w:rPr>
              <w:t>“</w:t>
            </w:r>
            <w:r w:rsidRPr="00530777">
              <w:rPr>
                <w:sz w:val="20"/>
                <w:szCs w:val="20"/>
              </w:rPr>
              <w:t>B</w:t>
            </w:r>
            <w:r w:rsidR="00DB4428">
              <w:rPr>
                <w:sz w:val="20"/>
                <w:szCs w:val="20"/>
              </w:rPr>
              <w:t>”.</w:t>
            </w:r>
            <w:r w:rsidRPr="00530777">
              <w:rPr>
                <w:sz w:val="20"/>
                <w:szCs w:val="20"/>
              </w:rPr>
              <w:t xml:space="preserve"> </w:t>
            </w:r>
            <w:r w:rsidR="00DB4428">
              <w:rPr>
                <w:sz w:val="20"/>
                <w:szCs w:val="20"/>
              </w:rPr>
              <w:t>Internal</w:t>
            </w:r>
            <w:r w:rsidRPr="00530777">
              <w:rPr>
                <w:sz w:val="20"/>
                <w:szCs w:val="20"/>
              </w:rPr>
              <w:t xml:space="preserve"> audit report</w:t>
            </w:r>
            <w:r w:rsidR="00DB4428">
              <w:rPr>
                <w:sz w:val="20"/>
                <w:szCs w:val="20"/>
              </w:rPr>
              <w:t>s</w:t>
            </w:r>
            <w:r w:rsidRPr="00530777">
              <w:rPr>
                <w:sz w:val="20"/>
                <w:szCs w:val="20"/>
              </w:rPr>
              <w:t xml:space="preserve"> provide recommendations that are presented to the </w:t>
            </w:r>
            <w:r w:rsidR="008610C3">
              <w:rPr>
                <w:sz w:val="20"/>
                <w:szCs w:val="20"/>
              </w:rPr>
              <w:t>h</w:t>
            </w:r>
            <w:r w:rsidR="008610C3" w:rsidRPr="00530777">
              <w:rPr>
                <w:sz w:val="20"/>
                <w:szCs w:val="20"/>
              </w:rPr>
              <w:t xml:space="preserve">ead </w:t>
            </w:r>
            <w:r w:rsidRPr="00530777">
              <w:rPr>
                <w:sz w:val="20"/>
                <w:szCs w:val="20"/>
              </w:rPr>
              <w:t>of the audited unit. Management response is solicited to indicate corresponding action plan</w:t>
            </w:r>
            <w:r w:rsidR="00DB4428">
              <w:rPr>
                <w:sz w:val="20"/>
                <w:szCs w:val="20"/>
              </w:rPr>
              <w:t>,</w:t>
            </w:r>
            <w:r w:rsidRPr="00530777">
              <w:rPr>
                <w:sz w:val="20"/>
                <w:szCs w:val="20"/>
              </w:rPr>
              <w:t xml:space="preserve"> and a formal response is received in most instances within 12 months. However the report is not </w:t>
            </w:r>
            <w:r w:rsidR="00DB4428">
              <w:rPr>
                <w:sz w:val="20"/>
                <w:szCs w:val="20"/>
              </w:rPr>
              <w:t>shared beyond the audited unit with, for example, the oversight agencies (</w:t>
            </w:r>
            <w:r w:rsidRPr="00530777">
              <w:rPr>
                <w:sz w:val="20"/>
                <w:szCs w:val="20"/>
              </w:rPr>
              <w:t>DBM</w:t>
            </w:r>
            <w:r w:rsidR="00DB4428">
              <w:rPr>
                <w:sz w:val="20"/>
                <w:szCs w:val="20"/>
              </w:rPr>
              <w:t>, DoF,</w:t>
            </w:r>
            <w:r w:rsidRPr="00530777">
              <w:rPr>
                <w:sz w:val="20"/>
                <w:szCs w:val="20"/>
              </w:rPr>
              <w:t xml:space="preserve"> </w:t>
            </w:r>
            <w:r w:rsidR="00DB4428">
              <w:rPr>
                <w:sz w:val="20"/>
                <w:szCs w:val="20"/>
              </w:rPr>
              <w:t>and</w:t>
            </w:r>
            <w:r w:rsidR="00DB4428" w:rsidRPr="00530777">
              <w:rPr>
                <w:sz w:val="20"/>
                <w:szCs w:val="20"/>
              </w:rPr>
              <w:t xml:space="preserve"> </w:t>
            </w:r>
            <w:r w:rsidR="009008FE" w:rsidRPr="00530777">
              <w:rPr>
                <w:sz w:val="20"/>
                <w:szCs w:val="20"/>
              </w:rPr>
              <w:t>CoA</w:t>
            </w:r>
            <w:r w:rsidR="00DB4428">
              <w:rPr>
                <w:sz w:val="20"/>
                <w:szCs w:val="20"/>
              </w:rPr>
              <w:t>)</w:t>
            </w:r>
            <w:r w:rsidRPr="00530777">
              <w:rPr>
                <w:sz w:val="20"/>
                <w:szCs w:val="20"/>
              </w:rPr>
              <w:t>.</w:t>
            </w:r>
            <w:bookmarkEnd w:id="424"/>
            <w:bookmarkEnd w:id="425"/>
          </w:p>
        </w:tc>
      </w:tr>
    </w:tbl>
    <w:p w14:paraId="1981CB79" w14:textId="77777777" w:rsidR="00FA7A46" w:rsidRPr="00ED4D9C" w:rsidRDefault="00FA7A46" w:rsidP="00FA7A46"/>
    <w:p w14:paraId="2367AA50" w14:textId="77777777" w:rsidR="00FA7A46" w:rsidRPr="005A497D" w:rsidRDefault="00FA7A46" w:rsidP="00FA7A46">
      <w:pPr>
        <w:autoSpaceDE w:val="0"/>
        <w:autoSpaceDN w:val="0"/>
        <w:adjustRightInd w:val="0"/>
        <w:contextualSpacing/>
        <w:jc w:val="both"/>
      </w:pPr>
    </w:p>
    <w:p w14:paraId="5AFD923B" w14:textId="77777777" w:rsidR="00FA7A46" w:rsidRDefault="00FA7A46" w:rsidP="00FA7A46"/>
    <w:p w14:paraId="06E27CDC" w14:textId="77777777" w:rsidR="0027211D" w:rsidRDefault="0027211D" w:rsidP="009A012D">
      <w:pPr>
        <w:pStyle w:val="Heading2"/>
        <w:rPr>
          <w:rFonts w:ascii="Times New Roman" w:hAnsi="Times New Roman"/>
          <w:sz w:val="32"/>
          <w:szCs w:val="32"/>
        </w:rPr>
        <w:sectPr w:rsidR="0027211D" w:rsidSect="00361E8E">
          <w:footnotePr>
            <w:numRestart w:val="eachSect"/>
          </w:footnotePr>
          <w:endnotePr>
            <w:numFmt w:val="decimal"/>
          </w:endnotePr>
          <w:pgSz w:w="12240" w:h="15840" w:code="1"/>
          <w:pgMar w:top="1152" w:right="1440" w:bottom="1080" w:left="1440" w:header="720" w:footer="720" w:gutter="0"/>
          <w:cols w:space="720"/>
          <w:noEndnote/>
          <w:titlePg/>
        </w:sectPr>
      </w:pPr>
    </w:p>
    <w:p w14:paraId="3CE56927" w14:textId="16D493FD" w:rsidR="00B83E02" w:rsidRDefault="00B83E02" w:rsidP="009A012D">
      <w:pPr>
        <w:pStyle w:val="Heading2"/>
        <w:rPr>
          <w:rFonts w:ascii="Times New Roman" w:hAnsi="Times New Roman"/>
          <w:sz w:val="32"/>
          <w:szCs w:val="32"/>
        </w:rPr>
      </w:pPr>
      <w:bookmarkStart w:id="426" w:name="_Toc454811799"/>
      <w:bookmarkStart w:id="427" w:name="_Toc454888943"/>
      <w:r w:rsidRPr="00EE153B">
        <w:rPr>
          <w:rFonts w:ascii="Times New Roman" w:hAnsi="Times New Roman"/>
          <w:sz w:val="32"/>
          <w:szCs w:val="32"/>
        </w:rPr>
        <w:t>Annex 3A. PEFA Assessment Management Organization</w:t>
      </w:r>
      <w:bookmarkEnd w:id="426"/>
      <w:bookmarkEnd w:id="427"/>
    </w:p>
    <w:p w14:paraId="2FCCF95B" w14:textId="77777777" w:rsidR="00B83E02" w:rsidRDefault="00B83E02" w:rsidP="00530777"/>
    <w:p w14:paraId="6586F006" w14:textId="77777777" w:rsidR="00B83E02" w:rsidRDefault="00B83E02" w:rsidP="00530777"/>
    <w:p w14:paraId="422F3F4E" w14:textId="7054C3DD" w:rsidR="00B83E02" w:rsidRPr="00530777" w:rsidRDefault="00B83E02" w:rsidP="00530777">
      <w:pPr>
        <w:spacing w:before="40" w:after="40"/>
        <w:rPr>
          <w:b/>
          <w:i/>
          <w:color w:val="000000"/>
        </w:rPr>
      </w:pPr>
      <w:r w:rsidRPr="00530777">
        <w:rPr>
          <w:b/>
          <w:i/>
          <w:color w:val="000000"/>
        </w:rPr>
        <w:t>Oversight Team – PFM Committee chaired by Department of Budget and Management:</w:t>
      </w:r>
    </w:p>
    <w:p w14:paraId="11FE6F90" w14:textId="6C12D19F" w:rsidR="00E35674" w:rsidRPr="00E35674" w:rsidRDefault="00E35674" w:rsidP="00E35674">
      <w:pPr>
        <w:numPr>
          <w:ilvl w:val="1"/>
          <w:numId w:val="4"/>
        </w:numPr>
        <w:spacing w:before="40" w:after="40"/>
        <w:ind w:left="720"/>
        <w:rPr>
          <w:rFonts w:eastAsia="Calibri"/>
          <w:color w:val="000000"/>
        </w:rPr>
      </w:pPr>
      <w:r w:rsidRPr="00E35674">
        <w:rPr>
          <w:rFonts w:eastAsia="Calibri"/>
          <w:color w:val="000000"/>
        </w:rPr>
        <w:t xml:space="preserve">Undersecretary Laura </w:t>
      </w:r>
      <w:r w:rsidR="000165FB">
        <w:rPr>
          <w:rFonts w:eastAsia="Calibri"/>
          <w:color w:val="000000"/>
        </w:rPr>
        <w:t xml:space="preserve">B. </w:t>
      </w:r>
      <w:r w:rsidRPr="00E35674">
        <w:rPr>
          <w:rFonts w:eastAsia="Calibri"/>
          <w:color w:val="000000"/>
        </w:rPr>
        <w:t>Pascua (DBM)</w:t>
      </w:r>
    </w:p>
    <w:p w14:paraId="690AADF8" w14:textId="77777777" w:rsidR="00E35674" w:rsidRPr="00E35674" w:rsidRDefault="00E35674" w:rsidP="00E35674">
      <w:pPr>
        <w:numPr>
          <w:ilvl w:val="1"/>
          <w:numId w:val="4"/>
        </w:numPr>
        <w:spacing w:before="40" w:after="40"/>
        <w:ind w:left="720"/>
        <w:rPr>
          <w:rFonts w:eastAsia="Calibri"/>
          <w:color w:val="000000"/>
        </w:rPr>
      </w:pPr>
      <w:r w:rsidRPr="00E35674">
        <w:rPr>
          <w:rFonts w:eastAsia="Calibri"/>
          <w:color w:val="000000"/>
        </w:rPr>
        <w:t>Undersecretary Janet B. Abuel (DBM)</w:t>
      </w:r>
    </w:p>
    <w:p w14:paraId="59C0E7F2" w14:textId="460F5CD7" w:rsidR="00E35674" w:rsidRDefault="008B6D37" w:rsidP="00E35674">
      <w:pPr>
        <w:numPr>
          <w:ilvl w:val="1"/>
          <w:numId w:val="4"/>
        </w:numPr>
        <w:spacing w:before="40" w:after="40"/>
        <w:ind w:left="720"/>
        <w:rPr>
          <w:rFonts w:eastAsia="Calibri"/>
          <w:color w:val="000000"/>
        </w:rPr>
      </w:pPr>
      <w:r>
        <w:rPr>
          <w:rFonts w:eastAsia="Calibri"/>
          <w:color w:val="000000"/>
        </w:rPr>
        <w:t xml:space="preserve">Former </w:t>
      </w:r>
      <w:r w:rsidR="00E35674" w:rsidRPr="00E35674">
        <w:rPr>
          <w:rFonts w:eastAsia="Calibri"/>
          <w:color w:val="000000"/>
        </w:rPr>
        <w:t>Commissioner Heidi L. Mendoza (Commission on Audit – CoA)</w:t>
      </w:r>
    </w:p>
    <w:p w14:paraId="16605B10" w14:textId="5669855D" w:rsidR="008B6D37" w:rsidRPr="00E35674" w:rsidRDefault="008B6D37" w:rsidP="00E35674">
      <w:pPr>
        <w:numPr>
          <w:ilvl w:val="1"/>
          <w:numId w:val="4"/>
        </w:numPr>
        <w:spacing w:before="40" w:after="40"/>
        <w:ind w:left="720"/>
        <w:rPr>
          <w:rFonts w:eastAsia="Calibri"/>
          <w:color w:val="000000"/>
        </w:rPr>
      </w:pPr>
      <w:r>
        <w:t>As</w:t>
      </w:r>
      <w:r w:rsidRPr="00E35674">
        <w:rPr>
          <w:rFonts w:eastAsia="Calibri"/>
          <w:color w:val="000000"/>
        </w:rPr>
        <w:t xml:space="preserve">sistant </w:t>
      </w:r>
      <w:r>
        <w:t>Com</w:t>
      </w:r>
      <w:r w:rsidRPr="00E35674">
        <w:rPr>
          <w:rFonts w:eastAsia="Calibri"/>
          <w:color w:val="000000"/>
        </w:rPr>
        <w:t>missioner</w:t>
      </w:r>
      <w:r>
        <w:t xml:space="preserve"> Lourdes Castillo (CoA)</w:t>
      </w:r>
    </w:p>
    <w:p w14:paraId="588F1B7C" w14:textId="0949D861" w:rsidR="00E35674" w:rsidRDefault="00E35674" w:rsidP="00E35674">
      <w:pPr>
        <w:numPr>
          <w:ilvl w:val="1"/>
          <w:numId w:val="4"/>
        </w:numPr>
        <w:spacing w:before="40" w:after="40"/>
        <w:ind w:left="720"/>
        <w:rPr>
          <w:rFonts w:eastAsia="Calibri"/>
          <w:color w:val="000000"/>
        </w:rPr>
      </w:pPr>
      <w:r w:rsidRPr="00E35674">
        <w:rPr>
          <w:rFonts w:eastAsia="Calibri"/>
          <w:color w:val="000000"/>
        </w:rPr>
        <w:t xml:space="preserve">Assistant Commissioner Aracadio </w:t>
      </w:r>
      <w:r w:rsidR="008B6D37">
        <w:rPr>
          <w:rFonts w:eastAsia="Calibri"/>
          <w:color w:val="000000"/>
        </w:rPr>
        <w:t xml:space="preserve">B. </w:t>
      </w:r>
      <w:r w:rsidRPr="00E35674">
        <w:rPr>
          <w:rFonts w:eastAsia="Calibri"/>
          <w:color w:val="000000"/>
        </w:rPr>
        <w:t>Cuenco, Jr. (CoA)</w:t>
      </w:r>
    </w:p>
    <w:p w14:paraId="70FEACC5" w14:textId="579CB325" w:rsidR="008B6D37" w:rsidRPr="00E35674" w:rsidRDefault="008B6D37" w:rsidP="00E35674">
      <w:pPr>
        <w:numPr>
          <w:ilvl w:val="1"/>
          <w:numId w:val="4"/>
        </w:numPr>
        <w:spacing w:before="40" w:after="40"/>
        <w:ind w:left="720"/>
        <w:rPr>
          <w:rFonts w:eastAsia="Calibri"/>
          <w:color w:val="000000"/>
        </w:rPr>
      </w:pPr>
      <w:r>
        <w:rPr>
          <w:rFonts w:eastAsia="Calibri"/>
          <w:color w:val="000000"/>
        </w:rPr>
        <w:t xml:space="preserve">Director </w:t>
      </w:r>
      <w:r w:rsidRPr="000F082B">
        <w:rPr>
          <w:rFonts w:eastAsia="Calibri"/>
          <w:color w:val="000000"/>
        </w:rPr>
        <w:t>Luzvi Chatto</w:t>
      </w:r>
      <w:r>
        <w:rPr>
          <w:rFonts w:eastAsia="Calibri"/>
          <w:color w:val="000000"/>
        </w:rPr>
        <w:t xml:space="preserve"> (CoA)</w:t>
      </w:r>
    </w:p>
    <w:p w14:paraId="051E4575" w14:textId="5CAA3928" w:rsidR="00E35674" w:rsidRPr="00E35674" w:rsidRDefault="00E35674" w:rsidP="00E35674">
      <w:pPr>
        <w:numPr>
          <w:ilvl w:val="1"/>
          <w:numId w:val="4"/>
        </w:numPr>
        <w:spacing w:before="40" w:after="40"/>
        <w:ind w:left="720"/>
        <w:rPr>
          <w:rFonts w:eastAsia="Calibri"/>
          <w:color w:val="000000"/>
        </w:rPr>
      </w:pPr>
      <w:r w:rsidRPr="00E35674">
        <w:rPr>
          <w:rFonts w:eastAsia="Calibri"/>
          <w:color w:val="000000"/>
        </w:rPr>
        <w:t>Undersecretary Gil S. Beltran (Department of Finance – D</w:t>
      </w:r>
      <w:r w:rsidR="000165FB">
        <w:rPr>
          <w:rFonts w:eastAsia="Calibri"/>
          <w:color w:val="000000"/>
        </w:rPr>
        <w:t>o</w:t>
      </w:r>
      <w:r w:rsidRPr="00E35674">
        <w:rPr>
          <w:rFonts w:eastAsia="Calibri"/>
          <w:color w:val="000000"/>
        </w:rPr>
        <w:t>F)</w:t>
      </w:r>
    </w:p>
    <w:p w14:paraId="755B5212" w14:textId="095FAD25" w:rsidR="00E35674" w:rsidRPr="00E35674" w:rsidRDefault="00E35674" w:rsidP="00E35674">
      <w:pPr>
        <w:numPr>
          <w:ilvl w:val="1"/>
          <w:numId w:val="4"/>
        </w:numPr>
        <w:spacing w:before="40" w:after="40"/>
        <w:ind w:left="720"/>
        <w:rPr>
          <w:rFonts w:eastAsia="Calibri"/>
          <w:color w:val="000000"/>
        </w:rPr>
      </w:pPr>
      <w:r w:rsidRPr="00E35674">
        <w:rPr>
          <w:rFonts w:eastAsia="Calibri"/>
          <w:color w:val="000000"/>
        </w:rPr>
        <w:t>Assistant Secretary Ma. Teresa Habitan (D</w:t>
      </w:r>
      <w:r w:rsidR="000165FB">
        <w:rPr>
          <w:rFonts w:eastAsia="Calibri"/>
          <w:color w:val="000000"/>
        </w:rPr>
        <w:t>o</w:t>
      </w:r>
      <w:r w:rsidRPr="00E35674">
        <w:rPr>
          <w:rFonts w:eastAsia="Calibri"/>
          <w:color w:val="000000"/>
        </w:rPr>
        <w:t>F)</w:t>
      </w:r>
    </w:p>
    <w:p w14:paraId="02C31ACC" w14:textId="3C035F43" w:rsidR="00816CED" w:rsidRDefault="00E35674" w:rsidP="00E35674">
      <w:pPr>
        <w:numPr>
          <w:ilvl w:val="1"/>
          <w:numId w:val="4"/>
        </w:numPr>
        <w:spacing w:before="40" w:after="40"/>
        <w:ind w:left="720"/>
        <w:rPr>
          <w:rFonts w:eastAsia="Calibri"/>
          <w:color w:val="000000"/>
        </w:rPr>
      </w:pPr>
      <w:r w:rsidRPr="00E35674">
        <w:rPr>
          <w:rFonts w:eastAsia="Calibri"/>
          <w:color w:val="000000"/>
        </w:rPr>
        <w:t xml:space="preserve">Treasurer Roberto B. Tan (Bureau of </w:t>
      </w:r>
      <w:r w:rsidR="000165FB">
        <w:rPr>
          <w:rFonts w:eastAsia="Calibri"/>
          <w:color w:val="000000"/>
        </w:rPr>
        <w:t xml:space="preserve">the </w:t>
      </w:r>
      <w:r w:rsidRPr="00E35674">
        <w:rPr>
          <w:rFonts w:eastAsia="Calibri"/>
          <w:color w:val="000000"/>
        </w:rPr>
        <w:t>Treasury – BTr)</w:t>
      </w:r>
    </w:p>
    <w:p w14:paraId="4B688210" w14:textId="0DDD493E" w:rsidR="00E35674" w:rsidRPr="00E35674" w:rsidRDefault="00816CED" w:rsidP="00E35674">
      <w:pPr>
        <w:numPr>
          <w:ilvl w:val="1"/>
          <w:numId w:val="4"/>
        </w:numPr>
        <w:spacing w:before="40" w:after="40"/>
        <w:ind w:left="720"/>
        <w:rPr>
          <w:rFonts w:eastAsia="Calibri"/>
          <w:color w:val="000000"/>
        </w:rPr>
      </w:pPr>
      <w:r>
        <w:rPr>
          <w:rFonts w:eastAsia="Calibri"/>
          <w:color w:val="000000"/>
        </w:rPr>
        <w:t>Deputy Treasurer Sharon P. Almanza (BTr)</w:t>
      </w:r>
      <w:r w:rsidR="00E35674" w:rsidRPr="00E35674">
        <w:rPr>
          <w:rFonts w:eastAsia="Calibri"/>
          <w:color w:val="000000"/>
        </w:rPr>
        <w:t xml:space="preserve"> </w:t>
      </w:r>
    </w:p>
    <w:p w14:paraId="03526DAB" w14:textId="3682105A" w:rsidR="00E35674" w:rsidRPr="00E35674" w:rsidRDefault="00E35674" w:rsidP="00E35674">
      <w:pPr>
        <w:spacing w:before="40" w:after="40"/>
        <w:rPr>
          <w:rFonts w:eastAsia="Calibri"/>
          <w:color w:val="000000"/>
        </w:rPr>
      </w:pPr>
      <w:r w:rsidRPr="00E35674">
        <w:rPr>
          <w:rFonts w:eastAsia="Calibri"/>
          <w:color w:val="000000"/>
        </w:rPr>
        <w:t xml:space="preserve">*Alternate members for DBM - Undersecretary Richard E. Moya </w:t>
      </w:r>
      <w:r w:rsidR="000165FB">
        <w:rPr>
          <w:rFonts w:eastAsia="Calibri"/>
          <w:color w:val="000000"/>
        </w:rPr>
        <w:t>and</w:t>
      </w:r>
      <w:r w:rsidRPr="00E35674">
        <w:rPr>
          <w:rFonts w:eastAsia="Calibri"/>
          <w:color w:val="000000"/>
        </w:rPr>
        <w:t xml:space="preserve"> Undersecretary Luz M. Cantor</w:t>
      </w:r>
      <w:bookmarkStart w:id="428" w:name="_GoBack"/>
      <w:bookmarkEnd w:id="428"/>
    </w:p>
    <w:p w14:paraId="6F82E6A3" w14:textId="77777777" w:rsidR="00B83E02" w:rsidRPr="00567312" w:rsidRDefault="00B83E02" w:rsidP="00530777">
      <w:pPr>
        <w:spacing w:before="40" w:after="40"/>
        <w:rPr>
          <w:b/>
          <w:i/>
          <w:color w:val="000000"/>
          <w:sz w:val="18"/>
        </w:rPr>
      </w:pPr>
    </w:p>
    <w:p w14:paraId="3AA85DAA" w14:textId="77777777" w:rsidR="00B83E02" w:rsidRPr="00530777" w:rsidRDefault="00B83E02" w:rsidP="00530777">
      <w:pPr>
        <w:spacing w:before="40" w:after="40"/>
        <w:rPr>
          <w:b/>
          <w:i/>
          <w:color w:val="000000"/>
        </w:rPr>
      </w:pPr>
      <w:r w:rsidRPr="00530777">
        <w:rPr>
          <w:b/>
          <w:i/>
          <w:color w:val="000000"/>
        </w:rPr>
        <w:t>Assessment Manager:</w:t>
      </w:r>
    </w:p>
    <w:p w14:paraId="681E11BB" w14:textId="77777777" w:rsidR="00B83E02" w:rsidRPr="0018356A" w:rsidRDefault="00B83E02" w:rsidP="00E35674">
      <w:pPr>
        <w:numPr>
          <w:ilvl w:val="1"/>
          <w:numId w:val="4"/>
        </w:numPr>
        <w:spacing w:before="40" w:after="40"/>
        <w:ind w:left="720"/>
        <w:rPr>
          <w:color w:val="000000"/>
        </w:rPr>
      </w:pPr>
      <w:r w:rsidRPr="0018356A">
        <w:rPr>
          <w:color w:val="000000"/>
        </w:rPr>
        <w:t>Robert R. Taliercio, Practice Manager, World Bank</w:t>
      </w:r>
    </w:p>
    <w:p w14:paraId="484DBD73" w14:textId="77777777" w:rsidR="00B83E02" w:rsidRPr="00567312" w:rsidRDefault="00B83E02" w:rsidP="00530777">
      <w:pPr>
        <w:spacing w:before="40" w:after="40"/>
        <w:rPr>
          <w:i/>
          <w:color w:val="000000"/>
          <w:sz w:val="16"/>
        </w:rPr>
      </w:pPr>
    </w:p>
    <w:p w14:paraId="649B1E01" w14:textId="3F5C058D" w:rsidR="00B83E02" w:rsidRPr="00530777" w:rsidRDefault="00B83E02" w:rsidP="00530777">
      <w:pPr>
        <w:spacing w:before="40" w:after="40"/>
        <w:rPr>
          <w:b/>
          <w:i/>
          <w:color w:val="000000"/>
        </w:rPr>
      </w:pPr>
      <w:r w:rsidRPr="00530777">
        <w:rPr>
          <w:b/>
          <w:i/>
          <w:color w:val="000000"/>
        </w:rPr>
        <w:t>Assessment Team Leaders and Team Members:</w:t>
      </w:r>
    </w:p>
    <w:p w14:paraId="72ECAF1A" w14:textId="77777777" w:rsidR="00E35674"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 xml:space="preserve">Saeeda Sabah Rashid, Sr. </w:t>
      </w:r>
      <w:r>
        <w:rPr>
          <w:color w:val="000000"/>
        </w:rPr>
        <w:t xml:space="preserve">Public Sector </w:t>
      </w:r>
      <w:r w:rsidRPr="005A497D">
        <w:rPr>
          <w:color w:val="000000"/>
        </w:rPr>
        <w:t>Specialist, World Bank</w:t>
      </w:r>
    </w:p>
    <w:p w14:paraId="7D0679D8" w14:textId="77777777"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Pr>
          <w:color w:val="000000"/>
        </w:rPr>
        <w:t>P</w:t>
      </w:r>
      <w:r w:rsidRPr="00F74BE5">
        <w:rPr>
          <w:lang w:val="en"/>
        </w:rPr>
        <w:t>azhayannur K. Subramanian</w:t>
      </w:r>
      <w:r>
        <w:rPr>
          <w:lang w:val="en"/>
        </w:rPr>
        <w:t>, Lead Financial Management Specialist, World Bank</w:t>
      </w:r>
    </w:p>
    <w:p w14:paraId="7C7D47FB" w14:textId="77777777"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Rogier Van den Brink, Lead Economist and Program Leader, World Bank</w:t>
      </w:r>
    </w:p>
    <w:p w14:paraId="6EB096CF" w14:textId="319296E4" w:rsidR="00567312" w:rsidRDefault="00567312" w:rsidP="00E35674">
      <w:pPr>
        <w:pStyle w:val="ListParagraph"/>
        <w:numPr>
          <w:ilvl w:val="1"/>
          <w:numId w:val="4"/>
        </w:numPr>
        <w:spacing w:before="40" w:after="40" w:line="240" w:lineRule="auto"/>
        <w:ind w:left="714" w:hanging="357"/>
        <w:contextualSpacing w:val="0"/>
        <w:jc w:val="both"/>
        <w:rPr>
          <w:color w:val="000000"/>
        </w:rPr>
      </w:pPr>
      <w:r>
        <w:rPr>
          <w:color w:val="000000"/>
        </w:rPr>
        <w:t>Bonnie Ann Sirois, Sr. Financial Management Specialist, World Bank</w:t>
      </w:r>
    </w:p>
    <w:p w14:paraId="6D3F5367" w14:textId="77777777"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Kai-Alexander Kaiser, Sr. Economist, World Bank</w:t>
      </w:r>
    </w:p>
    <w:p w14:paraId="316F93ED" w14:textId="77777777"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Karl Kendrick Tiu Chua, Sr. Country Economist, World Bank</w:t>
      </w:r>
    </w:p>
    <w:p w14:paraId="208AA82B" w14:textId="77777777"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Cecilia D. Vales, Lead Procurement Specialist, World Bank</w:t>
      </w:r>
    </w:p>
    <w:p w14:paraId="02622E86" w14:textId="77777777"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Justine Espina Letargo, Communications Officer, World Bank</w:t>
      </w:r>
    </w:p>
    <w:p w14:paraId="0B9F874D" w14:textId="67481038" w:rsidR="00E35674" w:rsidRPr="005A497D" w:rsidRDefault="00E35674" w:rsidP="00E35674">
      <w:pPr>
        <w:pStyle w:val="ListParagraph"/>
        <w:numPr>
          <w:ilvl w:val="1"/>
          <w:numId w:val="4"/>
        </w:numPr>
        <w:spacing w:before="40" w:after="40" w:line="240" w:lineRule="auto"/>
        <w:ind w:left="714" w:hanging="357"/>
        <w:contextualSpacing w:val="0"/>
        <w:jc w:val="both"/>
        <w:rPr>
          <w:color w:val="000000"/>
        </w:rPr>
      </w:pPr>
      <w:r w:rsidRPr="005A497D">
        <w:rPr>
          <w:color w:val="000000"/>
        </w:rPr>
        <w:t xml:space="preserve">Tomas </w:t>
      </w:r>
      <w:r w:rsidR="00D27F01">
        <w:rPr>
          <w:color w:val="000000"/>
        </w:rPr>
        <w:t xml:space="preserve">JR. </w:t>
      </w:r>
      <w:r w:rsidRPr="005A497D">
        <w:rPr>
          <w:color w:val="000000"/>
        </w:rPr>
        <w:t>Sta. Maria, Financial Management Specialist, World Bank</w:t>
      </w:r>
    </w:p>
    <w:p w14:paraId="0216466F" w14:textId="77777777" w:rsidR="00E35674" w:rsidRDefault="00E35674" w:rsidP="00E35674">
      <w:pPr>
        <w:pStyle w:val="ListParagraph"/>
        <w:numPr>
          <w:ilvl w:val="1"/>
          <w:numId w:val="4"/>
        </w:numPr>
        <w:spacing w:before="40" w:after="40" w:line="240" w:lineRule="auto"/>
        <w:ind w:left="714" w:hanging="357"/>
        <w:contextualSpacing w:val="0"/>
        <w:jc w:val="both"/>
        <w:rPr>
          <w:color w:val="000000"/>
        </w:rPr>
      </w:pPr>
      <w:r>
        <w:rPr>
          <w:color w:val="000000"/>
        </w:rPr>
        <w:t>Aisha Lanette De Guzman</w:t>
      </w:r>
      <w:r w:rsidRPr="005A497D">
        <w:rPr>
          <w:color w:val="000000"/>
        </w:rPr>
        <w:t xml:space="preserve">, </w:t>
      </w:r>
      <w:r>
        <w:rPr>
          <w:color w:val="000000"/>
        </w:rPr>
        <w:t>Financial</w:t>
      </w:r>
      <w:r w:rsidRPr="005A497D">
        <w:rPr>
          <w:color w:val="000000"/>
        </w:rPr>
        <w:t xml:space="preserve"> Management Specialist, World Bank</w:t>
      </w:r>
    </w:p>
    <w:p w14:paraId="019D251E" w14:textId="217F1767" w:rsidR="00B83E02" w:rsidRPr="00E35674" w:rsidRDefault="00E35674" w:rsidP="00E35674">
      <w:pPr>
        <w:pStyle w:val="ListParagraph"/>
        <w:numPr>
          <w:ilvl w:val="1"/>
          <w:numId w:val="4"/>
        </w:numPr>
        <w:spacing w:before="40" w:after="40" w:line="240" w:lineRule="auto"/>
        <w:ind w:left="714" w:hanging="357"/>
        <w:contextualSpacing w:val="0"/>
        <w:jc w:val="both"/>
        <w:rPr>
          <w:color w:val="000000"/>
        </w:rPr>
      </w:pPr>
      <w:r w:rsidRPr="00A84552">
        <w:rPr>
          <w:color w:val="000000"/>
          <w:lang w:val="en"/>
        </w:rPr>
        <w:t>Maria Liennefer Rey Penaroyo</w:t>
      </w:r>
      <w:r>
        <w:rPr>
          <w:color w:val="000000"/>
          <w:lang w:val="en"/>
        </w:rPr>
        <w:t xml:space="preserve">, </w:t>
      </w:r>
      <w:r w:rsidRPr="00A84552">
        <w:rPr>
          <w:color w:val="000000"/>
          <w:lang w:val="en"/>
        </w:rPr>
        <w:t>Financial Management Analyst</w:t>
      </w:r>
      <w:r>
        <w:rPr>
          <w:color w:val="000000"/>
          <w:lang w:val="en"/>
        </w:rPr>
        <w:t>, World Bank</w:t>
      </w:r>
    </w:p>
    <w:p w14:paraId="0C38A911" w14:textId="77777777" w:rsidR="00B83E02" w:rsidRDefault="00B83E02" w:rsidP="00B83E02">
      <w:pPr>
        <w:spacing w:before="40" w:after="40"/>
        <w:rPr>
          <w:b/>
          <w:color w:val="000000"/>
          <w:sz w:val="22"/>
          <w:szCs w:val="22"/>
        </w:rPr>
      </w:pPr>
    </w:p>
    <w:p w14:paraId="04A5973D" w14:textId="77777777" w:rsidR="00B83E02" w:rsidRPr="00567312" w:rsidRDefault="00B83E02" w:rsidP="00B83E02">
      <w:pPr>
        <w:spacing w:before="40" w:after="40"/>
        <w:rPr>
          <w:b/>
          <w:color w:val="000000"/>
          <w:szCs w:val="22"/>
        </w:rPr>
      </w:pPr>
      <w:r w:rsidRPr="00567312">
        <w:rPr>
          <w:b/>
          <w:color w:val="000000"/>
          <w:szCs w:val="22"/>
        </w:rPr>
        <w:t>Review of Concept Note</w:t>
      </w:r>
    </w:p>
    <w:p w14:paraId="5FA7C07F" w14:textId="63E8D6C4" w:rsidR="00B83E02" w:rsidRPr="00567312" w:rsidRDefault="00B83E02" w:rsidP="00530777">
      <w:pPr>
        <w:spacing w:before="40" w:after="40"/>
        <w:rPr>
          <w:color w:val="000000"/>
          <w:sz w:val="28"/>
        </w:rPr>
      </w:pPr>
      <w:r w:rsidRPr="00567312">
        <w:rPr>
          <w:color w:val="000000"/>
          <w:szCs w:val="22"/>
        </w:rPr>
        <w:t>Date of review of draft Concept Note was March 31, 2015. All invited reviewers provided comments, except DFAT. The date of the final Concept Note was June 3, 2015.</w:t>
      </w:r>
    </w:p>
    <w:p w14:paraId="4190BC75" w14:textId="77777777" w:rsidR="00B83E02" w:rsidRPr="00530777" w:rsidRDefault="00B83E02" w:rsidP="00530777">
      <w:pPr>
        <w:spacing w:before="40" w:after="40"/>
        <w:ind w:left="360"/>
        <w:rPr>
          <w:b/>
          <w:i/>
          <w:color w:val="000000"/>
        </w:rPr>
      </w:pPr>
      <w:r w:rsidRPr="00530777">
        <w:rPr>
          <w:b/>
          <w:i/>
          <w:color w:val="000000"/>
        </w:rPr>
        <w:t>Invited reviewers:</w:t>
      </w:r>
    </w:p>
    <w:p w14:paraId="689AB9CE"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Andrew James Mackie, Sr. Financial Management Specialist, World Bank</w:t>
      </w:r>
    </w:p>
    <w:p w14:paraId="12D703DB"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Ivor Beazley, Sr. Public Sector Specialist, World Bank</w:t>
      </w:r>
    </w:p>
    <w:p w14:paraId="5DBBB13D"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PEFA Secretariat</w:t>
      </w:r>
    </w:p>
    <w:p w14:paraId="048B5259"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Pr>
          <w:color w:val="000000"/>
        </w:rPr>
        <w:t xml:space="preserve">Daniel Featherston, Counsellor – Economic, </w:t>
      </w:r>
      <w:r w:rsidRPr="005A497D">
        <w:rPr>
          <w:color w:val="000000"/>
        </w:rPr>
        <w:t>DFAT</w:t>
      </w:r>
    </w:p>
    <w:p w14:paraId="6FE2C3FF"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Warren Turner, Senior Public Management Specialist, ADB</w:t>
      </w:r>
    </w:p>
    <w:p w14:paraId="6985F928" w14:textId="3EABA742" w:rsidR="00B83E02" w:rsidRPr="005A497D" w:rsidRDefault="00E35674" w:rsidP="00530777">
      <w:pPr>
        <w:pStyle w:val="ListParagraph"/>
        <w:numPr>
          <w:ilvl w:val="0"/>
          <w:numId w:val="4"/>
        </w:numPr>
        <w:spacing w:before="40" w:after="40" w:line="240" w:lineRule="auto"/>
        <w:ind w:hanging="357"/>
        <w:contextualSpacing w:val="0"/>
        <w:rPr>
          <w:color w:val="000000"/>
        </w:rPr>
      </w:pPr>
      <w:r>
        <w:rPr>
          <w:color w:val="000000"/>
        </w:rPr>
        <w:t xml:space="preserve">Sandeep Saxena, Senior Economist, </w:t>
      </w:r>
      <w:r w:rsidR="00B83E02" w:rsidRPr="005A497D">
        <w:rPr>
          <w:color w:val="000000"/>
        </w:rPr>
        <w:t>IMF</w:t>
      </w:r>
    </w:p>
    <w:p w14:paraId="7CD06AB9" w14:textId="77777777" w:rsidR="00B83E02" w:rsidRPr="00567312" w:rsidRDefault="00B83E02" w:rsidP="00B83E02">
      <w:pPr>
        <w:spacing w:before="40" w:after="40"/>
        <w:rPr>
          <w:b/>
          <w:color w:val="000000"/>
          <w:szCs w:val="22"/>
        </w:rPr>
      </w:pPr>
      <w:r w:rsidRPr="00567312">
        <w:rPr>
          <w:b/>
          <w:color w:val="000000"/>
          <w:szCs w:val="22"/>
        </w:rPr>
        <w:t>Review of the Assessment Report</w:t>
      </w:r>
    </w:p>
    <w:p w14:paraId="629B3A95" w14:textId="6D52CDD2" w:rsidR="00B83E02" w:rsidRPr="00567312" w:rsidRDefault="00B83E02" w:rsidP="00530777">
      <w:pPr>
        <w:spacing w:before="40" w:after="40"/>
        <w:rPr>
          <w:b/>
          <w:color w:val="000000"/>
          <w:sz w:val="28"/>
        </w:rPr>
      </w:pPr>
      <w:r w:rsidRPr="00567312">
        <w:rPr>
          <w:color w:val="000000"/>
          <w:szCs w:val="22"/>
        </w:rPr>
        <w:t>Date of review of the draft report was March 23, 2016.</w:t>
      </w:r>
      <w:r w:rsidR="00A25A3D" w:rsidRPr="00567312">
        <w:rPr>
          <w:color w:val="000000"/>
          <w:szCs w:val="22"/>
        </w:rPr>
        <w:t xml:space="preserve">  </w:t>
      </w:r>
      <w:r w:rsidR="00E35674" w:rsidRPr="00567312">
        <w:rPr>
          <w:color w:val="000000"/>
          <w:szCs w:val="22"/>
        </w:rPr>
        <w:t xml:space="preserve">All invited reviewers provided comments. </w:t>
      </w:r>
      <w:r w:rsidR="00A25A3D" w:rsidRPr="00567312">
        <w:rPr>
          <w:color w:val="000000"/>
          <w:szCs w:val="22"/>
        </w:rPr>
        <w:t xml:space="preserve">The date of the final Assessment Report is </w:t>
      </w:r>
      <w:r w:rsidR="00E35674" w:rsidRPr="00567312">
        <w:rPr>
          <w:color w:val="000000"/>
          <w:szCs w:val="22"/>
        </w:rPr>
        <w:t>May 25, 2</w:t>
      </w:r>
      <w:r w:rsidR="00A25A3D" w:rsidRPr="00567312">
        <w:rPr>
          <w:color w:val="000000"/>
          <w:szCs w:val="22"/>
        </w:rPr>
        <w:t>016.</w:t>
      </w:r>
    </w:p>
    <w:p w14:paraId="78235E3C" w14:textId="77777777" w:rsidR="00B83E02" w:rsidRPr="00530777" w:rsidRDefault="00B83E02" w:rsidP="00530777">
      <w:pPr>
        <w:spacing w:before="40" w:after="40"/>
        <w:ind w:left="360"/>
        <w:rPr>
          <w:b/>
          <w:i/>
          <w:color w:val="000000"/>
        </w:rPr>
      </w:pPr>
      <w:r w:rsidRPr="00530777">
        <w:rPr>
          <w:b/>
          <w:i/>
          <w:color w:val="000000"/>
        </w:rPr>
        <w:t>Invited reviewers:</w:t>
      </w:r>
    </w:p>
    <w:p w14:paraId="7FE32A84"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Andrew James Mackie, Sr. Financial Management Specialist, World Bank</w:t>
      </w:r>
    </w:p>
    <w:p w14:paraId="48E2FA92"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Ivor Beazley, Sr. Public Sector Specialist, World Bank</w:t>
      </w:r>
    </w:p>
    <w:p w14:paraId="46B38D2D"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PEFA Secretariat</w:t>
      </w:r>
    </w:p>
    <w:p w14:paraId="713BE4E4"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Pr>
          <w:color w:val="000000"/>
        </w:rPr>
        <w:t xml:space="preserve">Daniel Featherston, Counsellor – Economic, </w:t>
      </w:r>
      <w:r w:rsidRPr="005A497D">
        <w:rPr>
          <w:color w:val="000000"/>
        </w:rPr>
        <w:t>DFAT</w:t>
      </w:r>
    </w:p>
    <w:p w14:paraId="21C8EE19" w14:textId="77777777" w:rsidR="00B83E02" w:rsidRPr="005A497D" w:rsidRDefault="00B83E02" w:rsidP="00530777">
      <w:pPr>
        <w:pStyle w:val="ListParagraph"/>
        <w:numPr>
          <w:ilvl w:val="0"/>
          <w:numId w:val="4"/>
        </w:numPr>
        <w:spacing w:before="40" w:after="40" w:line="240" w:lineRule="auto"/>
        <w:ind w:hanging="357"/>
        <w:contextualSpacing w:val="0"/>
        <w:rPr>
          <w:color w:val="000000"/>
        </w:rPr>
      </w:pPr>
      <w:r w:rsidRPr="005A497D">
        <w:rPr>
          <w:color w:val="000000"/>
        </w:rPr>
        <w:t>Warren Turner, Senior Public Management Specialist, ADB</w:t>
      </w:r>
    </w:p>
    <w:p w14:paraId="346304E2" w14:textId="5C7F3539" w:rsidR="00B83E02" w:rsidRPr="005A497D" w:rsidRDefault="00E35674" w:rsidP="00530777">
      <w:pPr>
        <w:pStyle w:val="ListParagraph"/>
        <w:numPr>
          <w:ilvl w:val="0"/>
          <w:numId w:val="4"/>
        </w:numPr>
        <w:spacing w:before="40" w:after="40" w:line="240" w:lineRule="auto"/>
        <w:ind w:hanging="357"/>
        <w:contextualSpacing w:val="0"/>
        <w:rPr>
          <w:color w:val="000000"/>
        </w:rPr>
      </w:pPr>
      <w:r>
        <w:rPr>
          <w:color w:val="000000"/>
        </w:rPr>
        <w:t xml:space="preserve">Sandeep Saxena, Senior Economist, </w:t>
      </w:r>
      <w:r w:rsidR="00B83E02" w:rsidRPr="005A497D">
        <w:rPr>
          <w:color w:val="000000"/>
        </w:rPr>
        <w:t>IMF</w:t>
      </w:r>
    </w:p>
    <w:p w14:paraId="04B2F977" w14:textId="1B31610C" w:rsidR="001B7116" w:rsidRPr="00E35674" w:rsidRDefault="001B7116" w:rsidP="00E35674">
      <w:pPr>
        <w:pStyle w:val="ListParagraph"/>
        <w:numPr>
          <w:ilvl w:val="0"/>
          <w:numId w:val="4"/>
        </w:numPr>
        <w:spacing w:before="40" w:after="40" w:line="240" w:lineRule="auto"/>
        <w:ind w:hanging="357"/>
        <w:contextualSpacing w:val="0"/>
        <w:rPr>
          <w:color w:val="000000"/>
          <w:highlight w:val="cyan"/>
        </w:rPr>
        <w:sectPr w:rsidR="001B7116" w:rsidRPr="00E35674" w:rsidSect="00361E8E">
          <w:footnotePr>
            <w:numRestart w:val="eachSect"/>
          </w:footnotePr>
          <w:endnotePr>
            <w:numFmt w:val="decimal"/>
          </w:endnotePr>
          <w:pgSz w:w="12240" w:h="15840" w:code="1"/>
          <w:pgMar w:top="1152" w:right="1440" w:bottom="1080" w:left="1440" w:header="720" w:footer="720" w:gutter="0"/>
          <w:cols w:space="720"/>
          <w:noEndnote/>
          <w:titlePg/>
        </w:sectPr>
      </w:pPr>
    </w:p>
    <w:p w14:paraId="293B4E9A" w14:textId="6454DCD4" w:rsidR="002B36FD" w:rsidRPr="005A497D" w:rsidRDefault="007426A1">
      <w:pPr>
        <w:pStyle w:val="Heading2"/>
        <w:rPr>
          <w:rFonts w:ascii="Times New Roman" w:hAnsi="Times New Roman"/>
          <w:sz w:val="32"/>
          <w:szCs w:val="32"/>
        </w:rPr>
      </w:pPr>
      <w:bookmarkStart w:id="429" w:name="_Toc454811800"/>
      <w:bookmarkStart w:id="430" w:name="_Toc454888944"/>
      <w:r w:rsidRPr="005A497D">
        <w:rPr>
          <w:rFonts w:ascii="Times New Roman" w:hAnsi="Times New Roman"/>
          <w:sz w:val="32"/>
          <w:szCs w:val="32"/>
        </w:rPr>
        <w:t xml:space="preserve">Annex </w:t>
      </w:r>
      <w:r w:rsidR="00B83E02">
        <w:rPr>
          <w:rFonts w:ascii="Times New Roman" w:hAnsi="Times New Roman"/>
          <w:sz w:val="32"/>
          <w:szCs w:val="32"/>
        </w:rPr>
        <w:t>3B</w:t>
      </w:r>
      <w:r w:rsidR="00E5350C" w:rsidRPr="005A497D">
        <w:rPr>
          <w:rFonts w:ascii="Times New Roman" w:hAnsi="Times New Roman"/>
          <w:sz w:val="32"/>
          <w:szCs w:val="32"/>
        </w:rPr>
        <w:t xml:space="preserve">: </w:t>
      </w:r>
      <w:r w:rsidRPr="005A497D">
        <w:rPr>
          <w:rFonts w:ascii="Times New Roman" w:hAnsi="Times New Roman"/>
          <w:sz w:val="32"/>
          <w:szCs w:val="32"/>
        </w:rPr>
        <w:t xml:space="preserve">Persons </w:t>
      </w:r>
      <w:r w:rsidR="009A012D" w:rsidRPr="005A497D">
        <w:rPr>
          <w:rFonts w:ascii="Times New Roman" w:hAnsi="Times New Roman"/>
          <w:sz w:val="32"/>
          <w:szCs w:val="32"/>
        </w:rPr>
        <w:t>Consulted</w:t>
      </w:r>
      <w:bookmarkEnd w:id="429"/>
      <w:bookmarkEnd w:id="430"/>
    </w:p>
    <w:tbl>
      <w:tblPr>
        <w:tblStyle w:val="TableGrid"/>
        <w:tblW w:w="960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51"/>
        <w:gridCol w:w="7655"/>
      </w:tblGrid>
      <w:tr w:rsidR="00DF28E6" w:rsidRPr="00EE6F91" w14:paraId="59C0A373" w14:textId="77777777" w:rsidTr="003B302C">
        <w:tc>
          <w:tcPr>
            <w:tcW w:w="1951" w:type="dxa"/>
            <w:shd w:val="clear" w:color="auto" w:fill="D9D9D9" w:themeFill="background1" w:themeFillShade="D9"/>
            <w:vAlign w:val="center"/>
          </w:tcPr>
          <w:p w14:paraId="56327C2C" w14:textId="77777777" w:rsidR="00DF28E6" w:rsidRPr="00C37621" w:rsidRDefault="00DF28E6" w:rsidP="003B302C">
            <w:pPr>
              <w:spacing w:before="20" w:after="20"/>
              <w:rPr>
                <w:b/>
                <w:sz w:val="20"/>
                <w:szCs w:val="20"/>
              </w:rPr>
            </w:pPr>
            <w:r w:rsidRPr="00C37621">
              <w:rPr>
                <w:b/>
                <w:sz w:val="20"/>
                <w:szCs w:val="20"/>
              </w:rPr>
              <w:t>DBM</w:t>
            </w:r>
          </w:p>
        </w:tc>
        <w:tc>
          <w:tcPr>
            <w:tcW w:w="7655" w:type="dxa"/>
            <w:vAlign w:val="center"/>
          </w:tcPr>
          <w:p w14:paraId="69D27B46" w14:textId="77777777" w:rsidR="00DF28E6" w:rsidRPr="00C37621" w:rsidRDefault="00DF28E6" w:rsidP="005A03CD">
            <w:pPr>
              <w:numPr>
                <w:ilvl w:val="0"/>
                <w:numId w:val="3"/>
              </w:numPr>
              <w:spacing w:before="20" w:after="20"/>
              <w:rPr>
                <w:sz w:val="20"/>
                <w:szCs w:val="20"/>
              </w:rPr>
            </w:pPr>
            <w:r w:rsidRPr="00C37621">
              <w:rPr>
                <w:b/>
                <w:sz w:val="20"/>
                <w:szCs w:val="20"/>
              </w:rPr>
              <w:t>Laura B. Pascua</w:t>
            </w:r>
            <w:r w:rsidRPr="00C37621">
              <w:rPr>
                <w:sz w:val="20"/>
                <w:szCs w:val="20"/>
              </w:rPr>
              <w:t xml:space="preserve"> – UnderSecretary, Budget Policy &amp; Strategy</w:t>
            </w:r>
          </w:p>
          <w:p w14:paraId="4AD01DB9" w14:textId="77777777" w:rsidR="00DF28E6" w:rsidRPr="00C37621" w:rsidRDefault="00DF28E6" w:rsidP="005A03CD">
            <w:pPr>
              <w:numPr>
                <w:ilvl w:val="0"/>
                <w:numId w:val="3"/>
              </w:numPr>
              <w:spacing w:before="20" w:after="20"/>
              <w:rPr>
                <w:sz w:val="20"/>
                <w:szCs w:val="20"/>
              </w:rPr>
            </w:pPr>
            <w:r w:rsidRPr="00C37621">
              <w:rPr>
                <w:b/>
                <w:sz w:val="20"/>
                <w:szCs w:val="20"/>
              </w:rPr>
              <w:t>Richard E. Moya</w:t>
            </w:r>
            <w:r w:rsidRPr="00C37621">
              <w:rPr>
                <w:sz w:val="20"/>
                <w:szCs w:val="20"/>
              </w:rPr>
              <w:t xml:space="preserve"> – UnderSecretary, Chief Information Officer/Organization &amp; Systems Improvement</w:t>
            </w:r>
          </w:p>
          <w:p w14:paraId="2D110E43" w14:textId="77777777" w:rsidR="00DF28E6" w:rsidRPr="00C37621" w:rsidRDefault="00DF28E6" w:rsidP="005A03CD">
            <w:pPr>
              <w:numPr>
                <w:ilvl w:val="0"/>
                <w:numId w:val="3"/>
              </w:numPr>
              <w:spacing w:before="20" w:after="20"/>
              <w:rPr>
                <w:sz w:val="20"/>
                <w:szCs w:val="20"/>
              </w:rPr>
            </w:pPr>
            <w:r w:rsidRPr="00C37621">
              <w:rPr>
                <w:b/>
                <w:sz w:val="20"/>
                <w:szCs w:val="20"/>
              </w:rPr>
              <w:t>Maxine Tanya Hamada</w:t>
            </w:r>
            <w:r w:rsidRPr="00C37621">
              <w:rPr>
                <w:sz w:val="20"/>
                <w:szCs w:val="20"/>
              </w:rPr>
              <w:t xml:space="preserve"> – Assistant Secretary, Monitoring &amp; Evaluation Sector</w:t>
            </w:r>
          </w:p>
          <w:p w14:paraId="025CE1D5" w14:textId="77777777" w:rsidR="00DF28E6" w:rsidRPr="00C37621" w:rsidRDefault="00DF28E6" w:rsidP="005A03CD">
            <w:pPr>
              <w:numPr>
                <w:ilvl w:val="0"/>
                <w:numId w:val="3"/>
              </w:numPr>
              <w:spacing w:before="20" w:after="20"/>
              <w:rPr>
                <w:sz w:val="20"/>
                <w:szCs w:val="20"/>
              </w:rPr>
            </w:pPr>
            <w:r w:rsidRPr="00C37621">
              <w:rPr>
                <w:b/>
                <w:sz w:val="20"/>
                <w:szCs w:val="20"/>
              </w:rPr>
              <w:t>Rolando Toledo</w:t>
            </w:r>
            <w:r w:rsidRPr="00C37621">
              <w:rPr>
                <w:sz w:val="20"/>
                <w:szCs w:val="20"/>
              </w:rPr>
              <w:t xml:space="preserve"> – Director, Fiscal Planning and Reforms Bureau</w:t>
            </w:r>
          </w:p>
          <w:p w14:paraId="4050526A" w14:textId="77777777" w:rsidR="00DF28E6" w:rsidRPr="00C37621" w:rsidRDefault="00DF28E6" w:rsidP="005A03CD">
            <w:pPr>
              <w:numPr>
                <w:ilvl w:val="0"/>
                <w:numId w:val="3"/>
              </w:numPr>
              <w:spacing w:before="20" w:after="20"/>
              <w:rPr>
                <w:sz w:val="20"/>
                <w:szCs w:val="20"/>
              </w:rPr>
            </w:pPr>
            <w:r w:rsidRPr="00C37621">
              <w:rPr>
                <w:b/>
                <w:sz w:val="20"/>
                <w:szCs w:val="20"/>
              </w:rPr>
              <w:t xml:space="preserve">Cristina Clasara </w:t>
            </w:r>
            <w:r w:rsidRPr="00C37621">
              <w:rPr>
                <w:sz w:val="20"/>
                <w:szCs w:val="20"/>
              </w:rPr>
              <w:t>– Director, Operations, Social &amp; Human Development</w:t>
            </w:r>
          </w:p>
          <w:p w14:paraId="64768287" w14:textId="652BFEDA" w:rsidR="00DF28E6" w:rsidRPr="00C37621" w:rsidRDefault="00DF28E6" w:rsidP="005A03CD">
            <w:pPr>
              <w:numPr>
                <w:ilvl w:val="0"/>
                <w:numId w:val="3"/>
              </w:numPr>
              <w:spacing w:before="20" w:after="20"/>
              <w:rPr>
                <w:sz w:val="20"/>
                <w:szCs w:val="20"/>
              </w:rPr>
            </w:pPr>
            <w:r w:rsidRPr="00C37621">
              <w:rPr>
                <w:b/>
                <w:sz w:val="20"/>
                <w:szCs w:val="20"/>
              </w:rPr>
              <w:t>Ma. Lourdes Baguio</w:t>
            </w:r>
            <w:r w:rsidRPr="00C37621">
              <w:rPr>
                <w:sz w:val="20"/>
                <w:szCs w:val="20"/>
              </w:rPr>
              <w:t xml:space="preserve"> – Officer-in-charge, </w:t>
            </w:r>
            <w:r w:rsidR="00184094" w:rsidRPr="00184094">
              <w:rPr>
                <w:sz w:val="20"/>
                <w:szCs w:val="20"/>
              </w:rPr>
              <w:t>Information and Communications Technology and System Service</w:t>
            </w:r>
          </w:p>
          <w:p w14:paraId="317A539B" w14:textId="77777777" w:rsidR="00DF28E6" w:rsidRPr="00C37621" w:rsidRDefault="00DF28E6" w:rsidP="005A03CD">
            <w:pPr>
              <w:numPr>
                <w:ilvl w:val="0"/>
                <w:numId w:val="3"/>
              </w:numPr>
              <w:spacing w:before="20" w:after="20"/>
              <w:rPr>
                <w:sz w:val="20"/>
                <w:szCs w:val="20"/>
              </w:rPr>
            </w:pPr>
            <w:r w:rsidRPr="00C37621">
              <w:rPr>
                <w:b/>
                <w:sz w:val="20"/>
                <w:szCs w:val="20"/>
              </w:rPr>
              <w:t>Aldrin Aquino</w:t>
            </w:r>
            <w:r w:rsidRPr="00C37621">
              <w:rPr>
                <w:sz w:val="20"/>
                <w:szCs w:val="20"/>
              </w:rPr>
              <w:t xml:space="preserve"> – Coordinator, PFM Committee Secretariat</w:t>
            </w:r>
          </w:p>
          <w:p w14:paraId="3CE61DA0" w14:textId="77777777" w:rsidR="00DF28E6" w:rsidRPr="00C37621" w:rsidRDefault="00DF28E6" w:rsidP="005A03CD">
            <w:pPr>
              <w:numPr>
                <w:ilvl w:val="0"/>
                <w:numId w:val="3"/>
              </w:numPr>
              <w:spacing w:before="20" w:after="20"/>
              <w:rPr>
                <w:sz w:val="20"/>
                <w:szCs w:val="20"/>
              </w:rPr>
            </w:pPr>
            <w:r w:rsidRPr="00C37621">
              <w:rPr>
                <w:b/>
                <w:sz w:val="20"/>
                <w:szCs w:val="20"/>
              </w:rPr>
              <w:t>Ma. Cecilia Narido</w:t>
            </w:r>
            <w:r w:rsidRPr="00C37621">
              <w:rPr>
                <w:sz w:val="20"/>
                <w:szCs w:val="20"/>
              </w:rPr>
              <w:t xml:space="preserve"> – Operations, Social &amp; Human Development</w:t>
            </w:r>
          </w:p>
          <w:p w14:paraId="630B656E" w14:textId="77777777" w:rsidR="00DF28E6" w:rsidRPr="00C37621" w:rsidRDefault="00DF28E6" w:rsidP="005A03CD">
            <w:pPr>
              <w:numPr>
                <w:ilvl w:val="0"/>
                <w:numId w:val="3"/>
              </w:numPr>
              <w:spacing w:before="20" w:after="20"/>
              <w:rPr>
                <w:sz w:val="20"/>
                <w:szCs w:val="20"/>
              </w:rPr>
            </w:pPr>
            <w:r w:rsidRPr="00C37621">
              <w:rPr>
                <w:b/>
                <w:sz w:val="20"/>
                <w:szCs w:val="20"/>
              </w:rPr>
              <w:t xml:space="preserve">Agnes Cipriano </w:t>
            </w:r>
            <w:r w:rsidRPr="00C37621">
              <w:rPr>
                <w:sz w:val="20"/>
                <w:szCs w:val="20"/>
              </w:rPr>
              <w:t>- PFM Committee Secretariat</w:t>
            </w:r>
          </w:p>
          <w:p w14:paraId="473F12CA" w14:textId="77777777" w:rsidR="00DF28E6" w:rsidRPr="00C37621" w:rsidRDefault="00DF28E6" w:rsidP="005A03CD">
            <w:pPr>
              <w:numPr>
                <w:ilvl w:val="0"/>
                <w:numId w:val="3"/>
              </w:numPr>
              <w:spacing w:before="20" w:after="20"/>
              <w:rPr>
                <w:sz w:val="20"/>
                <w:szCs w:val="20"/>
              </w:rPr>
            </w:pPr>
            <w:r w:rsidRPr="00C37621">
              <w:rPr>
                <w:b/>
                <w:sz w:val="20"/>
                <w:szCs w:val="20"/>
              </w:rPr>
              <w:t xml:space="preserve">Jobelle Sicat </w:t>
            </w:r>
            <w:r w:rsidRPr="00C37621">
              <w:rPr>
                <w:sz w:val="20"/>
                <w:szCs w:val="20"/>
              </w:rPr>
              <w:t>- PFM Committee Secretariat</w:t>
            </w:r>
          </w:p>
        </w:tc>
      </w:tr>
      <w:tr w:rsidR="00DF28E6" w:rsidRPr="00EE6F91" w14:paraId="4A8112EB" w14:textId="77777777" w:rsidTr="003B302C">
        <w:tc>
          <w:tcPr>
            <w:tcW w:w="1951" w:type="dxa"/>
            <w:shd w:val="clear" w:color="auto" w:fill="D9D9D9" w:themeFill="background1" w:themeFillShade="D9"/>
            <w:vAlign w:val="center"/>
          </w:tcPr>
          <w:p w14:paraId="4E4B6B56" w14:textId="77777777" w:rsidR="00DF28E6" w:rsidRPr="00C37621" w:rsidRDefault="00DF28E6" w:rsidP="003B302C">
            <w:pPr>
              <w:spacing w:before="20" w:after="20"/>
              <w:rPr>
                <w:b/>
                <w:sz w:val="20"/>
                <w:szCs w:val="20"/>
              </w:rPr>
            </w:pPr>
            <w:r w:rsidRPr="00C37621">
              <w:rPr>
                <w:b/>
                <w:sz w:val="20"/>
                <w:szCs w:val="20"/>
              </w:rPr>
              <w:t>DoF</w:t>
            </w:r>
          </w:p>
        </w:tc>
        <w:tc>
          <w:tcPr>
            <w:tcW w:w="7655" w:type="dxa"/>
            <w:vAlign w:val="center"/>
          </w:tcPr>
          <w:p w14:paraId="3E61A60C" w14:textId="77777777" w:rsidR="00DF28E6" w:rsidRPr="00C37621" w:rsidRDefault="00DF28E6" w:rsidP="005A03CD">
            <w:pPr>
              <w:numPr>
                <w:ilvl w:val="0"/>
                <w:numId w:val="3"/>
              </w:numPr>
              <w:spacing w:before="20" w:after="20"/>
              <w:rPr>
                <w:sz w:val="20"/>
                <w:szCs w:val="20"/>
              </w:rPr>
            </w:pPr>
            <w:r w:rsidRPr="00C37621">
              <w:rPr>
                <w:b/>
                <w:sz w:val="20"/>
                <w:szCs w:val="20"/>
              </w:rPr>
              <w:t>Ma. Luisa Notario</w:t>
            </w:r>
            <w:r w:rsidRPr="00C37621">
              <w:rPr>
                <w:sz w:val="20"/>
                <w:szCs w:val="20"/>
              </w:rPr>
              <w:t xml:space="preserve"> – Chief Administrative Officer, Budget Division</w:t>
            </w:r>
          </w:p>
          <w:p w14:paraId="432BF21A" w14:textId="77777777" w:rsidR="00DF28E6" w:rsidRPr="00C37621" w:rsidRDefault="00DF28E6" w:rsidP="005A03CD">
            <w:pPr>
              <w:numPr>
                <w:ilvl w:val="0"/>
                <w:numId w:val="3"/>
              </w:numPr>
              <w:spacing w:before="20" w:after="20"/>
              <w:rPr>
                <w:sz w:val="20"/>
                <w:szCs w:val="20"/>
              </w:rPr>
            </w:pPr>
            <w:r w:rsidRPr="00C37621">
              <w:rPr>
                <w:b/>
                <w:sz w:val="20"/>
                <w:szCs w:val="20"/>
              </w:rPr>
              <w:t>Elsa Agustin</w:t>
            </w:r>
            <w:r w:rsidRPr="00C37621">
              <w:rPr>
                <w:sz w:val="20"/>
                <w:szCs w:val="20"/>
              </w:rPr>
              <w:t xml:space="preserve"> – Director, Policy Division</w:t>
            </w:r>
          </w:p>
          <w:p w14:paraId="07F39DD3" w14:textId="77777777" w:rsidR="00DF28E6" w:rsidRPr="00C37621" w:rsidRDefault="00DF28E6" w:rsidP="005A03CD">
            <w:pPr>
              <w:numPr>
                <w:ilvl w:val="0"/>
                <w:numId w:val="3"/>
              </w:numPr>
              <w:spacing w:before="20" w:after="20"/>
              <w:rPr>
                <w:sz w:val="20"/>
                <w:szCs w:val="20"/>
              </w:rPr>
            </w:pPr>
            <w:r w:rsidRPr="00C37621">
              <w:rPr>
                <w:b/>
                <w:sz w:val="20"/>
                <w:szCs w:val="20"/>
              </w:rPr>
              <w:t>Rommel Roxales</w:t>
            </w:r>
            <w:r w:rsidRPr="00C37621">
              <w:rPr>
                <w:sz w:val="20"/>
                <w:szCs w:val="20"/>
              </w:rPr>
              <w:t xml:space="preserve"> – Planning Officer, Fiscal Policy &amp; Planning Office</w:t>
            </w:r>
          </w:p>
          <w:p w14:paraId="27FA5AFB" w14:textId="77777777" w:rsidR="00DF28E6" w:rsidRPr="00C37621" w:rsidRDefault="00DF28E6" w:rsidP="005A03CD">
            <w:pPr>
              <w:numPr>
                <w:ilvl w:val="0"/>
                <w:numId w:val="3"/>
              </w:numPr>
              <w:spacing w:before="20" w:after="20"/>
              <w:rPr>
                <w:sz w:val="20"/>
                <w:szCs w:val="20"/>
              </w:rPr>
            </w:pPr>
            <w:r w:rsidRPr="00C37621">
              <w:rPr>
                <w:b/>
                <w:sz w:val="20"/>
                <w:szCs w:val="20"/>
              </w:rPr>
              <w:t xml:space="preserve">Lolita Verdadero  </w:t>
            </w:r>
            <w:r w:rsidRPr="00C37621">
              <w:rPr>
                <w:sz w:val="20"/>
                <w:szCs w:val="20"/>
              </w:rPr>
              <w:t>- Chief Accountant</w:t>
            </w:r>
          </w:p>
        </w:tc>
      </w:tr>
      <w:tr w:rsidR="00DF28E6" w:rsidRPr="00EE6F91" w14:paraId="7BB008BD" w14:textId="77777777" w:rsidTr="003B302C">
        <w:tc>
          <w:tcPr>
            <w:tcW w:w="1951" w:type="dxa"/>
            <w:shd w:val="clear" w:color="auto" w:fill="D9D9D9" w:themeFill="background1" w:themeFillShade="D9"/>
            <w:vAlign w:val="center"/>
          </w:tcPr>
          <w:p w14:paraId="54BFA300" w14:textId="77777777" w:rsidR="00DF28E6" w:rsidRPr="00C37621" w:rsidRDefault="00DF28E6" w:rsidP="003B302C">
            <w:pPr>
              <w:spacing w:before="20" w:after="20"/>
              <w:rPr>
                <w:b/>
                <w:sz w:val="20"/>
                <w:szCs w:val="20"/>
              </w:rPr>
            </w:pPr>
            <w:r w:rsidRPr="00C37621">
              <w:rPr>
                <w:b/>
                <w:sz w:val="20"/>
                <w:szCs w:val="20"/>
              </w:rPr>
              <w:t>BTr</w:t>
            </w:r>
          </w:p>
        </w:tc>
        <w:tc>
          <w:tcPr>
            <w:tcW w:w="7655" w:type="dxa"/>
            <w:vAlign w:val="center"/>
          </w:tcPr>
          <w:p w14:paraId="56DD2AD7" w14:textId="77777777" w:rsidR="00DF28E6" w:rsidRPr="00C37621" w:rsidRDefault="00DF28E6" w:rsidP="005A03CD">
            <w:pPr>
              <w:numPr>
                <w:ilvl w:val="0"/>
                <w:numId w:val="3"/>
              </w:numPr>
              <w:spacing w:before="20" w:after="20"/>
              <w:rPr>
                <w:sz w:val="20"/>
                <w:szCs w:val="20"/>
              </w:rPr>
            </w:pPr>
            <w:r w:rsidRPr="00C37621">
              <w:rPr>
                <w:b/>
                <w:sz w:val="20"/>
                <w:szCs w:val="20"/>
              </w:rPr>
              <w:t xml:space="preserve">Sharon Almanza </w:t>
            </w:r>
            <w:r w:rsidRPr="00C37621">
              <w:rPr>
                <w:sz w:val="20"/>
                <w:szCs w:val="20"/>
              </w:rPr>
              <w:t xml:space="preserve">– Deputy Treasurer, Operations Subsector </w:t>
            </w:r>
          </w:p>
          <w:p w14:paraId="7DC14CE6" w14:textId="77777777" w:rsidR="00DF28E6" w:rsidRPr="00C37621" w:rsidRDefault="00DF28E6" w:rsidP="005A03CD">
            <w:pPr>
              <w:numPr>
                <w:ilvl w:val="0"/>
                <w:numId w:val="3"/>
              </w:numPr>
              <w:spacing w:before="20" w:after="20"/>
              <w:rPr>
                <w:sz w:val="20"/>
                <w:szCs w:val="20"/>
              </w:rPr>
            </w:pPr>
            <w:r w:rsidRPr="00C37621">
              <w:rPr>
                <w:b/>
                <w:sz w:val="20"/>
                <w:szCs w:val="20"/>
              </w:rPr>
              <w:t>John Kenneth Trinidad</w:t>
            </w:r>
            <w:r w:rsidRPr="00C37621">
              <w:rPr>
                <w:sz w:val="20"/>
                <w:szCs w:val="20"/>
              </w:rPr>
              <w:t xml:space="preserve"> - </w:t>
            </w:r>
            <w:r w:rsidRPr="00C37621">
              <w:rPr>
                <w:sz w:val="20"/>
                <w:szCs w:val="20"/>
                <w:shd w:val="clear" w:color="auto" w:fill="FFFFFF"/>
              </w:rPr>
              <w:t>Debt Strategy and Planning Division</w:t>
            </w:r>
          </w:p>
        </w:tc>
      </w:tr>
      <w:tr w:rsidR="00DF28E6" w:rsidRPr="00EE6F91" w14:paraId="6274DBC5" w14:textId="77777777" w:rsidTr="003B302C">
        <w:tc>
          <w:tcPr>
            <w:tcW w:w="1951" w:type="dxa"/>
            <w:shd w:val="clear" w:color="auto" w:fill="D9D9D9" w:themeFill="background1" w:themeFillShade="D9"/>
            <w:vAlign w:val="center"/>
          </w:tcPr>
          <w:p w14:paraId="2B4C3E29" w14:textId="77777777" w:rsidR="00DF28E6" w:rsidRPr="00C37621" w:rsidRDefault="00DF28E6" w:rsidP="003B302C">
            <w:pPr>
              <w:spacing w:before="20" w:after="20"/>
              <w:rPr>
                <w:b/>
                <w:sz w:val="20"/>
                <w:szCs w:val="20"/>
              </w:rPr>
            </w:pPr>
            <w:r w:rsidRPr="00C37621">
              <w:rPr>
                <w:b/>
                <w:sz w:val="20"/>
                <w:szCs w:val="20"/>
              </w:rPr>
              <w:t>BIR</w:t>
            </w:r>
          </w:p>
        </w:tc>
        <w:tc>
          <w:tcPr>
            <w:tcW w:w="7655" w:type="dxa"/>
            <w:vAlign w:val="center"/>
          </w:tcPr>
          <w:p w14:paraId="26F97C58" w14:textId="77777777" w:rsidR="00DF28E6" w:rsidRPr="00C37621" w:rsidRDefault="00DF28E6" w:rsidP="005A03CD">
            <w:pPr>
              <w:numPr>
                <w:ilvl w:val="0"/>
                <w:numId w:val="3"/>
              </w:numPr>
              <w:spacing w:before="20" w:after="20"/>
              <w:rPr>
                <w:sz w:val="20"/>
                <w:szCs w:val="20"/>
              </w:rPr>
            </w:pPr>
            <w:r w:rsidRPr="00C37621">
              <w:rPr>
                <w:b/>
                <w:sz w:val="20"/>
                <w:szCs w:val="20"/>
              </w:rPr>
              <w:t>Leonor Villalon-Rogers</w:t>
            </w:r>
            <w:r w:rsidRPr="00C37621">
              <w:rPr>
                <w:sz w:val="20"/>
                <w:szCs w:val="20"/>
              </w:rPr>
              <w:t xml:space="preserve"> – ACIR, Planning &amp; Management Service</w:t>
            </w:r>
          </w:p>
          <w:p w14:paraId="4C240074" w14:textId="77777777" w:rsidR="00DF28E6" w:rsidRPr="00C37621" w:rsidRDefault="00DF28E6" w:rsidP="005A03CD">
            <w:pPr>
              <w:numPr>
                <w:ilvl w:val="0"/>
                <w:numId w:val="3"/>
              </w:numPr>
              <w:spacing w:before="20" w:after="20"/>
              <w:rPr>
                <w:sz w:val="20"/>
                <w:szCs w:val="20"/>
              </w:rPr>
            </w:pPr>
            <w:r w:rsidRPr="00C37621">
              <w:rPr>
                <w:b/>
                <w:sz w:val="20"/>
                <w:szCs w:val="20"/>
              </w:rPr>
              <w:t>Elvira R. Vera</w:t>
            </w:r>
            <w:r w:rsidRPr="00C37621">
              <w:rPr>
                <w:sz w:val="20"/>
                <w:szCs w:val="20"/>
              </w:rPr>
              <w:t xml:space="preserve"> – ACIR, Collection Service</w:t>
            </w:r>
          </w:p>
          <w:p w14:paraId="1C323CBB" w14:textId="77777777" w:rsidR="00DF28E6" w:rsidRPr="00C37621" w:rsidRDefault="00DF28E6" w:rsidP="005A03CD">
            <w:pPr>
              <w:numPr>
                <w:ilvl w:val="0"/>
                <w:numId w:val="3"/>
              </w:numPr>
              <w:spacing w:before="20" w:after="20"/>
              <w:rPr>
                <w:sz w:val="20"/>
                <w:szCs w:val="20"/>
              </w:rPr>
            </w:pPr>
            <w:r w:rsidRPr="00C37621">
              <w:rPr>
                <w:b/>
                <w:sz w:val="20"/>
                <w:szCs w:val="20"/>
              </w:rPr>
              <w:t>Claro B. Ortiz</w:t>
            </w:r>
            <w:r w:rsidRPr="00C37621">
              <w:rPr>
                <w:sz w:val="20"/>
                <w:szCs w:val="20"/>
              </w:rPr>
              <w:t xml:space="preserve"> – ACIR, Internal Affairs Service</w:t>
            </w:r>
          </w:p>
          <w:p w14:paraId="4E509C90" w14:textId="77777777" w:rsidR="00DF28E6" w:rsidRPr="00C37621" w:rsidRDefault="00DF28E6" w:rsidP="005A03CD">
            <w:pPr>
              <w:numPr>
                <w:ilvl w:val="0"/>
                <w:numId w:val="3"/>
              </w:numPr>
              <w:spacing w:before="20" w:after="20"/>
              <w:rPr>
                <w:sz w:val="20"/>
                <w:szCs w:val="20"/>
              </w:rPr>
            </w:pPr>
            <w:r w:rsidRPr="00C37621">
              <w:rPr>
                <w:b/>
                <w:sz w:val="20"/>
                <w:szCs w:val="20"/>
              </w:rPr>
              <w:t>Erlinda A. Simple</w:t>
            </w:r>
            <w:r w:rsidRPr="00C37621">
              <w:rPr>
                <w:sz w:val="20"/>
                <w:szCs w:val="20"/>
              </w:rPr>
              <w:t xml:space="preserve"> – ACIR, Assessment Service</w:t>
            </w:r>
          </w:p>
          <w:p w14:paraId="059316DC" w14:textId="77777777" w:rsidR="00DF28E6" w:rsidRPr="00C37621" w:rsidRDefault="00DF28E6" w:rsidP="005A03CD">
            <w:pPr>
              <w:numPr>
                <w:ilvl w:val="0"/>
                <w:numId w:val="3"/>
              </w:numPr>
              <w:spacing w:before="20" w:after="20"/>
              <w:rPr>
                <w:sz w:val="20"/>
                <w:szCs w:val="20"/>
              </w:rPr>
            </w:pPr>
            <w:r w:rsidRPr="00C37621">
              <w:rPr>
                <w:b/>
                <w:sz w:val="20"/>
                <w:szCs w:val="20"/>
              </w:rPr>
              <w:t>James H. Roldan</w:t>
            </w:r>
            <w:r w:rsidRPr="00C37621">
              <w:rPr>
                <w:sz w:val="20"/>
                <w:szCs w:val="20"/>
              </w:rPr>
              <w:t xml:space="preserve"> – ACIR, Enforcement &amp; Advocacy Service</w:t>
            </w:r>
          </w:p>
          <w:p w14:paraId="76E0A187" w14:textId="77777777" w:rsidR="00DF28E6" w:rsidRPr="00C37621" w:rsidRDefault="00DF28E6" w:rsidP="005A03CD">
            <w:pPr>
              <w:numPr>
                <w:ilvl w:val="0"/>
                <w:numId w:val="3"/>
              </w:numPr>
              <w:spacing w:before="20" w:after="20"/>
              <w:rPr>
                <w:sz w:val="20"/>
                <w:szCs w:val="20"/>
              </w:rPr>
            </w:pPr>
            <w:r w:rsidRPr="00C37621">
              <w:rPr>
                <w:b/>
                <w:sz w:val="20"/>
                <w:szCs w:val="20"/>
              </w:rPr>
              <w:t>Marissa Cabreros</w:t>
            </w:r>
            <w:r w:rsidRPr="00C37621">
              <w:rPr>
                <w:sz w:val="20"/>
                <w:szCs w:val="20"/>
              </w:rPr>
              <w:t xml:space="preserve"> – ACIR, Legal Service</w:t>
            </w:r>
          </w:p>
          <w:p w14:paraId="22A1AD4F" w14:textId="77777777" w:rsidR="00DF28E6" w:rsidRPr="00C37621" w:rsidRDefault="00DF28E6" w:rsidP="005A03CD">
            <w:pPr>
              <w:numPr>
                <w:ilvl w:val="0"/>
                <w:numId w:val="3"/>
              </w:numPr>
              <w:spacing w:before="20" w:after="20"/>
              <w:rPr>
                <w:sz w:val="20"/>
                <w:szCs w:val="20"/>
              </w:rPr>
            </w:pPr>
            <w:r w:rsidRPr="00C37621">
              <w:rPr>
                <w:b/>
                <w:sz w:val="20"/>
                <w:szCs w:val="20"/>
              </w:rPr>
              <w:t>Zenaida Chang</w:t>
            </w:r>
            <w:r w:rsidRPr="00C37621">
              <w:rPr>
                <w:sz w:val="20"/>
                <w:szCs w:val="20"/>
              </w:rPr>
              <w:t xml:space="preserve"> – ACIR, Finance Service</w:t>
            </w:r>
          </w:p>
          <w:p w14:paraId="2F826D84" w14:textId="77777777" w:rsidR="00DF28E6" w:rsidRPr="00C37621" w:rsidRDefault="00DF28E6" w:rsidP="005A03CD">
            <w:pPr>
              <w:numPr>
                <w:ilvl w:val="0"/>
                <w:numId w:val="3"/>
              </w:numPr>
              <w:spacing w:before="20" w:after="20"/>
              <w:rPr>
                <w:sz w:val="20"/>
                <w:szCs w:val="20"/>
              </w:rPr>
            </w:pPr>
            <w:r w:rsidRPr="00C37621">
              <w:rPr>
                <w:b/>
                <w:sz w:val="20"/>
                <w:szCs w:val="20"/>
              </w:rPr>
              <w:t>Marilou del Rosario</w:t>
            </w:r>
            <w:r w:rsidRPr="00C37621">
              <w:rPr>
                <w:sz w:val="20"/>
                <w:szCs w:val="20"/>
              </w:rPr>
              <w:t xml:space="preserve"> – OIC-ACIR, Client Support Service</w:t>
            </w:r>
          </w:p>
          <w:p w14:paraId="39B0352C" w14:textId="77777777" w:rsidR="00DF28E6" w:rsidRPr="00C37621" w:rsidRDefault="00DF28E6" w:rsidP="005A03CD">
            <w:pPr>
              <w:numPr>
                <w:ilvl w:val="0"/>
                <w:numId w:val="3"/>
              </w:numPr>
              <w:spacing w:before="20" w:after="20"/>
              <w:rPr>
                <w:sz w:val="20"/>
                <w:szCs w:val="20"/>
              </w:rPr>
            </w:pPr>
            <w:r w:rsidRPr="00C37621">
              <w:rPr>
                <w:b/>
                <w:sz w:val="20"/>
                <w:szCs w:val="20"/>
              </w:rPr>
              <w:t>Ione Alejo</w:t>
            </w:r>
            <w:r w:rsidRPr="00C37621">
              <w:rPr>
                <w:sz w:val="20"/>
                <w:szCs w:val="20"/>
              </w:rPr>
              <w:t xml:space="preserve"> – Chief, Performance Evaluation Division</w:t>
            </w:r>
          </w:p>
          <w:p w14:paraId="37F4B91E" w14:textId="77777777" w:rsidR="00DF28E6" w:rsidRPr="00C37621" w:rsidRDefault="00DF28E6" w:rsidP="005A03CD">
            <w:pPr>
              <w:numPr>
                <w:ilvl w:val="0"/>
                <w:numId w:val="3"/>
              </w:numPr>
              <w:spacing w:before="20" w:after="20"/>
              <w:rPr>
                <w:sz w:val="20"/>
                <w:szCs w:val="20"/>
              </w:rPr>
            </w:pPr>
            <w:r w:rsidRPr="00C37621">
              <w:rPr>
                <w:b/>
                <w:sz w:val="20"/>
                <w:szCs w:val="20"/>
              </w:rPr>
              <w:t>Rosa Bella B. Javerina</w:t>
            </w:r>
            <w:r w:rsidRPr="00C37621">
              <w:rPr>
                <w:sz w:val="20"/>
                <w:szCs w:val="20"/>
              </w:rPr>
              <w:t xml:space="preserve"> – Asst. Chief, Revenue Accounting Division</w:t>
            </w:r>
          </w:p>
          <w:p w14:paraId="426E8F76" w14:textId="77777777" w:rsidR="00DF28E6" w:rsidRPr="00C37621" w:rsidRDefault="00DF28E6" w:rsidP="005A03CD">
            <w:pPr>
              <w:numPr>
                <w:ilvl w:val="0"/>
                <w:numId w:val="3"/>
              </w:numPr>
              <w:spacing w:before="20" w:after="20"/>
              <w:rPr>
                <w:sz w:val="20"/>
                <w:szCs w:val="20"/>
              </w:rPr>
            </w:pPr>
            <w:r w:rsidRPr="00C37621">
              <w:rPr>
                <w:b/>
                <w:sz w:val="20"/>
                <w:szCs w:val="20"/>
              </w:rPr>
              <w:t>Felipa Birginias</w:t>
            </w:r>
            <w:r w:rsidRPr="00C37621">
              <w:rPr>
                <w:sz w:val="20"/>
                <w:szCs w:val="20"/>
              </w:rPr>
              <w:t xml:space="preserve"> – OIC-Chief, Planning &amp; Programming Division</w:t>
            </w:r>
          </w:p>
          <w:p w14:paraId="26827A5C" w14:textId="77777777" w:rsidR="00DF28E6" w:rsidRPr="00C37621" w:rsidRDefault="00DF28E6" w:rsidP="005A03CD">
            <w:pPr>
              <w:numPr>
                <w:ilvl w:val="0"/>
                <w:numId w:val="3"/>
              </w:numPr>
              <w:spacing w:before="20" w:after="20"/>
              <w:rPr>
                <w:sz w:val="20"/>
                <w:szCs w:val="20"/>
              </w:rPr>
            </w:pPr>
            <w:r w:rsidRPr="00C37621">
              <w:rPr>
                <w:b/>
                <w:sz w:val="20"/>
                <w:szCs w:val="20"/>
              </w:rPr>
              <w:t>Lizabel Valderrama</w:t>
            </w:r>
            <w:r w:rsidRPr="00C37621">
              <w:rPr>
                <w:sz w:val="20"/>
                <w:szCs w:val="20"/>
              </w:rPr>
              <w:t xml:space="preserve"> – OIC-Asst. Chief, Research &amp; Statistics Division</w:t>
            </w:r>
          </w:p>
          <w:p w14:paraId="769CE2C0" w14:textId="77777777" w:rsidR="00DF28E6" w:rsidRPr="00C37621" w:rsidRDefault="00DF28E6" w:rsidP="005A03CD">
            <w:pPr>
              <w:numPr>
                <w:ilvl w:val="0"/>
                <w:numId w:val="3"/>
              </w:numPr>
              <w:spacing w:before="20" w:after="20"/>
              <w:rPr>
                <w:sz w:val="20"/>
                <w:szCs w:val="20"/>
              </w:rPr>
            </w:pPr>
            <w:r w:rsidRPr="00C37621">
              <w:rPr>
                <w:b/>
                <w:sz w:val="20"/>
                <w:szCs w:val="20"/>
              </w:rPr>
              <w:t>Larry Barcelo</w:t>
            </w:r>
            <w:r w:rsidRPr="00C37621">
              <w:rPr>
                <w:sz w:val="20"/>
                <w:szCs w:val="20"/>
              </w:rPr>
              <w:t xml:space="preserve"> – Atty., COS Legal Matters</w:t>
            </w:r>
          </w:p>
          <w:p w14:paraId="7BB3DCF4" w14:textId="77777777" w:rsidR="00DF28E6" w:rsidRPr="00C37621" w:rsidRDefault="00DF28E6" w:rsidP="005A03CD">
            <w:pPr>
              <w:numPr>
                <w:ilvl w:val="0"/>
                <w:numId w:val="3"/>
              </w:numPr>
              <w:spacing w:before="20" w:after="20"/>
              <w:rPr>
                <w:sz w:val="20"/>
                <w:szCs w:val="20"/>
              </w:rPr>
            </w:pPr>
            <w:r w:rsidRPr="00C37621">
              <w:rPr>
                <w:b/>
                <w:sz w:val="20"/>
                <w:szCs w:val="20"/>
              </w:rPr>
              <w:t>Helen Vista</w:t>
            </w:r>
            <w:r w:rsidRPr="00C37621">
              <w:rPr>
                <w:sz w:val="20"/>
                <w:szCs w:val="20"/>
              </w:rPr>
              <w:t xml:space="preserve"> – Atty., Enforcement &amp; Advocacy Service</w:t>
            </w:r>
          </w:p>
          <w:p w14:paraId="3E306A90" w14:textId="77777777" w:rsidR="00DF28E6" w:rsidRPr="00C37621" w:rsidRDefault="00DF28E6" w:rsidP="005A03CD">
            <w:pPr>
              <w:numPr>
                <w:ilvl w:val="0"/>
                <w:numId w:val="3"/>
              </w:numPr>
              <w:spacing w:before="20" w:after="20"/>
              <w:rPr>
                <w:sz w:val="20"/>
                <w:szCs w:val="20"/>
              </w:rPr>
            </w:pPr>
            <w:r w:rsidRPr="00C37621">
              <w:rPr>
                <w:b/>
                <w:sz w:val="20"/>
                <w:szCs w:val="20"/>
              </w:rPr>
              <w:t>Laarni Angeles</w:t>
            </w:r>
            <w:r w:rsidRPr="00C37621">
              <w:rPr>
                <w:sz w:val="20"/>
                <w:szCs w:val="20"/>
              </w:rPr>
              <w:t xml:space="preserve"> – Planning &amp; Programming Division</w:t>
            </w:r>
          </w:p>
        </w:tc>
      </w:tr>
      <w:tr w:rsidR="00DF28E6" w:rsidRPr="00EE6F91" w14:paraId="18D5D690" w14:textId="77777777" w:rsidTr="003B302C">
        <w:tc>
          <w:tcPr>
            <w:tcW w:w="1951" w:type="dxa"/>
            <w:shd w:val="clear" w:color="auto" w:fill="D9D9D9" w:themeFill="background1" w:themeFillShade="D9"/>
            <w:vAlign w:val="center"/>
          </w:tcPr>
          <w:p w14:paraId="381FFD04" w14:textId="77777777" w:rsidR="00DF28E6" w:rsidRPr="00C37621" w:rsidRDefault="00DF28E6" w:rsidP="003B302C">
            <w:pPr>
              <w:spacing w:before="20" w:after="20"/>
              <w:rPr>
                <w:b/>
                <w:sz w:val="20"/>
                <w:szCs w:val="20"/>
              </w:rPr>
            </w:pPr>
            <w:r w:rsidRPr="00C37621">
              <w:rPr>
                <w:b/>
                <w:sz w:val="20"/>
                <w:szCs w:val="20"/>
              </w:rPr>
              <w:t>BoC</w:t>
            </w:r>
          </w:p>
        </w:tc>
        <w:tc>
          <w:tcPr>
            <w:tcW w:w="7655" w:type="dxa"/>
            <w:vAlign w:val="center"/>
          </w:tcPr>
          <w:p w14:paraId="3E3A643C" w14:textId="77777777" w:rsidR="00DF28E6" w:rsidRPr="00C37621" w:rsidRDefault="00DF28E6" w:rsidP="005A03CD">
            <w:pPr>
              <w:numPr>
                <w:ilvl w:val="0"/>
                <w:numId w:val="3"/>
              </w:numPr>
              <w:spacing w:before="20" w:after="20"/>
              <w:rPr>
                <w:sz w:val="20"/>
                <w:szCs w:val="20"/>
              </w:rPr>
            </w:pPr>
            <w:r w:rsidRPr="00C37621">
              <w:rPr>
                <w:b/>
                <w:sz w:val="20"/>
                <w:szCs w:val="20"/>
              </w:rPr>
              <w:t>Jesusa Dimpna Lejos</w:t>
            </w:r>
            <w:r w:rsidRPr="00C37621">
              <w:rPr>
                <w:sz w:val="20"/>
                <w:szCs w:val="20"/>
              </w:rPr>
              <w:t xml:space="preserve"> – OIC Director, Financial Management Office</w:t>
            </w:r>
          </w:p>
          <w:p w14:paraId="61242D35" w14:textId="77777777" w:rsidR="00DF28E6" w:rsidRPr="00C37621" w:rsidRDefault="00DF28E6" w:rsidP="005A03CD">
            <w:pPr>
              <w:numPr>
                <w:ilvl w:val="0"/>
                <w:numId w:val="3"/>
              </w:numPr>
              <w:spacing w:before="20" w:after="20"/>
              <w:rPr>
                <w:sz w:val="20"/>
                <w:szCs w:val="20"/>
              </w:rPr>
            </w:pPr>
            <w:r w:rsidRPr="00C37621">
              <w:rPr>
                <w:b/>
                <w:sz w:val="20"/>
                <w:szCs w:val="20"/>
              </w:rPr>
              <w:t>Cecile Marie Soriano</w:t>
            </w:r>
            <w:r w:rsidRPr="00C37621">
              <w:rPr>
                <w:sz w:val="20"/>
                <w:szCs w:val="20"/>
              </w:rPr>
              <w:t xml:space="preserve"> – Director</w:t>
            </w:r>
          </w:p>
          <w:p w14:paraId="43E73B2C" w14:textId="77777777" w:rsidR="00DF28E6" w:rsidRPr="00C37621" w:rsidRDefault="00DF28E6" w:rsidP="005A03CD">
            <w:pPr>
              <w:numPr>
                <w:ilvl w:val="0"/>
                <w:numId w:val="3"/>
              </w:numPr>
              <w:spacing w:before="20" w:after="20"/>
              <w:rPr>
                <w:sz w:val="20"/>
                <w:szCs w:val="20"/>
              </w:rPr>
            </w:pPr>
            <w:r w:rsidRPr="00C37621">
              <w:rPr>
                <w:b/>
                <w:sz w:val="20"/>
                <w:szCs w:val="20"/>
              </w:rPr>
              <w:t>Arturo Lachica</w:t>
            </w:r>
            <w:r w:rsidRPr="00C37621">
              <w:rPr>
                <w:sz w:val="20"/>
                <w:szCs w:val="20"/>
              </w:rPr>
              <w:t xml:space="preserve"> – Deputy Commissioner</w:t>
            </w:r>
          </w:p>
        </w:tc>
      </w:tr>
      <w:tr w:rsidR="00DF28E6" w:rsidRPr="00EE6F91" w14:paraId="58118BF1" w14:textId="77777777" w:rsidTr="003B302C">
        <w:tc>
          <w:tcPr>
            <w:tcW w:w="1951" w:type="dxa"/>
            <w:shd w:val="clear" w:color="auto" w:fill="D9D9D9" w:themeFill="background1" w:themeFillShade="D9"/>
            <w:vAlign w:val="center"/>
          </w:tcPr>
          <w:p w14:paraId="5E95020A" w14:textId="5499C9B3" w:rsidR="00DF28E6" w:rsidRPr="00C37621" w:rsidRDefault="009008FE" w:rsidP="003B302C">
            <w:pPr>
              <w:spacing w:before="20" w:after="20"/>
              <w:rPr>
                <w:b/>
                <w:sz w:val="20"/>
                <w:szCs w:val="20"/>
              </w:rPr>
            </w:pPr>
            <w:r w:rsidRPr="00C37621">
              <w:rPr>
                <w:b/>
                <w:sz w:val="20"/>
                <w:szCs w:val="20"/>
              </w:rPr>
              <w:t>CoA</w:t>
            </w:r>
          </w:p>
        </w:tc>
        <w:tc>
          <w:tcPr>
            <w:tcW w:w="7655" w:type="dxa"/>
            <w:vAlign w:val="center"/>
          </w:tcPr>
          <w:p w14:paraId="157C2E86" w14:textId="76FCA6B5" w:rsidR="00DF28E6" w:rsidRPr="00C37621" w:rsidRDefault="00DF28E6" w:rsidP="00280E59">
            <w:pPr>
              <w:numPr>
                <w:ilvl w:val="0"/>
                <w:numId w:val="3"/>
              </w:numPr>
              <w:spacing w:before="20" w:after="20"/>
              <w:rPr>
                <w:sz w:val="20"/>
                <w:szCs w:val="20"/>
              </w:rPr>
            </w:pPr>
            <w:r w:rsidRPr="00C37621">
              <w:rPr>
                <w:b/>
                <w:sz w:val="20"/>
                <w:szCs w:val="20"/>
                <w:lang w:eastAsia="en-SG"/>
              </w:rPr>
              <w:t>Luzvi Pangan-Chatto</w:t>
            </w:r>
            <w:r w:rsidRPr="00C37621">
              <w:rPr>
                <w:sz w:val="20"/>
                <w:szCs w:val="20"/>
              </w:rPr>
              <w:t xml:space="preserve"> – </w:t>
            </w:r>
            <w:r w:rsidRPr="00C37621">
              <w:rPr>
                <w:sz w:val="20"/>
                <w:szCs w:val="20"/>
                <w:lang w:eastAsia="en-SG"/>
              </w:rPr>
              <w:t xml:space="preserve">Director, Accounting Systems Development </w:t>
            </w:r>
            <w:r w:rsidR="00280E59">
              <w:rPr>
                <w:sz w:val="20"/>
                <w:szCs w:val="20"/>
                <w:lang w:eastAsia="en-SG"/>
              </w:rPr>
              <w:t>and</w:t>
            </w:r>
            <w:r w:rsidRPr="00C37621">
              <w:rPr>
                <w:sz w:val="20"/>
                <w:szCs w:val="20"/>
                <w:lang w:eastAsia="en-SG"/>
              </w:rPr>
              <w:t xml:space="preserve"> Other Services Office</w:t>
            </w:r>
            <w:r w:rsidR="00280E59">
              <w:rPr>
                <w:sz w:val="20"/>
                <w:szCs w:val="20"/>
                <w:lang w:eastAsia="en-SG"/>
              </w:rPr>
              <w:t>, Government Accountancy Sector</w:t>
            </w:r>
          </w:p>
        </w:tc>
      </w:tr>
      <w:tr w:rsidR="00DF28E6" w:rsidRPr="00EE6F91" w14:paraId="72E597B0" w14:textId="77777777" w:rsidTr="003B302C">
        <w:tc>
          <w:tcPr>
            <w:tcW w:w="1951" w:type="dxa"/>
            <w:shd w:val="clear" w:color="auto" w:fill="D9D9D9" w:themeFill="background1" w:themeFillShade="D9"/>
            <w:vAlign w:val="center"/>
          </w:tcPr>
          <w:p w14:paraId="34327E68" w14:textId="77777777" w:rsidR="00DF28E6" w:rsidRPr="00C37621" w:rsidRDefault="00DF28E6" w:rsidP="003B302C">
            <w:pPr>
              <w:spacing w:before="20" w:after="20"/>
              <w:rPr>
                <w:b/>
                <w:sz w:val="20"/>
                <w:szCs w:val="20"/>
              </w:rPr>
            </w:pPr>
            <w:r w:rsidRPr="00C37621">
              <w:rPr>
                <w:b/>
                <w:sz w:val="20"/>
                <w:szCs w:val="20"/>
              </w:rPr>
              <w:t>NEDA</w:t>
            </w:r>
          </w:p>
        </w:tc>
        <w:tc>
          <w:tcPr>
            <w:tcW w:w="7655" w:type="dxa"/>
            <w:vAlign w:val="center"/>
          </w:tcPr>
          <w:p w14:paraId="10283E2A" w14:textId="77777777" w:rsidR="00DF28E6" w:rsidRPr="00C37621" w:rsidRDefault="00DF28E6" w:rsidP="005A03CD">
            <w:pPr>
              <w:numPr>
                <w:ilvl w:val="0"/>
                <w:numId w:val="3"/>
              </w:numPr>
              <w:spacing w:before="20" w:after="20"/>
              <w:rPr>
                <w:sz w:val="20"/>
                <w:szCs w:val="20"/>
              </w:rPr>
            </w:pPr>
            <w:r w:rsidRPr="00C37621">
              <w:rPr>
                <w:b/>
                <w:sz w:val="20"/>
                <w:szCs w:val="20"/>
              </w:rPr>
              <w:t>Kenneth Tanate</w:t>
            </w:r>
            <w:r w:rsidRPr="00C37621">
              <w:rPr>
                <w:sz w:val="20"/>
                <w:szCs w:val="20"/>
              </w:rPr>
              <w:t xml:space="preserve"> – Assistant Director-General and Chief of Staff </w:t>
            </w:r>
          </w:p>
        </w:tc>
      </w:tr>
      <w:tr w:rsidR="00DF28E6" w:rsidRPr="00EE6F91" w14:paraId="3BBCC07A" w14:textId="77777777" w:rsidTr="003B302C">
        <w:tc>
          <w:tcPr>
            <w:tcW w:w="1951" w:type="dxa"/>
            <w:shd w:val="clear" w:color="auto" w:fill="D9D9D9" w:themeFill="background1" w:themeFillShade="D9"/>
            <w:vAlign w:val="center"/>
          </w:tcPr>
          <w:p w14:paraId="6CF9313F" w14:textId="77777777" w:rsidR="00DF28E6" w:rsidRPr="00C37621" w:rsidRDefault="00DF28E6" w:rsidP="003B302C">
            <w:pPr>
              <w:spacing w:before="20" w:after="20"/>
              <w:rPr>
                <w:b/>
                <w:sz w:val="20"/>
                <w:szCs w:val="20"/>
              </w:rPr>
            </w:pPr>
            <w:r w:rsidRPr="00C37621">
              <w:rPr>
                <w:b/>
                <w:sz w:val="20"/>
                <w:szCs w:val="20"/>
              </w:rPr>
              <w:t>GCG</w:t>
            </w:r>
          </w:p>
        </w:tc>
        <w:tc>
          <w:tcPr>
            <w:tcW w:w="7655" w:type="dxa"/>
            <w:vAlign w:val="center"/>
          </w:tcPr>
          <w:p w14:paraId="2EE336E6" w14:textId="77777777" w:rsidR="00DF28E6" w:rsidRPr="00C37621" w:rsidRDefault="00DF28E6" w:rsidP="005A03CD">
            <w:pPr>
              <w:numPr>
                <w:ilvl w:val="0"/>
                <w:numId w:val="3"/>
              </w:numPr>
              <w:spacing w:before="20" w:after="20"/>
              <w:rPr>
                <w:sz w:val="20"/>
                <w:szCs w:val="20"/>
              </w:rPr>
            </w:pPr>
            <w:r w:rsidRPr="00C37621">
              <w:rPr>
                <w:b/>
                <w:sz w:val="20"/>
                <w:szCs w:val="20"/>
              </w:rPr>
              <w:t>Ma. Angela Ignacio</w:t>
            </w:r>
            <w:r w:rsidRPr="00C37621">
              <w:rPr>
                <w:sz w:val="20"/>
                <w:szCs w:val="20"/>
              </w:rPr>
              <w:t xml:space="preserve"> – Commissioner</w:t>
            </w:r>
          </w:p>
          <w:p w14:paraId="5DBDD684" w14:textId="77777777" w:rsidR="00DF28E6" w:rsidRPr="00C37621" w:rsidRDefault="00DF28E6" w:rsidP="005A03CD">
            <w:pPr>
              <w:numPr>
                <w:ilvl w:val="0"/>
                <w:numId w:val="3"/>
              </w:numPr>
              <w:spacing w:before="20" w:after="20"/>
              <w:rPr>
                <w:sz w:val="20"/>
                <w:szCs w:val="20"/>
              </w:rPr>
            </w:pPr>
            <w:r w:rsidRPr="00C37621">
              <w:rPr>
                <w:b/>
                <w:sz w:val="20"/>
                <w:szCs w:val="20"/>
              </w:rPr>
              <w:t>Clarence Glenn G. Pascual</w:t>
            </w:r>
            <w:r w:rsidRPr="00C37621">
              <w:rPr>
                <w:sz w:val="20"/>
                <w:szCs w:val="20"/>
              </w:rPr>
              <w:t xml:space="preserve"> – Director, Corporate Governance Office </w:t>
            </w:r>
          </w:p>
          <w:p w14:paraId="56DB724C" w14:textId="77777777" w:rsidR="00DF28E6" w:rsidRPr="00C37621" w:rsidRDefault="00DF28E6" w:rsidP="005A03CD">
            <w:pPr>
              <w:numPr>
                <w:ilvl w:val="0"/>
                <w:numId w:val="3"/>
              </w:numPr>
              <w:spacing w:before="20" w:after="20"/>
              <w:rPr>
                <w:sz w:val="20"/>
                <w:szCs w:val="20"/>
              </w:rPr>
            </w:pPr>
            <w:r w:rsidRPr="00C37621">
              <w:rPr>
                <w:b/>
                <w:sz w:val="20"/>
                <w:szCs w:val="20"/>
              </w:rPr>
              <w:t>Paolo E. Salvosa</w:t>
            </w:r>
            <w:r w:rsidRPr="00C37621">
              <w:rPr>
                <w:sz w:val="20"/>
                <w:szCs w:val="20"/>
              </w:rPr>
              <w:t xml:space="preserve"> – Director, Office of the Commissioner</w:t>
            </w:r>
          </w:p>
        </w:tc>
      </w:tr>
      <w:tr w:rsidR="00DF28E6" w:rsidRPr="00EE6F91" w14:paraId="627145D4" w14:textId="77777777" w:rsidTr="003B302C">
        <w:tc>
          <w:tcPr>
            <w:tcW w:w="1951" w:type="dxa"/>
            <w:shd w:val="clear" w:color="auto" w:fill="D9D9D9" w:themeFill="background1" w:themeFillShade="D9"/>
            <w:vAlign w:val="center"/>
          </w:tcPr>
          <w:p w14:paraId="5330CD41" w14:textId="1BBA7D22" w:rsidR="00DF28E6" w:rsidRPr="00C37621" w:rsidRDefault="00DF28E6" w:rsidP="003C5877">
            <w:pPr>
              <w:spacing w:before="20" w:after="20"/>
              <w:rPr>
                <w:b/>
                <w:sz w:val="20"/>
                <w:szCs w:val="20"/>
              </w:rPr>
            </w:pPr>
            <w:r w:rsidRPr="00C37621">
              <w:rPr>
                <w:b/>
                <w:sz w:val="20"/>
                <w:szCs w:val="20"/>
              </w:rPr>
              <w:t>GPPB</w:t>
            </w:r>
          </w:p>
        </w:tc>
        <w:tc>
          <w:tcPr>
            <w:tcW w:w="7655" w:type="dxa"/>
            <w:vAlign w:val="center"/>
          </w:tcPr>
          <w:p w14:paraId="1907FC93" w14:textId="4BC53753" w:rsidR="00DF28E6" w:rsidRPr="00C37621" w:rsidRDefault="00F070C1" w:rsidP="005108BC">
            <w:pPr>
              <w:numPr>
                <w:ilvl w:val="0"/>
                <w:numId w:val="3"/>
              </w:numPr>
              <w:spacing w:before="20" w:after="20"/>
              <w:rPr>
                <w:sz w:val="20"/>
                <w:szCs w:val="20"/>
              </w:rPr>
            </w:pPr>
            <w:r w:rsidRPr="000D0E8D">
              <w:rPr>
                <w:b/>
                <w:sz w:val="20"/>
                <w:szCs w:val="20"/>
              </w:rPr>
              <w:t>Dennis Santiago</w:t>
            </w:r>
            <w:r w:rsidRPr="00C37621">
              <w:rPr>
                <w:sz w:val="20"/>
                <w:szCs w:val="20"/>
              </w:rPr>
              <w:t xml:space="preserve"> – Executive Director, GPPB-</w:t>
            </w:r>
            <w:r w:rsidR="003C5877" w:rsidRPr="00C37621">
              <w:rPr>
                <w:sz w:val="20"/>
                <w:szCs w:val="20"/>
              </w:rPr>
              <w:t>Technical Support Office</w:t>
            </w:r>
          </w:p>
        </w:tc>
      </w:tr>
      <w:tr w:rsidR="00DF28E6" w:rsidRPr="00EE6F91" w14:paraId="4C99BBF4" w14:textId="77777777" w:rsidTr="003B302C">
        <w:tc>
          <w:tcPr>
            <w:tcW w:w="1951" w:type="dxa"/>
            <w:shd w:val="clear" w:color="auto" w:fill="D9D9D9" w:themeFill="background1" w:themeFillShade="D9"/>
            <w:vAlign w:val="center"/>
          </w:tcPr>
          <w:p w14:paraId="40765624" w14:textId="30FFD6F9" w:rsidR="00DF28E6" w:rsidRPr="00C37621" w:rsidRDefault="008527F8" w:rsidP="003B302C">
            <w:pPr>
              <w:spacing w:before="20" w:after="20"/>
              <w:rPr>
                <w:b/>
                <w:sz w:val="20"/>
                <w:szCs w:val="20"/>
              </w:rPr>
            </w:pPr>
            <w:r>
              <w:rPr>
                <w:b/>
                <w:sz w:val="20"/>
                <w:szCs w:val="20"/>
              </w:rPr>
              <w:t>House of Representatives</w:t>
            </w:r>
            <w:r w:rsidR="00DF28E6" w:rsidRPr="00C37621">
              <w:rPr>
                <w:b/>
                <w:sz w:val="20"/>
                <w:szCs w:val="20"/>
              </w:rPr>
              <w:t xml:space="preserve"> Secretariat</w:t>
            </w:r>
          </w:p>
        </w:tc>
        <w:tc>
          <w:tcPr>
            <w:tcW w:w="7655" w:type="dxa"/>
            <w:vAlign w:val="center"/>
          </w:tcPr>
          <w:p w14:paraId="16D38B75" w14:textId="77777777" w:rsidR="00DF28E6" w:rsidRPr="00C37621" w:rsidRDefault="00DF28E6" w:rsidP="005A03CD">
            <w:pPr>
              <w:numPr>
                <w:ilvl w:val="0"/>
                <w:numId w:val="3"/>
              </w:numPr>
              <w:spacing w:before="20" w:after="20"/>
              <w:rPr>
                <w:sz w:val="20"/>
                <w:szCs w:val="20"/>
              </w:rPr>
            </w:pPr>
            <w:r w:rsidRPr="00C37621">
              <w:rPr>
                <w:b/>
                <w:sz w:val="20"/>
                <w:szCs w:val="20"/>
              </w:rPr>
              <w:t>Elena Ramos</w:t>
            </w:r>
            <w:r w:rsidRPr="00C37621">
              <w:rPr>
                <w:sz w:val="20"/>
                <w:szCs w:val="20"/>
              </w:rPr>
              <w:t xml:space="preserve"> – Committee Secretary, Appropriations Committee</w:t>
            </w:r>
          </w:p>
        </w:tc>
      </w:tr>
      <w:tr w:rsidR="00DF28E6" w:rsidRPr="00EE6F91" w14:paraId="3F1BE27D" w14:textId="77777777" w:rsidTr="003B302C">
        <w:tc>
          <w:tcPr>
            <w:tcW w:w="1951" w:type="dxa"/>
            <w:shd w:val="clear" w:color="auto" w:fill="D9D9D9" w:themeFill="background1" w:themeFillShade="D9"/>
            <w:vAlign w:val="center"/>
          </w:tcPr>
          <w:p w14:paraId="40CC5F2D" w14:textId="77777777" w:rsidR="00DF28E6" w:rsidRPr="00C37621" w:rsidRDefault="00DF28E6" w:rsidP="003B302C">
            <w:pPr>
              <w:spacing w:before="20" w:after="20"/>
              <w:rPr>
                <w:b/>
                <w:sz w:val="20"/>
                <w:szCs w:val="20"/>
              </w:rPr>
            </w:pPr>
            <w:r w:rsidRPr="00C37621">
              <w:rPr>
                <w:b/>
                <w:sz w:val="20"/>
                <w:szCs w:val="20"/>
              </w:rPr>
              <w:t>Senate Secretariat</w:t>
            </w:r>
          </w:p>
        </w:tc>
        <w:tc>
          <w:tcPr>
            <w:tcW w:w="7655" w:type="dxa"/>
            <w:vAlign w:val="center"/>
          </w:tcPr>
          <w:p w14:paraId="7B6C0B86" w14:textId="77777777" w:rsidR="00DF28E6" w:rsidRPr="00C37621" w:rsidRDefault="00DF28E6" w:rsidP="005A03CD">
            <w:pPr>
              <w:numPr>
                <w:ilvl w:val="0"/>
                <w:numId w:val="3"/>
              </w:numPr>
              <w:spacing w:before="20" w:after="20"/>
              <w:rPr>
                <w:b/>
                <w:sz w:val="20"/>
                <w:szCs w:val="20"/>
              </w:rPr>
            </w:pPr>
            <w:r w:rsidRPr="00C37621">
              <w:rPr>
                <w:b/>
                <w:sz w:val="20"/>
                <w:szCs w:val="20"/>
                <w:shd w:val="clear" w:color="auto" w:fill="FFFFFF"/>
              </w:rPr>
              <w:t>Ma. Victoria Cruz-Francia</w:t>
            </w:r>
            <w:r w:rsidRPr="00C37621">
              <w:rPr>
                <w:b/>
                <w:sz w:val="20"/>
                <w:szCs w:val="20"/>
              </w:rPr>
              <w:t xml:space="preserve"> </w:t>
            </w:r>
          </w:p>
          <w:p w14:paraId="7B030D23" w14:textId="77777777" w:rsidR="00DF28E6" w:rsidRPr="00C37621" w:rsidRDefault="00DF28E6" w:rsidP="005A03CD">
            <w:pPr>
              <w:numPr>
                <w:ilvl w:val="0"/>
                <w:numId w:val="3"/>
              </w:numPr>
              <w:spacing w:before="20" w:after="20"/>
              <w:rPr>
                <w:sz w:val="20"/>
                <w:szCs w:val="20"/>
              </w:rPr>
            </w:pPr>
            <w:r w:rsidRPr="00C37621">
              <w:rPr>
                <w:b/>
                <w:sz w:val="20"/>
                <w:szCs w:val="20"/>
              </w:rPr>
              <w:t>Rommel Patacsil</w:t>
            </w:r>
          </w:p>
        </w:tc>
      </w:tr>
    </w:tbl>
    <w:p w14:paraId="23CB5064" w14:textId="67E84C7B" w:rsidR="002C4408" w:rsidRPr="005A497D" w:rsidRDefault="002C4408" w:rsidP="009A012D">
      <w:pPr>
        <w:pStyle w:val="Heading2"/>
        <w:rPr>
          <w:rFonts w:ascii="Times New Roman" w:hAnsi="Times New Roman"/>
          <w:sz w:val="32"/>
          <w:szCs w:val="32"/>
        </w:rPr>
      </w:pPr>
      <w:bookmarkStart w:id="431" w:name="_Toc454811801"/>
      <w:bookmarkStart w:id="432" w:name="_Toc454888945"/>
      <w:bookmarkStart w:id="433" w:name="_Toc326059531"/>
      <w:bookmarkStart w:id="434" w:name="_Toc328667762"/>
      <w:r w:rsidRPr="005A497D">
        <w:rPr>
          <w:rFonts w:ascii="Times New Roman" w:hAnsi="Times New Roman"/>
          <w:sz w:val="32"/>
          <w:szCs w:val="32"/>
        </w:rPr>
        <w:t xml:space="preserve">Annex </w:t>
      </w:r>
      <w:r w:rsidR="00B83E02">
        <w:rPr>
          <w:rFonts w:ascii="Times New Roman" w:hAnsi="Times New Roman"/>
          <w:sz w:val="32"/>
          <w:szCs w:val="32"/>
        </w:rPr>
        <w:t>3C</w:t>
      </w:r>
      <w:r w:rsidRPr="005A497D">
        <w:rPr>
          <w:rFonts w:ascii="Times New Roman" w:hAnsi="Times New Roman"/>
          <w:sz w:val="32"/>
          <w:szCs w:val="32"/>
        </w:rPr>
        <w:t>:</w:t>
      </w:r>
      <w:r w:rsidR="0027211D">
        <w:rPr>
          <w:rFonts w:ascii="Times New Roman" w:hAnsi="Times New Roman"/>
          <w:sz w:val="32"/>
          <w:szCs w:val="32"/>
        </w:rPr>
        <w:t xml:space="preserve"> Sources of information</w:t>
      </w:r>
      <w:bookmarkEnd w:id="431"/>
      <w:bookmarkEnd w:id="432"/>
      <w:r w:rsidRPr="005A497D">
        <w:rPr>
          <w:rFonts w:ascii="Times New Roman" w:hAnsi="Times New Roman"/>
          <w:sz w:val="32"/>
          <w:szCs w:val="32"/>
        </w:rPr>
        <w:t xml:space="preserve"> </w:t>
      </w:r>
    </w:p>
    <w:p w14:paraId="49D7D994" w14:textId="77777777" w:rsidR="002C4408" w:rsidRPr="005A497D" w:rsidRDefault="002C4408" w:rsidP="009A012D"/>
    <w:p w14:paraId="3933EC57" w14:textId="77777777" w:rsidR="00747348" w:rsidRDefault="00747348" w:rsidP="00747348">
      <w:pPr>
        <w:autoSpaceDE w:val="0"/>
        <w:autoSpaceDN w:val="0"/>
        <w:adjustRightInd w:val="0"/>
        <w:spacing w:after="40"/>
        <w:jc w:val="both"/>
      </w:pPr>
      <w:r w:rsidRPr="005A497D">
        <w:rPr>
          <w:u w:val="single"/>
        </w:rPr>
        <w:t>Documents</w:t>
      </w:r>
      <w:r w:rsidRPr="005A497D">
        <w:t>:</w:t>
      </w:r>
    </w:p>
    <w:p w14:paraId="61CD9BE8" w14:textId="77777777" w:rsidR="00B90F56" w:rsidRDefault="00B90F56" w:rsidP="00747348">
      <w:pPr>
        <w:autoSpaceDE w:val="0"/>
        <w:autoSpaceDN w:val="0"/>
        <w:adjustRightInd w:val="0"/>
        <w:spacing w:after="40"/>
        <w:jc w:val="both"/>
      </w:pPr>
    </w:p>
    <w:p w14:paraId="4975BB80" w14:textId="77777777" w:rsidR="00B90F56" w:rsidRPr="00225B1A" w:rsidRDefault="00B90F56" w:rsidP="00B90F56">
      <w:pPr>
        <w:autoSpaceDE w:val="0"/>
        <w:autoSpaceDN w:val="0"/>
        <w:adjustRightInd w:val="0"/>
        <w:spacing w:before="40" w:after="40"/>
        <w:jc w:val="both"/>
        <w:rPr>
          <w:b/>
        </w:rPr>
      </w:pPr>
      <w:r w:rsidRPr="00225B1A">
        <w:rPr>
          <w:b/>
        </w:rPr>
        <w:t>Executive Orders (EOs) and Republic Acts (RAs)</w:t>
      </w:r>
    </w:p>
    <w:p w14:paraId="44A6F7F0" w14:textId="77777777" w:rsidR="00B90F56"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t>EO no. 292, series 1987, Instituting the “Administrative Code of 1987”</w:t>
      </w:r>
    </w:p>
    <w:p w14:paraId="5482953E" w14:textId="77777777" w:rsidR="00B90F56"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t>Republic Act no. 8182, “ Official Development Assistance Act of 1996”</w:t>
      </w:r>
    </w:p>
    <w:p w14:paraId="30A44A4F" w14:textId="77777777" w:rsidR="00B90F56"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t>EO no. 55, series 2011, “Directing the integration and automation of government financial management systems”</w:t>
      </w:r>
    </w:p>
    <w:p w14:paraId="29C389EC" w14:textId="77777777" w:rsidR="00B90F56"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t>RA no. 4860, “Foreign Borrowing Act”</w:t>
      </w:r>
    </w:p>
    <w:p w14:paraId="4D8EF8AD" w14:textId="77777777" w:rsidR="00B90F56"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t>EO no. 93, series 1993, “Establishing the Regional Project Monitoring and Evaluation System”</w:t>
      </w:r>
    </w:p>
    <w:p w14:paraId="00E6EBCE"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t>EO</w:t>
      </w:r>
      <w:r w:rsidRPr="00ED326F">
        <w:t xml:space="preserve"> no. 43, series 2011, “Pursuing our social contract with the Filipino People through the reorganization of the Cabinet Clusters”</w:t>
      </w:r>
    </w:p>
    <w:p w14:paraId="35F0E0FA"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EO no. 285, series 1987, “Abolishing the general services administration and transferring its functions to appropriate government agencies”</w:t>
      </w:r>
    </w:p>
    <w:p w14:paraId="74F3B7ED"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EO no. 323, series 2000, “Constituting an inter-agency privatization council and creating a privatization and management office under DOF for the continuing privatization of government assets and corporations”</w:t>
      </w:r>
    </w:p>
    <w:p w14:paraId="44E3F3FC"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EO no. 127, series 1987, “ Reorganization of DOF”</w:t>
      </w:r>
    </w:p>
    <w:p w14:paraId="7813F22B" w14:textId="1842A718"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 xml:space="preserve">EO no. 449, series 1997, “ Realigning the organization of the Bureau of </w:t>
      </w:r>
      <w:r w:rsidR="00280E59">
        <w:t xml:space="preserve">the </w:t>
      </w:r>
      <w:r w:rsidRPr="00ED326F">
        <w:t>Treasury”</w:t>
      </w:r>
    </w:p>
    <w:p w14:paraId="303E63D8"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RA no. 1000, “An act authorizing the President of the Philippines to issue bonds to finance public works and projects for economic development”</w:t>
      </w:r>
    </w:p>
    <w:p w14:paraId="648911A2"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 xml:space="preserve">RA no. 245, “An act authorizing the Secretary of Finance to borrow to meet public expenditures”  </w:t>
      </w:r>
    </w:p>
    <w:p w14:paraId="79766E95" w14:textId="77777777" w:rsidR="00B90F56" w:rsidRPr="00ED326F" w:rsidRDefault="00B90F56" w:rsidP="0067432A">
      <w:pPr>
        <w:pStyle w:val="ListParagraph"/>
        <w:numPr>
          <w:ilvl w:val="0"/>
          <w:numId w:val="1"/>
        </w:numPr>
        <w:autoSpaceDE w:val="0"/>
        <w:autoSpaceDN w:val="0"/>
        <w:adjustRightInd w:val="0"/>
        <w:spacing w:before="40" w:after="40" w:line="240" w:lineRule="auto"/>
        <w:ind w:left="630"/>
        <w:contextualSpacing w:val="0"/>
        <w:jc w:val="both"/>
      </w:pPr>
      <w:r w:rsidRPr="00ED326F">
        <w:t>RA no. 9135, “Tariff and Customs Code of the Philippines”</w:t>
      </w:r>
    </w:p>
    <w:p w14:paraId="4F7D3833" w14:textId="77777777" w:rsidR="00B90F56" w:rsidRPr="00ED326F" w:rsidRDefault="00B90F56" w:rsidP="00B90F56">
      <w:pPr>
        <w:autoSpaceDE w:val="0"/>
        <w:autoSpaceDN w:val="0"/>
        <w:adjustRightInd w:val="0"/>
        <w:spacing w:before="40" w:after="40"/>
        <w:ind w:left="1800"/>
        <w:jc w:val="both"/>
      </w:pPr>
    </w:p>
    <w:p w14:paraId="11E1CFED" w14:textId="77777777" w:rsidR="00B90F56" w:rsidRPr="00ED326F" w:rsidRDefault="00B90F56" w:rsidP="00B90F56">
      <w:pPr>
        <w:autoSpaceDE w:val="0"/>
        <w:autoSpaceDN w:val="0"/>
        <w:adjustRightInd w:val="0"/>
        <w:spacing w:before="40" w:after="40"/>
        <w:jc w:val="both"/>
        <w:rPr>
          <w:b/>
        </w:rPr>
      </w:pPr>
      <w:r w:rsidRPr="00ED326F">
        <w:rPr>
          <w:b/>
        </w:rPr>
        <w:t>DBM</w:t>
      </w:r>
    </w:p>
    <w:p w14:paraId="1EF270F2"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Budget of Expenditures and Sources of Financing</w:t>
      </w:r>
    </w:p>
    <w:p w14:paraId="55E3B015"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National Expenditures Program</w:t>
      </w:r>
    </w:p>
    <w:p w14:paraId="1AE6EA00"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General Appropriations Act</w:t>
      </w:r>
    </w:p>
    <w:p w14:paraId="27ABC9B5"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DBM National and Local Budget Issuances (e.g., Budget Call, Guideline on release of funds, Budget Fora, Guideline on Internal Revenue Allotment, Budget Priorities Framework)</w:t>
      </w:r>
    </w:p>
    <w:p w14:paraId="0465F814"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The President’s Budget Message</w:t>
      </w:r>
    </w:p>
    <w:p w14:paraId="56EACA24"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People’s Budget</w:t>
      </w:r>
    </w:p>
    <w:p w14:paraId="0859ADBC" w14:textId="55946A49"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 xml:space="preserve">Mid-year  </w:t>
      </w:r>
      <w:r w:rsidR="00280E59">
        <w:t>and</w:t>
      </w:r>
      <w:r w:rsidRPr="00ED326F">
        <w:t xml:space="preserve"> year-end reports</w:t>
      </w:r>
    </w:p>
    <w:p w14:paraId="736AB2ED"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Fiscal Risks Statement</w:t>
      </w:r>
    </w:p>
    <w:p w14:paraId="5F5F1FB0" w14:textId="53E33E56" w:rsidR="00B90F56" w:rsidRPr="00ED326F" w:rsidRDefault="00F523B3" w:rsidP="005A03CD">
      <w:pPr>
        <w:pStyle w:val="ListParagraph"/>
        <w:numPr>
          <w:ilvl w:val="0"/>
          <w:numId w:val="1"/>
        </w:numPr>
        <w:autoSpaceDE w:val="0"/>
        <w:autoSpaceDN w:val="0"/>
        <w:adjustRightInd w:val="0"/>
        <w:spacing w:before="40" w:after="40" w:line="240" w:lineRule="auto"/>
        <w:ind w:left="630"/>
        <w:contextualSpacing w:val="0"/>
        <w:jc w:val="both"/>
      </w:pPr>
      <w:r>
        <w:t xml:space="preserve">Unified </w:t>
      </w:r>
      <w:r w:rsidR="00280E59">
        <w:t>R</w:t>
      </w:r>
      <w:r>
        <w:t xml:space="preserve">eporting </w:t>
      </w:r>
      <w:r w:rsidR="00280E59">
        <w:t>S</w:t>
      </w:r>
      <w:r w:rsidR="00B90F56" w:rsidRPr="00ED326F">
        <w:t>ystem generated submission report</w:t>
      </w:r>
    </w:p>
    <w:p w14:paraId="5F4F8ADD" w14:textId="77777777" w:rsidR="00B90F56" w:rsidRPr="00ED326F" w:rsidRDefault="00B90F56" w:rsidP="00B90F56">
      <w:pPr>
        <w:autoSpaceDE w:val="0"/>
        <w:autoSpaceDN w:val="0"/>
        <w:adjustRightInd w:val="0"/>
        <w:spacing w:before="40" w:after="40"/>
        <w:ind w:left="1800"/>
        <w:jc w:val="both"/>
      </w:pPr>
    </w:p>
    <w:p w14:paraId="39FECAB2" w14:textId="77777777" w:rsidR="0067432A" w:rsidRDefault="0067432A" w:rsidP="00B90F56">
      <w:pPr>
        <w:autoSpaceDE w:val="0"/>
        <w:autoSpaceDN w:val="0"/>
        <w:adjustRightInd w:val="0"/>
        <w:spacing w:before="40" w:after="40"/>
        <w:jc w:val="both"/>
        <w:rPr>
          <w:b/>
        </w:rPr>
      </w:pPr>
    </w:p>
    <w:p w14:paraId="7EB2D518" w14:textId="77777777" w:rsidR="0067432A" w:rsidRDefault="0067432A" w:rsidP="00B90F56">
      <w:pPr>
        <w:autoSpaceDE w:val="0"/>
        <w:autoSpaceDN w:val="0"/>
        <w:adjustRightInd w:val="0"/>
        <w:spacing w:before="40" w:after="40"/>
        <w:jc w:val="both"/>
        <w:rPr>
          <w:b/>
        </w:rPr>
      </w:pPr>
    </w:p>
    <w:p w14:paraId="098F17A8" w14:textId="5064C05B" w:rsidR="00B90F56" w:rsidRPr="00ED326F" w:rsidRDefault="00A177AB" w:rsidP="00B90F56">
      <w:pPr>
        <w:autoSpaceDE w:val="0"/>
        <w:autoSpaceDN w:val="0"/>
        <w:adjustRightInd w:val="0"/>
        <w:spacing w:before="40" w:after="40"/>
        <w:jc w:val="both"/>
        <w:rPr>
          <w:b/>
        </w:rPr>
      </w:pPr>
      <w:r>
        <w:rPr>
          <w:b/>
        </w:rPr>
        <w:t>CoA</w:t>
      </w:r>
    </w:p>
    <w:p w14:paraId="31ED0FE6" w14:textId="77777777" w:rsidR="00280E59" w:rsidRDefault="00280E59" w:rsidP="005A03CD">
      <w:pPr>
        <w:pStyle w:val="ListParagraph"/>
        <w:numPr>
          <w:ilvl w:val="0"/>
          <w:numId w:val="1"/>
        </w:numPr>
        <w:autoSpaceDE w:val="0"/>
        <w:autoSpaceDN w:val="0"/>
        <w:adjustRightInd w:val="0"/>
        <w:spacing w:before="40" w:after="40" w:line="240" w:lineRule="auto"/>
        <w:ind w:left="630"/>
        <w:contextualSpacing w:val="0"/>
        <w:jc w:val="both"/>
      </w:pPr>
      <w:r>
        <w:t>Annual Report on Allotments, Obligations and Disbursements</w:t>
      </w:r>
      <w:r w:rsidRPr="00ED326F">
        <w:t xml:space="preserve"> </w:t>
      </w:r>
    </w:p>
    <w:p w14:paraId="518B3390" w14:textId="6E87A6A5"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Annual Report on Appropriations, Allotments, Obligations and Disbursements</w:t>
      </w:r>
    </w:p>
    <w:p w14:paraId="6446099B"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Annual Audit Reports</w:t>
      </w:r>
    </w:p>
    <w:p w14:paraId="6DEB6788"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Annual Financial Reports (including Financial Performance Reports)</w:t>
      </w:r>
    </w:p>
    <w:p w14:paraId="7AEFBFA5"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Consolidated Audit Report on Official Development Assistance Programs and Projects</w:t>
      </w:r>
    </w:p>
    <w:p w14:paraId="5A9804DE" w14:textId="77777777" w:rsidR="00B90F56"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Special Audit Reports (e.g., Government-wide performance audit, sectoral performance audit, agency-based performance audit, special studies, rate audit)</w:t>
      </w:r>
    </w:p>
    <w:p w14:paraId="5B28B48E" w14:textId="72932028" w:rsidR="00280E59" w:rsidRDefault="00E35674" w:rsidP="00280E59">
      <w:pPr>
        <w:pStyle w:val="ListParagraph"/>
        <w:numPr>
          <w:ilvl w:val="0"/>
          <w:numId w:val="1"/>
        </w:numPr>
        <w:autoSpaceDE w:val="0"/>
        <w:autoSpaceDN w:val="0"/>
        <w:adjustRightInd w:val="0"/>
        <w:spacing w:before="40" w:after="40" w:line="240" w:lineRule="auto"/>
        <w:ind w:left="630"/>
        <w:contextualSpacing w:val="0"/>
        <w:jc w:val="both"/>
      </w:pPr>
      <w:r>
        <w:t>The Government Accounting Manual</w:t>
      </w:r>
      <w:r w:rsidR="00280E59" w:rsidRPr="00280E59">
        <w:t xml:space="preserve"> </w:t>
      </w:r>
      <w:r w:rsidR="00280E59">
        <w:t>for National Government Agencies</w:t>
      </w:r>
    </w:p>
    <w:p w14:paraId="44344956" w14:textId="43A380DB" w:rsidR="00E35674" w:rsidRPr="00ED326F" w:rsidRDefault="00280E59" w:rsidP="00280E59">
      <w:pPr>
        <w:pStyle w:val="ListParagraph"/>
        <w:numPr>
          <w:ilvl w:val="0"/>
          <w:numId w:val="1"/>
        </w:numPr>
        <w:autoSpaceDE w:val="0"/>
        <w:autoSpaceDN w:val="0"/>
        <w:adjustRightInd w:val="0"/>
        <w:spacing w:before="40" w:after="40" w:line="240" w:lineRule="auto"/>
        <w:ind w:left="630"/>
        <w:contextualSpacing w:val="0"/>
        <w:jc w:val="both"/>
      </w:pPr>
      <w:r>
        <w:t>Pertinent CoA circulars, resolutions and other issuances</w:t>
      </w:r>
    </w:p>
    <w:p w14:paraId="14FF9018" w14:textId="77777777" w:rsidR="00B90F56" w:rsidRPr="00ED326F" w:rsidRDefault="00B90F56" w:rsidP="00B90F56">
      <w:pPr>
        <w:autoSpaceDE w:val="0"/>
        <w:autoSpaceDN w:val="0"/>
        <w:adjustRightInd w:val="0"/>
        <w:spacing w:before="40" w:after="40"/>
        <w:ind w:left="1800"/>
        <w:jc w:val="both"/>
      </w:pPr>
    </w:p>
    <w:p w14:paraId="2B479B39" w14:textId="77777777" w:rsidR="00B90F56" w:rsidRPr="00ED326F" w:rsidRDefault="00B90F56" w:rsidP="00B90F56">
      <w:pPr>
        <w:autoSpaceDE w:val="0"/>
        <w:autoSpaceDN w:val="0"/>
        <w:adjustRightInd w:val="0"/>
        <w:spacing w:before="40" w:after="40"/>
        <w:jc w:val="both"/>
        <w:rPr>
          <w:b/>
        </w:rPr>
      </w:pPr>
      <w:r w:rsidRPr="00ED326F">
        <w:rPr>
          <w:b/>
        </w:rPr>
        <w:t>BIR</w:t>
      </w:r>
    </w:p>
    <w:p w14:paraId="751A9D84"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Inventory of accounts receivable/delinquent accounts</w:t>
      </w:r>
    </w:p>
    <w:p w14:paraId="1919B98E"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Comparative internal revenue collections and goals by tax type</w:t>
      </w:r>
    </w:p>
    <w:p w14:paraId="0AF045F2"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Monthly internal revenue collection by tax type</w:t>
      </w:r>
    </w:p>
    <w:p w14:paraId="3EB801B9"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Operations memoranda relevant to the assessment</w:t>
      </w:r>
    </w:p>
    <w:p w14:paraId="3426E183"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Revenue Special Order (internal memorandum)</w:t>
      </w:r>
    </w:p>
    <w:p w14:paraId="52A6271F"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Bureau of Internal Revenue’s rules (memorandum orders and circulars) and regulations</w:t>
      </w:r>
    </w:p>
    <w:p w14:paraId="4B37A382"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Sample memorandum of agreement with authorized agent bank for collection and remittance of National Internal Revenue taxes/customs duties</w:t>
      </w:r>
    </w:p>
    <w:p w14:paraId="30888480"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Treasury Circular for implementing guidelines on the use of Treasury Single Account</w:t>
      </w:r>
    </w:p>
    <w:p w14:paraId="004FE6EA" w14:textId="69259B5E"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Monthly reconciliation of Consolidated report on daily collections against - list of remittance for Internal revenue taxes as of August and September, 2015</w:t>
      </w:r>
    </w:p>
    <w:p w14:paraId="145A4C44"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Data on number of registered taxpayers for 2010 to 2015</w:t>
      </w:r>
    </w:p>
    <w:p w14:paraId="672C9B74"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Post Campaign Evaluation Dipstick for Public Awareness Campaign to encourage more taxpayers to pay their correct taxes</w:t>
      </w:r>
    </w:p>
    <w:p w14:paraId="355495AD" w14:textId="77777777" w:rsidR="00B90F56" w:rsidRPr="00ED326F" w:rsidRDefault="00B90F56" w:rsidP="00B90F56">
      <w:pPr>
        <w:autoSpaceDE w:val="0"/>
        <w:autoSpaceDN w:val="0"/>
        <w:adjustRightInd w:val="0"/>
        <w:spacing w:before="40" w:after="40"/>
        <w:ind w:left="1800"/>
        <w:jc w:val="both"/>
      </w:pPr>
    </w:p>
    <w:p w14:paraId="08FEE66B" w14:textId="77777777" w:rsidR="00B90F56" w:rsidRPr="00ED326F" w:rsidRDefault="00B90F56" w:rsidP="00B90F56">
      <w:pPr>
        <w:autoSpaceDE w:val="0"/>
        <w:autoSpaceDN w:val="0"/>
        <w:adjustRightInd w:val="0"/>
        <w:spacing w:before="40" w:after="40"/>
        <w:jc w:val="both"/>
        <w:rPr>
          <w:b/>
        </w:rPr>
      </w:pPr>
      <w:r w:rsidRPr="00ED326F">
        <w:rPr>
          <w:b/>
        </w:rPr>
        <w:t>BoC</w:t>
      </w:r>
    </w:p>
    <w:p w14:paraId="35DA3ECF" w14:textId="62C658D6" w:rsidR="00B90F56" w:rsidRPr="00ED326F" w:rsidRDefault="002322DE" w:rsidP="005A03CD">
      <w:pPr>
        <w:pStyle w:val="ListParagraph"/>
        <w:numPr>
          <w:ilvl w:val="0"/>
          <w:numId w:val="1"/>
        </w:numPr>
        <w:autoSpaceDE w:val="0"/>
        <w:autoSpaceDN w:val="0"/>
        <w:adjustRightInd w:val="0"/>
        <w:spacing w:before="40" w:after="40" w:line="240" w:lineRule="auto"/>
        <w:ind w:left="630"/>
        <w:contextualSpacing w:val="0"/>
        <w:jc w:val="both"/>
      </w:pPr>
      <w:r>
        <w:t>Post-Entry</w:t>
      </w:r>
      <w:r w:rsidR="00B90F56" w:rsidRPr="00ED326F">
        <w:t xml:space="preserve"> Audit (PEA) Primer – PEA system and recordkeeping requirements</w:t>
      </w:r>
    </w:p>
    <w:p w14:paraId="10A85DEC" w14:textId="6E4AF4F6"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 xml:space="preserve">Month of March, April and May statement of remittance by authorized agent banks thru </w:t>
      </w:r>
    </w:p>
    <w:p w14:paraId="2627EE98"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Summary on daily collection of customs, taxes and levies for March, April and May (per bank)</w:t>
      </w:r>
    </w:p>
    <w:p w14:paraId="64F8F81C"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Consolidated Report on daily collection of customs duties, taxes and other levies (Month of May)</w:t>
      </w:r>
    </w:p>
    <w:p w14:paraId="3E534188"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Reconciliation of revenue accounting division for the period of March, April and May (per bank)</w:t>
      </w:r>
    </w:p>
    <w:p w14:paraId="1B05E5CF"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Bureau of Customs’ rules (memorandum orders and circulars) and regulations</w:t>
      </w:r>
    </w:p>
    <w:p w14:paraId="4C4E0326" w14:textId="77777777" w:rsidR="00B90F56" w:rsidRPr="00ED326F" w:rsidRDefault="00B90F56" w:rsidP="00B90F56">
      <w:pPr>
        <w:autoSpaceDE w:val="0"/>
        <w:autoSpaceDN w:val="0"/>
        <w:adjustRightInd w:val="0"/>
        <w:spacing w:before="40" w:after="40"/>
        <w:ind w:left="1800"/>
        <w:jc w:val="both"/>
      </w:pPr>
    </w:p>
    <w:p w14:paraId="67DBB78C" w14:textId="77777777" w:rsidR="00B90F56" w:rsidRPr="00ED326F" w:rsidRDefault="00B90F56" w:rsidP="00B90F56">
      <w:pPr>
        <w:autoSpaceDE w:val="0"/>
        <w:autoSpaceDN w:val="0"/>
        <w:adjustRightInd w:val="0"/>
        <w:spacing w:before="40" w:after="40"/>
        <w:jc w:val="both"/>
        <w:rPr>
          <w:b/>
        </w:rPr>
      </w:pPr>
      <w:r w:rsidRPr="00ED326F">
        <w:rPr>
          <w:b/>
        </w:rPr>
        <w:t>BTr</w:t>
      </w:r>
    </w:p>
    <w:p w14:paraId="731D6187"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List of cash accounts with outstanding reconciling items (report to BTr)</w:t>
      </w:r>
    </w:p>
    <w:p w14:paraId="493378EB"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Cash Operations report</w:t>
      </w:r>
    </w:p>
    <w:p w14:paraId="56B2B965" w14:textId="11458D21"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 xml:space="preserve">Statistical data from Bureau of </w:t>
      </w:r>
      <w:r w:rsidR="00280E59">
        <w:t xml:space="preserve">the </w:t>
      </w:r>
      <w:r w:rsidRPr="00ED326F">
        <w:t>Treasury and Department of Finance</w:t>
      </w:r>
    </w:p>
    <w:p w14:paraId="217F325B" w14:textId="77777777" w:rsidR="00B90F56" w:rsidRPr="00ED326F" w:rsidRDefault="00B90F56" w:rsidP="005A03CD">
      <w:pPr>
        <w:pStyle w:val="ListParagraph"/>
        <w:numPr>
          <w:ilvl w:val="1"/>
          <w:numId w:val="1"/>
        </w:numPr>
        <w:autoSpaceDE w:val="0"/>
        <w:autoSpaceDN w:val="0"/>
        <w:adjustRightInd w:val="0"/>
        <w:spacing w:before="40" w:after="40" w:line="240" w:lineRule="auto"/>
        <w:ind w:left="990"/>
        <w:contextualSpacing w:val="0"/>
        <w:jc w:val="both"/>
      </w:pPr>
      <w:r w:rsidRPr="00ED326F">
        <w:t>National government fiscal position</w:t>
      </w:r>
    </w:p>
    <w:p w14:paraId="27BB9EA8" w14:textId="4FDB433B" w:rsidR="00B90F56" w:rsidRPr="00ED326F" w:rsidRDefault="00B90F56" w:rsidP="005A03CD">
      <w:pPr>
        <w:pStyle w:val="ListParagraph"/>
        <w:numPr>
          <w:ilvl w:val="1"/>
          <w:numId w:val="1"/>
        </w:numPr>
        <w:autoSpaceDE w:val="0"/>
        <w:autoSpaceDN w:val="0"/>
        <w:adjustRightInd w:val="0"/>
        <w:spacing w:before="40" w:after="40" w:line="240" w:lineRule="auto"/>
        <w:ind w:left="990"/>
        <w:contextualSpacing w:val="0"/>
        <w:jc w:val="both"/>
      </w:pPr>
      <w:r w:rsidRPr="00ED326F">
        <w:t xml:space="preserve">National government revenue </w:t>
      </w:r>
    </w:p>
    <w:p w14:paraId="63C26573" w14:textId="77777777" w:rsidR="00B90F56" w:rsidRPr="00ED326F" w:rsidRDefault="00B90F56" w:rsidP="005A03CD">
      <w:pPr>
        <w:pStyle w:val="ListParagraph"/>
        <w:numPr>
          <w:ilvl w:val="1"/>
          <w:numId w:val="1"/>
        </w:numPr>
        <w:autoSpaceDE w:val="0"/>
        <w:autoSpaceDN w:val="0"/>
        <w:adjustRightInd w:val="0"/>
        <w:spacing w:before="40" w:after="40" w:line="240" w:lineRule="auto"/>
        <w:ind w:left="990"/>
        <w:contextualSpacing w:val="0"/>
        <w:jc w:val="both"/>
      </w:pPr>
      <w:r w:rsidRPr="00ED326F">
        <w:t>National government cash expenditures</w:t>
      </w:r>
    </w:p>
    <w:p w14:paraId="33BAE57D" w14:textId="77777777" w:rsidR="00B90F56" w:rsidRPr="00ED326F" w:rsidRDefault="00B90F56" w:rsidP="005A03CD">
      <w:pPr>
        <w:pStyle w:val="ListParagraph"/>
        <w:numPr>
          <w:ilvl w:val="1"/>
          <w:numId w:val="1"/>
        </w:numPr>
        <w:autoSpaceDE w:val="0"/>
        <w:autoSpaceDN w:val="0"/>
        <w:adjustRightInd w:val="0"/>
        <w:spacing w:before="40" w:after="40" w:line="240" w:lineRule="auto"/>
        <w:ind w:left="990"/>
        <w:contextualSpacing w:val="0"/>
        <w:jc w:val="both"/>
      </w:pPr>
      <w:r w:rsidRPr="00ED326F">
        <w:t>National government cash operations</w:t>
      </w:r>
    </w:p>
    <w:p w14:paraId="2402B7CA" w14:textId="77777777" w:rsidR="00B90F56" w:rsidRPr="00ED326F" w:rsidRDefault="00B90F56" w:rsidP="005A03CD">
      <w:pPr>
        <w:pStyle w:val="ListParagraph"/>
        <w:numPr>
          <w:ilvl w:val="1"/>
          <w:numId w:val="1"/>
        </w:numPr>
        <w:autoSpaceDE w:val="0"/>
        <w:autoSpaceDN w:val="0"/>
        <w:adjustRightInd w:val="0"/>
        <w:spacing w:before="40" w:after="40" w:line="240" w:lineRule="auto"/>
        <w:ind w:left="990"/>
        <w:contextualSpacing w:val="0"/>
        <w:jc w:val="both"/>
      </w:pPr>
      <w:r w:rsidRPr="00ED326F">
        <w:t>Outstanding public sector debt</w:t>
      </w:r>
    </w:p>
    <w:p w14:paraId="2F09A03A" w14:textId="612CD9B8" w:rsidR="00B90F56" w:rsidRPr="00ED326F" w:rsidRDefault="00B90F56" w:rsidP="000A4582">
      <w:pPr>
        <w:pStyle w:val="ListParagraph"/>
        <w:numPr>
          <w:ilvl w:val="1"/>
          <w:numId w:val="1"/>
        </w:numPr>
        <w:autoSpaceDE w:val="0"/>
        <w:autoSpaceDN w:val="0"/>
        <w:adjustRightInd w:val="0"/>
        <w:spacing w:before="40" w:after="40" w:line="240" w:lineRule="auto"/>
        <w:ind w:left="990"/>
        <w:contextualSpacing w:val="0"/>
      </w:pPr>
      <w:r w:rsidRPr="00ED326F">
        <w:t xml:space="preserve">National government outstanding debt </w:t>
      </w:r>
    </w:p>
    <w:p w14:paraId="1F54A3B8" w14:textId="77777777" w:rsidR="00B90F56" w:rsidRPr="00ED326F" w:rsidRDefault="00B90F56" w:rsidP="007D3C10">
      <w:pPr>
        <w:autoSpaceDE w:val="0"/>
        <w:autoSpaceDN w:val="0"/>
        <w:adjustRightInd w:val="0"/>
        <w:spacing w:before="40" w:after="40"/>
        <w:jc w:val="both"/>
        <w:rPr>
          <w:b/>
        </w:rPr>
      </w:pPr>
      <w:r w:rsidRPr="00ED326F">
        <w:rPr>
          <w:b/>
        </w:rPr>
        <w:t>GCG</w:t>
      </w:r>
    </w:p>
    <w:p w14:paraId="0D198ABC"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Performance Evaluation System (PES) Guidebook</w:t>
      </w:r>
    </w:p>
    <w:p w14:paraId="27EC0D50"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GOCCs interim performance scorecard</w:t>
      </w:r>
      <w:r>
        <w:t xml:space="preserve"> (</w:t>
      </w:r>
      <w:r w:rsidRPr="00ED326F">
        <w:t>3 samples</w:t>
      </w:r>
      <w:r>
        <w:t>)</w:t>
      </w:r>
    </w:p>
    <w:p w14:paraId="25C786B0"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GOCCs performance agreement for calendar year 2015</w:t>
      </w:r>
      <w:r>
        <w:t xml:space="preserve"> (</w:t>
      </w:r>
      <w:r w:rsidRPr="00ED326F">
        <w:t>3 samples</w:t>
      </w:r>
      <w:r>
        <w:t>)</w:t>
      </w:r>
    </w:p>
    <w:p w14:paraId="7286D27E"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1</w:t>
      </w:r>
      <w:r w:rsidRPr="00ED326F">
        <w:rPr>
          <w:vertAlign w:val="superscript"/>
        </w:rPr>
        <w:t>st</w:t>
      </w:r>
      <w:r w:rsidRPr="00ED326F">
        <w:t xml:space="preserve"> and 2</w:t>
      </w:r>
      <w:r w:rsidRPr="00ED326F">
        <w:rPr>
          <w:vertAlign w:val="superscript"/>
        </w:rPr>
        <w:t>nd</w:t>
      </w:r>
      <w:r w:rsidRPr="00ED326F">
        <w:t xml:space="preserve"> quarter PES report</w:t>
      </w:r>
      <w:r>
        <w:t xml:space="preserve"> (samples)</w:t>
      </w:r>
    </w:p>
    <w:p w14:paraId="394633B2" w14:textId="77777777" w:rsidR="00B90F56" w:rsidRPr="00ED326F" w:rsidRDefault="00B90F56" w:rsidP="00B90F56">
      <w:pPr>
        <w:autoSpaceDE w:val="0"/>
        <w:autoSpaceDN w:val="0"/>
        <w:adjustRightInd w:val="0"/>
        <w:spacing w:before="40" w:after="40"/>
        <w:ind w:left="1800"/>
        <w:jc w:val="both"/>
      </w:pPr>
    </w:p>
    <w:p w14:paraId="5539FA52" w14:textId="77777777" w:rsidR="00B90F56" w:rsidRPr="00ED326F" w:rsidRDefault="00B90F56" w:rsidP="007D3C10">
      <w:pPr>
        <w:autoSpaceDE w:val="0"/>
        <w:autoSpaceDN w:val="0"/>
        <w:adjustRightInd w:val="0"/>
        <w:spacing w:before="40" w:after="40"/>
        <w:jc w:val="both"/>
        <w:rPr>
          <w:b/>
        </w:rPr>
      </w:pPr>
      <w:r w:rsidRPr="00ED326F">
        <w:rPr>
          <w:b/>
        </w:rPr>
        <w:t>Other documents</w:t>
      </w:r>
    </w:p>
    <w:p w14:paraId="2C4500A5"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Philippine Development Plan 2011-2016</w:t>
      </w:r>
    </w:p>
    <w:p w14:paraId="6E368026"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List of NEDA Board confirmed and approved projects</w:t>
      </w:r>
    </w:p>
    <w:p w14:paraId="3BDF1336"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rPr>
          <w:color w:val="000000"/>
          <w:lang w:eastAsia="en-GB"/>
        </w:rPr>
        <w:t>Investment Coordination Committee</w:t>
      </w:r>
      <w:r w:rsidRPr="00ED326F">
        <w:t xml:space="preserve"> guidelines and procedures</w:t>
      </w:r>
    </w:p>
    <w:p w14:paraId="77F0DD8C"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IMF’s Philippine Fiscal Transparency Report</w:t>
      </w:r>
    </w:p>
    <w:p w14:paraId="6E704961"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Public Expenditure Tracking Survey</w:t>
      </w:r>
    </w:p>
    <w:p w14:paraId="64BC0273"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Local Government Code</w:t>
      </w:r>
    </w:p>
    <w:p w14:paraId="1BB6EB7E"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 xml:space="preserve">Joint Circulars for UACS adoption and manual and creation of UACS website </w:t>
      </w:r>
    </w:p>
    <w:p w14:paraId="537501F6" w14:textId="77777777" w:rsidR="00B90F56" w:rsidRPr="00ED326F" w:rsidRDefault="00B90F56" w:rsidP="005A03CD">
      <w:pPr>
        <w:pStyle w:val="ListParagraph"/>
        <w:numPr>
          <w:ilvl w:val="0"/>
          <w:numId w:val="1"/>
        </w:numPr>
        <w:autoSpaceDE w:val="0"/>
        <w:autoSpaceDN w:val="0"/>
        <w:adjustRightInd w:val="0"/>
        <w:spacing w:before="40" w:after="40" w:line="240" w:lineRule="auto"/>
        <w:ind w:left="630"/>
        <w:contextualSpacing w:val="0"/>
        <w:jc w:val="both"/>
      </w:pPr>
      <w:r w:rsidRPr="00ED326F">
        <w:t>UACS Manual</w:t>
      </w:r>
    </w:p>
    <w:p w14:paraId="203F6C00" w14:textId="0465F526" w:rsidR="00747348" w:rsidRPr="005A497D" w:rsidRDefault="00747348" w:rsidP="00B74F79">
      <w:pPr>
        <w:pStyle w:val="ListParagraph"/>
        <w:autoSpaceDE w:val="0"/>
        <w:autoSpaceDN w:val="0"/>
        <w:adjustRightInd w:val="0"/>
        <w:spacing w:before="40" w:after="40" w:line="240" w:lineRule="auto"/>
        <w:ind w:left="630" w:firstLine="0"/>
        <w:contextualSpacing w:val="0"/>
        <w:jc w:val="both"/>
      </w:pPr>
    </w:p>
    <w:p w14:paraId="3C1EF612" w14:textId="77777777" w:rsidR="00747348" w:rsidRPr="005A497D" w:rsidRDefault="00747348" w:rsidP="00747348">
      <w:pPr>
        <w:autoSpaceDE w:val="0"/>
        <w:autoSpaceDN w:val="0"/>
        <w:adjustRightInd w:val="0"/>
        <w:spacing w:after="40"/>
        <w:jc w:val="both"/>
      </w:pPr>
      <w:r w:rsidRPr="005A497D">
        <w:rPr>
          <w:u w:val="single"/>
        </w:rPr>
        <w:t>Websites</w:t>
      </w:r>
      <w:r w:rsidRPr="005A497D">
        <w:t>:</w:t>
      </w:r>
    </w:p>
    <w:p w14:paraId="1D8E41D3"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Official Gazette of the Republic of the Philippines – </w:t>
      </w:r>
      <w:hyperlink r:id="rId32" w:history="1">
        <w:r w:rsidRPr="0067432A">
          <w:rPr>
            <w:rStyle w:val="Hyperlink"/>
            <w:rFonts w:ascii="Times New Roman" w:hAnsi="Times New Roman"/>
            <w:sz w:val="24"/>
            <w:szCs w:val="24"/>
          </w:rPr>
          <w:t>www.gov.ph</w:t>
        </w:r>
      </w:hyperlink>
    </w:p>
    <w:p w14:paraId="757FF438"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Bangko Sentral ng Pilipinas (BSP) – </w:t>
      </w:r>
      <w:hyperlink r:id="rId33" w:history="1">
        <w:r w:rsidRPr="0067432A">
          <w:rPr>
            <w:rStyle w:val="Hyperlink"/>
            <w:rFonts w:ascii="Times New Roman" w:hAnsi="Times New Roman"/>
            <w:sz w:val="24"/>
            <w:szCs w:val="24"/>
          </w:rPr>
          <w:t>http://www.bsp.gov.ph/</w:t>
        </w:r>
      </w:hyperlink>
    </w:p>
    <w:p w14:paraId="48C90DDE"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Bureau of Customs (BoC) – </w:t>
      </w:r>
      <w:hyperlink r:id="rId34" w:history="1">
        <w:r w:rsidRPr="0067432A">
          <w:rPr>
            <w:rStyle w:val="Hyperlink"/>
            <w:rFonts w:ascii="Times New Roman" w:hAnsi="Times New Roman"/>
            <w:sz w:val="24"/>
            <w:szCs w:val="24"/>
          </w:rPr>
          <w:t>www.customs.gov.ph</w:t>
        </w:r>
      </w:hyperlink>
    </w:p>
    <w:p w14:paraId="6425CB7F"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Bureau of Internal Revenue (BIR) – </w:t>
      </w:r>
      <w:hyperlink r:id="rId35" w:history="1">
        <w:r w:rsidRPr="0067432A">
          <w:rPr>
            <w:rStyle w:val="Hyperlink"/>
            <w:rFonts w:ascii="Times New Roman" w:hAnsi="Times New Roman"/>
            <w:sz w:val="24"/>
            <w:szCs w:val="24"/>
          </w:rPr>
          <w:t>www.bir.gov.ph</w:t>
        </w:r>
      </w:hyperlink>
    </w:p>
    <w:p w14:paraId="18FCBCC7"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Bureau of Local Government Finance (BLGF) – </w:t>
      </w:r>
      <w:hyperlink r:id="rId36" w:history="1">
        <w:r w:rsidRPr="0067432A">
          <w:rPr>
            <w:rStyle w:val="Hyperlink"/>
            <w:rFonts w:ascii="Times New Roman" w:hAnsi="Times New Roman"/>
            <w:sz w:val="24"/>
            <w:szCs w:val="24"/>
          </w:rPr>
          <w:t>http://blgf.gov.ph/</w:t>
        </w:r>
      </w:hyperlink>
    </w:p>
    <w:p w14:paraId="32E2D883" w14:textId="3443E25D"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Bureau of </w:t>
      </w:r>
      <w:r w:rsidR="00280E59" w:rsidRPr="0067432A">
        <w:rPr>
          <w:rFonts w:ascii="Times New Roman" w:hAnsi="Times New Roman"/>
          <w:sz w:val="24"/>
          <w:szCs w:val="24"/>
        </w:rPr>
        <w:t xml:space="preserve">the </w:t>
      </w:r>
      <w:r w:rsidRPr="0067432A">
        <w:rPr>
          <w:rFonts w:ascii="Times New Roman" w:hAnsi="Times New Roman"/>
          <w:sz w:val="24"/>
          <w:szCs w:val="24"/>
        </w:rPr>
        <w:t xml:space="preserve">Treasury (BTr) – </w:t>
      </w:r>
      <w:hyperlink r:id="rId37" w:history="1">
        <w:r w:rsidRPr="0067432A">
          <w:rPr>
            <w:rStyle w:val="Hyperlink"/>
            <w:rFonts w:ascii="Times New Roman" w:hAnsi="Times New Roman"/>
            <w:sz w:val="24"/>
            <w:szCs w:val="24"/>
          </w:rPr>
          <w:t>www.treasury.gov.ph/</w:t>
        </w:r>
      </w:hyperlink>
    </w:p>
    <w:p w14:paraId="4398F899" w14:textId="3BBA8D25"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Commission on Audit (</w:t>
      </w:r>
      <w:r w:rsidR="009008FE" w:rsidRPr="0067432A">
        <w:rPr>
          <w:rFonts w:ascii="Times New Roman" w:hAnsi="Times New Roman"/>
          <w:sz w:val="24"/>
          <w:szCs w:val="24"/>
        </w:rPr>
        <w:t>CoA</w:t>
      </w:r>
      <w:r w:rsidRPr="0067432A">
        <w:rPr>
          <w:rFonts w:ascii="Times New Roman" w:hAnsi="Times New Roman"/>
          <w:sz w:val="24"/>
          <w:szCs w:val="24"/>
        </w:rPr>
        <w:t xml:space="preserve">) – </w:t>
      </w:r>
      <w:hyperlink r:id="rId38" w:history="1">
        <w:r w:rsidR="00280E59" w:rsidRPr="0067432A">
          <w:rPr>
            <w:rStyle w:val="Hyperlink"/>
            <w:rFonts w:ascii="Times New Roman" w:hAnsi="Times New Roman"/>
            <w:sz w:val="24"/>
            <w:szCs w:val="24"/>
          </w:rPr>
          <w:t>http://www.coa.gov.ph/</w:t>
        </w:r>
      </w:hyperlink>
    </w:p>
    <w:p w14:paraId="5E85EBB5"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Department of Budget and Management (DBM) – </w:t>
      </w:r>
      <w:hyperlink r:id="rId39" w:history="1">
        <w:r w:rsidRPr="0067432A">
          <w:rPr>
            <w:rStyle w:val="Hyperlink"/>
            <w:rFonts w:ascii="Times New Roman" w:hAnsi="Times New Roman"/>
            <w:sz w:val="24"/>
            <w:szCs w:val="24"/>
          </w:rPr>
          <w:t>http://www.dbm.gov.ph/</w:t>
        </w:r>
      </w:hyperlink>
    </w:p>
    <w:p w14:paraId="52B06EB2"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Department of Finance (DoF) – </w:t>
      </w:r>
      <w:hyperlink r:id="rId40" w:history="1">
        <w:r w:rsidRPr="0067432A">
          <w:rPr>
            <w:rStyle w:val="Hyperlink"/>
            <w:rFonts w:ascii="Times New Roman" w:hAnsi="Times New Roman"/>
            <w:sz w:val="24"/>
            <w:szCs w:val="24"/>
          </w:rPr>
          <w:t>http://www.dof.gov.ph/</w:t>
        </w:r>
      </w:hyperlink>
    </w:p>
    <w:p w14:paraId="55938ABD"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Good Governance and Anti-Corruption Cabinet Cluster – </w:t>
      </w:r>
      <w:hyperlink r:id="rId41" w:history="1">
        <w:r w:rsidRPr="0067432A">
          <w:rPr>
            <w:rStyle w:val="Hyperlink"/>
            <w:rFonts w:ascii="Times New Roman" w:hAnsi="Times New Roman"/>
            <w:sz w:val="24"/>
            <w:szCs w:val="24"/>
          </w:rPr>
          <w:t>http://www.gov.ph/governance/</w:t>
        </w:r>
      </w:hyperlink>
    </w:p>
    <w:p w14:paraId="183E59F7"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Governance Commission for Government Owned or Controlled Corporations (GCG) – </w:t>
      </w:r>
      <w:hyperlink r:id="rId42" w:history="1">
        <w:r w:rsidRPr="0067432A">
          <w:rPr>
            <w:rStyle w:val="Hyperlink"/>
            <w:rFonts w:ascii="Times New Roman" w:hAnsi="Times New Roman"/>
            <w:sz w:val="24"/>
            <w:szCs w:val="24"/>
          </w:rPr>
          <w:t>http://gcg.gov.ph</w:t>
        </w:r>
      </w:hyperlink>
    </w:p>
    <w:p w14:paraId="2B0E2263"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Government Procurement Policy Board (GPPB) – </w:t>
      </w:r>
      <w:hyperlink r:id="rId43" w:history="1">
        <w:r w:rsidRPr="0067432A">
          <w:rPr>
            <w:rStyle w:val="Hyperlink"/>
            <w:rFonts w:ascii="Times New Roman" w:hAnsi="Times New Roman"/>
            <w:sz w:val="24"/>
            <w:szCs w:val="24"/>
          </w:rPr>
          <w:t>http://www.gppb.gov.ph/</w:t>
        </w:r>
      </w:hyperlink>
    </w:p>
    <w:p w14:paraId="5849F8A5"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The House of Representatives - </w:t>
      </w:r>
      <w:hyperlink r:id="rId44" w:history="1">
        <w:r w:rsidRPr="0067432A">
          <w:rPr>
            <w:rStyle w:val="Hyperlink"/>
            <w:rFonts w:ascii="Times New Roman" w:hAnsi="Times New Roman"/>
            <w:sz w:val="24"/>
            <w:szCs w:val="24"/>
            <w:shd w:val="clear" w:color="auto" w:fill="FFFFFF"/>
          </w:rPr>
          <w:t>www.congress.gov.ph</w:t>
        </w:r>
      </w:hyperlink>
    </w:p>
    <w:p w14:paraId="28D4B320"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National Economic and Development Authority (NEDA) – </w:t>
      </w:r>
      <w:hyperlink r:id="rId45" w:history="1">
        <w:r w:rsidRPr="0067432A">
          <w:rPr>
            <w:rStyle w:val="Hyperlink"/>
            <w:rFonts w:ascii="Times New Roman" w:hAnsi="Times New Roman"/>
            <w:sz w:val="24"/>
            <w:szCs w:val="24"/>
          </w:rPr>
          <w:t>http://www.neda.gov.ph/</w:t>
        </w:r>
      </w:hyperlink>
    </w:p>
    <w:p w14:paraId="02E89CA9"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Public-Private Partnership (PPP) Center – </w:t>
      </w:r>
      <w:hyperlink r:id="rId46" w:history="1">
        <w:r w:rsidRPr="0067432A">
          <w:rPr>
            <w:rStyle w:val="Hyperlink"/>
            <w:rFonts w:ascii="Times New Roman" w:hAnsi="Times New Roman"/>
            <w:sz w:val="24"/>
            <w:szCs w:val="24"/>
          </w:rPr>
          <w:t>http://ppp.gov.ph/</w:t>
        </w:r>
      </w:hyperlink>
    </w:p>
    <w:p w14:paraId="30CE9E31"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The Senate of the Philippines – </w:t>
      </w:r>
      <w:hyperlink r:id="rId47" w:history="1">
        <w:r w:rsidRPr="0067432A">
          <w:rPr>
            <w:rFonts w:ascii="Times New Roman" w:hAnsi="Times New Roman"/>
            <w:sz w:val="24"/>
            <w:szCs w:val="24"/>
          </w:rPr>
          <w:t>www.senate.gov.ph</w:t>
        </w:r>
      </w:hyperlink>
    </w:p>
    <w:p w14:paraId="01978A62" w14:textId="1FDDA8F9" w:rsidR="007D3C10" w:rsidRPr="0067432A" w:rsidRDefault="00402C09"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Unified </w:t>
      </w:r>
      <w:r w:rsidR="00D235C7" w:rsidRPr="0067432A">
        <w:rPr>
          <w:rFonts w:ascii="Times New Roman" w:hAnsi="Times New Roman"/>
          <w:sz w:val="24"/>
          <w:szCs w:val="24"/>
        </w:rPr>
        <w:t>Accounts Code Structure</w:t>
      </w:r>
      <w:r w:rsidR="007D3C10" w:rsidRPr="0067432A">
        <w:rPr>
          <w:rFonts w:ascii="Times New Roman" w:hAnsi="Times New Roman"/>
          <w:sz w:val="24"/>
          <w:szCs w:val="24"/>
        </w:rPr>
        <w:t xml:space="preserve"> – </w:t>
      </w:r>
      <w:hyperlink r:id="rId48" w:history="1">
        <w:r w:rsidR="007D3C10" w:rsidRPr="0067432A">
          <w:rPr>
            <w:rFonts w:ascii="Times New Roman" w:hAnsi="Times New Roman"/>
            <w:sz w:val="24"/>
            <w:szCs w:val="24"/>
          </w:rPr>
          <w:t>http://www.uacs.gov.ph</w:t>
        </w:r>
      </w:hyperlink>
    </w:p>
    <w:p w14:paraId="2DA48E25" w14:textId="77777777" w:rsidR="007D3C10" w:rsidRPr="0067432A" w:rsidRDefault="007D3C10" w:rsidP="0067432A">
      <w:pPr>
        <w:pStyle w:val="NoSpacing"/>
        <w:numPr>
          <w:ilvl w:val="0"/>
          <w:numId w:val="58"/>
        </w:numPr>
        <w:ind w:left="630"/>
        <w:rPr>
          <w:rFonts w:ascii="Times New Roman" w:hAnsi="Times New Roman"/>
          <w:sz w:val="24"/>
          <w:szCs w:val="24"/>
        </w:rPr>
      </w:pPr>
      <w:r w:rsidRPr="0067432A">
        <w:rPr>
          <w:rFonts w:ascii="Times New Roman" w:hAnsi="Times New Roman"/>
          <w:sz w:val="24"/>
          <w:szCs w:val="24"/>
        </w:rPr>
        <w:t xml:space="preserve">Open Budget Survey - </w:t>
      </w:r>
      <w:hyperlink r:id="rId49" w:history="1">
        <w:r w:rsidRPr="0067432A">
          <w:rPr>
            <w:rFonts w:ascii="Times New Roman" w:hAnsi="Times New Roman"/>
            <w:sz w:val="24"/>
            <w:szCs w:val="24"/>
          </w:rPr>
          <w:t>http://www.internationalbudget.org/</w:t>
        </w:r>
      </w:hyperlink>
      <w:r w:rsidRPr="0067432A">
        <w:rPr>
          <w:rFonts w:ascii="Times New Roman" w:hAnsi="Times New Roman"/>
          <w:sz w:val="24"/>
          <w:szCs w:val="24"/>
        </w:rPr>
        <w:t xml:space="preserve"> </w:t>
      </w:r>
    </w:p>
    <w:p w14:paraId="4CDA3EC6" w14:textId="60790FBB" w:rsidR="002C4408" w:rsidRPr="005A497D" w:rsidRDefault="007D3C10" w:rsidP="0067432A">
      <w:pPr>
        <w:pStyle w:val="NoSpacing"/>
        <w:numPr>
          <w:ilvl w:val="0"/>
          <w:numId w:val="58"/>
        </w:numPr>
        <w:ind w:left="630"/>
      </w:pPr>
      <w:r w:rsidRPr="0067432A">
        <w:rPr>
          <w:rFonts w:ascii="Times New Roman" w:hAnsi="Times New Roman"/>
          <w:sz w:val="24"/>
          <w:szCs w:val="24"/>
        </w:rPr>
        <w:t xml:space="preserve">International Monetary Fund (IMF) - </w:t>
      </w:r>
      <w:hyperlink r:id="rId50" w:history="1">
        <w:r w:rsidRPr="0067432A">
          <w:rPr>
            <w:rFonts w:ascii="Times New Roman" w:hAnsi="Times New Roman"/>
            <w:sz w:val="24"/>
            <w:szCs w:val="24"/>
          </w:rPr>
          <w:t>https://www.imf.org</w:t>
        </w:r>
      </w:hyperlink>
    </w:p>
    <w:p w14:paraId="6BA6FE34" w14:textId="77777777" w:rsidR="002C4408" w:rsidRPr="005A497D" w:rsidRDefault="002C4408" w:rsidP="009A012D">
      <w:pPr>
        <w:pStyle w:val="Heading2"/>
        <w:rPr>
          <w:rFonts w:ascii="Times New Roman" w:hAnsi="Times New Roman"/>
        </w:rPr>
        <w:sectPr w:rsidR="002C4408" w:rsidRPr="005A497D" w:rsidSect="00890673">
          <w:footnotePr>
            <w:numRestart w:val="eachSect"/>
          </w:footnotePr>
          <w:endnotePr>
            <w:numFmt w:val="decimal"/>
          </w:endnotePr>
          <w:pgSz w:w="12240" w:h="15840" w:code="1"/>
          <w:pgMar w:top="1152" w:right="1440" w:bottom="1080" w:left="1440" w:header="720" w:footer="720" w:gutter="0"/>
          <w:cols w:space="720"/>
          <w:noEndnote/>
        </w:sectPr>
      </w:pPr>
    </w:p>
    <w:p w14:paraId="00730DA7" w14:textId="7CB53494" w:rsidR="00D61A23" w:rsidRPr="005A497D" w:rsidRDefault="00D61A23" w:rsidP="009A012D">
      <w:pPr>
        <w:pStyle w:val="Heading2"/>
        <w:rPr>
          <w:rFonts w:ascii="Times New Roman" w:hAnsi="Times New Roman"/>
          <w:sz w:val="32"/>
          <w:szCs w:val="32"/>
        </w:rPr>
      </w:pPr>
      <w:bookmarkStart w:id="435" w:name="_Toc454811802"/>
      <w:bookmarkStart w:id="436" w:name="_Toc454888946"/>
      <w:r w:rsidRPr="005A497D">
        <w:rPr>
          <w:rFonts w:ascii="Times New Roman" w:hAnsi="Times New Roman"/>
          <w:sz w:val="32"/>
          <w:szCs w:val="32"/>
        </w:rPr>
        <w:t xml:space="preserve">Annex </w:t>
      </w:r>
      <w:r w:rsidR="0027211D">
        <w:rPr>
          <w:rFonts w:ascii="Times New Roman" w:hAnsi="Times New Roman"/>
          <w:sz w:val="32"/>
          <w:szCs w:val="32"/>
        </w:rPr>
        <w:t>4</w:t>
      </w:r>
      <w:r w:rsidRPr="005A497D">
        <w:rPr>
          <w:rFonts w:ascii="Times New Roman" w:hAnsi="Times New Roman"/>
          <w:sz w:val="32"/>
          <w:szCs w:val="32"/>
        </w:rPr>
        <w:t xml:space="preserve">: </w:t>
      </w:r>
      <w:bookmarkEnd w:id="433"/>
      <w:bookmarkEnd w:id="434"/>
      <w:r w:rsidR="005D2FF3" w:rsidRPr="005A497D">
        <w:rPr>
          <w:rFonts w:ascii="Times New Roman" w:hAnsi="Times New Roman"/>
          <w:sz w:val="32"/>
          <w:szCs w:val="32"/>
        </w:rPr>
        <w:t>Data for PI</w:t>
      </w:r>
      <w:r w:rsidR="005D2FF3" w:rsidRPr="005A497D">
        <w:rPr>
          <w:rFonts w:ascii="Cambria Math" w:hAnsi="Cambria Math"/>
          <w:sz w:val="32"/>
          <w:szCs w:val="32"/>
        </w:rPr>
        <w:t>‐</w:t>
      </w:r>
      <w:r w:rsidR="005D2FF3" w:rsidRPr="005A497D">
        <w:rPr>
          <w:rFonts w:ascii="Times New Roman" w:hAnsi="Times New Roman"/>
          <w:sz w:val="32"/>
          <w:szCs w:val="32"/>
        </w:rPr>
        <w:t>1</w:t>
      </w:r>
      <w:r w:rsidR="00211604" w:rsidRPr="005A497D">
        <w:rPr>
          <w:rFonts w:ascii="Times New Roman" w:hAnsi="Times New Roman"/>
          <w:sz w:val="32"/>
          <w:szCs w:val="32"/>
        </w:rPr>
        <w:t>,</w:t>
      </w:r>
      <w:r w:rsidR="005D2FF3" w:rsidRPr="005A497D">
        <w:rPr>
          <w:rFonts w:ascii="Times New Roman" w:hAnsi="Times New Roman"/>
          <w:sz w:val="32"/>
          <w:szCs w:val="32"/>
        </w:rPr>
        <w:t xml:space="preserve"> PI</w:t>
      </w:r>
      <w:r w:rsidR="005D2FF3" w:rsidRPr="005A497D">
        <w:rPr>
          <w:rFonts w:ascii="Cambria Math" w:hAnsi="Cambria Math"/>
          <w:sz w:val="32"/>
          <w:szCs w:val="32"/>
        </w:rPr>
        <w:t>‐</w:t>
      </w:r>
      <w:r w:rsidR="005D2FF3" w:rsidRPr="005A497D">
        <w:rPr>
          <w:rFonts w:ascii="Times New Roman" w:hAnsi="Times New Roman"/>
          <w:sz w:val="32"/>
          <w:szCs w:val="32"/>
        </w:rPr>
        <w:t>2</w:t>
      </w:r>
      <w:r w:rsidR="00917C30">
        <w:rPr>
          <w:rFonts w:ascii="Times New Roman" w:hAnsi="Times New Roman"/>
          <w:sz w:val="32"/>
          <w:szCs w:val="32"/>
        </w:rPr>
        <w:t xml:space="preserve"> and</w:t>
      </w:r>
      <w:r w:rsidR="00211604" w:rsidRPr="005A497D">
        <w:rPr>
          <w:rFonts w:ascii="Times New Roman" w:hAnsi="Times New Roman"/>
          <w:sz w:val="32"/>
          <w:szCs w:val="32"/>
        </w:rPr>
        <w:t xml:space="preserve"> PI-3</w:t>
      </w:r>
      <w:bookmarkEnd w:id="435"/>
      <w:bookmarkEnd w:id="436"/>
    </w:p>
    <w:p w14:paraId="58DF5D6A" w14:textId="77777777" w:rsidR="00922567" w:rsidRPr="005A497D" w:rsidRDefault="00922567" w:rsidP="00922567">
      <w:pPr>
        <w:pStyle w:val="NormalWeb"/>
        <w:autoSpaceDE w:val="0"/>
        <w:autoSpaceDN w:val="0"/>
        <w:adjustRightInd w:val="0"/>
        <w:spacing w:before="0" w:beforeAutospacing="0" w:after="0" w:afterAutospacing="0"/>
        <w:contextualSpacing/>
        <w:jc w:val="both"/>
        <w:rPr>
          <w:sz w:val="22"/>
          <w:szCs w:val="22"/>
        </w:rPr>
      </w:pPr>
    </w:p>
    <w:p w14:paraId="0C0F899F" w14:textId="654496A0" w:rsidR="005D2FF3" w:rsidRPr="005A497D" w:rsidRDefault="0027211D" w:rsidP="00922567">
      <w:pPr>
        <w:pStyle w:val="PEFATable"/>
        <w:spacing w:after="40"/>
        <w:jc w:val="both"/>
      </w:pPr>
      <w:bookmarkStart w:id="437" w:name="_Toc454889267"/>
      <w:r>
        <w:rPr>
          <w:sz w:val="24"/>
          <w:szCs w:val="24"/>
        </w:rPr>
        <w:t xml:space="preserve">Table </w:t>
      </w:r>
      <w:r w:rsidR="009A6E2C">
        <w:rPr>
          <w:sz w:val="24"/>
          <w:szCs w:val="24"/>
        </w:rPr>
        <w:t>A</w:t>
      </w:r>
      <w:r>
        <w:rPr>
          <w:sz w:val="24"/>
          <w:szCs w:val="24"/>
        </w:rPr>
        <w:t>4</w:t>
      </w:r>
      <w:r w:rsidR="00922567" w:rsidRPr="005A497D">
        <w:rPr>
          <w:sz w:val="24"/>
          <w:szCs w:val="24"/>
        </w:rPr>
        <w:t>.1: Data for PI-1 and PI-2, 2012</w:t>
      </w:r>
      <w:bookmarkEnd w:id="437"/>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1"/>
        <w:gridCol w:w="1260"/>
        <w:gridCol w:w="1260"/>
        <w:gridCol w:w="1170"/>
        <w:gridCol w:w="1170"/>
        <w:gridCol w:w="1170"/>
        <w:gridCol w:w="716"/>
      </w:tblGrid>
      <w:tr w:rsidR="00917C30" w:rsidRPr="005A497D" w14:paraId="2AD647C1" w14:textId="77777777" w:rsidTr="009E55FB">
        <w:trPr>
          <w:trHeight w:val="144"/>
          <w:tblHeader/>
        </w:trPr>
        <w:tc>
          <w:tcPr>
            <w:tcW w:w="2621" w:type="dxa"/>
            <w:tcBorders>
              <w:top w:val="double" w:sz="4" w:space="0" w:color="auto"/>
              <w:left w:val="double" w:sz="4" w:space="0" w:color="auto"/>
              <w:bottom w:val="double" w:sz="4" w:space="0" w:color="auto"/>
            </w:tcBorders>
            <w:shd w:val="clear" w:color="auto" w:fill="D9D9D9" w:themeFill="background1" w:themeFillShade="D9"/>
            <w:noWrap/>
            <w:vAlign w:val="center"/>
          </w:tcPr>
          <w:p w14:paraId="1C0133C9" w14:textId="77777777" w:rsidR="00917C30" w:rsidRPr="003567C3" w:rsidRDefault="00917C30" w:rsidP="009E55FB">
            <w:pPr>
              <w:jc w:val="center"/>
              <w:rPr>
                <w:b/>
                <w:i/>
                <w:sz w:val="20"/>
                <w:szCs w:val="16"/>
                <w:lang w:eastAsia="en-IN"/>
              </w:rPr>
            </w:pPr>
          </w:p>
        </w:tc>
        <w:tc>
          <w:tcPr>
            <w:tcW w:w="6030" w:type="dxa"/>
            <w:gridSpan w:val="5"/>
            <w:tcBorders>
              <w:top w:val="double" w:sz="4" w:space="0" w:color="auto"/>
              <w:bottom w:val="double" w:sz="4" w:space="0" w:color="auto"/>
            </w:tcBorders>
            <w:shd w:val="clear" w:color="auto" w:fill="D9D9D9" w:themeFill="background1" w:themeFillShade="D9"/>
            <w:noWrap/>
            <w:vAlign w:val="center"/>
          </w:tcPr>
          <w:p w14:paraId="752C6508" w14:textId="77777777" w:rsidR="00917C30" w:rsidRPr="003567C3" w:rsidRDefault="00917C30" w:rsidP="009E55FB">
            <w:pPr>
              <w:jc w:val="center"/>
              <w:rPr>
                <w:b/>
                <w:i/>
                <w:sz w:val="20"/>
                <w:szCs w:val="16"/>
                <w:lang w:eastAsia="en-IN"/>
              </w:rPr>
            </w:pPr>
            <w:r w:rsidRPr="00E35674">
              <w:rPr>
                <w:b/>
                <w:i/>
                <w:sz w:val="20"/>
                <w:szCs w:val="16"/>
                <w:lang w:eastAsia="en-IN"/>
              </w:rPr>
              <w:t xml:space="preserve">(PhP </w:t>
            </w:r>
            <w:r>
              <w:rPr>
                <w:b/>
                <w:i/>
                <w:sz w:val="20"/>
                <w:szCs w:val="16"/>
                <w:lang w:eastAsia="en-IN"/>
              </w:rPr>
              <w:t>millions</w:t>
            </w:r>
            <w:r w:rsidRPr="00E35674">
              <w:rPr>
                <w:b/>
                <w:i/>
                <w:sz w:val="20"/>
                <w:szCs w:val="16"/>
                <w:lang w:eastAsia="en-IN"/>
              </w:rPr>
              <w:t>)</w:t>
            </w:r>
            <w:r>
              <w:rPr>
                <w:b/>
                <w:i/>
                <w:sz w:val="20"/>
                <w:szCs w:val="16"/>
                <w:lang w:eastAsia="en-IN"/>
              </w:rPr>
              <w:t xml:space="preserve"> </w:t>
            </w:r>
          </w:p>
        </w:tc>
        <w:tc>
          <w:tcPr>
            <w:tcW w:w="716" w:type="dxa"/>
            <w:vMerge w:val="restart"/>
            <w:tcBorders>
              <w:top w:val="double" w:sz="4" w:space="0" w:color="auto"/>
              <w:right w:val="double" w:sz="4" w:space="0" w:color="auto"/>
            </w:tcBorders>
            <w:shd w:val="clear" w:color="auto" w:fill="D9D9D9" w:themeFill="background1" w:themeFillShade="D9"/>
            <w:noWrap/>
            <w:vAlign w:val="center"/>
          </w:tcPr>
          <w:p w14:paraId="432CDAE4" w14:textId="77777777" w:rsidR="00917C30" w:rsidRPr="003567C3" w:rsidRDefault="00917C30" w:rsidP="009E55FB">
            <w:pPr>
              <w:jc w:val="center"/>
              <w:rPr>
                <w:b/>
                <w:i/>
                <w:sz w:val="20"/>
                <w:szCs w:val="16"/>
                <w:lang w:eastAsia="en-IN"/>
              </w:rPr>
            </w:pPr>
            <w:r w:rsidRPr="003567C3">
              <w:rPr>
                <w:b/>
                <w:i/>
                <w:sz w:val="20"/>
                <w:szCs w:val="16"/>
                <w:lang w:eastAsia="en-IN"/>
              </w:rPr>
              <w:t>%</w:t>
            </w:r>
          </w:p>
        </w:tc>
      </w:tr>
      <w:tr w:rsidR="00917C30" w:rsidRPr="005A497D" w14:paraId="6902ADA0" w14:textId="77777777" w:rsidTr="009E55FB">
        <w:trPr>
          <w:trHeight w:val="510"/>
          <w:tblHeader/>
        </w:trPr>
        <w:tc>
          <w:tcPr>
            <w:tcW w:w="2621" w:type="dxa"/>
            <w:tcBorders>
              <w:top w:val="double" w:sz="4" w:space="0" w:color="auto"/>
              <w:left w:val="double" w:sz="4" w:space="0" w:color="auto"/>
              <w:bottom w:val="double" w:sz="4" w:space="0" w:color="auto"/>
            </w:tcBorders>
            <w:shd w:val="clear" w:color="auto" w:fill="D9D9D9" w:themeFill="background1" w:themeFillShade="D9"/>
            <w:noWrap/>
            <w:vAlign w:val="center"/>
            <w:hideMark/>
          </w:tcPr>
          <w:p w14:paraId="798B724E" w14:textId="77777777" w:rsidR="00917C30" w:rsidRPr="003567C3" w:rsidRDefault="00917C30" w:rsidP="009E55FB">
            <w:pPr>
              <w:jc w:val="center"/>
              <w:rPr>
                <w:b/>
                <w:i/>
                <w:sz w:val="20"/>
                <w:szCs w:val="16"/>
                <w:lang w:eastAsia="en-IN"/>
              </w:rPr>
            </w:pPr>
            <w:r w:rsidRPr="003567C3">
              <w:rPr>
                <w:b/>
                <w:i/>
                <w:sz w:val="20"/>
                <w:szCs w:val="16"/>
                <w:lang w:eastAsia="en-IN"/>
              </w:rPr>
              <w:t xml:space="preserve">Administrative or </w:t>
            </w:r>
          </w:p>
          <w:p w14:paraId="75AD0734" w14:textId="77777777" w:rsidR="00917C30" w:rsidRPr="003567C3" w:rsidRDefault="00917C30" w:rsidP="009E55FB">
            <w:pPr>
              <w:jc w:val="center"/>
              <w:rPr>
                <w:b/>
                <w:i/>
                <w:sz w:val="20"/>
                <w:szCs w:val="16"/>
                <w:lang w:eastAsia="en-IN"/>
              </w:rPr>
            </w:pPr>
            <w:r>
              <w:rPr>
                <w:b/>
                <w:i/>
                <w:sz w:val="20"/>
                <w:szCs w:val="16"/>
                <w:lang w:eastAsia="en-IN"/>
              </w:rPr>
              <w:t>f</w:t>
            </w:r>
            <w:r w:rsidRPr="003567C3">
              <w:rPr>
                <w:b/>
                <w:i/>
                <w:sz w:val="20"/>
                <w:szCs w:val="16"/>
                <w:lang w:eastAsia="en-IN"/>
              </w:rPr>
              <w:t xml:space="preserve">unctional </w:t>
            </w:r>
            <w:r>
              <w:rPr>
                <w:b/>
                <w:i/>
                <w:sz w:val="20"/>
                <w:szCs w:val="16"/>
                <w:lang w:eastAsia="en-IN"/>
              </w:rPr>
              <w:t>h</w:t>
            </w:r>
            <w:r w:rsidRPr="003567C3">
              <w:rPr>
                <w:b/>
                <w:i/>
                <w:sz w:val="20"/>
                <w:szCs w:val="16"/>
                <w:lang w:eastAsia="en-IN"/>
              </w:rPr>
              <w:t>ead</w:t>
            </w:r>
          </w:p>
        </w:tc>
        <w:tc>
          <w:tcPr>
            <w:tcW w:w="1260" w:type="dxa"/>
            <w:tcBorders>
              <w:top w:val="double" w:sz="4" w:space="0" w:color="auto"/>
              <w:bottom w:val="double" w:sz="4" w:space="0" w:color="auto"/>
            </w:tcBorders>
            <w:shd w:val="clear" w:color="auto" w:fill="D9D9D9" w:themeFill="background1" w:themeFillShade="D9"/>
            <w:noWrap/>
            <w:vAlign w:val="center"/>
            <w:hideMark/>
          </w:tcPr>
          <w:p w14:paraId="09FA5340" w14:textId="77777777" w:rsidR="00917C30" w:rsidRPr="003567C3" w:rsidRDefault="00917C30" w:rsidP="009E55FB">
            <w:pPr>
              <w:jc w:val="center"/>
              <w:rPr>
                <w:b/>
                <w:bCs/>
                <w:i/>
                <w:sz w:val="20"/>
                <w:szCs w:val="16"/>
                <w:lang w:eastAsia="en-IN"/>
              </w:rPr>
            </w:pPr>
            <w:r w:rsidRPr="003567C3">
              <w:rPr>
                <w:b/>
                <w:bCs/>
                <w:i/>
                <w:sz w:val="20"/>
                <w:szCs w:val="16"/>
                <w:lang w:eastAsia="en-IN"/>
              </w:rPr>
              <w:t>Budget</w:t>
            </w:r>
          </w:p>
        </w:tc>
        <w:tc>
          <w:tcPr>
            <w:tcW w:w="1260" w:type="dxa"/>
            <w:tcBorders>
              <w:top w:val="double" w:sz="4" w:space="0" w:color="auto"/>
              <w:bottom w:val="double" w:sz="4" w:space="0" w:color="auto"/>
            </w:tcBorders>
            <w:shd w:val="clear" w:color="auto" w:fill="D9D9D9" w:themeFill="background1" w:themeFillShade="D9"/>
            <w:noWrap/>
            <w:vAlign w:val="center"/>
            <w:hideMark/>
          </w:tcPr>
          <w:p w14:paraId="63586D61" w14:textId="77777777" w:rsidR="00917C30" w:rsidRPr="003567C3" w:rsidRDefault="00917C30" w:rsidP="009E55FB">
            <w:pPr>
              <w:jc w:val="center"/>
              <w:rPr>
                <w:b/>
                <w:bCs/>
                <w:i/>
                <w:sz w:val="20"/>
                <w:szCs w:val="16"/>
                <w:lang w:eastAsia="en-IN"/>
              </w:rPr>
            </w:pPr>
            <w:r w:rsidRPr="003567C3">
              <w:rPr>
                <w:b/>
                <w:bCs/>
                <w:i/>
                <w:sz w:val="20"/>
                <w:szCs w:val="16"/>
                <w:lang w:eastAsia="en-IN"/>
              </w:rPr>
              <w:t>Actual</w:t>
            </w:r>
          </w:p>
        </w:tc>
        <w:tc>
          <w:tcPr>
            <w:tcW w:w="1170" w:type="dxa"/>
            <w:tcBorders>
              <w:top w:val="double" w:sz="4" w:space="0" w:color="auto"/>
              <w:bottom w:val="double" w:sz="4" w:space="0" w:color="auto"/>
            </w:tcBorders>
            <w:shd w:val="clear" w:color="auto" w:fill="D9D9D9" w:themeFill="background1" w:themeFillShade="D9"/>
            <w:vAlign w:val="center"/>
            <w:hideMark/>
          </w:tcPr>
          <w:p w14:paraId="526905BE" w14:textId="77777777" w:rsidR="00917C30" w:rsidRPr="003567C3" w:rsidRDefault="00917C30" w:rsidP="009E55FB">
            <w:pPr>
              <w:jc w:val="center"/>
              <w:rPr>
                <w:b/>
                <w:i/>
                <w:sz w:val="20"/>
                <w:szCs w:val="16"/>
                <w:lang w:eastAsia="en-IN"/>
              </w:rPr>
            </w:pPr>
            <w:r w:rsidRPr="003567C3">
              <w:rPr>
                <w:b/>
                <w:i/>
                <w:sz w:val="20"/>
                <w:szCs w:val="16"/>
                <w:lang w:eastAsia="en-IN"/>
              </w:rPr>
              <w:t xml:space="preserve">Adjusted </w:t>
            </w:r>
            <w:r>
              <w:rPr>
                <w:b/>
                <w:i/>
                <w:sz w:val="20"/>
                <w:szCs w:val="16"/>
                <w:lang w:eastAsia="en-IN"/>
              </w:rPr>
              <w:t>b</w:t>
            </w:r>
            <w:r w:rsidRPr="003567C3">
              <w:rPr>
                <w:b/>
                <w:i/>
                <w:sz w:val="20"/>
                <w:szCs w:val="16"/>
                <w:lang w:eastAsia="en-IN"/>
              </w:rPr>
              <w:t>udget</w:t>
            </w:r>
          </w:p>
        </w:tc>
        <w:tc>
          <w:tcPr>
            <w:tcW w:w="1170" w:type="dxa"/>
            <w:tcBorders>
              <w:top w:val="double" w:sz="4" w:space="0" w:color="auto"/>
              <w:bottom w:val="double" w:sz="4" w:space="0" w:color="auto"/>
            </w:tcBorders>
            <w:shd w:val="clear" w:color="auto" w:fill="D9D9D9" w:themeFill="background1" w:themeFillShade="D9"/>
            <w:vAlign w:val="center"/>
            <w:hideMark/>
          </w:tcPr>
          <w:p w14:paraId="220E2C42" w14:textId="77777777" w:rsidR="00917C30" w:rsidRPr="003567C3" w:rsidRDefault="00917C30" w:rsidP="009E55FB">
            <w:pPr>
              <w:jc w:val="center"/>
              <w:rPr>
                <w:b/>
                <w:i/>
                <w:sz w:val="20"/>
                <w:szCs w:val="16"/>
                <w:lang w:eastAsia="en-IN"/>
              </w:rPr>
            </w:pPr>
            <w:r w:rsidRPr="003567C3">
              <w:rPr>
                <w:b/>
                <w:i/>
                <w:sz w:val="20"/>
                <w:szCs w:val="16"/>
                <w:lang w:eastAsia="en-IN"/>
              </w:rPr>
              <w:t>Deviation</w:t>
            </w:r>
          </w:p>
        </w:tc>
        <w:tc>
          <w:tcPr>
            <w:tcW w:w="1170" w:type="dxa"/>
            <w:tcBorders>
              <w:top w:val="double" w:sz="4" w:space="0" w:color="auto"/>
              <w:bottom w:val="double" w:sz="4" w:space="0" w:color="auto"/>
            </w:tcBorders>
            <w:shd w:val="clear" w:color="auto" w:fill="D9D9D9" w:themeFill="background1" w:themeFillShade="D9"/>
            <w:vAlign w:val="center"/>
            <w:hideMark/>
          </w:tcPr>
          <w:p w14:paraId="14C4987A" w14:textId="77777777" w:rsidR="00917C30" w:rsidRPr="003567C3" w:rsidRDefault="00917C30" w:rsidP="009E55FB">
            <w:pPr>
              <w:jc w:val="center"/>
              <w:rPr>
                <w:b/>
                <w:i/>
                <w:sz w:val="20"/>
                <w:szCs w:val="16"/>
                <w:lang w:eastAsia="en-IN"/>
              </w:rPr>
            </w:pPr>
            <w:r w:rsidRPr="003567C3">
              <w:rPr>
                <w:b/>
                <w:i/>
                <w:sz w:val="20"/>
                <w:szCs w:val="16"/>
                <w:lang w:eastAsia="en-IN"/>
              </w:rPr>
              <w:t xml:space="preserve">Absolute </w:t>
            </w:r>
            <w:r>
              <w:rPr>
                <w:b/>
                <w:i/>
                <w:sz w:val="20"/>
                <w:szCs w:val="16"/>
                <w:lang w:eastAsia="en-IN"/>
              </w:rPr>
              <w:t>d</w:t>
            </w:r>
            <w:r w:rsidRPr="003567C3">
              <w:rPr>
                <w:b/>
                <w:i/>
                <w:sz w:val="20"/>
                <w:szCs w:val="16"/>
                <w:lang w:eastAsia="en-IN"/>
              </w:rPr>
              <w:t>eviation</w:t>
            </w:r>
          </w:p>
        </w:tc>
        <w:tc>
          <w:tcPr>
            <w:tcW w:w="716" w:type="dxa"/>
            <w:vMerge/>
            <w:tcBorders>
              <w:bottom w:val="double" w:sz="4" w:space="0" w:color="auto"/>
              <w:right w:val="double" w:sz="4" w:space="0" w:color="auto"/>
            </w:tcBorders>
            <w:shd w:val="clear" w:color="auto" w:fill="D9D9D9" w:themeFill="background1" w:themeFillShade="D9"/>
            <w:noWrap/>
            <w:vAlign w:val="center"/>
            <w:hideMark/>
          </w:tcPr>
          <w:p w14:paraId="551A3226" w14:textId="77777777" w:rsidR="00917C30" w:rsidRPr="003567C3" w:rsidRDefault="00917C30" w:rsidP="009E55FB">
            <w:pPr>
              <w:jc w:val="center"/>
              <w:rPr>
                <w:b/>
                <w:i/>
                <w:sz w:val="20"/>
                <w:szCs w:val="16"/>
                <w:lang w:eastAsia="en-IN"/>
              </w:rPr>
            </w:pPr>
          </w:p>
        </w:tc>
      </w:tr>
      <w:tr w:rsidR="00F443A1" w:rsidRPr="005A497D" w14:paraId="3B2C0458" w14:textId="77777777" w:rsidTr="000D0E8D">
        <w:trPr>
          <w:trHeight w:val="132"/>
        </w:trPr>
        <w:tc>
          <w:tcPr>
            <w:tcW w:w="2621" w:type="dxa"/>
            <w:tcBorders>
              <w:top w:val="double" w:sz="4" w:space="0" w:color="auto"/>
              <w:left w:val="double" w:sz="4" w:space="0" w:color="auto"/>
            </w:tcBorders>
            <w:shd w:val="clear" w:color="auto" w:fill="auto"/>
            <w:noWrap/>
            <w:vAlign w:val="center"/>
            <w:hideMark/>
          </w:tcPr>
          <w:p w14:paraId="26CBBA74" w14:textId="77777777" w:rsidR="00F443A1" w:rsidRPr="00141EB8" w:rsidRDefault="00F443A1" w:rsidP="00F443A1">
            <w:pPr>
              <w:rPr>
                <w:sz w:val="18"/>
                <w:szCs w:val="18"/>
                <w:lang w:eastAsia="en-IN"/>
              </w:rPr>
            </w:pPr>
            <w:r w:rsidRPr="00141EB8">
              <w:rPr>
                <w:sz w:val="18"/>
                <w:szCs w:val="18"/>
                <w:lang w:eastAsia="en-IN"/>
              </w:rPr>
              <w:t>DoF</w:t>
            </w:r>
          </w:p>
        </w:tc>
        <w:tc>
          <w:tcPr>
            <w:tcW w:w="1260" w:type="dxa"/>
            <w:tcBorders>
              <w:top w:val="double" w:sz="4" w:space="0" w:color="auto"/>
            </w:tcBorders>
            <w:shd w:val="clear" w:color="auto" w:fill="auto"/>
            <w:noWrap/>
            <w:vAlign w:val="center"/>
            <w:hideMark/>
          </w:tcPr>
          <w:p w14:paraId="70BCBA1F" w14:textId="77777777" w:rsidR="00F443A1" w:rsidRPr="00141EB8" w:rsidRDefault="00F443A1" w:rsidP="00F443A1">
            <w:pPr>
              <w:jc w:val="right"/>
              <w:rPr>
                <w:color w:val="000000"/>
                <w:sz w:val="18"/>
                <w:szCs w:val="18"/>
                <w:lang w:eastAsia="en-IN"/>
              </w:rPr>
            </w:pPr>
            <w:r>
              <w:rPr>
                <w:sz w:val="18"/>
                <w:szCs w:val="18"/>
              </w:rPr>
              <w:t xml:space="preserve">          184,765.02 </w:t>
            </w:r>
          </w:p>
        </w:tc>
        <w:tc>
          <w:tcPr>
            <w:tcW w:w="1260" w:type="dxa"/>
            <w:tcBorders>
              <w:top w:val="double" w:sz="4" w:space="0" w:color="auto"/>
            </w:tcBorders>
            <w:shd w:val="clear" w:color="auto" w:fill="auto"/>
            <w:noWrap/>
            <w:vAlign w:val="center"/>
            <w:hideMark/>
          </w:tcPr>
          <w:p w14:paraId="133D2A21" w14:textId="77777777" w:rsidR="00F443A1" w:rsidRPr="00141EB8" w:rsidRDefault="00F443A1" w:rsidP="00F443A1">
            <w:pPr>
              <w:jc w:val="right"/>
              <w:rPr>
                <w:color w:val="000000"/>
                <w:sz w:val="18"/>
                <w:szCs w:val="18"/>
                <w:lang w:eastAsia="en-IN"/>
              </w:rPr>
            </w:pPr>
            <w:r>
              <w:rPr>
                <w:sz w:val="18"/>
                <w:szCs w:val="18"/>
              </w:rPr>
              <w:t xml:space="preserve">         180,612.93 </w:t>
            </w:r>
          </w:p>
        </w:tc>
        <w:tc>
          <w:tcPr>
            <w:tcW w:w="1170" w:type="dxa"/>
            <w:tcBorders>
              <w:top w:val="double" w:sz="4" w:space="0" w:color="auto"/>
            </w:tcBorders>
            <w:shd w:val="clear" w:color="auto" w:fill="auto"/>
            <w:noWrap/>
            <w:vAlign w:val="bottom"/>
            <w:hideMark/>
          </w:tcPr>
          <w:p w14:paraId="2C85F900" w14:textId="22C8C32D" w:rsidR="00F443A1" w:rsidRPr="00141EB8" w:rsidRDefault="00F443A1" w:rsidP="00F443A1">
            <w:pPr>
              <w:jc w:val="right"/>
              <w:rPr>
                <w:sz w:val="18"/>
                <w:szCs w:val="18"/>
                <w:lang w:eastAsia="en-IN"/>
              </w:rPr>
            </w:pPr>
            <w:r>
              <w:rPr>
                <w:sz w:val="18"/>
                <w:szCs w:val="18"/>
              </w:rPr>
              <w:t>151,055.76</w:t>
            </w:r>
          </w:p>
        </w:tc>
        <w:tc>
          <w:tcPr>
            <w:tcW w:w="1170" w:type="dxa"/>
            <w:tcBorders>
              <w:top w:val="double" w:sz="4" w:space="0" w:color="auto"/>
            </w:tcBorders>
            <w:shd w:val="clear" w:color="auto" w:fill="auto"/>
            <w:noWrap/>
            <w:vAlign w:val="bottom"/>
            <w:hideMark/>
          </w:tcPr>
          <w:p w14:paraId="2AAE33A4" w14:textId="7BD84640" w:rsidR="00F443A1" w:rsidRPr="00141EB8" w:rsidRDefault="00F443A1" w:rsidP="00F443A1">
            <w:pPr>
              <w:jc w:val="right"/>
              <w:rPr>
                <w:sz w:val="18"/>
                <w:szCs w:val="18"/>
                <w:lang w:eastAsia="en-IN"/>
              </w:rPr>
            </w:pPr>
            <w:r>
              <w:rPr>
                <w:sz w:val="18"/>
                <w:szCs w:val="18"/>
              </w:rPr>
              <w:t xml:space="preserve">29,557.17 </w:t>
            </w:r>
          </w:p>
        </w:tc>
        <w:tc>
          <w:tcPr>
            <w:tcW w:w="1170" w:type="dxa"/>
            <w:tcBorders>
              <w:top w:val="double" w:sz="4" w:space="0" w:color="auto"/>
            </w:tcBorders>
            <w:shd w:val="clear" w:color="auto" w:fill="auto"/>
            <w:noWrap/>
            <w:vAlign w:val="bottom"/>
            <w:hideMark/>
          </w:tcPr>
          <w:p w14:paraId="77FFEEB8" w14:textId="0E3FDFD3" w:rsidR="00F443A1" w:rsidRPr="00141EB8" w:rsidRDefault="00F443A1" w:rsidP="00F443A1">
            <w:pPr>
              <w:jc w:val="right"/>
              <w:rPr>
                <w:sz w:val="18"/>
                <w:szCs w:val="18"/>
                <w:lang w:eastAsia="en-IN"/>
              </w:rPr>
            </w:pPr>
            <w:r>
              <w:rPr>
                <w:sz w:val="18"/>
                <w:szCs w:val="18"/>
              </w:rPr>
              <w:t xml:space="preserve">29,557.17 </w:t>
            </w:r>
          </w:p>
        </w:tc>
        <w:tc>
          <w:tcPr>
            <w:tcW w:w="716" w:type="dxa"/>
            <w:tcBorders>
              <w:top w:val="double" w:sz="4" w:space="0" w:color="auto"/>
              <w:right w:val="double" w:sz="4" w:space="0" w:color="auto"/>
            </w:tcBorders>
            <w:shd w:val="clear" w:color="auto" w:fill="auto"/>
            <w:noWrap/>
            <w:vAlign w:val="bottom"/>
            <w:hideMark/>
          </w:tcPr>
          <w:p w14:paraId="3076085F" w14:textId="2B104B23" w:rsidR="00F443A1" w:rsidRPr="00141EB8" w:rsidRDefault="00F443A1" w:rsidP="00F443A1">
            <w:pPr>
              <w:jc w:val="right"/>
              <w:rPr>
                <w:sz w:val="18"/>
                <w:szCs w:val="18"/>
                <w:lang w:eastAsia="en-IN"/>
              </w:rPr>
            </w:pPr>
            <w:r>
              <w:rPr>
                <w:sz w:val="18"/>
                <w:szCs w:val="18"/>
              </w:rPr>
              <w:t>19.57</w:t>
            </w:r>
          </w:p>
        </w:tc>
      </w:tr>
      <w:tr w:rsidR="00F443A1" w:rsidRPr="005A497D" w14:paraId="33A37ADA" w14:textId="77777777" w:rsidTr="000D0E8D">
        <w:trPr>
          <w:trHeight w:val="288"/>
        </w:trPr>
        <w:tc>
          <w:tcPr>
            <w:tcW w:w="2621" w:type="dxa"/>
            <w:tcBorders>
              <w:left w:val="double" w:sz="4" w:space="0" w:color="auto"/>
            </w:tcBorders>
            <w:shd w:val="clear" w:color="auto" w:fill="auto"/>
            <w:noWrap/>
            <w:vAlign w:val="center"/>
            <w:hideMark/>
          </w:tcPr>
          <w:p w14:paraId="22AF8A06" w14:textId="77777777" w:rsidR="00F443A1" w:rsidRPr="00141EB8" w:rsidRDefault="00F443A1" w:rsidP="00F443A1">
            <w:pPr>
              <w:rPr>
                <w:sz w:val="18"/>
                <w:szCs w:val="18"/>
                <w:lang w:eastAsia="en-IN"/>
              </w:rPr>
            </w:pPr>
            <w:r w:rsidRPr="00141EB8">
              <w:rPr>
                <w:sz w:val="18"/>
                <w:szCs w:val="18"/>
                <w:lang w:eastAsia="en-IN"/>
              </w:rPr>
              <w:t>DepEd</w:t>
            </w:r>
          </w:p>
        </w:tc>
        <w:tc>
          <w:tcPr>
            <w:tcW w:w="1260" w:type="dxa"/>
            <w:shd w:val="clear" w:color="auto" w:fill="auto"/>
            <w:noWrap/>
            <w:vAlign w:val="center"/>
            <w:hideMark/>
          </w:tcPr>
          <w:p w14:paraId="434ECACB" w14:textId="77777777" w:rsidR="00F443A1" w:rsidRPr="00141EB8" w:rsidRDefault="00F443A1" w:rsidP="00F443A1">
            <w:pPr>
              <w:jc w:val="right"/>
              <w:rPr>
                <w:color w:val="000000"/>
                <w:sz w:val="18"/>
                <w:szCs w:val="18"/>
                <w:lang w:eastAsia="en-IN"/>
              </w:rPr>
            </w:pPr>
            <w:r>
              <w:rPr>
                <w:sz w:val="18"/>
                <w:szCs w:val="18"/>
              </w:rPr>
              <w:t xml:space="preserve">          267,776.97 </w:t>
            </w:r>
          </w:p>
        </w:tc>
        <w:tc>
          <w:tcPr>
            <w:tcW w:w="1260" w:type="dxa"/>
            <w:shd w:val="clear" w:color="auto" w:fill="auto"/>
            <w:noWrap/>
            <w:vAlign w:val="center"/>
            <w:hideMark/>
          </w:tcPr>
          <w:p w14:paraId="40C69394" w14:textId="77777777" w:rsidR="00F443A1" w:rsidRPr="00141EB8" w:rsidRDefault="00F443A1" w:rsidP="00F443A1">
            <w:pPr>
              <w:jc w:val="right"/>
              <w:rPr>
                <w:color w:val="000000"/>
                <w:sz w:val="18"/>
                <w:szCs w:val="18"/>
                <w:lang w:eastAsia="en-IN"/>
              </w:rPr>
            </w:pPr>
            <w:r>
              <w:rPr>
                <w:color w:val="000000"/>
                <w:sz w:val="18"/>
                <w:szCs w:val="18"/>
              </w:rPr>
              <w:t xml:space="preserve">         240,534.19 </w:t>
            </w:r>
          </w:p>
        </w:tc>
        <w:tc>
          <w:tcPr>
            <w:tcW w:w="1170" w:type="dxa"/>
            <w:shd w:val="clear" w:color="auto" w:fill="auto"/>
            <w:noWrap/>
            <w:vAlign w:val="bottom"/>
            <w:hideMark/>
          </w:tcPr>
          <w:p w14:paraId="1D1879B2" w14:textId="59BFCB22" w:rsidR="00F443A1" w:rsidRPr="00141EB8" w:rsidRDefault="00F443A1" w:rsidP="00F443A1">
            <w:pPr>
              <w:jc w:val="right"/>
              <w:rPr>
                <w:sz w:val="18"/>
                <w:szCs w:val="18"/>
                <w:lang w:eastAsia="en-IN"/>
              </w:rPr>
            </w:pPr>
            <w:r>
              <w:rPr>
                <w:sz w:val="18"/>
                <w:szCs w:val="18"/>
              </w:rPr>
              <w:t>218,922.69</w:t>
            </w:r>
          </w:p>
        </w:tc>
        <w:tc>
          <w:tcPr>
            <w:tcW w:w="1170" w:type="dxa"/>
            <w:shd w:val="clear" w:color="auto" w:fill="auto"/>
            <w:noWrap/>
            <w:vAlign w:val="bottom"/>
            <w:hideMark/>
          </w:tcPr>
          <w:p w14:paraId="4F016ED7" w14:textId="3B80AA00" w:rsidR="00F443A1" w:rsidRPr="00141EB8" w:rsidRDefault="00F443A1" w:rsidP="00F443A1">
            <w:pPr>
              <w:jc w:val="right"/>
              <w:rPr>
                <w:sz w:val="18"/>
                <w:szCs w:val="18"/>
                <w:lang w:eastAsia="en-IN"/>
              </w:rPr>
            </w:pPr>
            <w:r>
              <w:rPr>
                <w:sz w:val="18"/>
                <w:szCs w:val="18"/>
              </w:rPr>
              <w:t xml:space="preserve">21,611.50 </w:t>
            </w:r>
          </w:p>
        </w:tc>
        <w:tc>
          <w:tcPr>
            <w:tcW w:w="1170" w:type="dxa"/>
            <w:shd w:val="clear" w:color="auto" w:fill="auto"/>
            <w:noWrap/>
            <w:vAlign w:val="bottom"/>
            <w:hideMark/>
          </w:tcPr>
          <w:p w14:paraId="05060B65" w14:textId="632AD20D" w:rsidR="00F443A1" w:rsidRPr="00141EB8" w:rsidRDefault="00F443A1" w:rsidP="00F443A1">
            <w:pPr>
              <w:jc w:val="right"/>
              <w:rPr>
                <w:sz w:val="18"/>
                <w:szCs w:val="18"/>
                <w:lang w:eastAsia="en-IN"/>
              </w:rPr>
            </w:pPr>
            <w:r>
              <w:rPr>
                <w:sz w:val="18"/>
                <w:szCs w:val="18"/>
              </w:rPr>
              <w:t xml:space="preserve">21,611.50 </w:t>
            </w:r>
          </w:p>
        </w:tc>
        <w:tc>
          <w:tcPr>
            <w:tcW w:w="716" w:type="dxa"/>
            <w:tcBorders>
              <w:right w:val="double" w:sz="4" w:space="0" w:color="auto"/>
            </w:tcBorders>
            <w:shd w:val="clear" w:color="auto" w:fill="auto"/>
            <w:noWrap/>
            <w:vAlign w:val="bottom"/>
            <w:hideMark/>
          </w:tcPr>
          <w:p w14:paraId="53EFDAA3" w14:textId="69F370D6" w:rsidR="00F443A1" w:rsidRPr="00141EB8" w:rsidRDefault="00F443A1" w:rsidP="00F443A1">
            <w:pPr>
              <w:jc w:val="right"/>
              <w:rPr>
                <w:sz w:val="18"/>
                <w:szCs w:val="18"/>
                <w:lang w:eastAsia="en-IN"/>
              </w:rPr>
            </w:pPr>
            <w:r>
              <w:rPr>
                <w:sz w:val="18"/>
                <w:szCs w:val="18"/>
              </w:rPr>
              <w:t>9.87</w:t>
            </w:r>
          </w:p>
        </w:tc>
      </w:tr>
      <w:tr w:rsidR="00F443A1" w:rsidRPr="005A497D" w14:paraId="66914160" w14:textId="77777777" w:rsidTr="000D0E8D">
        <w:trPr>
          <w:trHeight w:val="288"/>
        </w:trPr>
        <w:tc>
          <w:tcPr>
            <w:tcW w:w="2621" w:type="dxa"/>
            <w:tcBorders>
              <w:left w:val="double" w:sz="4" w:space="0" w:color="auto"/>
            </w:tcBorders>
            <w:shd w:val="clear" w:color="auto" w:fill="auto"/>
            <w:noWrap/>
            <w:vAlign w:val="center"/>
            <w:hideMark/>
          </w:tcPr>
          <w:p w14:paraId="21ACDCA8" w14:textId="77777777" w:rsidR="00F443A1" w:rsidRPr="00141EB8" w:rsidRDefault="00F443A1" w:rsidP="00F443A1">
            <w:pPr>
              <w:rPr>
                <w:sz w:val="18"/>
                <w:szCs w:val="18"/>
                <w:lang w:eastAsia="en-IN"/>
              </w:rPr>
            </w:pPr>
            <w:r w:rsidRPr="00141EB8">
              <w:rPr>
                <w:sz w:val="18"/>
                <w:szCs w:val="18"/>
                <w:lang w:eastAsia="en-IN"/>
              </w:rPr>
              <w:t>DPWH</w:t>
            </w:r>
          </w:p>
        </w:tc>
        <w:tc>
          <w:tcPr>
            <w:tcW w:w="1260" w:type="dxa"/>
            <w:shd w:val="clear" w:color="auto" w:fill="auto"/>
            <w:noWrap/>
            <w:vAlign w:val="center"/>
            <w:hideMark/>
          </w:tcPr>
          <w:p w14:paraId="7F99DC3D" w14:textId="77777777" w:rsidR="00F443A1" w:rsidRPr="00141EB8" w:rsidRDefault="00F443A1" w:rsidP="00F443A1">
            <w:pPr>
              <w:jc w:val="right"/>
              <w:rPr>
                <w:color w:val="000000"/>
                <w:sz w:val="18"/>
                <w:szCs w:val="18"/>
                <w:lang w:eastAsia="en-IN"/>
              </w:rPr>
            </w:pPr>
            <w:r>
              <w:rPr>
                <w:sz w:val="18"/>
                <w:szCs w:val="18"/>
              </w:rPr>
              <w:t xml:space="preserve">          205,228.94 </w:t>
            </w:r>
          </w:p>
        </w:tc>
        <w:tc>
          <w:tcPr>
            <w:tcW w:w="1260" w:type="dxa"/>
            <w:shd w:val="clear" w:color="auto" w:fill="auto"/>
            <w:noWrap/>
            <w:vAlign w:val="center"/>
            <w:hideMark/>
          </w:tcPr>
          <w:p w14:paraId="4CA30DBD" w14:textId="77777777" w:rsidR="00F443A1" w:rsidRPr="00141EB8" w:rsidRDefault="00F443A1" w:rsidP="00F443A1">
            <w:pPr>
              <w:jc w:val="right"/>
              <w:rPr>
                <w:color w:val="000000"/>
                <w:sz w:val="18"/>
                <w:szCs w:val="18"/>
                <w:lang w:eastAsia="en-IN"/>
              </w:rPr>
            </w:pPr>
            <w:r>
              <w:rPr>
                <w:color w:val="000000"/>
                <w:sz w:val="18"/>
                <w:szCs w:val="18"/>
              </w:rPr>
              <w:t xml:space="preserve">         158,031.62 </w:t>
            </w:r>
          </w:p>
        </w:tc>
        <w:tc>
          <w:tcPr>
            <w:tcW w:w="1170" w:type="dxa"/>
            <w:shd w:val="clear" w:color="auto" w:fill="auto"/>
            <w:noWrap/>
            <w:vAlign w:val="bottom"/>
            <w:hideMark/>
          </w:tcPr>
          <w:p w14:paraId="2652F5FC" w14:textId="20287468" w:rsidR="00F443A1" w:rsidRPr="00141EB8" w:rsidRDefault="00F443A1" w:rsidP="00F443A1">
            <w:pPr>
              <w:jc w:val="right"/>
              <w:rPr>
                <w:sz w:val="18"/>
                <w:szCs w:val="18"/>
                <w:lang w:eastAsia="en-IN"/>
              </w:rPr>
            </w:pPr>
            <w:r>
              <w:rPr>
                <w:sz w:val="18"/>
                <w:szCs w:val="18"/>
              </w:rPr>
              <w:t>167,786.16</w:t>
            </w:r>
          </w:p>
        </w:tc>
        <w:tc>
          <w:tcPr>
            <w:tcW w:w="1170" w:type="dxa"/>
            <w:shd w:val="clear" w:color="auto" w:fill="auto"/>
            <w:noWrap/>
            <w:vAlign w:val="bottom"/>
            <w:hideMark/>
          </w:tcPr>
          <w:p w14:paraId="57B394B8" w14:textId="5FD3B62E" w:rsidR="00F443A1" w:rsidRPr="00141EB8" w:rsidRDefault="00F443A1" w:rsidP="00F443A1">
            <w:pPr>
              <w:jc w:val="right"/>
              <w:rPr>
                <w:sz w:val="18"/>
                <w:szCs w:val="18"/>
                <w:lang w:eastAsia="en-IN"/>
              </w:rPr>
            </w:pPr>
            <w:r>
              <w:rPr>
                <w:sz w:val="18"/>
                <w:szCs w:val="18"/>
              </w:rPr>
              <w:t>(9,754.54)</w:t>
            </w:r>
          </w:p>
        </w:tc>
        <w:tc>
          <w:tcPr>
            <w:tcW w:w="1170" w:type="dxa"/>
            <w:shd w:val="clear" w:color="auto" w:fill="auto"/>
            <w:noWrap/>
            <w:vAlign w:val="bottom"/>
            <w:hideMark/>
          </w:tcPr>
          <w:p w14:paraId="1F5D3E52" w14:textId="38416F0B" w:rsidR="00F443A1" w:rsidRPr="00141EB8" w:rsidRDefault="00F443A1" w:rsidP="00F443A1">
            <w:pPr>
              <w:jc w:val="right"/>
              <w:rPr>
                <w:sz w:val="18"/>
                <w:szCs w:val="18"/>
                <w:lang w:eastAsia="en-IN"/>
              </w:rPr>
            </w:pPr>
            <w:r>
              <w:rPr>
                <w:sz w:val="18"/>
                <w:szCs w:val="18"/>
              </w:rPr>
              <w:t xml:space="preserve">9,754.54 </w:t>
            </w:r>
          </w:p>
        </w:tc>
        <w:tc>
          <w:tcPr>
            <w:tcW w:w="716" w:type="dxa"/>
            <w:tcBorders>
              <w:right w:val="double" w:sz="4" w:space="0" w:color="auto"/>
            </w:tcBorders>
            <w:shd w:val="clear" w:color="auto" w:fill="auto"/>
            <w:noWrap/>
            <w:vAlign w:val="bottom"/>
            <w:hideMark/>
          </w:tcPr>
          <w:p w14:paraId="572CA3B5" w14:textId="2359A490" w:rsidR="00F443A1" w:rsidRPr="00141EB8" w:rsidRDefault="00F443A1" w:rsidP="00F443A1">
            <w:pPr>
              <w:jc w:val="right"/>
              <w:rPr>
                <w:sz w:val="18"/>
                <w:szCs w:val="18"/>
                <w:lang w:eastAsia="en-IN"/>
              </w:rPr>
            </w:pPr>
            <w:r>
              <w:rPr>
                <w:sz w:val="18"/>
                <w:szCs w:val="18"/>
              </w:rPr>
              <w:t>5.81</w:t>
            </w:r>
          </w:p>
        </w:tc>
      </w:tr>
      <w:tr w:rsidR="00F443A1" w:rsidRPr="005A497D" w14:paraId="56E1E9A3" w14:textId="77777777" w:rsidTr="000D0E8D">
        <w:trPr>
          <w:trHeight w:val="288"/>
        </w:trPr>
        <w:tc>
          <w:tcPr>
            <w:tcW w:w="2621" w:type="dxa"/>
            <w:tcBorders>
              <w:left w:val="double" w:sz="4" w:space="0" w:color="auto"/>
            </w:tcBorders>
            <w:shd w:val="clear" w:color="auto" w:fill="auto"/>
            <w:noWrap/>
            <w:vAlign w:val="center"/>
            <w:hideMark/>
          </w:tcPr>
          <w:p w14:paraId="6D85EBEB" w14:textId="77777777" w:rsidR="00F443A1" w:rsidRPr="00141EB8" w:rsidRDefault="00F443A1" w:rsidP="00F443A1">
            <w:pPr>
              <w:rPr>
                <w:sz w:val="18"/>
                <w:szCs w:val="18"/>
                <w:lang w:eastAsia="en-IN"/>
              </w:rPr>
            </w:pPr>
            <w:r w:rsidRPr="00141EB8">
              <w:rPr>
                <w:sz w:val="18"/>
                <w:szCs w:val="18"/>
                <w:lang w:eastAsia="en-IN"/>
              </w:rPr>
              <w:t>DND</w:t>
            </w:r>
          </w:p>
        </w:tc>
        <w:tc>
          <w:tcPr>
            <w:tcW w:w="1260" w:type="dxa"/>
            <w:shd w:val="clear" w:color="auto" w:fill="auto"/>
            <w:noWrap/>
            <w:vAlign w:val="center"/>
            <w:hideMark/>
          </w:tcPr>
          <w:p w14:paraId="45B893BA" w14:textId="77777777" w:rsidR="00F443A1" w:rsidRPr="00141EB8" w:rsidRDefault="00F443A1" w:rsidP="00F443A1">
            <w:pPr>
              <w:jc w:val="right"/>
              <w:rPr>
                <w:color w:val="000000"/>
                <w:sz w:val="18"/>
                <w:szCs w:val="18"/>
                <w:lang w:eastAsia="en-IN"/>
              </w:rPr>
            </w:pPr>
            <w:r>
              <w:rPr>
                <w:sz w:val="18"/>
                <w:szCs w:val="18"/>
              </w:rPr>
              <w:t xml:space="preserve">          161,376.68 </w:t>
            </w:r>
          </w:p>
        </w:tc>
        <w:tc>
          <w:tcPr>
            <w:tcW w:w="1260" w:type="dxa"/>
            <w:shd w:val="clear" w:color="auto" w:fill="auto"/>
            <w:noWrap/>
            <w:vAlign w:val="center"/>
            <w:hideMark/>
          </w:tcPr>
          <w:p w14:paraId="55081C10" w14:textId="77777777" w:rsidR="00F443A1" w:rsidRPr="00141EB8" w:rsidRDefault="00F443A1" w:rsidP="00F443A1">
            <w:pPr>
              <w:jc w:val="right"/>
              <w:rPr>
                <w:color w:val="000000"/>
                <w:sz w:val="18"/>
                <w:szCs w:val="18"/>
                <w:lang w:eastAsia="en-IN"/>
              </w:rPr>
            </w:pPr>
            <w:r>
              <w:rPr>
                <w:color w:val="000000"/>
                <w:sz w:val="18"/>
                <w:szCs w:val="18"/>
              </w:rPr>
              <w:t xml:space="preserve">         125,271.01 </w:t>
            </w:r>
          </w:p>
        </w:tc>
        <w:tc>
          <w:tcPr>
            <w:tcW w:w="1170" w:type="dxa"/>
            <w:shd w:val="clear" w:color="auto" w:fill="auto"/>
            <w:noWrap/>
            <w:vAlign w:val="bottom"/>
            <w:hideMark/>
          </w:tcPr>
          <w:p w14:paraId="33297552" w14:textId="5226FCCD" w:rsidR="00F443A1" w:rsidRPr="00141EB8" w:rsidRDefault="00F443A1" w:rsidP="00F443A1">
            <w:pPr>
              <w:jc w:val="right"/>
              <w:rPr>
                <w:sz w:val="18"/>
                <w:szCs w:val="18"/>
                <w:lang w:eastAsia="en-IN"/>
              </w:rPr>
            </w:pPr>
            <w:r>
              <w:rPr>
                <w:sz w:val="18"/>
                <w:szCs w:val="18"/>
              </w:rPr>
              <w:t>131,934.48</w:t>
            </w:r>
          </w:p>
        </w:tc>
        <w:tc>
          <w:tcPr>
            <w:tcW w:w="1170" w:type="dxa"/>
            <w:shd w:val="clear" w:color="auto" w:fill="auto"/>
            <w:noWrap/>
            <w:vAlign w:val="bottom"/>
            <w:hideMark/>
          </w:tcPr>
          <w:p w14:paraId="588686A8" w14:textId="50C262EC" w:rsidR="00F443A1" w:rsidRPr="00141EB8" w:rsidRDefault="00F443A1" w:rsidP="00F443A1">
            <w:pPr>
              <w:jc w:val="right"/>
              <w:rPr>
                <w:sz w:val="18"/>
                <w:szCs w:val="18"/>
                <w:lang w:eastAsia="en-IN"/>
              </w:rPr>
            </w:pPr>
            <w:r>
              <w:rPr>
                <w:sz w:val="18"/>
                <w:szCs w:val="18"/>
              </w:rPr>
              <w:t>(6,663.47)</w:t>
            </w:r>
          </w:p>
        </w:tc>
        <w:tc>
          <w:tcPr>
            <w:tcW w:w="1170" w:type="dxa"/>
            <w:shd w:val="clear" w:color="auto" w:fill="auto"/>
            <w:noWrap/>
            <w:vAlign w:val="bottom"/>
            <w:hideMark/>
          </w:tcPr>
          <w:p w14:paraId="3BE8B9E4" w14:textId="2E39B586" w:rsidR="00F443A1" w:rsidRPr="00141EB8" w:rsidRDefault="00F443A1" w:rsidP="00F443A1">
            <w:pPr>
              <w:jc w:val="right"/>
              <w:rPr>
                <w:sz w:val="18"/>
                <w:szCs w:val="18"/>
                <w:lang w:eastAsia="en-IN"/>
              </w:rPr>
            </w:pPr>
            <w:r>
              <w:rPr>
                <w:sz w:val="18"/>
                <w:szCs w:val="18"/>
              </w:rPr>
              <w:t xml:space="preserve">6,663.47 </w:t>
            </w:r>
          </w:p>
        </w:tc>
        <w:tc>
          <w:tcPr>
            <w:tcW w:w="716" w:type="dxa"/>
            <w:tcBorders>
              <w:right w:val="double" w:sz="4" w:space="0" w:color="auto"/>
            </w:tcBorders>
            <w:shd w:val="clear" w:color="auto" w:fill="auto"/>
            <w:noWrap/>
            <w:vAlign w:val="bottom"/>
            <w:hideMark/>
          </w:tcPr>
          <w:p w14:paraId="6A303804" w14:textId="5DE88924" w:rsidR="00F443A1" w:rsidRPr="00141EB8" w:rsidRDefault="00F443A1" w:rsidP="00F443A1">
            <w:pPr>
              <w:jc w:val="right"/>
              <w:rPr>
                <w:sz w:val="18"/>
                <w:szCs w:val="18"/>
                <w:lang w:eastAsia="en-IN"/>
              </w:rPr>
            </w:pPr>
            <w:r>
              <w:rPr>
                <w:sz w:val="18"/>
                <w:szCs w:val="18"/>
              </w:rPr>
              <w:t>5.05</w:t>
            </w:r>
          </w:p>
        </w:tc>
      </w:tr>
      <w:tr w:rsidR="00F443A1" w:rsidRPr="005A497D" w14:paraId="50E3DC9A" w14:textId="77777777" w:rsidTr="000D0E8D">
        <w:trPr>
          <w:trHeight w:val="288"/>
        </w:trPr>
        <w:tc>
          <w:tcPr>
            <w:tcW w:w="2621" w:type="dxa"/>
            <w:tcBorders>
              <w:left w:val="double" w:sz="4" w:space="0" w:color="auto"/>
            </w:tcBorders>
            <w:shd w:val="clear" w:color="auto" w:fill="auto"/>
            <w:noWrap/>
            <w:vAlign w:val="center"/>
            <w:hideMark/>
          </w:tcPr>
          <w:p w14:paraId="33CCF98B" w14:textId="77777777" w:rsidR="00F443A1" w:rsidRPr="00141EB8" w:rsidRDefault="00F443A1" w:rsidP="00F443A1">
            <w:pPr>
              <w:rPr>
                <w:sz w:val="18"/>
                <w:szCs w:val="18"/>
                <w:lang w:eastAsia="en-IN"/>
              </w:rPr>
            </w:pPr>
            <w:r w:rsidRPr="00141EB8">
              <w:rPr>
                <w:sz w:val="18"/>
                <w:szCs w:val="18"/>
                <w:lang w:eastAsia="en-IN"/>
              </w:rPr>
              <w:t>DILG</w:t>
            </w:r>
          </w:p>
        </w:tc>
        <w:tc>
          <w:tcPr>
            <w:tcW w:w="1260" w:type="dxa"/>
            <w:shd w:val="clear" w:color="auto" w:fill="auto"/>
            <w:noWrap/>
            <w:vAlign w:val="center"/>
            <w:hideMark/>
          </w:tcPr>
          <w:p w14:paraId="598E0F7A" w14:textId="77777777" w:rsidR="00F443A1" w:rsidRPr="00141EB8" w:rsidRDefault="00F443A1" w:rsidP="00F443A1">
            <w:pPr>
              <w:jc w:val="right"/>
              <w:rPr>
                <w:color w:val="000000"/>
                <w:sz w:val="18"/>
                <w:szCs w:val="18"/>
                <w:lang w:eastAsia="en-IN"/>
              </w:rPr>
            </w:pPr>
            <w:r>
              <w:rPr>
                <w:sz w:val="18"/>
                <w:szCs w:val="18"/>
              </w:rPr>
              <w:t xml:space="preserve">          128,865.56 </w:t>
            </w:r>
          </w:p>
        </w:tc>
        <w:tc>
          <w:tcPr>
            <w:tcW w:w="1260" w:type="dxa"/>
            <w:shd w:val="clear" w:color="auto" w:fill="auto"/>
            <w:noWrap/>
            <w:vAlign w:val="center"/>
            <w:hideMark/>
          </w:tcPr>
          <w:p w14:paraId="39F4AE30" w14:textId="77777777" w:rsidR="00F443A1" w:rsidRPr="00141EB8" w:rsidRDefault="00F443A1" w:rsidP="00F443A1">
            <w:pPr>
              <w:jc w:val="right"/>
              <w:rPr>
                <w:color w:val="000000"/>
                <w:sz w:val="18"/>
                <w:szCs w:val="18"/>
                <w:lang w:eastAsia="en-IN"/>
              </w:rPr>
            </w:pPr>
            <w:r>
              <w:rPr>
                <w:color w:val="000000"/>
                <w:sz w:val="18"/>
                <w:szCs w:val="18"/>
              </w:rPr>
              <w:t xml:space="preserve">         124,617.58 </w:t>
            </w:r>
          </w:p>
        </w:tc>
        <w:tc>
          <w:tcPr>
            <w:tcW w:w="1170" w:type="dxa"/>
            <w:shd w:val="clear" w:color="auto" w:fill="auto"/>
            <w:noWrap/>
            <w:vAlign w:val="bottom"/>
            <w:hideMark/>
          </w:tcPr>
          <w:p w14:paraId="7ACB2C5E" w14:textId="3F3229DF" w:rsidR="00F443A1" w:rsidRPr="00141EB8" w:rsidRDefault="00F443A1" w:rsidP="00F443A1">
            <w:pPr>
              <w:jc w:val="right"/>
              <w:rPr>
                <w:sz w:val="18"/>
                <w:szCs w:val="18"/>
                <w:lang w:eastAsia="en-IN"/>
              </w:rPr>
            </w:pPr>
            <w:r>
              <w:rPr>
                <w:sz w:val="18"/>
                <w:szCs w:val="18"/>
              </w:rPr>
              <w:t>105,354.82</w:t>
            </w:r>
          </w:p>
        </w:tc>
        <w:tc>
          <w:tcPr>
            <w:tcW w:w="1170" w:type="dxa"/>
            <w:shd w:val="clear" w:color="auto" w:fill="auto"/>
            <w:noWrap/>
            <w:vAlign w:val="bottom"/>
            <w:hideMark/>
          </w:tcPr>
          <w:p w14:paraId="5F72168C" w14:textId="7A76621E" w:rsidR="00F443A1" w:rsidRPr="00141EB8" w:rsidRDefault="00F443A1" w:rsidP="00F443A1">
            <w:pPr>
              <w:jc w:val="right"/>
              <w:rPr>
                <w:sz w:val="18"/>
                <w:szCs w:val="18"/>
                <w:lang w:eastAsia="en-IN"/>
              </w:rPr>
            </w:pPr>
            <w:r>
              <w:rPr>
                <w:sz w:val="18"/>
                <w:szCs w:val="18"/>
              </w:rPr>
              <w:t xml:space="preserve">19,262.76 </w:t>
            </w:r>
          </w:p>
        </w:tc>
        <w:tc>
          <w:tcPr>
            <w:tcW w:w="1170" w:type="dxa"/>
            <w:shd w:val="clear" w:color="auto" w:fill="auto"/>
            <w:noWrap/>
            <w:vAlign w:val="bottom"/>
            <w:hideMark/>
          </w:tcPr>
          <w:p w14:paraId="36D7D133" w14:textId="315131B3" w:rsidR="00F443A1" w:rsidRPr="00141EB8" w:rsidRDefault="00F443A1" w:rsidP="00F443A1">
            <w:pPr>
              <w:jc w:val="right"/>
              <w:rPr>
                <w:sz w:val="18"/>
                <w:szCs w:val="18"/>
                <w:lang w:eastAsia="en-IN"/>
              </w:rPr>
            </w:pPr>
            <w:r>
              <w:rPr>
                <w:sz w:val="18"/>
                <w:szCs w:val="18"/>
              </w:rPr>
              <w:t xml:space="preserve">19,262.76 </w:t>
            </w:r>
          </w:p>
        </w:tc>
        <w:tc>
          <w:tcPr>
            <w:tcW w:w="716" w:type="dxa"/>
            <w:tcBorders>
              <w:right w:val="double" w:sz="4" w:space="0" w:color="auto"/>
            </w:tcBorders>
            <w:shd w:val="clear" w:color="auto" w:fill="auto"/>
            <w:noWrap/>
            <w:vAlign w:val="bottom"/>
            <w:hideMark/>
          </w:tcPr>
          <w:p w14:paraId="1081714A" w14:textId="47FEE60C" w:rsidR="00F443A1" w:rsidRPr="00141EB8" w:rsidRDefault="00F443A1" w:rsidP="00F443A1">
            <w:pPr>
              <w:jc w:val="right"/>
              <w:rPr>
                <w:sz w:val="18"/>
                <w:szCs w:val="18"/>
                <w:lang w:eastAsia="en-IN"/>
              </w:rPr>
            </w:pPr>
            <w:r>
              <w:rPr>
                <w:sz w:val="18"/>
                <w:szCs w:val="18"/>
              </w:rPr>
              <w:t>18.28</w:t>
            </w:r>
          </w:p>
        </w:tc>
      </w:tr>
      <w:tr w:rsidR="00F443A1" w:rsidRPr="005A497D" w14:paraId="376DAB22" w14:textId="77777777" w:rsidTr="000D0E8D">
        <w:trPr>
          <w:trHeight w:val="288"/>
        </w:trPr>
        <w:tc>
          <w:tcPr>
            <w:tcW w:w="2621" w:type="dxa"/>
            <w:tcBorders>
              <w:left w:val="double" w:sz="4" w:space="0" w:color="auto"/>
            </w:tcBorders>
            <w:shd w:val="clear" w:color="auto" w:fill="auto"/>
            <w:noWrap/>
            <w:vAlign w:val="center"/>
            <w:hideMark/>
          </w:tcPr>
          <w:p w14:paraId="5092ED0A" w14:textId="77777777" w:rsidR="00F443A1" w:rsidRPr="00141EB8" w:rsidRDefault="00F443A1" w:rsidP="00F443A1">
            <w:pPr>
              <w:rPr>
                <w:sz w:val="18"/>
                <w:szCs w:val="18"/>
                <w:lang w:eastAsia="en-IN"/>
              </w:rPr>
            </w:pPr>
            <w:r w:rsidRPr="00141EB8">
              <w:rPr>
                <w:sz w:val="18"/>
                <w:szCs w:val="18"/>
                <w:lang w:eastAsia="en-IN"/>
              </w:rPr>
              <w:t>DSWD</w:t>
            </w:r>
          </w:p>
        </w:tc>
        <w:tc>
          <w:tcPr>
            <w:tcW w:w="1260" w:type="dxa"/>
            <w:shd w:val="clear" w:color="auto" w:fill="auto"/>
            <w:noWrap/>
            <w:vAlign w:val="center"/>
            <w:hideMark/>
          </w:tcPr>
          <w:p w14:paraId="2F9C8475" w14:textId="77777777" w:rsidR="00F443A1" w:rsidRPr="00141EB8" w:rsidRDefault="00F443A1" w:rsidP="00F443A1">
            <w:pPr>
              <w:jc w:val="right"/>
              <w:rPr>
                <w:color w:val="000000"/>
                <w:sz w:val="18"/>
                <w:szCs w:val="18"/>
                <w:lang w:eastAsia="en-IN"/>
              </w:rPr>
            </w:pPr>
            <w:r>
              <w:rPr>
                <w:sz w:val="18"/>
                <w:szCs w:val="18"/>
              </w:rPr>
              <w:t xml:space="preserve">            59,724.45 </w:t>
            </w:r>
          </w:p>
        </w:tc>
        <w:tc>
          <w:tcPr>
            <w:tcW w:w="1260" w:type="dxa"/>
            <w:shd w:val="clear" w:color="auto" w:fill="auto"/>
            <w:noWrap/>
            <w:vAlign w:val="center"/>
            <w:hideMark/>
          </w:tcPr>
          <w:p w14:paraId="22923E98" w14:textId="77777777" w:rsidR="00F443A1" w:rsidRPr="00141EB8" w:rsidRDefault="00F443A1" w:rsidP="00F443A1">
            <w:pPr>
              <w:jc w:val="right"/>
              <w:rPr>
                <w:color w:val="000000"/>
                <w:sz w:val="18"/>
                <w:szCs w:val="18"/>
                <w:lang w:eastAsia="en-IN"/>
              </w:rPr>
            </w:pPr>
            <w:r>
              <w:rPr>
                <w:color w:val="000000"/>
                <w:sz w:val="18"/>
                <w:szCs w:val="18"/>
              </w:rPr>
              <w:t xml:space="preserve">           55,774.83 </w:t>
            </w:r>
          </w:p>
        </w:tc>
        <w:tc>
          <w:tcPr>
            <w:tcW w:w="1170" w:type="dxa"/>
            <w:shd w:val="clear" w:color="auto" w:fill="auto"/>
            <w:noWrap/>
            <w:vAlign w:val="bottom"/>
            <w:hideMark/>
          </w:tcPr>
          <w:p w14:paraId="5F7808A3" w14:textId="1687A433" w:rsidR="00F443A1" w:rsidRPr="00141EB8" w:rsidRDefault="00F443A1" w:rsidP="00F443A1">
            <w:pPr>
              <w:jc w:val="right"/>
              <w:rPr>
                <w:sz w:val="18"/>
                <w:szCs w:val="18"/>
                <w:lang w:eastAsia="en-IN"/>
              </w:rPr>
            </w:pPr>
            <w:r>
              <w:rPr>
                <w:sz w:val="18"/>
                <w:szCs w:val="18"/>
              </w:rPr>
              <w:t>48,828.08</w:t>
            </w:r>
          </w:p>
        </w:tc>
        <w:tc>
          <w:tcPr>
            <w:tcW w:w="1170" w:type="dxa"/>
            <w:shd w:val="clear" w:color="auto" w:fill="auto"/>
            <w:noWrap/>
            <w:vAlign w:val="bottom"/>
            <w:hideMark/>
          </w:tcPr>
          <w:p w14:paraId="1AF030A1" w14:textId="558A5693" w:rsidR="00F443A1" w:rsidRPr="00141EB8" w:rsidRDefault="00F443A1" w:rsidP="00F443A1">
            <w:pPr>
              <w:jc w:val="right"/>
              <w:rPr>
                <w:sz w:val="18"/>
                <w:szCs w:val="18"/>
                <w:lang w:eastAsia="en-IN"/>
              </w:rPr>
            </w:pPr>
            <w:r>
              <w:rPr>
                <w:sz w:val="18"/>
                <w:szCs w:val="18"/>
              </w:rPr>
              <w:t xml:space="preserve">6,946.75 </w:t>
            </w:r>
          </w:p>
        </w:tc>
        <w:tc>
          <w:tcPr>
            <w:tcW w:w="1170" w:type="dxa"/>
            <w:shd w:val="clear" w:color="auto" w:fill="auto"/>
            <w:noWrap/>
            <w:vAlign w:val="bottom"/>
            <w:hideMark/>
          </w:tcPr>
          <w:p w14:paraId="0B865B0C" w14:textId="1C0F1EFF" w:rsidR="00F443A1" w:rsidRPr="00141EB8" w:rsidRDefault="00F443A1" w:rsidP="00F443A1">
            <w:pPr>
              <w:jc w:val="right"/>
              <w:rPr>
                <w:sz w:val="18"/>
                <w:szCs w:val="18"/>
                <w:lang w:eastAsia="en-IN"/>
              </w:rPr>
            </w:pPr>
            <w:r>
              <w:rPr>
                <w:sz w:val="18"/>
                <w:szCs w:val="18"/>
              </w:rPr>
              <w:t xml:space="preserve">6,946.75 </w:t>
            </w:r>
          </w:p>
        </w:tc>
        <w:tc>
          <w:tcPr>
            <w:tcW w:w="716" w:type="dxa"/>
            <w:tcBorders>
              <w:right w:val="double" w:sz="4" w:space="0" w:color="auto"/>
            </w:tcBorders>
            <w:shd w:val="clear" w:color="auto" w:fill="auto"/>
            <w:noWrap/>
            <w:vAlign w:val="bottom"/>
            <w:hideMark/>
          </w:tcPr>
          <w:p w14:paraId="3C5F8492" w14:textId="6F42DFF2" w:rsidR="00F443A1" w:rsidRPr="00141EB8" w:rsidRDefault="00F443A1" w:rsidP="00F443A1">
            <w:pPr>
              <w:jc w:val="right"/>
              <w:rPr>
                <w:sz w:val="18"/>
                <w:szCs w:val="18"/>
                <w:lang w:eastAsia="en-IN"/>
              </w:rPr>
            </w:pPr>
            <w:r>
              <w:rPr>
                <w:sz w:val="18"/>
                <w:szCs w:val="18"/>
              </w:rPr>
              <w:t>14.23</w:t>
            </w:r>
          </w:p>
        </w:tc>
      </w:tr>
      <w:tr w:rsidR="00F443A1" w:rsidRPr="005A497D" w14:paraId="1EA7B60A" w14:textId="77777777" w:rsidTr="000D0E8D">
        <w:trPr>
          <w:trHeight w:val="288"/>
        </w:trPr>
        <w:tc>
          <w:tcPr>
            <w:tcW w:w="2621" w:type="dxa"/>
            <w:tcBorders>
              <w:left w:val="double" w:sz="4" w:space="0" w:color="auto"/>
            </w:tcBorders>
            <w:shd w:val="clear" w:color="auto" w:fill="auto"/>
            <w:noWrap/>
            <w:vAlign w:val="center"/>
            <w:hideMark/>
          </w:tcPr>
          <w:p w14:paraId="054B05E1" w14:textId="77777777" w:rsidR="00F443A1" w:rsidRPr="00141EB8" w:rsidRDefault="00F443A1" w:rsidP="00F443A1">
            <w:pPr>
              <w:rPr>
                <w:sz w:val="18"/>
                <w:szCs w:val="18"/>
                <w:lang w:eastAsia="en-IN"/>
              </w:rPr>
            </w:pPr>
            <w:r>
              <w:rPr>
                <w:sz w:val="18"/>
                <w:szCs w:val="18"/>
                <w:lang w:eastAsia="en-IN"/>
              </w:rPr>
              <w:t>DoH</w:t>
            </w:r>
          </w:p>
        </w:tc>
        <w:tc>
          <w:tcPr>
            <w:tcW w:w="1260" w:type="dxa"/>
            <w:shd w:val="clear" w:color="auto" w:fill="auto"/>
            <w:noWrap/>
            <w:vAlign w:val="center"/>
            <w:hideMark/>
          </w:tcPr>
          <w:p w14:paraId="2A2D4A01" w14:textId="77777777" w:rsidR="00F443A1" w:rsidRPr="00141EB8" w:rsidRDefault="00F443A1" w:rsidP="00F443A1">
            <w:pPr>
              <w:jc w:val="right"/>
              <w:rPr>
                <w:color w:val="000000"/>
                <w:sz w:val="18"/>
                <w:szCs w:val="18"/>
                <w:lang w:eastAsia="en-IN"/>
              </w:rPr>
            </w:pPr>
            <w:r>
              <w:rPr>
                <w:sz w:val="18"/>
                <w:szCs w:val="18"/>
              </w:rPr>
              <w:t xml:space="preserve">            41,876.48 </w:t>
            </w:r>
          </w:p>
        </w:tc>
        <w:tc>
          <w:tcPr>
            <w:tcW w:w="1260" w:type="dxa"/>
            <w:shd w:val="clear" w:color="auto" w:fill="auto"/>
            <w:noWrap/>
            <w:vAlign w:val="center"/>
            <w:hideMark/>
          </w:tcPr>
          <w:p w14:paraId="267CC3DC" w14:textId="77777777" w:rsidR="00F443A1" w:rsidRPr="00141EB8" w:rsidRDefault="00F443A1" w:rsidP="00F443A1">
            <w:pPr>
              <w:jc w:val="right"/>
              <w:rPr>
                <w:color w:val="000000"/>
                <w:sz w:val="18"/>
                <w:szCs w:val="18"/>
                <w:lang w:eastAsia="en-IN"/>
              </w:rPr>
            </w:pPr>
            <w:r>
              <w:rPr>
                <w:color w:val="000000"/>
                <w:sz w:val="18"/>
                <w:szCs w:val="18"/>
              </w:rPr>
              <w:t xml:space="preserve">           34,413.61 </w:t>
            </w:r>
          </w:p>
        </w:tc>
        <w:tc>
          <w:tcPr>
            <w:tcW w:w="1170" w:type="dxa"/>
            <w:shd w:val="clear" w:color="auto" w:fill="auto"/>
            <w:noWrap/>
            <w:vAlign w:val="bottom"/>
            <w:hideMark/>
          </w:tcPr>
          <w:p w14:paraId="1B728AF1" w14:textId="26A1D037" w:rsidR="00F443A1" w:rsidRPr="00141EB8" w:rsidRDefault="00F443A1" w:rsidP="00F443A1">
            <w:pPr>
              <w:jc w:val="right"/>
              <w:rPr>
                <w:sz w:val="18"/>
                <w:szCs w:val="18"/>
                <w:lang w:eastAsia="en-IN"/>
              </w:rPr>
            </w:pPr>
            <w:r>
              <w:rPr>
                <w:sz w:val="18"/>
                <w:szCs w:val="18"/>
              </w:rPr>
              <w:t>34,236.37</w:t>
            </w:r>
          </w:p>
        </w:tc>
        <w:tc>
          <w:tcPr>
            <w:tcW w:w="1170" w:type="dxa"/>
            <w:shd w:val="clear" w:color="auto" w:fill="auto"/>
            <w:noWrap/>
            <w:vAlign w:val="bottom"/>
            <w:hideMark/>
          </w:tcPr>
          <w:p w14:paraId="144905FD" w14:textId="4A0D7D1B" w:rsidR="00F443A1" w:rsidRPr="00141EB8" w:rsidRDefault="00F443A1" w:rsidP="00F443A1">
            <w:pPr>
              <w:jc w:val="right"/>
              <w:rPr>
                <w:sz w:val="18"/>
                <w:szCs w:val="18"/>
                <w:lang w:eastAsia="en-IN"/>
              </w:rPr>
            </w:pPr>
            <w:r>
              <w:rPr>
                <w:sz w:val="18"/>
                <w:szCs w:val="18"/>
              </w:rPr>
              <w:t xml:space="preserve">177.24 </w:t>
            </w:r>
          </w:p>
        </w:tc>
        <w:tc>
          <w:tcPr>
            <w:tcW w:w="1170" w:type="dxa"/>
            <w:shd w:val="clear" w:color="auto" w:fill="auto"/>
            <w:noWrap/>
            <w:vAlign w:val="bottom"/>
            <w:hideMark/>
          </w:tcPr>
          <w:p w14:paraId="5077647F" w14:textId="511E1158" w:rsidR="00F443A1" w:rsidRPr="00141EB8" w:rsidRDefault="00F443A1" w:rsidP="00F443A1">
            <w:pPr>
              <w:jc w:val="right"/>
              <w:rPr>
                <w:sz w:val="18"/>
                <w:szCs w:val="18"/>
                <w:lang w:eastAsia="en-IN"/>
              </w:rPr>
            </w:pPr>
            <w:r>
              <w:rPr>
                <w:sz w:val="18"/>
                <w:szCs w:val="18"/>
              </w:rPr>
              <w:t xml:space="preserve">177.24 </w:t>
            </w:r>
          </w:p>
        </w:tc>
        <w:tc>
          <w:tcPr>
            <w:tcW w:w="716" w:type="dxa"/>
            <w:tcBorders>
              <w:right w:val="double" w:sz="4" w:space="0" w:color="auto"/>
            </w:tcBorders>
            <w:shd w:val="clear" w:color="auto" w:fill="auto"/>
            <w:noWrap/>
            <w:vAlign w:val="bottom"/>
            <w:hideMark/>
          </w:tcPr>
          <w:p w14:paraId="0F572EB6" w14:textId="627EB1C2" w:rsidR="00F443A1" w:rsidRPr="00141EB8" w:rsidRDefault="00F443A1" w:rsidP="00F443A1">
            <w:pPr>
              <w:jc w:val="right"/>
              <w:rPr>
                <w:sz w:val="18"/>
                <w:szCs w:val="18"/>
                <w:lang w:eastAsia="en-IN"/>
              </w:rPr>
            </w:pPr>
            <w:r>
              <w:rPr>
                <w:sz w:val="18"/>
                <w:szCs w:val="18"/>
              </w:rPr>
              <w:t>0.52</w:t>
            </w:r>
          </w:p>
        </w:tc>
      </w:tr>
      <w:tr w:rsidR="00F443A1" w:rsidRPr="005A497D" w14:paraId="54B5A5A1" w14:textId="77777777" w:rsidTr="000D0E8D">
        <w:trPr>
          <w:trHeight w:val="288"/>
        </w:trPr>
        <w:tc>
          <w:tcPr>
            <w:tcW w:w="2621" w:type="dxa"/>
            <w:tcBorders>
              <w:left w:val="double" w:sz="4" w:space="0" w:color="auto"/>
            </w:tcBorders>
            <w:shd w:val="clear" w:color="auto" w:fill="auto"/>
            <w:noWrap/>
            <w:vAlign w:val="center"/>
            <w:hideMark/>
          </w:tcPr>
          <w:p w14:paraId="22FF60C5" w14:textId="77777777" w:rsidR="00F443A1" w:rsidRPr="00141EB8" w:rsidRDefault="00F443A1" w:rsidP="00F443A1">
            <w:pPr>
              <w:rPr>
                <w:sz w:val="18"/>
                <w:szCs w:val="18"/>
                <w:lang w:eastAsia="en-IN"/>
              </w:rPr>
            </w:pPr>
            <w:r>
              <w:rPr>
                <w:sz w:val="18"/>
                <w:szCs w:val="18"/>
                <w:lang w:eastAsia="en-IN"/>
              </w:rPr>
              <w:t>DoA</w:t>
            </w:r>
          </w:p>
        </w:tc>
        <w:tc>
          <w:tcPr>
            <w:tcW w:w="1260" w:type="dxa"/>
            <w:shd w:val="clear" w:color="auto" w:fill="auto"/>
            <w:noWrap/>
            <w:vAlign w:val="center"/>
            <w:hideMark/>
          </w:tcPr>
          <w:p w14:paraId="3A3035D1" w14:textId="77777777" w:rsidR="00F443A1" w:rsidRPr="00141EB8" w:rsidRDefault="00F443A1" w:rsidP="00F443A1">
            <w:pPr>
              <w:jc w:val="right"/>
              <w:rPr>
                <w:color w:val="000000"/>
                <w:sz w:val="18"/>
                <w:szCs w:val="18"/>
                <w:lang w:eastAsia="en-IN"/>
              </w:rPr>
            </w:pPr>
            <w:r>
              <w:rPr>
                <w:sz w:val="18"/>
                <w:szCs w:val="18"/>
              </w:rPr>
              <w:t xml:space="preserve">            66,301.10 </w:t>
            </w:r>
          </w:p>
        </w:tc>
        <w:tc>
          <w:tcPr>
            <w:tcW w:w="1260" w:type="dxa"/>
            <w:shd w:val="clear" w:color="auto" w:fill="auto"/>
            <w:noWrap/>
            <w:vAlign w:val="center"/>
            <w:hideMark/>
          </w:tcPr>
          <w:p w14:paraId="668D5B01" w14:textId="77777777" w:rsidR="00F443A1" w:rsidRPr="00141EB8" w:rsidRDefault="00F443A1" w:rsidP="00F443A1">
            <w:pPr>
              <w:jc w:val="right"/>
              <w:rPr>
                <w:color w:val="000000"/>
                <w:sz w:val="18"/>
                <w:szCs w:val="18"/>
                <w:lang w:eastAsia="en-IN"/>
              </w:rPr>
            </w:pPr>
            <w:r>
              <w:rPr>
                <w:color w:val="000000"/>
                <w:sz w:val="18"/>
                <w:szCs w:val="18"/>
              </w:rPr>
              <w:t xml:space="preserve">           56,887.57 </w:t>
            </w:r>
          </w:p>
        </w:tc>
        <w:tc>
          <w:tcPr>
            <w:tcW w:w="1170" w:type="dxa"/>
            <w:shd w:val="clear" w:color="auto" w:fill="auto"/>
            <w:noWrap/>
            <w:vAlign w:val="bottom"/>
            <w:hideMark/>
          </w:tcPr>
          <w:p w14:paraId="57E92B86" w14:textId="0966F3D1" w:rsidR="00F443A1" w:rsidRPr="00141EB8" w:rsidRDefault="00F443A1" w:rsidP="00F443A1">
            <w:pPr>
              <w:jc w:val="right"/>
              <w:rPr>
                <w:sz w:val="18"/>
                <w:szCs w:val="18"/>
                <w:lang w:eastAsia="en-IN"/>
              </w:rPr>
            </w:pPr>
            <w:r>
              <w:rPr>
                <w:sz w:val="18"/>
                <w:szCs w:val="18"/>
              </w:rPr>
              <w:t>54,204.87</w:t>
            </w:r>
          </w:p>
        </w:tc>
        <w:tc>
          <w:tcPr>
            <w:tcW w:w="1170" w:type="dxa"/>
            <w:shd w:val="clear" w:color="auto" w:fill="auto"/>
            <w:noWrap/>
            <w:vAlign w:val="bottom"/>
            <w:hideMark/>
          </w:tcPr>
          <w:p w14:paraId="27379EAE" w14:textId="6FB465BE" w:rsidR="00F443A1" w:rsidRPr="00141EB8" w:rsidRDefault="00F443A1" w:rsidP="00F443A1">
            <w:pPr>
              <w:jc w:val="right"/>
              <w:rPr>
                <w:sz w:val="18"/>
                <w:szCs w:val="18"/>
                <w:lang w:eastAsia="en-IN"/>
              </w:rPr>
            </w:pPr>
            <w:r>
              <w:rPr>
                <w:sz w:val="18"/>
                <w:szCs w:val="18"/>
              </w:rPr>
              <w:t xml:space="preserve">2,682.70 </w:t>
            </w:r>
          </w:p>
        </w:tc>
        <w:tc>
          <w:tcPr>
            <w:tcW w:w="1170" w:type="dxa"/>
            <w:shd w:val="clear" w:color="auto" w:fill="auto"/>
            <w:noWrap/>
            <w:vAlign w:val="bottom"/>
            <w:hideMark/>
          </w:tcPr>
          <w:p w14:paraId="1BCF3B60" w14:textId="5DBE56EC" w:rsidR="00F443A1" w:rsidRPr="00141EB8" w:rsidRDefault="00F443A1" w:rsidP="00F443A1">
            <w:pPr>
              <w:jc w:val="right"/>
              <w:rPr>
                <w:sz w:val="18"/>
                <w:szCs w:val="18"/>
                <w:lang w:eastAsia="en-IN"/>
              </w:rPr>
            </w:pPr>
            <w:r>
              <w:rPr>
                <w:sz w:val="18"/>
                <w:szCs w:val="18"/>
              </w:rPr>
              <w:t xml:space="preserve">2,682.70 </w:t>
            </w:r>
          </w:p>
        </w:tc>
        <w:tc>
          <w:tcPr>
            <w:tcW w:w="716" w:type="dxa"/>
            <w:tcBorders>
              <w:right w:val="double" w:sz="4" w:space="0" w:color="auto"/>
            </w:tcBorders>
            <w:shd w:val="clear" w:color="auto" w:fill="auto"/>
            <w:noWrap/>
            <w:vAlign w:val="bottom"/>
            <w:hideMark/>
          </w:tcPr>
          <w:p w14:paraId="78259442" w14:textId="1F81AA1A" w:rsidR="00F443A1" w:rsidRPr="00141EB8" w:rsidRDefault="00F443A1" w:rsidP="00F443A1">
            <w:pPr>
              <w:jc w:val="right"/>
              <w:rPr>
                <w:sz w:val="18"/>
                <w:szCs w:val="18"/>
                <w:lang w:eastAsia="en-IN"/>
              </w:rPr>
            </w:pPr>
            <w:r>
              <w:rPr>
                <w:sz w:val="18"/>
                <w:szCs w:val="18"/>
              </w:rPr>
              <w:t>4.95</w:t>
            </w:r>
          </w:p>
        </w:tc>
      </w:tr>
      <w:tr w:rsidR="00F443A1" w:rsidRPr="005A497D" w14:paraId="012DEB0C" w14:textId="77777777" w:rsidTr="000D0E8D">
        <w:trPr>
          <w:trHeight w:val="288"/>
        </w:trPr>
        <w:tc>
          <w:tcPr>
            <w:tcW w:w="2621" w:type="dxa"/>
            <w:tcBorders>
              <w:left w:val="double" w:sz="4" w:space="0" w:color="auto"/>
            </w:tcBorders>
            <w:shd w:val="clear" w:color="auto" w:fill="auto"/>
            <w:noWrap/>
            <w:vAlign w:val="center"/>
            <w:hideMark/>
          </w:tcPr>
          <w:p w14:paraId="57A002DB" w14:textId="77777777" w:rsidR="00F443A1" w:rsidRPr="00141EB8" w:rsidRDefault="00F443A1" w:rsidP="00F443A1">
            <w:pPr>
              <w:rPr>
                <w:sz w:val="18"/>
                <w:szCs w:val="18"/>
                <w:lang w:eastAsia="en-IN"/>
              </w:rPr>
            </w:pPr>
            <w:r w:rsidRPr="00141EB8">
              <w:rPr>
                <w:sz w:val="18"/>
                <w:szCs w:val="18"/>
                <w:lang w:eastAsia="en-IN"/>
              </w:rPr>
              <w:t>DOTC</w:t>
            </w:r>
          </w:p>
        </w:tc>
        <w:tc>
          <w:tcPr>
            <w:tcW w:w="1260" w:type="dxa"/>
            <w:shd w:val="clear" w:color="auto" w:fill="auto"/>
            <w:noWrap/>
            <w:vAlign w:val="center"/>
            <w:hideMark/>
          </w:tcPr>
          <w:p w14:paraId="309A5E95" w14:textId="77777777" w:rsidR="00F443A1" w:rsidRPr="00141EB8" w:rsidRDefault="00F443A1" w:rsidP="00F443A1">
            <w:pPr>
              <w:jc w:val="right"/>
              <w:rPr>
                <w:color w:val="000000"/>
                <w:sz w:val="18"/>
                <w:szCs w:val="18"/>
                <w:lang w:eastAsia="en-IN"/>
              </w:rPr>
            </w:pPr>
            <w:r>
              <w:rPr>
                <w:sz w:val="18"/>
                <w:szCs w:val="18"/>
              </w:rPr>
              <w:t xml:space="preserve">            36,289.81 </w:t>
            </w:r>
          </w:p>
        </w:tc>
        <w:tc>
          <w:tcPr>
            <w:tcW w:w="1260" w:type="dxa"/>
            <w:shd w:val="clear" w:color="auto" w:fill="auto"/>
            <w:noWrap/>
            <w:vAlign w:val="center"/>
            <w:hideMark/>
          </w:tcPr>
          <w:p w14:paraId="2D2B377F" w14:textId="77777777" w:rsidR="00F443A1" w:rsidRPr="00141EB8" w:rsidRDefault="00F443A1" w:rsidP="00F443A1">
            <w:pPr>
              <w:jc w:val="right"/>
              <w:rPr>
                <w:color w:val="000000"/>
                <w:sz w:val="18"/>
                <w:szCs w:val="18"/>
                <w:lang w:eastAsia="en-IN"/>
              </w:rPr>
            </w:pPr>
            <w:r>
              <w:rPr>
                <w:color w:val="000000"/>
                <w:sz w:val="18"/>
                <w:szCs w:val="18"/>
              </w:rPr>
              <w:t xml:space="preserve">           19,487.20 </w:t>
            </w:r>
          </w:p>
        </w:tc>
        <w:tc>
          <w:tcPr>
            <w:tcW w:w="1170" w:type="dxa"/>
            <w:shd w:val="clear" w:color="auto" w:fill="auto"/>
            <w:noWrap/>
            <w:vAlign w:val="bottom"/>
            <w:hideMark/>
          </w:tcPr>
          <w:p w14:paraId="6DFCD3E8" w14:textId="34335029" w:rsidR="00F443A1" w:rsidRPr="00141EB8" w:rsidRDefault="00F443A1" w:rsidP="00F443A1">
            <w:pPr>
              <w:jc w:val="right"/>
              <w:rPr>
                <w:sz w:val="18"/>
                <w:szCs w:val="18"/>
                <w:lang w:eastAsia="en-IN"/>
              </w:rPr>
            </w:pPr>
            <w:r>
              <w:rPr>
                <w:sz w:val="18"/>
                <w:szCs w:val="18"/>
              </w:rPr>
              <w:t>29,668.95</w:t>
            </w:r>
          </w:p>
        </w:tc>
        <w:tc>
          <w:tcPr>
            <w:tcW w:w="1170" w:type="dxa"/>
            <w:shd w:val="clear" w:color="auto" w:fill="auto"/>
            <w:noWrap/>
            <w:vAlign w:val="bottom"/>
            <w:hideMark/>
          </w:tcPr>
          <w:p w14:paraId="175A6425" w14:textId="7CE23571" w:rsidR="00F443A1" w:rsidRPr="00141EB8" w:rsidRDefault="00F443A1" w:rsidP="00F443A1">
            <w:pPr>
              <w:jc w:val="right"/>
              <w:rPr>
                <w:sz w:val="18"/>
                <w:szCs w:val="18"/>
                <w:lang w:eastAsia="en-IN"/>
              </w:rPr>
            </w:pPr>
            <w:r>
              <w:rPr>
                <w:sz w:val="18"/>
                <w:szCs w:val="18"/>
              </w:rPr>
              <w:t>(10,181.75)</w:t>
            </w:r>
          </w:p>
        </w:tc>
        <w:tc>
          <w:tcPr>
            <w:tcW w:w="1170" w:type="dxa"/>
            <w:shd w:val="clear" w:color="auto" w:fill="auto"/>
            <w:noWrap/>
            <w:vAlign w:val="bottom"/>
            <w:hideMark/>
          </w:tcPr>
          <w:p w14:paraId="01C09279" w14:textId="7F9A65E1" w:rsidR="00F443A1" w:rsidRPr="00141EB8" w:rsidRDefault="00F443A1" w:rsidP="00F443A1">
            <w:pPr>
              <w:jc w:val="right"/>
              <w:rPr>
                <w:sz w:val="18"/>
                <w:szCs w:val="18"/>
                <w:lang w:eastAsia="en-IN"/>
              </w:rPr>
            </w:pPr>
            <w:r>
              <w:rPr>
                <w:sz w:val="18"/>
                <w:szCs w:val="18"/>
              </w:rPr>
              <w:t xml:space="preserve">10,181.75 </w:t>
            </w:r>
          </w:p>
        </w:tc>
        <w:tc>
          <w:tcPr>
            <w:tcW w:w="716" w:type="dxa"/>
            <w:tcBorders>
              <w:right w:val="double" w:sz="4" w:space="0" w:color="auto"/>
            </w:tcBorders>
            <w:shd w:val="clear" w:color="auto" w:fill="auto"/>
            <w:noWrap/>
            <w:vAlign w:val="bottom"/>
            <w:hideMark/>
          </w:tcPr>
          <w:p w14:paraId="53BFD3D1" w14:textId="3406A22F" w:rsidR="00F443A1" w:rsidRPr="00141EB8" w:rsidRDefault="00F443A1" w:rsidP="00F443A1">
            <w:pPr>
              <w:jc w:val="right"/>
              <w:rPr>
                <w:sz w:val="18"/>
                <w:szCs w:val="18"/>
                <w:lang w:eastAsia="en-IN"/>
              </w:rPr>
            </w:pPr>
            <w:r>
              <w:rPr>
                <w:sz w:val="18"/>
                <w:szCs w:val="18"/>
              </w:rPr>
              <w:t>34.32</w:t>
            </w:r>
          </w:p>
        </w:tc>
      </w:tr>
      <w:tr w:rsidR="00F443A1" w:rsidRPr="005A497D" w14:paraId="67E59E5B" w14:textId="77777777" w:rsidTr="000D0E8D">
        <w:trPr>
          <w:trHeight w:val="288"/>
        </w:trPr>
        <w:tc>
          <w:tcPr>
            <w:tcW w:w="2621" w:type="dxa"/>
            <w:tcBorders>
              <w:left w:val="double" w:sz="4" w:space="0" w:color="auto"/>
            </w:tcBorders>
            <w:shd w:val="clear" w:color="auto" w:fill="auto"/>
            <w:noWrap/>
            <w:vAlign w:val="center"/>
            <w:hideMark/>
          </w:tcPr>
          <w:p w14:paraId="599EE7FA" w14:textId="77777777" w:rsidR="00F443A1" w:rsidRPr="00141EB8" w:rsidRDefault="00F443A1" w:rsidP="00F443A1">
            <w:pPr>
              <w:rPr>
                <w:sz w:val="18"/>
                <w:szCs w:val="18"/>
                <w:lang w:eastAsia="en-IN"/>
              </w:rPr>
            </w:pPr>
            <w:r>
              <w:rPr>
                <w:sz w:val="18"/>
                <w:szCs w:val="18"/>
                <w:lang w:eastAsia="en-IN"/>
              </w:rPr>
              <w:t>State universities and colleges</w:t>
            </w:r>
          </w:p>
        </w:tc>
        <w:tc>
          <w:tcPr>
            <w:tcW w:w="1260" w:type="dxa"/>
            <w:shd w:val="clear" w:color="auto" w:fill="auto"/>
            <w:noWrap/>
            <w:vAlign w:val="center"/>
            <w:hideMark/>
          </w:tcPr>
          <w:p w14:paraId="403639A3" w14:textId="77777777" w:rsidR="00F443A1" w:rsidRPr="00141EB8" w:rsidRDefault="00F443A1" w:rsidP="00F443A1">
            <w:pPr>
              <w:jc w:val="right"/>
              <w:rPr>
                <w:color w:val="000000"/>
                <w:sz w:val="18"/>
                <w:szCs w:val="18"/>
                <w:lang w:eastAsia="en-IN"/>
              </w:rPr>
            </w:pPr>
            <w:r>
              <w:rPr>
                <w:sz w:val="18"/>
                <w:szCs w:val="18"/>
              </w:rPr>
              <w:t xml:space="preserve">            29,745.09 </w:t>
            </w:r>
          </w:p>
        </w:tc>
        <w:tc>
          <w:tcPr>
            <w:tcW w:w="1260" w:type="dxa"/>
            <w:shd w:val="clear" w:color="auto" w:fill="auto"/>
            <w:noWrap/>
            <w:vAlign w:val="center"/>
            <w:hideMark/>
          </w:tcPr>
          <w:p w14:paraId="7B4E0305" w14:textId="77777777" w:rsidR="00F443A1" w:rsidRPr="00141EB8" w:rsidRDefault="00F443A1" w:rsidP="00F443A1">
            <w:pPr>
              <w:jc w:val="right"/>
              <w:rPr>
                <w:color w:val="000000"/>
                <w:sz w:val="18"/>
                <w:szCs w:val="18"/>
                <w:lang w:eastAsia="en-IN"/>
              </w:rPr>
            </w:pPr>
            <w:r>
              <w:rPr>
                <w:color w:val="000000"/>
                <w:sz w:val="18"/>
                <w:szCs w:val="18"/>
              </w:rPr>
              <w:t xml:space="preserve">           29,272.62 </w:t>
            </w:r>
          </w:p>
        </w:tc>
        <w:tc>
          <w:tcPr>
            <w:tcW w:w="1170" w:type="dxa"/>
            <w:shd w:val="clear" w:color="auto" w:fill="auto"/>
            <w:noWrap/>
            <w:vAlign w:val="bottom"/>
            <w:hideMark/>
          </w:tcPr>
          <w:p w14:paraId="7AD6CABA" w14:textId="4CC785E3" w:rsidR="00F443A1" w:rsidRPr="00141EB8" w:rsidRDefault="00F443A1" w:rsidP="00F443A1">
            <w:pPr>
              <w:jc w:val="right"/>
              <w:rPr>
                <w:sz w:val="18"/>
                <w:szCs w:val="18"/>
                <w:lang w:eastAsia="en-IN"/>
              </w:rPr>
            </w:pPr>
            <w:r>
              <w:rPr>
                <w:sz w:val="18"/>
                <w:szCs w:val="18"/>
              </w:rPr>
              <w:t>24,318.28</w:t>
            </w:r>
          </w:p>
        </w:tc>
        <w:tc>
          <w:tcPr>
            <w:tcW w:w="1170" w:type="dxa"/>
            <w:shd w:val="clear" w:color="auto" w:fill="auto"/>
            <w:noWrap/>
            <w:vAlign w:val="bottom"/>
            <w:hideMark/>
          </w:tcPr>
          <w:p w14:paraId="1D2C41C6" w14:textId="0948DCE3" w:rsidR="00F443A1" w:rsidRPr="00141EB8" w:rsidRDefault="00F443A1" w:rsidP="00F443A1">
            <w:pPr>
              <w:jc w:val="right"/>
              <w:rPr>
                <w:sz w:val="18"/>
                <w:szCs w:val="18"/>
                <w:lang w:eastAsia="en-IN"/>
              </w:rPr>
            </w:pPr>
            <w:r>
              <w:rPr>
                <w:sz w:val="18"/>
                <w:szCs w:val="18"/>
              </w:rPr>
              <w:t xml:space="preserve">4,954.34 </w:t>
            </w:r>
          </w:p>
        </w:tc>
        <w:tc>
          <w:tcPr>
            <w:tcW w:w="1170" w:type="dxa"/>
            <w:shd w:val="clear" w:color="auto" w:fill="auto"/>
            <w:noWrap/>
            <w:vAlign w:val="bottom"/>
            <w:hideMark/>
          </w:tcPr>
          <w:p w14:paraId="45E41AAD" w14:textId="582553D5" w:rsidR="00F443A1" w:rsidRPr="00141EB8" w:rsidRDefault="00F443A1" w:rsidP="00F443A1">
            <w:pPr>
              <w:jc w:val="right"/>
              <w:rPr>
                <w:sz w:val="18"/>
                <w:szCs w:val="18"/>
                <w:lang w:eastAsia="en-IN"/>
              </w:rPr>
            </w:pPr>
            <w:r>
              <w:rPr>
                <w:sz w:val="18"/>
                <w:szCs w:val="18"/>
              </w:rPr>
              <w:t xml:space="preserve">4,954.34 </w:t>
            </w:r>
          </w:p>
        </w:tc>
        <w:tc>
          <w:tcPr>
            <w:tcW w:w="716" w:type="dxa"/>
            <w:tcBorders>
              <w:right w:val="double" w:sz="4" w:space="0" w:color="auto"/>
            </w:tcBorders>
            <w:shd w:val="clear" w:color="auto" w:fill="auto"/>
            <w:noWrap/>
            <w:vAlign w:val="bottom"/>
            <w:hideMark/>
          </w:tcPr>
          <w:p w14:paraId="5AE03F34" w14:textId="7FF480FD" w:rsidR="00F443A1" w:rsidRPr="00141EB8" w:rsidRDefault="00F443A1" w:rsidP="00F443A1">
            <w:pPr>
              <w:jc w:val="right"/>
              <w:rPr>
                <w:sz w:val="18"/>
                <w:szCs w:val="18"/>
                <w:lang w:eastAsia="en-IN"/>
              </w:rPr>
            </w:pPr>
            <w:r>
              <w:rPr>
                <w:sz w:val="18"/>
                <w:szCs w:val="18"/>
              </w:rPr>
              <w:t>20.37</w:t>
            </w:r>
          </w:p>
        </w:tc>
      </w:tr>
      <w:tr w:rsidR="00F443A1" w:rsidRPr="005A497D" w14:paraId="3931ACC6" w14:textId="77777777" w:rsidTr="000D0E8D">
        <w:trPr>
          <w:trHeight w:val="288"/>
        </w:trPr>
        <w:tc>
          <w:tcPr>
            <w:tcW w:w="2621" w:type="dxa"/>
            <w:tcBorders>
              <w:left w:val="double" w:sz="4" w:space="0" w:color="auto"/>
            </w:tcBorders>
            <w:shd w:val="clear" w:color="auto" w:fill="auto"/>
            <w:noWrap/>
            <w:vAlign w:val="center"/>
            <w:hideMark/>
          </w:tcPr>
          <w:p w14:paraId="6EF8FB8C" w14:textId="77777777" w:rsidR="00F443A1" w:rsidRPr="00141EB8" w:rsidRDefault="00F443A1" w:rsidP="00F443A1">
            <w:pPr>
              <w:rPr>
                <w:sz w:val="18"/>
                <w:szCs w:val="18"/>
                <w:lang w:eastAsia="en-IN"/>
              </w:rPr>
            </w:pPr>
            <w:r w:rsidRPr="00141EB8">
              <w:rPr>
                <w:sz w:val="18"/>
                <w:szCs w:val="18"/>
                <w:lang w:eastAsia="en-IN"/>
              </w:rPr>
              <w:t>DENR</w:t>
            </w:r>
          </w:p>
        </w:tc>
        <w:tc>
          <w:tcPr>
            <w:tcW w:w="1260" w:type="dxa"/>
            <w:shd w:val="clear" w:color="auto" w:fill="auto"/>
            <w:noWrap/>
            <w:vAlign w:val="center"/>
            <w:hideMark/>
          </w:tcPr>
          <w:p w14:paraId="60D718AD" w14:textId="77777777" w:rsidR="00F443A1" w:rsidRPr="00141EB8" w:rsidRDefault="00F443A1" w:rsidP="00F443A1">
            <w:pPr>
              <w:jc w:val="right"/>
              <w:rPr>
                <w:color w:val="000000"/>
                <w:sz w:val="18"/>
                <w:szCs w:val="18"/>
                <w:lang w:eastAsia="en-IN"/>
              </w:rPr>
            </w:pPr>
            <w:r>
              <w:rPr>
                <w:sz w:val="18"/>
                <w:szCs w:val="18"/>
              </w:rPr>
              <w:t xml:space="preserve">            21,449.24 </w:t>
            </w:r>
          </w:p>
        </w:tc>
        <w:tc>
          <w:tcPr>
            <w:tcW w:w="1260" w:type="dxa"/>
            <w:shd w:val="clear" w:color="auto" w:fill="auto"/>
            <w:noWrap/>
            <w:vAlign w:val="center"/>
            <w:hideMark/>
          </w:tcPr>
          <w:p w14:paraId="36DA9790" w14:textId="77777777" w:rsidR="00F443A1" w:rsidRPr="00141EB8" w:rsidRDefault="00F443A1" w:rsidP="00F443A1">
            <w:pPr>
              <w:jc w:val="right"/>
              <w:rPr>
                <w:color w:val="000000"/>
                <w:sz w:val="18"/>
                <w:szCs w:val="18"/>
                <w:lang w:eastAsia="en-IN"/>
              </w:rPr>
            </w:pPr>
            <w:r>
              <w:rPr>
                <w:color w:val="000000"/>
                <w:sz w:val="18"/>
                <w:szCs w:val="18"/>
              </w:rPr>
              <w:t xml:space="preserve">           17,257.16 </w:t>
            </w:r>
          </w:p>
        </w:tc>
        <w:tc>
          <w:tcPr>
            <w:tcW w:w="1170" w:type="dxa"/>
            <w:shd w:val="clear" w:color="auto" w:fill="auto"/>
            <w:noWrap/>
            <w:vAlign w:val="bottom"/>
            <w:hideMark/>
          </w:tcPr>
          <w:p w14:paraId="7AF54CAB" w14:textId="43867701" w:rsidR="00F443A1" w:rsidRPr="00141EB8" w:rsidRDefault="00F443A1" w:rsidP="00F443A1">
            <w:pPr>
              <w:jc w:val="right"/>
              <w:rPr>
                <w:sz w:val="18"/>
                <w:szCs w:val="18"/>
                <w:lang w:eastAsia="en-IN"/>
              </w:rPr>
            </w:pPr>
            <w:r>
              <w:rPr>
                <w:sz w:val="18"/>
                <w:szCs w:val="18"/>
              </w:rPr>
              <w:t>17,535.96</w:t>
            </w:r>
          </w:p>
        </w:tc>
        <w:tc>
          <w:tcPr>
            <w:tcW w:w="1170" w:type="dxa"/>
            <w:shd w:val="clear" w:color="auto" w:fill="auto"/>
            <w:noWrap/>
            <w:vAlign w:val="bottom"/>
            <w:hideMark/>
          </w:tcPr>
          <w:p w14:paraId="2F8B48C3" w14:textId="641320CD" w:rsidR="00F443A1" w:rsidRPr="00141EB8" w:rsidRDefault="00F443A1" w:rsidP="00F443A1">
            <w:pPr>
              <w:jc w:val="right"/>
              <w:rPr>
                <w:sz w:val="18"/>
                <w:szCs w:val="18"/>
                <w:lang w:eastAsia="en-IN"/>
              </w:rPr>
            </w:pPr>
            <w:r>
              <w:rPr>
                <w:sz w:val="18"/>
                <w:szCs w:val="18"/>
              </w:rPr>
              <w:t>(278.80)</w:t>
            </w:r>
          </w:p>
        </w:tc>
        <w:tc>
          <w:tcPr>
            <w:tcW w:w="1170" w:type="dxa"/>
            <w:shd w:val="clear" w:color="auto" w:fill="auto"/>
            <w:noWrap/>
            <w:vAlign w:val="bottom"/>
            <w:hideMark/>
          </w:tcPr>
          <w:p w14:paraId="0D73386F" w14:textId="08C3391C" w:rsidR="00F443A1" w:rsidRPr="00141EB8" w:rsidRDefault="00F443A1" w:rsidP="00F443A1">
            <w:pPr>
              <w:jc w:val="right"/>
              <w:rPr>
                <w:sz w:val="18"/>
                <w:szCs w:val="18"/>
                <w:lang w:eastAsia="en-IN"/>
              </w:rPr>
            </w:pPr>
            <w:r>
              <w:rPr>
                <w:sz w:val="18"/>
                <w:szCs w:val="18"/>
              </w:rPr>
              <w:t xml:space="preserve">278.80 </w:t>
            </w:r>
          </w:p>
        </w:tc>
        <w:tc>
          <w:tcPr>
            <w:tcW w:w="716" w:type="dxa"/>
            <w:tcBorders>
              <w:right w:val="double" w:sz="4" w:space="0" w:color="auto"/>
            </w:tcBorders>
            <w:shd w:val="clear" w:color="auto" w:fill="auto"/>
            <w:noWrap/>
            <w:vAlign w:val="bottom"/>
            <w:hideMark/>
          </w:tcPr>
          <w:p w14:paraId="1848BAC4" w14:textId="05D89FDF" w:rsidR="00F443A1" w:rsidRPr="00141EB8" w:rsidRDefault="00F443A1" w:rsidP="00F443A1">
            <w:pPr>
              <w:jc w:val="right"/>
              <w:rPr>
                <w:sz w:val="18"/>
                <w:szCs w:val="18"/>
                <w:lang w:eastAsia="en-IN"/>
              </w:rPr>
            </w:pPr>
            <w:r>
              <w:rPr>
                <w:sz w:val="18"/>
                <w:szCs w:val="18"/>
              </w:rPr>
              <w:t>1.59</w:t>
            </w:r>
          </w:p>
        </w:tc>
      </w:tr>
      <w:tr w:rsidR="00F443A1" w:rsidRPr="005A497D" w14:paraId="62E7F7E3" w14:textId="77777777" w:rsidTr="000D0E8D">
        <w:trPr>
          <w:trHeight w:val="288"/>
        </w:trPr>
        <w:tc>
          <w:tcPr>
            <w:tcW w:w="2621" w:type="dxa"/>
            <w:tcBorders>
              <w:left w:val="double" w:sz="4" w:space="0" w:color="auto"/>
            </w:tcBorders>
            <w:shd w:val="clear" w:color="auto" w:fill="auto"/>
            <w:noWrap/>
            <w:vAlign w:val="center"/>
            <w:hideMark/>
          </w:tcPr>
          <w:p w14:paraId="41BDEAEA" w14:textId="77777777" w:rsidR="00F443A1" w:rsidRPr="00141EB8" w:rsidRDefault="00F443A1" w:rsidP="00F443A1">
            <w:pPr>
              <w:rPr>
                <w:sz w:val="18"/>
                <w:szCs w:val="18"/>
                <w:lang w:eastAsia="en-IN"/>
              </w:rPr>
            </w:pPr>
            <w:r w:rsidRPr="00141EB8">
              <w:rPr>
                <w:sz w:val="18"/>
                <w:szCs w:val="18"/>
                <w:lang w:eastAsia="en-IN"/>
              </w:rPr>
              <w:t>COMELEC</w:t>
            </w:r>
          </w:p>
        </w:tc>
        <w:tc>
          <w:tcPr>
            <w:tcW w:w="1260" w:type="dxa"/>
            <w:shd w:val="clear" w:color="auto" w:fill="auto"/>
            <w:noWrap/>
            <w:vAlign w:val="center"/>
            <w:hideMark/>
          </w:tcPr>
          <w:p w14:paraId="2DE9FBAF" w14:textId="77777777" w:rsidR="00F443A1" w:rsidRPr="00141EB8" w:rsidRDefault="00F443A1" w:rsidP="00F443A1">
            <w:pPr>
              <w:jc w:val="right"/>
              <w:rPr>
                <w:color w:val="000000"/>
                <w:sz w:val="18"/>
                <w:szCs w:val="18"/>
                <w:lang w:eastAsia="en-IN"/>
              </w:rPr>
            </w:pPr>
            <w:r>
              <w:rPr>
                <w:sz w:val="18"/>
                <w:szCs w:val="18"/>
              </w:rPr>
              <w:t xml:space="preserve">            19,347.49 </w:t>
            </w:r>
          </w:p>
        </w:tc>
        <w:tc>
          <w:tcPr>
            <w:tcW w:w="1260" w:type="dxa"/>
            <w:shd w:val="clear" w:color="auto" w:fill="auto"/>
            <w:noWrap/>
            <w:vAlign w:val="center"/>
            <w:hideMark/>
          </w:tcPr>
          <w:p w14:paraId="046938E7" w14:textId="77777777" w:rsidR="00F443A1" w:rsidRPr="00141EB8" w:rsidRDefault="00F443A1" w:rsidP="00F443A1">
            <w:pPr>
              <w:jc w:val="right"/>
              <w:rPr>
                <w:color w:val="000000"/>
                <w:sz w:val="18"/>
                <w:szCs w:val="18"/>
                <w:lang w:eastAsia="en-IN"/>
              </w:rPr>
            </w:pPr>
            <w:r>
              <w:rPr>
                <w:color w:val="000000"/>
                <w:sz w:val="18"/>
                <w:szCs w:val="18"/>
              </w:rPr>
              <w:t xml:space="preserve">             9,014.44 </w:t>
            </w:r>
          </w:p>
        </w:tc>
        <w:tc>
          <w:tcPr>
            <w:tcW w:w="1170" w:type="dxa"/>
            <w:shd w:val="clear" w:color="auto" w:fill="auto"/>
            <w:noWrap/>
            <w:vAlign w:val="bottom"/>
            <w:hideMark/>
          </w:tcPr>
          <w:p w14:paraId="53B89E9A" w14:textId="709DC72A" w:rsidR="00F443A1" w:rsidRPr="00141EB8" w:rsidRDefault="00F443A1" w:rsidP="00F443A1">
            <w:pPr>
              <w:jc w:val="right"/>
              <w:rPr>
                <w:sz w:val="18"/>
                <w:szCs w:val="18"/>
                <w:lang w:eastAsia="en-IN"/>
              </w:rPr>
            </w:pPr>
            <w:r>
              <w:rPr>
                <w:sz w:val="18"/>
                <w:szCs w:val="18"/>
              </w:rPr>
              <w:t>15,817.66</w:t>
            </w:r>
          </w:p>
        </w:tc>
        <w:tc>
          <w:tcPr>
            <w:tcW w:w="1170" w:type="dxa"/>
            <w:shd w:val="clear" w:color="auto" w:fill="auto"/>
            <w:noWrap/>
            <w:vAlign w:val="bottom"/>
            <w:hideMark/>
          </w:tcPr>
          <w:p w14:paraId="6CA96BFC" w14:textId="5AEBDF1C" w:rsidR="00F443A1" w:rsidRPr="00141EB8" w:rsidRDefault="00F443A1" w:rsidP="00F443A1">
            <w:pPr>
              <w:jc w:val="right"/>
              <w:rPr>
                <w:sz w:val="18"/>
                <w:szCs w:val="18"/>
                <w:lang w:eastAsia="en-IN"/>
              </w:rPr>
            </w:pPr>
            <w:r>
              <w:rPr>
                <w:sz w:val="18"/>
                <w:szCs w:val="18"/>
              </w:rPr>
              <w:t>(6,803.22)</w:t>
            </w:r>
          </w:p>
        </w:tc>
        <w:tc>
          <w:tcPr>
            <w:tcW w:w="1170" w:type="dxa"/>
            <w:shd w:val="clear" w:color="auto" w:fill="auto"/>
            <w:noWrap/>
            <w:vAlign w:val="bottom"/>
            <w:hideMark/>
          </w:tcPr>
          <w:p w14:paraId="3AA08DEB" w14:textId="621A9DE5" w:rsidR="00F443A1" w:rsidRPr="00141EB8" w:rsidRDefault="00F443A1" w:rsidP="00F443A1">
            <w:pPr>
              <w:jc w:val="right"/>
              <w:rPr>
                <w:sz w:val="18"/>
                <w:szCs w:val="18"/>
                <w:lang w:eastAsia="en-IN"/>
              </w:rPr>
            </w:pPr>
            <w:r>
              <w:rPr>
                <w:sz w:val="18"/>
                <w:szCs w:val="18"/>
              </w:rPr>
              <w:t xml:space="preserve">6,803.22 </w:t>
            </w:r>
          </w:p>
        </w:tc>
        <w:tc>
          <w:tcPr>
            <w:tcW w:w="716" w:type="dxa"/>
            <w:tcBorders>
              <w:right w:val="double" w:sz="4" w:space="0" w:color="auto"/>
            </w:tcBorders>
            <w:shd w:val="clear" w:color="auto" w:fill="auto"/>
            <w:noWrap/>
            <w:vAlign w:val="bottom"/>
            <w:hideMark/>
          </w:tcPr>
          <w:p w14:paraId="3C715573" w14:textId="77FA7385" w:rsidR="00F443A1" w:rsidRPr="00141EB8" w:rsidRDefault="00F443A1" w:rsidP="00F443A1">
            <w:pPr>
              <w:jc w:val="right"/>
              <w:rPr>
                <w:sz w:val="18"/>
                <w:szCs w:val="18"/>
                <w:lang w:eastAsia="en-IN"/>
              </w:rPr>
            </w:pPr>
            <w:r>
              <w:rPr>
                <w:sz w:val="18"/>
                <w:szCs w:val="18"/>
              </w:rPr>
              <w:t>43.01</w:t>
            </w:r>
          </w:p>
        </w:tc>
      </w:tr>
      <w:tr w:rsidR="00F443A1" w:rsidRPr="005A497D" w14:paraId="67E7F62A" w14:textId="77777777" w:rsidTr="000D0E8D">
        <w:trPr>
          <w:trHeight w:val="288"/>
        </w:trPr>
        <w:tc>
          <w:tcPr>
            <w:tcW w:w="2621" w:type="dxa"/>
            <w:tcBorders>
              <w:left w:val="double" w:sz="4" w:space="0" w:color="auto"/>
            </w:tcBorders>
            <w:shd w:val="clear" w:color="auto" w:fill="auto"/>
            <w:noWrap/>
            <w:vAlign w:val="center"/>
            <w:hideMark/>
          </w:tcPr>
          <w:p w14:paraId="781DBADE" w14:textId="77777777" w:rsidR="00F443A1" w:rsidRPr="00141EB8" w:rsidRDefault="00F443A1" w:rsidP="00F443A1">
            <w:pPr>
              <w:rPr>
                <w:sz w:val="18"/>
                <w:szCs w:val="18"/>
                <w:lang w:eastAsia="en-IN"/>
              </w:rPr>
            </w:pPr>
            <w:r w:rsidRPr="00141EB8">
              <w:rPr>
                <w:sz w:val="18"/>
                <w:szCs w:val="18"/>
                <w:lang w:eastAsia="en-IN"/>
              </w:rPr>
              <w:t>Judiciary</w:t>
            </w:r>
          </w:p>
        </w:tc>
        <w:tc>
          <w:tcPr>
            <w:tcW w:w="1260" w:type="dxa"/>
            <w:shd w:val="clear" w:color="auto" w:fill="auto"/>
            <w:noWrap/>
            <w:vAlign w:val="center"/>
            <w:hideMark/>
          </w:tcPr>
          <w:p w14:paraId="2796DD12" w14:textId="77777777" w:rsidR="00F443A1" w:rsidRPr="00141EB8" w:rsidRDefault="00F443A1" w:rsidP="00F443A1">
            <w:pPr>
              <w:jc w:val="right"/>
              <w:rPr>
                <w:color w:val="000000"/>
                <w:sz w:val="18"/>
                <w:szCs w:val="18"/>
                <w:lang w:eastAsia="en-IN"/>
              </w:rPr>
            </w:pPr>
            <w:r>
              <w:rPr>
                <w:sz w:val="18"/>
                <w:szCs w:val="18"/>
              </w:rPr>
              <w:t xml:space="preserve">            19,251.82 </w:t>
            </w:r>
          </w:p>
        </w:tc>
        <w:tc>
          <w:tcPr>
            <w:tcW w:w="1260" w:type="dxa"/>
            <w:shd w:val="clear" w:color="auto" w:fill="auto"/>
            <w:noWrap/>
            <w:vAlign w:val="center"/>
            <w:hideMark/>
          </w:tcPr>
          <w:p w14:paraId="61ABD048" w14:textId="77777777" w:rsidR="00F443A1" w:rsidRPr="00141EB8" w:rsidRDefault="00F443A1" w:rsidP="00F443A1">
            <w:pPr>
              <w:jc w:val="right"/>
              <w:rPr>
                <w:color w:val="000000"/>
                <w:sz w:val="18"/>
                <w:szCs w:val="18"/>
                <w:lang w:eastAsia="en-IN"/>
              </w:rPr>
            </w:pPr>
            <w:r>
              <w:rPr>
                <w:color w:val="000000"/>
                <w:sz w:val="18"/>
                <w:szCs w:val="18"/>
              </w:rPr>
              <w:t xml:space="preserve">           17,748.99 </w:t>
            </w:r>
          </w:p>
        </w:tc>
        <w:tc>
          <w:tcPr>
            <w:tcW w:w="1170" w:type="dxa"/>
            <w:shd w:val="clear" w:color="auto" w:fill="auto"/>
            <w:noWrap/>
            <w:vAlign w:val="bottom"/>
            <w:hideMark/>
          </w:tcPr>
          <w:p w14:paraId="176244B5" w14:textId="2B3DAA96" w:rsidR="00F443A1" w:rsidRPr="00141EB8" w:rsidRDefault="00F443A1" w:rsidP="00F443A1">
            <w:pPr>
              <w:jc w:val="right"/>
              <w:rPr>
                <w:sz w:val="18"/>
                <w:szCs w:val="18"/>
                <w:lang w:eastAsia="en-IN"/>
              </w:rPr>
            </w:pPr>
            <w:r>
              <w:rPr>
                <w:sz w:val="18"/>
                <w:szCs w:val="18"/>
              </w:rPr>
              <w:t>15,739.44</w:t>
            </w:r>
          </w:p>
        </w:tc>
        <w:tc>
          <w:tcPr>
            <w:tcW w:w="1170" w:type="dxa"/>
            <w:shd w:val="clear" w:color="auto" w:fill="auto"/>
            <w:noWrap/>
            <w:vAlign w:val="bottom"/>
            <w:hideMark/>
          </w:tcPr>
          <w:p w14:paraId="2FF29278" w14:textId="4F1D5412" w:rsidR="00F443A1" w:rsidRPr="00141EB8" w:rsidRDefault="00F443A1" w:rsidP="00F443A1">
            <w:pPr>
              <w:jc w:val="right"/>
              <w:rPr>
                <w:sz w:val="18"/>
                <w:szCs w:val="18"/>
                <w:lang w:eastAsia="en-IN"/>
              </w:rPr>
            </w:pPr>
            <w:r>
              <w:rPr>
                <w:sz w:val="18"/>
                <w:szCs w:val="18"/>
              </w:rPr>
              <w:t xml:space="preserve">2,009.55 </w:t>
            </w:r>
          </w:p>
        </w:tc>
        <w:tc>
          <w:tcPr>
            <w:tcW w:w="1170" w:type="dxa"/>
            <w:shd w:val="clear" w:color="auto" w:fill="auto"/>
            <w:noWrap/>
            <w:vAlign w:val="bottom"/>
            <w:hideMark/>
          </w:tcPr>
          <w:p w14:paraId="07E9E0B6" w14:textId="328ABD2D" w:rsidR="00F443A1" w:rsidRPr="00141EB8" w:rsidRDefault="00F443A1" w:rsidP="00F443A1">
            <w:pPr>
              <w:jc w:val="right"/>
              <w:rPr>
                <w:sz w:val="18"/>
                <w:szCs w:val="18"/>
                <w:lang w:eastAsia="en-IN"/>
              </w:rPr>
            </w:pPr>
            <w:r>
              <w:rPr>
                <w:sz w:val="18"/>
                <w:szCs w:val="18"/>
              </w:rPr>
              <w:t xml:space="preserve">2,009.55 </w:t>
            </w:r>
          </w:p>
        </w:tc>
        <w:tc>
          <w:tcPr>
            <w:tcW w:w="716" w:type="dxa"/>
            <w:tcBorders>
              <w:right w:val="double" w:sz="4" w:space="0" w:color="auto"/>
            </w:tcBorders>
            <w:shd w:val="clear" w:color="auto" w:fill="auto"/>
            <w:noWrap/>
            <w:vAlign w:val="bottom"/>
            <w:hideMark/>
          </w:tcPr>
          <w:p w14:paraId="325E54CC" w14:textId="3FFC6C3D" w:rsidR="00F443A1" w:rsidRPr="00141EB8" w:rsidRDefault="00F443A1" w:rsidP="00F443A1">
            <w:pPr>
              <w:jc w:val="right"/>
              <w:rPr>
                <w:sz w:val="18"/>
                <w:szCs w:val="18"/>
                <w:lang w:eastAsia="en-IN"/>
              </w:rPr>
            </w:pPr>
            <w:r>
              <w:rPr>
                <w:sz w:val="18"/>
                <w:szCs w:val="18"/>
              </w:rPr>
              <w:t>12.77</w:t>
            </w:r>
          </w:p>
        </w:tc>
      </w:tr>
      <w:tr w:rsidR="00F443A1" w:rsidRPr="005A497D" w14:paraId="37F7358B" w14:textId="77777777" w:rsidTr="000D0E8D">
        <w:trPr>
          <w:trHeight w:val="288"/>
        </w:trPr>
        <w:tc>
          <w:tcPr>
            <w:tcW w:w="2621" w:type="dxa"/>
            <w:tcBorders>
              <w:left w:val="double" w:sz="4" w:space="0" w:color="auto"/>
            </w:tcBorders>
            <w:shd w:val="clear" w:color="auto" w:fill="auto"/>
            <w:noWrap/>
            <w:vAlign w:val="center"/>
            <w:hideMark/>
          </w:tcPr>
          <w:p w14:paraId="48DBA437" w14:textId="77777777" w:rsidR="00F443A1" w:rsidRPr="00141EB8" w:rsidRDefault="00F443A1" w:rsidP="00F443A1">
            <w:pPr>
              <w:rPr>
                <w:sz w:val="18"/>
                <w:szCs w:val="18"/>
                <w:lang w:eastAsia="en-IN"/>
              </w:rPr>
            </w:pPr>
            <w:r w:rsidRPr="00141EB8">
              <w:rPr>
                <w:sz w:val="18"/>
                <w:szCs w:val="18"/>
                <w:lang w:eastAsia="en-IN"/>
              </w:rPr>
              <w:t>DAR</w:t>
            </w:r>
          </w:p>
        </w:tc>
        <w:tc>
          <w:tcPr>
            <w:tcW w:w="1260" w:type="dxa"/>
            <w:shd w:val="clear" w:color="auto" w:fill="auto"/>
            <w:noWrap/>
            <w:vAlign w:val="center"/>
            <w:hideMark/>
          </w:tcPr>
          <w:p w14:paraId="2D37AE98" w14:textId="77777777" w:rsidR="00F443A1" w:rsidRPr="00141EB8" w:rsidRDefault="00F443A1" w:rsidP="00F443A1">
            <w:pPr>
              <w:jc w:val="right"/>
              <w:rPr>
                <w:color w:val="000000"/>
                <w:sz w:val="18"/>
                <w:szCs w:val="18"/>
                <w:lang w:eastAsia="en-IN"/>
              </w:rPr>
            </w:pPr>
            <w:r>
              <w:rPr>
                <w:sz w:val="18"/>
                <w:szCs w:val="18"/>
              </w:rPr>
              <w:t xml:space="preserve">            18,520.60 </w:t>
            </w:r>
          </w:p>
        </w:tc>
        <w:tc>
          <w:tcPr>
            <w:tcW w:w="1260" w:type="dxa"/>
            <w:shd w:val="clear" w:color="auto" w:fill="auto"/>
            <w:noWrap/>
            <w:vAlign w:val="center"/>
            <w:hideMark/>
          </w:tcPr>
          <w:p w14:paraId="4C31C42D" w14:textId="77777777" w:rsidR="00F443A1" w:rsidRPr="00141EB8" w:rsidRDefault="00F443A1" w:rsidP="00F443A1">
            <w:pPr>
              <w:jc w:val="right"/>
              <w:rPr>
                <w:color w:val="000000"/>
                <w:sz w:val="18"/>
                <w:szCs w:val="18"/>
                <w:lang w:eastAsia="en-IN"/>
              </w:rPr>
            </w:pPr>
            <w:r>
              <w:rPr>
                <w:color w:val="000000"/>
                <w:sz w:val="18"/>
                <w:szCs w:val="18"/>
              </w:rPr>
              <w:t xml:space="preserve">           12,400.67 </w:t>
            </w:r>
          </w:p>
        </w:tc>
        <w:tc>
          <w:tcPr>
            <w:tcW w:w="1170" w:type="dxa"/>
            <w:shd w:val="clear" w:color="auto" w:fill="auto"/>
            <w:noWrap/>
            <w:vAlign w:val="bottom"/>
            <w:hideMark/>
          </w:tcPr>
          <w:p w14:paraId="2C3FCCB6" w14:textId="039320BB" w:rsidR="00F443A1" w:rsidRPr="00141EB8" w:rsidRDefault="00F443A1" w:rsidP="00F443A1">
            <w:pPr>
              <w:jc w:val="right"/>
              <w:rPr>
                <w:sz w:val="18"/>
                <w:szCs w:val="18"/>
                <w:lang w:eastAsia="en-IN"/>
              </w:rPr>
            </w:pPr>
            <w:r>
              <w:rPr>
                <w:sz w:val="18"/>
                <w:szCs w:val="18"/>
              </w:rPr>
              <w:t>15,141.63</w:t>
            </w:r>
          </w:p>
        </w:tc>
        <w:tc>
          <w:tcPr>
            <w:tcW w:w="1170" w:type="dxa"/>
            <w:shd w:val="clear" w:color="auto" w:fill="auto"/>
            <w:noWrap/>
            <w:vAlign w:val="bottom"/>
            <w:hideMark/>
          </w:tcPr>
          <w:p w14:paraId="269D3E35" w14:textId="09A62A0F" w:rsidR="00F443A1" w:rsidRPr="00141EB8" w:rsidRDefault="00F443A1" w:rsidP="00F443A1">
            <w:pPr>
              <w:jc w:val="right"/>
              <w:rPr>
                <w:sz w:val="18"/>
                <w:szCs w:val="18"/>
                <w:lang w:eastAsia="en-IN"/>
              </w:rPr>
            </w:pPr>
            <w:r>
              <w:rPr>
                <w:sz w:val="18"/>
                <w:szCs w:val="18"/>
              </w:rPr>
              <w:t>(2,740.96)</w:t>
            </w:r>
          </w:p>
        </w:tc>
        <w:tc>
          <w:tcPr>
            <w:tcW w:w="1170" w:type="dxa"/>
            <w:shd w:val="clear" w:color="auto" w:fill="auto"/>
            <w:noWrap/>
            <w:vAlign w:val="bottom"/>
            <w:hideMark/>
          </w:tcPr>
          <w:p w14:paraId="796833CB" w14:textId="3DD25BF8" w:rsidR="00F443A1" w:rsidRPr="00141EB8" w:rsidRDefault="00F443A1" w:rsidP="00F443A1">
            <w:pPr>
              <w:jc w:val="right"/>
              <w:rPr>
                <w:sz w:val="18"/>
                <w:szCs w:val="18"/>
                <w:lang w:eastAsia="en-IN"/>
              </w:rPr>
            </w:pPr>
            <w:r>
              <w:rPr>
                <w:sz w:val="18"/>
                <w:szCs w:val="18"/>
              </w:rPr>
              <w:t xml:space="preserve">2,740.96 </w:t>
            </w:r>
          </w:p>
        </w:tc>
        <w:tc>
          <w:tcPr>
            <w:tcW w:w="716" w:type="dxa"/>
            <w:tcBorders>
              <w:right w:val="double" w:sz="4" w:space="0" w:color="auto"/>
            </w:tcBorders>
            <w:shd w:val="clear" w:color="auto" w:fill="auto"/>
            <w:noWrap/>
            <w:vAlign w:val="bottom"/>
            <w:hideMark/>
          </w:tcPr>
          <w:p w14:paraId="2D97E9F5" w14:textId="64966D8E" w:rsidR="00F443A1" w:rsidRPr="00141EB8" w:rsidRDefault="00F443A1" w:rsidP="00F443A1">
            <w:pPr>
              <w:jc w:val="right"/>
              <w:rPr>
                <w:sz w:val="18"/>
                <w:szCs w:val="18"/>
                <w:lang w:eastAsia="en-IN"/>
              </w:rPr>
            </w:pPr>
            <w:r>
              <w:rPr>
                <w:sz w:val="18"/>
                <w:szCs w:val="18"/>
              </w:rPr>
              <w:t>18.10</w:t>
            </w:r>
          </w:p>
        </w:tc>
      </w:tr>
      <w:tr w:rsidR="00F443A1" w:rsidRPr="005A497D" w14:paraId="34964A14" w14:textId="77777777" w:rsidTr="000D0E8D">
        <w:trPr>
          <w:trHeight w:val="288"/>
        </w:trPr>
        <w:tc>
          <w:tcPr>
            <w:tcW w:w="2621" w:type="dxa"/>
            <w:tcBorders>
              <w:left w:val="double" w:sz="4" w:space="0" w:color="auto"/>
            </w:tcBorders>
            <w:shd w:val="clear" w:color="auto" w:fill="auto"/>
            <w:noWrap/>
            <w:vAlign w:val="center"/>
            <w:hideMark/>
          </w:tcPr>
          <w:p w14:paraId="21CDF1A9" w14:textId="77777777" w:rsidR="00F443A1" w:rsidRPr="00141EB8" w:rsidRDefault="00F443A1" w:rsidP="00F443A1">
            <w:pPr>
              <w:rPr>
                <w:sz w:val="18"/>
                <w:szCs w:val="18"/>
                <w:lang w:eastAsia="en-IN"/>
              </w:rPr>
            </w:pPr>
            <w:r w:rsidRPr="00141EB8">
              <w:rPr>
                <w:sz w:val="18"/>
                <w:szCs w:val="18"/>
                <w:lang w:eastAsia="en-IN"/>
              </w:rPr>
              <w:t>ARMM</w:t>
            </w:r>
          </w:p>
        </w:tc>
        <w:tc>
          <w:tcPr>
            <w:tcW w:w="1260" w:type="dxa"/>
            <w:shd w:val="clear" w:color="auto" w:fill="auto"/>
            <w:noWrap/>
            <w:vAlign w:val="center"/>
            <w:hideMark/>
          </w:tcPr>
          <w:p w14:paraId="74BCA3E7" w14:textId="77777777" w:rsidR="00F443A1" w:rsidRPr="00141EB8" w:rsidRDefault="00F443A1" w:rsidP="00F443A1">
            <w:pPr>
              <w:jc w:val="right"/>
              <w:rPr>
                <w:color w:val="000000"/>
                <w:sz w:val="18"/>
                <w:szCs w:val="18"/>
                <w:lang w:eastAsia="en-IN"/>
              </w:rPr>
            </w:pPr>
            <w:r>
              <w:rPr>
                <w:sz w:val="18"/>
                <w:szCs w:val="18"/>
              </w:rPr>
              <w:t xml:space="preserve">            14,733.80 </w:t>
            </w:r>
          </w:p>
        </w:tc>
        <w:tc>
          <w:tcPr>
            <w:tcW w:w="1260" w:type="dxa"/>
            <w:shd w:val="clear" w:color="auto" w:fill="auto"/>
            <w:noWrap/>
            <w:vAlign w:val="center"/>
            <w:hideMark/>
          </w:tcPr>
          <w:p w14:paraId="03E8C803" w14:textId="77777777" w:rsidR="00F443A1" w:rsidRPr="00141EB8" w:rsidRDefault="00F443A1" w:rsidP="00F443A1">
            <w:pPr>
              <w:jc w:val="right"/>
              <w:rPr>
                <w:color w:val="000000"/>
                <w:sz w:val="18"/>
                <w:szCs w:val="18"/>
                <w:lang w:eastAsia="en-IN"/>
              </w:rPr>
            </w:pPr>
            <w:r>
              <w:rPr>
                <w:color w:val="000000"/>
                <w:sz w:val="18"/>
                <w:szCs w:val="18"/>
              </w:rPr>
              <w:t xml:space="preserve">           14,237.32 </w:t>
            </w:r>
          </w:p>
        </w:tc>
        <w:tc>
          <w:tcPr>
            <w:tcW w:w="1170" w:type="dxa"/>
            <w:shd w:val="clear" w:color="auto" w:fill="auto"/>
            <w:noWrap/>
            <w:vAlign w:val="bottom"/>
            <w:hideMark/>
          </w:tcPr>
          <w:p w14:paraId="144DCE92" w14:textId="5011F35F" w:rsidR="00F443A1" w:rsidRPr="00141EB8" w:rsidRDefault="00F443A1" w:rsidP="00F443A1">
            <w:pPr>
              <w:jc w:val="right"/>
              <w:rPr>
                <w:sz w:val="18"/>
                <w:szCs w:val="18"/>
                <w:lang w:eastAsia="en-IN"/>
              </w:rPr>
            </w:pPr>
            <w:r>
              <w:rPr>
                <w:sz w:val="18"/>
                <w:szCs w:val="18"/>
              </w:rPr>
              <w:t>12,045.71</w:t>
            </w:r>
          </w:p>
        </w:tc>
        <w:tc>
          <w:tcPr>
            <w:tcW w:w="1170" w:type="dxa"/>
            <w:shd w:val="clear" w:color="auto" w:fill="auto"/>
            <w:noWrap/>
            <w:vAlign w:val="bottom"/>
            <w:hideMark/>
          </w:tcPr>
          <w:p w14:paraId="07FA625A" w14:textId="253E8F02" w:rsidR="00F443A1" w:rsidRPr="00141EB8" w:rsidRDefault="00F443A1" w:rsidP="00F443A1">
            <w:pPr>
              <w:jc w:val="right"/>
              <w:rPr>
                <w:sz w:val="18"/>
                <w:szCs w:val="18"/>
                <w:lang w:eastAsia="en-IN"/>
              </w:rPr>
            </w:pPr>
            <w:r>
              <w:rPr>
                <w:sz w:val="18"/>
                <w:szCs w:val="18"/>
              </w:rPr>
              <w:t xml:space="preserve">2,191.61 </w:t>
            </w:r>
          </w:p>
        </w:tc>
        <w:tc>
          <w:tcPr>
            <w:tcW w:w="1170" w:type="dxa"/>
            <w:shd w:val="clear" w:color="auto" w:fill="auto"/>
            <w:noWrap/>
            <w:vAlign w:val="bottom"/>
            <w:hideMark/>
          </w:tcPr>
          <w:p w14:paraId="2B9BC9B9" w14:textId="7D872C27" w:rsidR="00F443A1" w:rsidRPr="00141EB8" w:rsidRDefault="00F443A1" w:rsidP="00F443A1">
            <w:pPr>
              <w:jc w:val="right"/>
              <w:rPr>
                <w:sz w:val="18"/>
                <w:szCs w:val="18"/>
                <w:lang w:eastAsia="en-IN"/>
              </w:rPr>
            </w:pPr>
            <w:r>
              <w:rPr>
                <w:sz w:val="18"/>
                <w:szCs w:val="18"/>
              </w:rPr>
              <w:t xml:space="preserve">2,191.61 </w:t>
            </w:r>
          </w:p>
        </w:tc>
        <w:tc>
          <w:tcPr>
            <w:tcW w:w="716" w:type="dxa"/>
            <w:tcBorders>
              <w:right w:val="double" w:sz="4" w:space="0" w:color="auto"/>
            </w:tcBorders>
            <w:shd w:val="clear" w:color="auto" w:fill="auto"/>
            <w:noWrap/>
            <w:vAlign w:val="bottom"/>
            <w:hideMark/>
          </w:tcPr>
          <w:p w14:paraId="12968C6F" w14:textId="668CF045" w:rsidR="00F443A1" w:rsidRPr="00141EB8" w:rsidRDefault="00F443A1" w:rsidP="00F443A1">
            <w:pPr>
              <w:jc w:val="right"/>
              <w:rPr>
                <w:sz w:val="18"/>
                <w:szCs w:val="18"/>
                <w:lang w:eastAsia="en-IN"/>
              </w:rPr>
            </w:pPr>
            <w:r>
              <w:rPr>
                <w:sz w:val="18"/>
                <w:szCs w:val="18"/>
              </w:rPr>
              <w:t>18.19</w:t>
            </w:r>
          </w:p>
        </w:tc>
      </w:tr>
      <w:tr w:rsidR="00F443A1" w:rsidRPr="005A497D" w14:paraId="335CE4D9" w14:textId="77777777" w:rsidTr="000D0E8D">
        <w:trPr>
          <w:trHeight w:val="288"/>
        </w:trPr>
        <w:tc>
          <w:tcPr>
            <w:tcW w:w="2621" w:type="dxa"/>
            <w:tcBorders>
              <w:left w:val="double" w:sz="4" w:space="0" w:color="auto"/>
            </w:tcBorders>
            <w:shd w:val="clear" w:color="auto" w:fill="auto"/>
            <w:noWrap/>
            <w:vAlign w:val="center"/>
            <w:hideMark/>
          </w:tcPr>
          <w:p w14:paraId="04A4AD3F" w14:textId="77777777" w:rsidR="00F443A1" w:rsidRPr="00141EB8" w:rsidRDefault="00F443A1" w:rsidP="00F443A1">
            <w:pPr>
              <w:rPr>
                <w:sz w:val="18"/>
                <w:szCs w:val="18"/>
                <w:lang w:eastAsia="en-IN"/>
              </w:rPr>
            </w:pPr>
            <w:r w:rsidRPr="00141EB8">
              <w:rPr>
                <w:sz w:val="18"/>
                <w:szCs w:val="18"/>
                <w:lang w:eastAsia="en-IN"/>
              </w:rPr>
              <w:t>DFA</w:t>
            </w:r>
          </w:p>
        </w:tc>
        <w:tc>
          <w:tcPr>
            <w:tcW w:w="1260" w:type="dxa"/>
            <w:shd w:val="clear" w:color="auto" w:fill="auto"/>
            <w:noWrap/>
            <w:vAlign w:val="center"/>
            <w:hideMark/>
          </w:tcPr>
          <w:p w14:paraId="3C970468" w14:textId="77777777" w:rsidR="00F443A1" w:rsidRPr="00141EB8" w:rsidRDefault="00F443A1" w:rsidP="00F443A1">
            <w:pPr>
              <w:jc w:val="right"/>
              <w:rPr>
                <w:color w:val="000000"/>
                <w:sz w:val="18"/>
                <w:szCs w:val="18"/>
                <w:lang w:eastAsia="en-IN"/>
              </w:rPr>
            </w:pPr>
            <w:r>
              <w:rPr>
                <w:sz w:val="18"/>
                <w:szCs w:val="18"/>
              </w:rPr>
              <w:t xml:space="preserve">            14,468.47 </w:t>
            </w:r>
          </w:p>
        </w:tc>
        <w:tc>
          <w:tcPr>
            <w:tcW w:w="1260" w:type="dxa"/>
            <w:shd w:val="clear" w:color="auto" w:fill="auto"/>
            <w:noWrap/>
            <w:vAlign w:val="center"/>
            <w:hideMark/>
          </w:tcPr>
          <w:p w14:paraId="0890DE4E" w14:textId="77777777" w:rsidR="00F443A1" w:rsidRPr="00141EB8" w:rsidRDefault="00F443A1" w:rsidP="00F443A1">
            <w:pPr>
              <w:jc w:val="right"/>
              <w:rPr>
                <w:color w:val="000000"/>
                <w:sz w:val="18"/>
                <w:szCs w:val="18"/>
                <w:lang w:eastAsia="en-IN"/>
              </w:rPr>
            </w:pPr>
            <w:r>
              <w:rPr>
                <w:color w:val="000000"/>
                <w:sz w:val="18"/>
                <w:szCs w:val="18"/>
              </w:rPr>
              <w:t xml:space="preserve">           11,778.46 </w:t>
            </w:r>
          </w:p>
        </w:tc>
        <w:tc>
          <w:tcPr>
            <w:tcW w:w="1170" w:type="dxa"/>
            <w:shd w:val="clear" w:color="auto" w:fill="auto"/>
            <w:noWrap/>
            <w:vAlign w:val="bottom"/>
            <w:hideMark/>
          </w:tcPr>
          <w:p w14:paraId="38AD059E" w14:textId="6332E8B2" w:rsidR="00F443A1" w:rsidRPr="00141EB8" w:rsidRDefault="00F443A1" w:rsidP="00F443A1">
            <w:pPr>
              <w:jc w:val="right"/>
              <w:rPr>
                <w:sz w:val="18"/>
                <w:szCs w:val="18"/>
                <w:lang w:eastAsia="en-IN"/>
              </w:rPr>
            </w:pPr>
            <w:r>
              <w:rPr>
                <w:sz w:val="18"/>
                <w:szCs w:val="18"/>
              </w:rPr>
              <w:t>11,828.79</w:t>
            </w:r>
          </w:p>
        </w:tc>
        <w:tc>
          <w:tcPr>
            <w:tcW w:w="1170" w:type="dxa"/>
            <w:shd w:val="clear" w:color="auto" w:fill="auto"/>
            <w:noWrap/>
            <w:vAlign w:val="bottom"/>
            <w:hideMark/>
          </w:tcPr>
          <w:p w14:paraId="60BD497A" w14:textId="300F544E" w:rsidR="00F443A1" w:rsidRPr="00141EB8" w:rsidRDefault="00F443A1" w:rsidP="00F443A1">
            <w:pPr>
              <w:jc w:val="right"/>
              <w:rPr>
                <w:sz w:val="18"/>
                <w:szCs w:val="18"/>
                <w:lang w:eastAsia="en-IN"/>
              </w:rPr>
            </w:pPr>
            <w:r>
              <w:rPr>
                <w:sz w:val="18"/>
                <w:szCs w:val="18"/>
              </w:rPr>
              <w:t>(50.33)</w:t>
            </w:r>
          </w:p>
        </w:tc>
        <w:tc>
          <w:tcPr>
            <w:tcW w:w="1170" w:type="dxa"/>
            <w:shd w:val="clear" w:color="auto" w:fill="auto"/>
            <w:noWrap/>
            <w:vAlign w:val="bottom"/>
            <w:hideMark/>
          </w:tcPr>
          <w:p w14:paraId="58B8A74F" w14:textId="502D8A07" w:rsidR="00F443A1" w:rsidRPr="00141EB8" w:rsidRDefault="00F443A1" w:rsidP="00F443A1">
            <w:pPr>
              <w:jc w:val="right"/>
              <w:rPr>
                <w:sz w:val="18"/>
                <w:szCs w:val="18"/>
                <w:lang w:eastAsia="en-IN"/>
              </w:rPr>
            </w:pPr>
            <w:r>
              <w:rPr>
                <w:sz w:val="18"/>
                <w:szCs w:val="18"/>
              </w:rPr>
              <w:t xml:space="preserve">50.33 </w:t>
            </w:r>
          </w:p>
        </w:tc>
        <w:tc>
          <w:tcPr>
            <w:tcW w:w="716" w:type="dxa"/>
            <w:tcBorders>
              <w:right w:val="double" w:sz="4" w:space="0" w:color="auto"/>
            </w:tcBorders>
            <w:shd w:val="clear" w:color="auto" w:fill="auto"/>
            <w:noWrap/>
            <w:vAlign w:val="bottom"/>
            <w:hideMark/>
          </w:tcPr>
          <w:p w14:paraId="3EF7614F" w14:textId="0AF837E1" w:rsidR="00F443A1" w:rsidRPr="00141EB8" w:rsidRDefault="00F443A1" w:rsidP="00F443A1">
            <w:pPr>
              <w:jc w:val="right"/>
              <w:rPr>
                <w:sz w:val="18"/>
                <w:szCs w:val="18"/>
                <w:lang w:eastAsia="en-IN"/>
              </w:rPr>
            </w:pPr>
            <w:r>
              <w:rPr>
                <w:sz w:val="18"/>
                <w:szCs w:val="18"/>
              </w:rPr>
              <w:t>0.43</w:t>
            </w:r>
          </w:p>
        </w:tc>
      </w:tr>
      <w:tr w:rsidR="00F443A1" w:rsidRPr="005A497D" w14:paraId="64CA77AA" w14:textId="77777777" w:rsidTr="000D0E8D">
        <w:trPr>
          <w:trHeight w:val="288"/>
        </w:trPr>
        <w:tc>
          <w:tcPr>
            <w:tcW w:w="2621" w:type="dxa"/>
            <w:tcBorders>
              <w:left w:val="double" w:sz="4" w:space="0" w:color="auto"/>
            </w:tcBorders>
            <w:shd w:val="clear" w:color="auto" w:fill="auto"/>
            <w:noWrap/>
            <w:vAlign w:val="center"/>
            <w:hideMark/>
          </w:tcPr>
          <w:p w14:paraId="0DC427CF" w14:textId="77777777" w:rsidR="00F443A1" w:rsidRPr="00141EB8" w:rsidRDefault="00F443A1" w:rsidP="00F443A1">
            <w:pPr>
              <w:rPr>
                <w:sz w:val="18"/>
                <w:szCs w:val="18"/>
                <w:lang w:eastAsia="en-IN"/>
              </w:rPr>
            </w:pPr>
            <w:r w:rsidRPr="00141EB8">
              <w:rPr>
                <w:sz w:val="18"/>
                <w:szCs w:val="18"/>
                <w:lang w:eastAsia="en-IN"/>
              </w:rPr>
              <w:t>DOST</w:t>
            </w:r>
          </w:p>
        </w:tc>
        <w:tc>
          <w:tcPr>
            <w:tcW w:w="1260" w:type="dxa"/>
            <w:shd w:val="clear" w:color="auto" w:fill="auto"/>
            <w:noWrap/>
            <w:vAlign w:val="center"/>
            <w:hideMark/>
          </w:tcPr>
          <w:p w14:paraId="3937F4E9" w14:textId="77777777" w:rsidR="00F443A1" w:rsidRPr="00141EB8" w:rsidRDefault="00F443A1" w:rsidP="00F443A1">
            <w:pPr>
              <w:jc w:val="right"/>
              <w:rPr>
                <w:color w:val="000000"/>
                <w:sz w:val="18"/>
                <w:szCs w:val="18"/>
                <w:lang w:eastAsia="en-IN"/>
              </w:rPr>
            </w:pPr>
            <w:r>
              <w:rPr>
                <w:sz w:val="18"/>
                <w:szCs w:val="18"/>
              </w:rPr>
              <w:t xml:space="preserve">            11,833.31 </w:t>
            </w:r>
          </w:p>
        </w:tc>
        <w:tc>
          <w:tcPr>
            <w:tcW w:w="1260" w:type="dxa"/>
            <w:shd w:val="clear" w:color="auto" w:fill="auto"/>
            <w:noWrap/>
            <w:vAlign w:val="center"/>
            <w:hideMark/>
          </w:tcPr>
          <w:p w14:paraId="32BB57C7" w14:textId="77777777" w:rsidR="00F443A1" w:rsidRPr="00141EB8" w:rsidRDefault="00F443A1" w:rsidP="00F443A1">
            <w:pPr>
              <w:jc w:val="right"/>
              <w:rPr>
                <w:color w:val="000000"/>
                <w:sz w:val="18"/>
                <w:szCs w:val="18"/>
                <w:lang w:eastAsia="en-IN"/>
              </w:rPr>
            </w:pPr>
            <w:r>
              <w:rPr>
                <w:color w:val="000000"/>
                <w:sz w:val="18"/>
                <w:szCs w:val="18"/>
              </w:rPr>
              <w:t xml:space="preserve">           10,293.32 </w:t>
            </w:r>
          </w:p>
        </w:tc>
        <w:tc>
          <w:tcPr>
            <w:tcW w:w="1170" w:type="dxa"/>
            <w:shd w:val="clear" w:color="auto" w:fill="auto"/>
            <w:noWrap/>
            <w:vAlign w:val="bottom"/>
            <w:hideMark/>
          </w:tcPr>
          <w:p w14:paraId="58232B8F" w14:textId="68D3632F" w:rsidR="00F443A1" w:rsidRPr="00141EB8" w:rsidRDefault="00F443A1" w:rsidP="00F443A1">
            <w:pPr>
              <w:jc w:val="right"/>
              <w:rPr>
                <w:sz w:val="18"/>
                <w:szCs w:val="18"/>
                <w:lang w:eastAsia="en-IN"/>
              </w:rPr>
            </w:pPr>
            <w:r>
              <w:rPr>
                <w:sz w:val="18"/>
                <w:szCs w:val="18"/>
              </w:rPr>
              <w:t>9,674.40</w:t>
            </w:r>
          </w:p>
        </w:tc>
        <w:tc>
          <w:tcPr>
            <w:tcW w:w="1170" w:type="dxa"/>
            <w:shd w:val="clear" w:color="auto" w:fill="auto"/>
            <w:noWrap/>
            <w:vAlign w:val="bottom"/>
            <w:hideMark/>
          </w:tcPr>
          <w:p w14:paraId="584AE49D" w14:textId="5582E66F" w:rsidR="00F443A1" w:rsidRPr="00141EB8" w:rsidRDefault="00F443A1" w:rsidP="00F443A1">
            <w:pPr>
              <w:jc w:val="right"/>
              <w:rPr>
                <w:sz w:val="18"/>
                <w:szCs w:val="18"/>
                <w:lang w:eastAsia="en-IN"/>
              </w:rPr>
            </w:pPr>
            <w:r>
              <w:rPr>
                <w:sz w:val="18"/>
                <w:szCs w:val="18"/>
              </w:rPr>
              <w:t xml:space="preserve">618.92 </w:t>
            </w:r>
          </w:p>
        </w:tc>
        <w:tc>
          <w:tcPr>
            <w:tcW w:w="1170" w:type="dxa"/>
            <w:shd w:val="clear" w:color="auto" w:fill="auto"/>
            <w:noWrap/>
            <w:vAlign w:val="bottom"/>
            <w:hideMark/>
          </w:tcPr>
          <w:p w14:paraId="4C3148CE" w14:textId="3A0199AF" w:rsidR="00F443A1" w:rsidRPr="00141EB8" w:rsidRDefault="00F443A1" w:rsidP="00F443A1">
            <w:pPr>
              <w:jc w:val="right"/>
              <w:rPr>
                <w:sz w:val="18"/>
                <w:szCs w:val="18"/>
                <w:lang w:eastAsia="en-IN"/>
              </w:rPr>
            </w:pPr>
            <w:r>
              <w:rPr>
                <w:sz w:val="18"/>
                <w:szCs w:val="18"/>
              </w:rPr>
              <w:t xml:space="preserve">618.92 </w:t>
            </w:r>
          </w:p>
        </w:tc>
        <w:tc>
          <w:tcPr>
            <w:tcW w:w="716" w:type="dxa"/>
            <w:tcBorders>
              <w:right w:val="double" w:sz="4" w:space="0" w:color="auto"/>
            </w:tcBorders>
            <w:shd w:val="clear" w:color="auto" w:fill="auto"/>
            <w:noWrap/>
            <w:vAlign w:val="bottom"/>
            <w:hideMark/>
          </w:tcPr>
          <w:p w14:paraId="19C2E4A6" w14:textId="47C4C176" w:rsidR="00F443A1" w:rsidRPr="00141EB8" w:rsidRDefault="00F443A1" w:rsidP="00F443A1">
            <w:pPr>
              <w:jc w:val="right"/>
              <w:rPr>
                <w:sz w:val="18"/>
                <w:szCs w:val="18"/>
                <w:lang w:eastAsia="en-IN"/>
              </w:rPr>
            </w:pPr>
            <w:r>
              <w:rPr>
                <w:sz w:val="18"/>
                <w:szCs w:val="18"/>
              </w:rPr>
              <w:t>6.40</w:t>
            </w:r>
          </w:p>
        </w:tc>
      </w:tr>
      <w:tr w:rsidR="00F443A1" w:rsidRPr="005A497D" w14:paraId="6EE9EA20" w14:textId="77777777" w:rsidTr="000D0E8D">
        <w:trPr>
          <w:trHeight w:val="288"/>
        </w:trPr>
        <w:tc>
          <w:tcPr>
            <w:tcW w:w="2621" w:type="dxa"/>
            <w:tcBorders>
              <w:left w:val="double" w:sz="4" w:space="0" w:color="auto"/>
            </w:tcBorders>
            <w:shd w:val="clear" w:color="auto" w:fill="auto"/>
            <w:noWrap/>
            <w:vAlign w:val="center"/>
            <w:hideMark/>
          </w:tcPr>
          <w:p w14:paraId="465D99E9" w14:textId="77777777" w:rsidR="00F443A1" w:rsidRPr="00141EB8" w:rsidRDefault="00F443A1" w:rsidP="00F443A1">
            <w:pPr>
              <w:rPr>
                <w:sz w:val="18"/>
                <w:szCs w:val="18"/>
                <w:lang w:eastAsia="en-IN"/>
              </w:rPr>
            </w:pPr>
            <w:r w:rsidRPr="00141EB8">
              <w:rPr>
                <w:sz w:val="18"/>
                <w:szCs w:val="18"/>
                <w:lang w:eastAsia="en-IN"/>
              </w:rPr>
              <w:t>Justice</w:t>
            </w:r>
          </w:p>
        </w:tc>
        <w:tc>
          <w:tcPr>
            <w:tcW w:w="1260" w:type="dxa"/>
            <w:shd w:val="clear" w:color="auto" w:fill="auto"/>
            <w:noWrap/>
            <w:vAlign w:val="center"/>
            <w:hideMark/>
          </w:tcPr>
          <w:p w14:paraId="0FE661BB" w14:textId="77777777" w:rsidR="00F443A1" w:rsidRPr="00141EB8" w:rsidRDefault="00F443A1" w:rsidP="00F443A1">
            <w:pPr>
              <w:jc w:val="right"/>
              <w:rPr>
                <w:color w:val="000000"/>
                <w:sz w:val="18"/>
                <w:szCs w:val="18"/>
                <w:lang w:eastAsia="en-IN"/>
              </w:rPr>
            </w:pPr>
            <w:r>
              <w:rPr>
                <w:sz w:val="18"/>
                <w:szCs w:val="18"/>
              </w:rPr>
              <w:t xml:space="preserve">            11,635.11 </w:t>
            </w:r>
          </w:p>
        </w:tc>
        <w:tc>
          <w:tcPr>
            <w:tcW w:w="1260" w:type="dxa"/>
            <w:shd w:val="clear" w:color="auto" w:fill="auto"/>
            <w:noWrap/>
            <w:vAlign w:val="center"/>
            <w:hideMark/>
          </w:tcPr>
          <w:p w14:paraId="143FED7F" w14:textId="77777777" w:rsidR="00F443A1" w:rsidRPr="00141EB8" w:rsidRDefault="00F443A1" w:rsidP="00F443A1">
            <w:pPr>
              <w:jc w:val="right"/>
              <w:rPr>
                <w:color w:val="000000"/>
                <w:sz w:val="18"/>
                <w:szCs w:val="18"/>
                <w:lang w:eastAsia="en-IN"/>
              </w:rPr>
            </w:pPr>
            <w:r>
              <w:rPr>
                <w:color w:val="000000"/>
                <w:sz w:val="18"/>
                <w:szCs w:val="18"/>
              </w:rPr>
              <w:t xml:space="preserve">           10,831.21 </w:t>
            </w:r>
          </w:p>
        </w:tc>
        <w:tc>
          <w:tcPr>
            <w:tcW w:w="1170" w:type="dxa"/>
            <w:shd w:val="clear" w:color="auto" w:fill="auto"/>
            <w:noWrap/>
            <w:vAlign w:val="bottom"/>
            <w:hideMark/>
          </w:tcPr>
          <w:p w14:paraId="7386DB34" w14:textId="25AF73DD" w:rsidR="00F443A1" w:rsidRPr="00141EB8" w:rsidRDefault="00F443A1" w:rsidP="00F443A1">
            <w:pPr>
              <w:jc w:val="right"/>
              <w:rPr>
                <w:sz w:val="18"/>
                <w:szCs w:val="18"/>
                <w:lang w:eastAsia="en-IN"/>
              </w:rPr>
            </w:pPr>
            <w:r>
              <w:rPr>
                <w:sz w:val="18"/>
                <w:szCs w:val="18"/>
              </w:rPr>
              <w:t>9,512.35</w:t>
            </w:r>
          </w:p>
        </w:tc>
        <w:tc>
          <w:tcPr>
            <w:tcW w:w="1170" w:type="dxa"/>
            <w:shd w:val="clear" w:color="auto" w:fill="auto"/>
            <w:noWrap/>
            <w:vAlign w:val="bottom"/>
            <w:hideMark/>
          </w:tcPr>
          <w:p w14:paraId="17945154" w14:textId="53167AF1" w:rsidR="00F443A1" w:rsidRPr="00141EB8" w:rsidRDefault="00F443A1" w:rsidP="00F443A1">
            <w:pPr>
              <w:jc w:val="right"/>
              <w:rPr>
                <w:sz w:val="18"/>
                <w:szCs w:val="18"/>
                <w:lang w:eastAsia="en-IN"/>
              </w:rPr>
            </w:pPr>
            <w:r>
              <w:rPr>
                <w:sz w:val="18"/>
                <w:szCs w:val="18"/>
              </w:rPr>
              <w:t xml:space="preserve">1,318.86 </w:t>
            </w:r>
          </w:p>
        </w:tc>
        <w:tc>
          <w:tcPr>
            <w:tcW w:w="1170" w:type="dxa"/>
            <w:shd w:val="clear" w:color="auto" w:fill="auto"/>
            <w:noWrap/>
            <w:vAlign w:val="bottom"/>
            <w:hideMark/>
          </w:tcPr>
          <w:p w14:paraId="3000CBAC" w14:textId="1CB182B5" w:rsidR="00F443A1" w:rsidRPr="00141EB8" w:rsidRDefault="00F443A1" w:rsidP="00F443A1">
            <w:pPr>
              <w:jc w:val="right"/>
              <w:rPr>
                <w:sz w:val="18"/>
                <w:szCs w:val="18"/>
                <w:lang w:eastAsia="en-IN"/>
              </w:rPr>
            </w:pPr>
            <w:r>
              <w:rPr>
                <w:sz w:val="18"/>
                <w:szCs w:val="18"/>
              </w:rPr>
              <w:t xml:space="preserve">1,318.86 </w:t>
            </w:r>
          </w:p>
        </w:tc>
        <w:tc>
          <w:tcPr>
            <w:tcW w:w="716" w:type="dxa"/>
            <w:tcBorders>
              <w:right w:val="double" w:sz="4" w:space="0" w:color="auto"/>
            </w:tcBorders>
            <w:shd w:val="clear" w:color="auto" w:fill="auto"/>
            <w:noWrap/>
            <w:vAlign w:val="bottom"/>
            <w:hideMark/>
          </w:tcPr>
          <w:p w14:paraId="29925C41" w14:textId="15EF7EE1" w:rsidR="00F443A1" w:rsidRPr="00141EB8" w:rsidRDefault="00F443A1" w:rsidP="00F443A1">
            <w:pPr>
              <w:jc w:val="right"/>
              <w:rPr>
                <w:sz w:val="18"/>
                <w:szCs w:val="18"/>
                <w:lang w:eastAsia="en-IN"/>
              </w:rPr>
            </w:pPr>
            <w:r>
              <w:rPr>
                <w:sz w:val="18"/>
                <w:szCs w:val="18"/>
              </w:rPr>
              <w:t>13.86</w:t>
            </w:r>
          </w:p>
        </w:tc>
      </w:tr>
      <w:tr w:rsidR="00F443A1" w:rsidRPr="005A497D" w14:paraId="440F1773" w14:textId="77777777" w:rsidTr="000D0E8D">
        <w:trPr>
          <w:trHeight w:val="288"/>
        </w:trPr>
        <w:tc>
          <w:tcPr>
            <w:tcW w:w="2621" w:type="dxa"/>
            <w:tcBorders>
              <w:left w:val="double" w:sz="4" w:space="0" w:color="auto"/>
            </w:tcBorders>
            <w:shd w:val="clear" w:color="auto" w:fill="auto"/>
            <w:noWrap/>
            <w:vAlign w:val="center"/>
          </w:tcPr>
          <w:p w14:paraId="1EC7B687" w14:textId="77777777" w:rsidR="00F443A1" w:rsidRPr="00141EB8" w:rsidRDefault="00F443A1" w:rsidP="00F443A1">
            <w:pPr>
              <w:rPr>
                <w:sz w:val="18"/>
                <w:szCs w:val="18"/>
                <w:lang w:eastAsia="en-IN"/>
              </w:rPr>
            </w:pPr>
            <w:r>
              <w:rPr>
                <w:sz w:val="18"/>
                <w:szCs w:val="18"/>
                <w:lang w:eastAsia="en-IN"/>
              </w:rPr>
              <w:t>Congress</w:t>
            </w:r>
          </w:p>
        </w:tc>
        <w:tc>
          <w:tcPr>
            <w:tcW w:w="1260" w:type="dxa"/>
            <w:shd w:val="clear" w:color="auto" w:fill="auto"/>
            <w:noWrap/>
            <w:vAlign w:val="center"/>
          </w:tcPr>
          <w:p w14:paraId="6EB217E8" w14:textId="77777777" w:rsidR="00F443A1" w:rsidRPr="00141EB8" w:rsidRDefault="00F443A1" w:rsidP="00F443A1">
            <w:pPr>
              <w:jc w:val="right"/>
              <w:rPr>
                <w:sz w:val="18"/>
                <w:szCs w:val="18"/>
              </w:rPr>
            </w:pPr>
            <w:r>
              <w:rPr>
                <w:sz w:val="18"/>
                <w:szCs w:val="18"/>
              </w:rPr>
              <w:t xml:space="preserve">            11,202.41 </w:t>
            </w:r>
          </w:p>
        </w:tc>
        <w:tc>
          <w:tcPr>
            <w:tcW w:w="1260" w:type="dxa"/>
            <w:shd w:val="clear" w:color="auto" w:fill="auto"/>
            <w:noWrap/>
            <w:vAlign w:val="center"/>
          </w:tcPr>
          <w:p w14:paraId="414C0855" w14:textId="77777777" w:rsidR="00F443A1" w:rsidRPr="00141EB8" w:rsidRDefault="00F443A1" w:rsidP="00F443A1">
            <w:pPr>
              <w:jc w:val="right"/>
              <w:rPr>
                <w:sz w:val="18"/>
                <w:szCs w:val="18"/>
              </w:rPr>
            </w:pPr>
            <w:r>
              <w:rPr>
                <w:color w:val="000000"/>
                <w:sz w:val="18"/>
                <w:szCs w:val="18"/>
              </w:rPr>
              <w:t xml:space="preserve">             9,929.89 </w:t>
            </w:r>
          </w:p>
        </w:tc>
        <w:tc>
          <w:tcPr>
            <w:tcW w:w="1170" w:type="dxa"/>
            <w:shd w:val="clear" w:color="auto" w:fill="auto"/>
            <w:noWrap/>
            <w:vAlign w:val="bottom"/>
          </w:tcPr>
          <w:p w14:paraId="1CE871D5" w14:textId="372C1818" w:rsidR="00F443A1" w:rsidRPr="00141EB8" w:rsidRDefault="00F443A1" w:rsidP="00F443A1">
            <w:pPr>
              <w:jc w:val="right"/>
              <w:rPr>
                <w:sz w:val="18"/>
                <w:szCs w:val="18"/>
              </w:rPr>
            </w:pPr>
            <w:r>
              <w:rPr>
                <w:sz w:val="18"/>
                <w:szCs w:val="18"/>
              </w:rPr>
              <w:t>9,158.60</w:t>
            </w:r>
          </w:p>
        </w:tc>
        <w:tc>
          <w:tcPr>
            <w:tcW w:w="1170" w:type="dxa"/>
            <w:shd w:val="clear" w:color="auto" w:fill="auto"/>
            <w:noWrap/>
            <w:vAlign w:val="bottom"/>
          </w:tcPr>
          <w:p w14:paraId="1C63C0C3" w14:textId="6DFD44DE" w:rsidR="00F443A1" w:rsidRPr="00141EB8" w:rsidRDefault="00F443A1" w:rsidP="00F443A1">
            <w:pPr>
              <w:jc w:val="right"/>
              <w:rPr>
                <w:sz w:val="18"/>
                <w:szCs w:val="18"/>
              </w:rPr>
            </w:pPr>
            <w:r>
              <w:rPr>
                <w:sz w:val="18"/>
                <w:szCs w:val="18"/>
              </w:rPr>
              <w:t xml:space="preserve">771.29 </w:t>
            </w:r>
          </w:p>
        </w:tc>
        <w:tc>
          <w:tcPr>
            <w:tcW w:w="1170" w:type="dxa"/>
            <w:shd w:val="clear" w:color="auto" w:fill="auto"/>
            <w:noWrap/>
            <w:vAlign w:val="bottom"/>
          </w:tcPr>
          <w:p w14:paraId="39E6BE26" w14:textId="695C94CF" w:rsidR="00F443A1" w:rsidRPr="00141EB8" w:rsidRDefault="00F443A1" w:rsidP="00F443A1">
            <w:pPr>
              <w:jc w:val="right"/>
              <w:rPr>
                <w:sz w:val="18"/>
                <w:szCs w:val="18"/>
              </w:rPr>
            </w:pPr>
            <w:r>
              <w:rPr>
                <w:sz w:val="18"/>
                <w:szCs w:val="18"/>
              </w:rPr>
              <w:t xml:space="preserve">771.29 </w:t>
            </w:r>
          </w:p>
        </w:tc>
        <w:tc>
          <w:tcPr>
            <w:tcW w:w="716" w:type="dxa"/>
            <w:tcBorders>
              <w:right w:val="double" w:sz="4" w:space="0" w:color="auto"/>
            </w:tcBorders>
            <w:shd w:val="clear" w:color="auto" w:fill="auto"/>
            <w:noWrap/>
            <w:vAlign w:val="bottom"/>
          </w:tcPr>
          <w:p w14:paraId="64199251" w14:textId="6D75F386" w:rsidR="00F443A1" w:rsidRPr="00141EB8" w:rsidRDefault="00F443A1" w:rsidP="00F443A1">
            <w:pPr>
              <w:jc w:val="right"/>
              <w:rPr>
                <w:sz w:val="18"/>
                <w:szCs w:val="18"/>
              </w:rPr>
            </w:pPr>
            <w:r>
              <w:rPr>
                <w:sz w:val="18"/>
                <w:szCs w:val="18"/>
              </w:rPr>
              <w:t>8.42</w:t>
            </w:r>
          </w:p>
        </w:tc>
      </w:tr>
      <w:tr w:rsidR="00F443A1" w:rsidRPr="005A497D" w14:paraId="3AA59A86" w14:textId="77777777" w:rsidTr="000D0E8D">
        <w:trPr>
          <w:trHeight w:val="288"/>
        </w:trPr>
        <w:tc>
          <w:tcPr>
            <w:tcW w:w="2621" w:type="dxa"/>
            <w:tcBorders>
              <w:left w:val="double" w:sz="4" w:space="0" w:color="auto"/>
            </w:tcBorders>
            <w:shd w:val="clear" w:color="auto" w:fill="auto"/>
            <w:noWrap/>
            <w:vAlign w:val="center"/>
            <w:hideMark/>
          </w:tcPr>
          <w:p w14:paraId="12037172" w14:textId="77777777" w:rsidR="00F443A1" w:rsidRPr="00141EB8" w:rsidRDefault="00F443A1" w:rsidP="00F443A1">
            <w:pPr>
              <w:rPr>
                <w:sz w:val="18"/>
                <w:szCs w:val="18"/>
                <w:lang w:eastAsia="en-IN"/>
              </w:rPr>
            </w:pPr>
            <w:r w:rsidRPr="00141EB8">
              <w:rPr>
                <w:sz w:val="18"/>
                <w:szCs w:val="18"/>
                <w:lang w:eastAsia="en-IN"/>
              </w:rPr>
              <w:t>Other Executive Offices</w:t>
            </w:r>
          </w:p>
        </w:tc>
        <w:tc>
          <w:tcPr>
            <w:tcW w:w="1260" w:type="dxa"/>
            <w:shd w:val="clear" w:color="auto" w:fill="auto"/>
            <w:noWrap/>
            <w:vAlign w:val="center"/>
            <w:hideMark/>
          </w:tcPr>
          <w:p w14:paraId="2923CDA6" w14:textId="77777777" w:rsidR="00F443A1" w:rsidRPr="00141EB8" w:rsidRDefault="00F443A1" w:rsidP="00F443A1">
            <w:pPr>
              <w:jc w:val="right"/>
              <w:rPr>
                <w:color w:val="000000"/>
                <w:sz w:val="18"/>
                <w:szCs w:val="18"/>
                <w:lang w:eastAsia="en-IN"/>
              </w:rPr>
            </w:pPr>
            <w:r>
              <w:rPr>
                <w:sz w:val="18"/>
                <w:szCs w:val="18"/>
              </w:rPr>
              <w:t xml:space="preserve">            12,075.23 </w:t>
            </w:r>
          </w:p>
        </w:tc>
        <w:tc>
          <w:tcPr>
            <w:tcW w:w="1260" w:type="dxa"/>
            <w:shd w:val="clear" w:color="auto" w:fill="auto"/>
            <w:noWrap/>
            <w:vAlign w:val="center"/>
            <w:hideMark/>
          </w:tcPr>
          <w:p w14:paraId="5D952BB9" w14:textId="77777777" w:rsidR="00F443A1" w:rsidRPr="00141EB8" w:rsidRDefault="00F443A1" w:rsidP="00F443A1">
            <w:pPr>
              <w:jc w:val="right"/>
              <w:rPr>
                <w:color w:val="000000"/>
                <w:sz w:val="18"/>
                <w:szCs w:val="18"/>
                <w:lang w:eastAsia="en-IN"/>
              </w:rPr>
            </w:pPr>
            <w:r>
              <w:rPr>
                <w:color w:val="000000"/>
                <w:sz w:val="18"/>
                <w:szCs w:val="18"/>
              </w:rPr>
              <w:t xml:space="preserve">             9,881.60 </w:t>
            </w:r>
          </w:p>
        </w:tc>
        <w:tc>
          <w:tcPr>
            <w:tcW w:w="1170" w:type="dxa"/>
            <w:shd w:val="clear" w:color="auto" w:fill="auto"/>
            <w:noWrap/>
            <w:vAlign w:val="bottom"/>
            <w:hideMark/>
          </w:tcPr>
          <w:p w14:paraId="3EBB50EB" w14:textId="26F451EB" w:rsidR="00F443A1" w:rsidRPr="00141EB8" w:rsidRDefault="00F443A1" w:rsidP="00F443A1">
            <w:pPr>
              <w:jc w:val="right"/>
              <w:rPr>
                <w:sz w:val="18"/>
                <w:szCs w:val="18"/>
                <w:lang w:eastAsia="en-IN"/>
              </w:rPr>
            </w:pPr>
            <w:r>
              <w:rPr>
                <w:sz w:val="18"/>
                <w:szCs w:val="18"/>
              </w:rPr>
              <w:t>9,872.18</w:t>
            </w:r>
          </w:p>
        </w:tc>
        <w:tc>
          <w:tcPr>
            <w:tcW w:w="1170" w:type="dxa"/>
            <w:shd w:val="clear" w:color="auto" w:fill="auto"/>
            <w:noWrap/>
            <w:vAlign w:val="bottom"/>
            <w:hideMark/>
          </w:tcPr>
          <w:p w14:paraId="331C12C0" w14:textId="263EE0F0" w:rsidR="00F443A1" w:rsidRPr="00141EB8" w:rsidRDefault="00F443A1" w:rsidP="00F443A1">
            <w:pPr>
              <w:jc w:val="right"/>
              <w:rPr>
                <w:sz w:val="18"/>
                <w:szCs w:val="18"/>
                <w:lang w:eastAsia="en-IN"/>
              </w:rPr>
            </w:pPr>
            <w:r>
              <w:rPr>
                <w:sz w:val="18"/>
                <w:szCs w:val="18"/>
              </w:rPr>
              <w:t xml:space="preserve">9.42 </w:t>
            </w:r>
          </w:p>
        </w:tc>
        <w:tc>
          <w:tcPr>
            <w:tcW w:w="1170" w:type="dxa"/>
            <w:shd w:val="clear" w:color="auto" w:fill="auto"/>
            <w:noWrap/>
            <w:vAlign w:val="bottom"/>
            <w:hideMark/>
          </w:tcPr>
          <w:p w14:paraId="57081F3F" w14:textId="48830548" w:rsidR="00F443A1" w:rsidRPr="00141EB8" w:rsidRDefault="00F443A1" w:rsidP="00F443A1">
            <w:pPr>
              <w:jc w:val="right"/>
              <w:rPr>
                <w:sz w:val="18"/>
                <w:szCs w:val="18"/>
                <w:lang w:eastAsia="en-IN"/>
              </w:rPr>
            </w:pPr>
            <w:r>
              <w:rPr>
                <w:sz w:val="18"/>
                <w:szCs w:val="18"/>
              </w:rPr>
              <w:t xml:space="preserve">9.42 </w:t>
            </w:r>
          </w:p>
        </w:tc>
        <w:tc>
          <w:tcPr>
            <w:tcW w:w="716" w:type="dxa"/>
            <w:tcBorders>
              <w:right w:val="double" w:sz="4" w:space="0" w:color="auto"/>
            </w:tcBorders>
            <w:shd w:val="clear" w:color="auto" w:fill="auto"/>
            <w:noWrap/>
            <w:vAlign w:val="bottom"/>
            <w:hideMark/>
          </w:tcPr>
          <w:p w14:paraId="6DA3A95F" w14:textId="3130CA3B" w:rsidR="00F443A1" w:rsidRPr="00141EB8" w:rsidRDefault="00F443A1" w:rsidP="00F443A1">
            <w:pPr>
              <w:jc w:val="right"/>
              <w:rPr>
                <w:sz w:val="18"/>
                <w:szCs w:val="18"/>
                <w:lang w:eastAsia="en-IN"/>
              </w:rPr>
            </w:pPr>
            <w:r>
              <w:rPr>
                <w:sz w:val="18"/>
                <w:szCs w:val="18"/>
              </w:rPr>
              <w:t>0.10</w:t>
            </w:r>
          </w:p>
        </w:tc>
      </w:tr>
      <w:tr w:rsidR="00F443A1" w:rsidRPr="005A497D" w14:paraId="31E58724" w14:textId="77777777" w:rsidTr="000D0E8D">
        <w:trPr>
          <w:trHeight w:val="288"/>
        </w:trPr>
        <w:tc>
          <w:tcPr>
            <w:tcW w:w="2621" w:type="dxa"/>
            <w:tcBorders>
              <w:left w:val="double" w:sz="4" w:space="0" w:color="auto"/>
            </w:tcBorders>
            <w:shd w:val="clear" w:color="auto" w:fill="auto"/>
            <w:noWrap/>
            <w:vAlign w:val="center"/>
            <w:hideMark/>
          </w:tcPr>
          <w:p w14:paraId="7E25C7A4" w14:textId="77777777" w:rsidR="00F443A1" w:rsidRPr="00141EB8" w:rsidRDefault="00F443A1" w:rsidP="00F443A1">
            <w:pPr>
              <w:rPr>
                <w:sz w:val="18"/>
                <w:szCs w:val="18"/>
                <w:lang w:eastAsia="en-IN"/>
              </w:rPr>
            </w:pPr>
            <w:r w:rsidRPr="00141EB8">
              <w:rPr>
                <w:sz w:val="18"/>
                <w:szCs w:val="18"/>
                <w:lang w:eastAsia="en-IN"/>
              </w:rPr>
              <w:t>Others (= sum of rest)</w:t>
            </w:r>
          </w:p>
        </w:tc>
        <w:tc>
          <w:tcPr>
            <w:tcW w:w="1260" w:type="dxa"/>
            <w:shd w:val="clear" w:color="auto" w:fill="auto"/>
            <w:noWrap/>
            <w:vAlign w:val="center"/>
            <w:hideMark/>
          </w:tcPr>
          <w:p w14:paraId="0A68CAEE" w14:textId="77777777" w:rsidR="00F443A1" w:rsidRPr="00141EB8" w:rsidRDefault="00F443A1" w:rsidP="00F443A1">
            <w:pPr>
              <w:jc w:val="right"/>
              <w:rPr>
                <w:color w:val="000000"/>
                <w:sz w:val="18"/>
                <w:szCs w:val="18"/>
                <w:lang w:eastAsia="en-IN"/>
              </w:rPr>
            </w:pPr>
            <w:r>
              <w:rPr>
                <w:sz w:val="18"/>
                <w:szCs w:val="18"/>
              </w:rPr>
              <w:t xml:space="preserve">          477,533.61 </w:t>
            </w:r>
          </w:p>
        </w:tc>
        <w:tc>
          <w:tcPr>
            <w:tcW w:w="1260" w:type="dxa"/>
            <w:shd w:val="clear" w:color="auto" w:fill="auto"/>
            <w:noWrap/>
            <w:vAlign w:val="center"/>
            <w:hideMark/>
          </w:tcPr>
          <w:p w14:paraId="713DB2BF" w14:textId="77777777" w:rsidR="00F443A1" w:rsidRPr="00141EB8" w:rsidRDefault="00F443A1" w:rsidP="00F443A1">
            <w:pPr>
              <w:jc w:val="right"/>
              <w:rPr>
                <w:color w:val="000000"/>
                <w:sz w:val="18"/>
                <w:szCs w:val="18"/>
                <w:lang w:eastAsia="en-IN"/>
              </w:rPr>
            </w:pPr>
            <w:r>
              <w:rPr>
                <w:sz w:val="18"/>
                <w:szCs w:val="18"/>
              </w:rPr>
              <w:t xml:space="preserve">         334,771.45 </w:t>
            </w:r>
          </w:p>
        </w:tc>
        <w:tc>
          <w:tcPr>
            <w:tcW w:w="1170" w:type="dxa"/>
            <w:shd w:val="clear" w:color="auto" w:fill="auto"/>
            <w:noWrap/>
            <w:vAlign w:val="bottom"/>
            <w:hideMark/>
          </w:tcPr>
          <w:p w14:paraId="66FF429E" w14:textId="7FF44ED7" w:rsidR="00F443A1" w:rsidRPr="00141EB8" w:rsidRDefault="00F443A1" w:rsidP="00F443A1">
            <w:pPr>
              <w:jc w:val="right"/>
              <w:rPr>
                <w:sz w:val="18"/>
                <w:szCs w:val="18"/>
                <w:lang w:eastAsia="en-IN"/>
              </w:rPr>
            </w:pPr>
            <w:r>
              <w:rPr>
                <w:sz w:val="18"/>
                <w:szCs w:val="18"/>
              </w:rPr>
              <w:t>390,410.49</w:t>
            </w:r>
          </w:p>
        </w:tc>
        <w:tc>
          <w:tcPr>
            <w:tcW w:w="1170" w:type="dxa"/>
            <w:shd w:val="clear" w:color="auto" w:fill="auto"/>
            <w:noWrap/>
            <w:vAlign w:val="bottom"/>
            <w:hideMark/>
          </w:tcPr>
          <w:p w14:paraId="69ABA3B4" w14:textId="7399237E" w:rsidR="00F443A1" w:rsidRPr="00141EB8" w:rsidRDefault="00F443A1" w:rsidP="00F443A1">
            <w:pPr>
              <w:jc w:val="right"/>
              <w:rPr>
                <w:sz w:val="18"/>
                <w:szCs w:val="18"/>
                <w:lang w:eastAsia="en-IN"/>
              </w:rPr>
            </w:pPr>
            <w:r>
              <w:rPr>
                <w:sz w:val="18"/>
                <w:szCs w:val="18"/>
              </w:rPr>
              <w:t>(55,639.04)</w:t>
            </w:r>
          </w:p>
        </w:tc>
        <w:tc>
          <w:tcPr>
            <w:tcW w:w="1170" w:type="dxa"/>
            <w:shd w:val="clear" w:color="auto" w:fill="auto"/>
            <w:noWrap/>
            <w:vAlign w:val="bottom"/>
            <w:hideMark/>
          </w:tcPr>
          <w:p w14:paraId="78B41757" w14:textId="1C01F174" w:rsidR="00F443A1" w:rsidRPr="00141EB8" w:rsidRDefault="00F443A1" w:rsidP="00F443A1">
            <w:pPr>
              <w:jc w:val="right"/>
              <w:rPr>
                <w:sz w:val="18"/>
                <w:szCs w:val="18"/>
                <w:lang w:eastAsia="en-IN"/>
              </w:rPr>
            </w:pPr>
            <w:r>
              <w:rPr>
                <w:sz w:val="18"/>
                <w:szCs w:val="18"/>
              </w:rPr>
              <w:t xml:space="preserve">55,639.04 </w:t>
            </w:r>
          </w:p>
        </w:tc>
        <w:tc>
          <w:tcPr>
            <w:tcW w:w="716" w:type="dxa"/>
            <w:tcBorders>
              <w:right w:val="double" w:sz="4" w:space="0" w:color="auto"/>
            </w:tcBorders>
            <w:shd w:val="clear" w:color="auto" w:fill="auto"/>
            <w:noWrap/>
            <w:vAlign w:val="bottom"/>
            <w:hideMark/>
          </w:tcPr>
          <w:p w14:paraId="2FF0547A" w14:textId="02846F11" w:rsidR="00F443A1" w:rsidRPr="00141EB8" w:rsidRDefault="00F443A1" w:rsidP="00F443A1">
            <w:pPr>
              <w:jc w:val="right"/>
              <w:rPr>
                <w:sz w:val="18"/>
                <w:szCs w:val="18"/>
                <w:lang w:eastAsia="en-IN"/>
              </w:rPr>
            </w:pPr>
            <w:r>
              <w:rPr>
                <w:sz w:val="18"/>
                <w:szCs w:val="18"/>
              </w:rPr>
              <w:t>14.25</w:t>
            </w:r>
          </w:p>
        </w:tc>
      </w:tr>
      <w:tr w:rsidR="00917C30" w:rsidRPr="005A497D" w14:paraId="75F4CA97" w14:textId="77777777" w:rsidTr="000D0E8D">
        <w:trPr>
          <w:trHeight w:val="288"/>
        </w:trPr>
        <w:tc>
          <w:tcPr>
            <w:tcW w:w="2621" w:type="dxa"/>
            <w:tcBorders>
              <w:left w:val="double" w:sz="4" w:space="0" w:color="auto"/>
            </w:tcBorders>
            <w:shd w:val="clear" w:color="auto" w:fill="auto"/>
            <w:noWrap/>
            <w:vAlign w:val="center"/>
            <w:hideMark/>
          </w:tcPr>
          <w:p w14:paraId="4D7E3A1B" w14:textId="77777777" w:rsidR="00917C30" w:rsidRPr="00141EB8" w:rsidRDefault="00917C30" w:rsidP="009E55FB">
            <w:pPr>
              <w:rPr>
                <w:i/>
                <w:sz w:val="18"/>
                <w:szCs w:val="18"/>
                <w:lang w:eastAsia="en-IN"/>
              </w:rPr>
            </w:pPr>
            <w:r w:rsidRPr="00141EB8">
              <w:rPr>
                <w:i/>
                <w:sz w:val="18"/>
                <w:szCs w:val="18"/>
                <w:lang w:eastAsia="en-IN"/>
              </w:rPr>
              <w:t>Allocated expenditure</w:t>
            </w:r>
          </w:p>
        </w:tc>
        <w:tc>
          <w:tcPr>
            <w:tcW w:w="1260" w:type="dxa"/>
            <w:shd w:val="clear" w:color="auto" w:fill="auto"/>
            <w:noWrap/>
            <w:vAlign w:val="center"/>
            <w:hideMark/>
          </w:tcPr>
          <w:p w14:paraId="7E880954" w14:textId="77777777" w:rsidR="00917C30" w:rsidRPr="00141EB8" w:rsidRDefault="00917C30" w:rsidP="009E55FB">
            <w:pPr>
              <w:rPr>
                <w:i/>
                <w:color w:val="000000"/>
                <w:sz w:val="18"/>
                <w:szCs w:val="18"/>
                <w:lang w:eastAsia="en-IN"/>
              </w:rPr>
            </w:pPr>
            <w:r>
              <w:rPr>
                <w:i/>
                <w:iCs/>
                <w:sz w:val="18"/>
                <w:szCs w:val="18"/>
              </w:rPr>
              <w:t xml:space="preserve">      1,814,001.22 </w:t>
            </w:r>
          </w:p>
        </w:tc>
        <w:tc>
          <w:tcPr>
            <w:tcW w:w="1260" w:type="dxa"/>
            <w:shd w:val="clear" w:color="auto" w:fill="auto"/>
            <w:noWrap/>
            <w:vAlign w:val="center"/>
            <w:hideMark/>
          </w:tcPr>
          <w:p w14:paraId="43DACE75" w14:textId="77777777" w:rsidR="00917C30" w:rsidRPr="00141EB8" w:rsidRDefault="00917C30" w:rsidP="009E55FB">
            <w:pPr>
              <w:rPr>
                <w:i/>
                <w:color w:val="000000"/>
                <w:sz w:val="18"/>
                <w:szCs w:val="18"/>
                <w:lang w:eastAsia="en-IN"/>
              </w:rPr>
            </w:pPr>
            <w:r>
              <w:rPr>
                <w:i/>
                <w:iCs/>
                <w:sz w:val="18"/>
                <w:szCs w:val="18"/>
              </w:rPr>
              <w:t xml:space="preserve">      1,483,047.67 </w:t>
            </w:r>
          </w:p>
        </w:tc>
        <w:tc>
          <w:tcPr>
            <w:tcW w:w="1170" w:type="dxa"/>
            <w:shd w:val="clear" w:color="auto" w:fill="auto"/>
            <w:noWrap/>
            <w:vAlign w:val="bottom"/>
            <w:hideMark/>
          </w:tcPr>
          <w:p w14:paraId="3C2F2A8F" w14:textId="76459F29" w:rsidR="00917C30" w:rsidRPr="00141EB8" w:rsidRDefault="00917C30" w:rsidP="00F443A1">
            <w:pPr>
              <w:jc w:val="right"/>
              <w:rPr>
                <w:i/>
                <w:sz w:val="18"/>
                <w:szCs w:val="18"/>
                <w:lang w:eastAsia="en-IN"/>
              </w:rPr>
            </w:pPr>
            <w:r>
              <w:rPr>
                <w:i/>
                <w:iCs/>
                <w:sz w:val="18"/>
                <w:szCs w:val="18"/>
              </w:rPr>
              <w:t>1,483,04</w:t>
            </w:r>
            <w:r w:rsidR="00F443A1">
              <w:rPr>
                <w:i/>
                <w:iCs/>
                <w:sz w:val="18"/>
                <w:szCs w:val="18"/>
              </w:rPr>
              <w:t>7</w:t>
            </w:r>
            <w:r w:rsidR="008B6D37">
              <w:rPr>
                <w:i/>
                <w:iCs/>
                <w:sz w:val="18"/>
                <w:szCs w:val="18"/>
              </w:rPr>
              <w:t>.</w:t>
            </w:r>
            <w:r w:rsidR="00F443A1">
              <w:rPr>
                <w:i/>
                <w:iCs/>
                <w:sz w:val="18"/>
                <w:szCs w:val="18"/>
              </w:rPr>
              <w:t>67</w:t>
            </w:r>
          </w:p>
        </w:tc>
        <w:tc>
          <w:tcPr>
            <w:tcW w:w="1170" w:type="dxa"/>
            <w:shd w:val="clear" w:color="auto" w:fill="auto"/>
            <w:noWrap/>
            <w:vAlign w:val="bottom"/>
            <w:hideMark/>
          </w:tcPr>
          <w:p w14:paraId="7880716F" w14:textId="4807B407" w:rsidR="00917C30" w:rsidRPr="00141EB8" w:rsidRDefault="00F443A1" w:rsidP="009E55FB">
            <w:pPr>
              <w:jc w:val="right"/>
              <w:rPr>
                <w:i/>
                <w:sz w:val="18"/>
                <w:szCs w:val="18"/>
                <w:lang w:eastAsia="en-IN"/>
              </w:rPr>
            </w:pPr>
            <w:r>
              <w:rPr>
                <w:i/>
                <w:iCs/>
                <w:sz w:val="18"/>
                <w:szCs w:val="18"/>
              </w:rPr>
              <w:t>-</w:t>
            </w:r>
            <w:r w:rsidR="00917C30">
              <w:rPr>
                <w:i/>
                <w:iCs/>
                <w:sz w:val="18"/>
                <w:szCs w:val="18"/>
              </w:rPr>
              <w:t xml:space="preserve"> </w:t>
            </w:r>
          </w:p>
        </w:tc>
        <w:tc>
          <w:tcPr>
            <w:tcW w:w="1170" w:type="dxa"/>
            <w:shd w:val="clear" w:color="auto" w:fill="auto"/>
            <w:noWrap/>
            <w:vAlign w:val="bottom"/>
            <w:hideMark/>
          </w:tcPr>
          <w:p w14:paraId="728CA615" w14:textId="7AC6392E" w:rsidR="00917C30" w:rsidRPr="00141EB8" w:rsidRDefault="00917C30" w:rsidP="00F443A1">
            <w:pPr>
              <w:jc w:val="right"/>
              <w:rPr>
                <w:i/>
                <w:sz w:val="18"/>
                <w:szCs w:val="18"/>
                <w:lang w:eastAsia="en-IN"/>
              </w:rPr>
            </w:pPr>
            <w:r>
              <w:rPr>
                <w:i/>
                <w:iCs/>
                <w:sz w:val="18"/>
                <w:szCs w:val="18"/>
              </w:rPr>
              <w:t>184,224.</w:t>
            </w:r>
            <w:r w:rsidR="00F443A1">
              <w:rPr>
                <w:i/>
                <w:iCs/>
                <w:sz w:val="18"/>
                <w:szCs w:val="18"/>
              </w:rPr>
              <w:t>22</w:t>
            </w:r>
            <w:r>
              <w:rPr>
                <w:i/>
                <w:iCs/>
                <w:sz w:val="18"/>
                <w:szCs w:val="18"/>
              </w:rPr>
              <w:t xml:space="preserve"> </w:t>
            </w:r>
          </w:p>
        </w:tc>
        <w:tc>
          <w:tcPr>
            <w:tcW w:w="716" w:type="dxa"/>
            <w:tcBorders>
              <w:right w:val="double" w:sz="4" w:space="0" w:color="auto"/>
            </w:tcBorders>
            <w:shd w:val="clear" w:color="auto" w:fill="auto"/>
            <w:noWrap/>
            <w:vAlign w:val="center"/>
            <w:hideMark/>
          </w:tcPr>
          <w:p w14:paraId="18CC7016" w14:textId="1E69085C" w:rsidR="00917C30" w:rsidRPr="00141EB8" w:rsidRDefault="00917C30" w:rsidP="009E55FB">
            <w:pPr>
              <w:jc w:val="right"/>
              <w:rPr>
                <w:i/>
                <w:sz w:val="18"/>
                <w:szCs w:val="18"/>
                <w:lang w:eastAsia="en-IN"/>
              </w:rPr>
            </w:pPr>
          </w:p>
        </w:tc>
      </w:tr>
      <w:tr w:rsidR="00917C30" w:rsidRPr="005A497D" w14:paraId="5DE9233A" w14:textId="77777777" w:rsidTr="000D0E8D">
        <w:trPr>
          <w:trHeight w:val="288"/>
        </w:trPr>
        <w:tc>
          <w:tcPr>
            <w:tcW w:w="2621" w:type="dxa"/>
            <w:tcBorders>
              <w:left w:val="double" w:sz="4" w:space="0" w:color="auto"/>
            </w:tcBorders>
            <w:shd w:val="clear" w:color="auto" w:fill="auto"/>
            <w:noWrap/>
            <w:vAlign w:val="center"/>
          </w:tcPr>
          <w:p w14:paraId="4B0CF173" w14:textId="77777777" w:rsidR="00917C30" w:rsidRPr="00141EB8" w:rsidRDefault="00917C30" w:rsidP="009E55FB">
            <w:pPr>
              <w:rPr>
                <w:sz w:val="18"/>
                <w:szCs w:val="18"/>
                <w:lang w:eastAsia="en-IN"/>
              </w:rPr>
            </w:pPr>
            <w:r w:rsidRPr="00141EB8">
              <w:rPr>
                <w:sz w:val="18"/>
                <w:szCs w:val="18"/>
                <w:lang w:eastAsia="en-IN"/>
              </w:rPr>
              <w:t xml:space="preserve">Interest </w:t>
            </w:r>
            <w:r>
              <w:rPr>
                <w:sz w:val="18"/>
                <w:szCs w:val="18"/>
                <w:lang w:eastAsia="en-IN"/>
              </w:rPr>
              <w:t xml:space="preserve">&amp; principal </w:t>
            </w:r>
            <w:r w:rsidRPr="00141EB8">
              <w:rPr>
                <w:sz w:val="18"/>
                <w:szCs w:val="18"/>
                <w:lang w:eastAsia="en-IN"/>
              </w:rPr>
              <w:t>on debt</w:t>
            </w:r>
          </w:p>
        </w:tc>
        <w:tc>
          <w:tcPr>
            <w:tcW w:w="1260" w:type="dxa"/>
            <w:shd w:val="clear" w:color="auto" w:fill="auto"/>
            <w:noWrap/>
            <w:vAlign w:val="center"/>
          </w:tcPr>
          <w:p w14:paraId="4A97A683" w14:textId="77777777" w:rsidR="00917C30" w:rsidRPr="000D0E8D" w:rsidRDefault="00917C30" w:rsidP="009E55FB">
            <w:pPr>
              <w:jc w:val="right"/>
              <w:rPr>
                <w:i/>
                <w:sz w:val="18"/>
                <w:szCs w:val="18"/>
              </w:rPr>
            </w:pPr>
            <w:r w:rsidRPr="000D0E8D">
              <w:rPr>
                <w:i/>
                <w:color w:val="000000"/>
                <w:sz w:val="18"/>
                <w:szCs w:val="18"/>
              </w:rPr>
              <w:t xml:space="preserve">          706,139.31 </w:t>
            </w:r>
          </w:p>
        </w:tc>
        <w:tc>
          <w:tcPr>
            <w:tcW w:w="1260" w:type="dxa"/>
            <w:shd w:val="clear" w:color="auto" w:fill="auto"/>
            <w:noWrap/>
            <w:vAlign w:val="center"/>
          </w:tcPr>
          <w:p w14:paraId="36DBD259" w14:textId="77777777" w:rsidR="00917C30" w:rsidRPr="000D0E8D" w:rsidRDefault="00917C30" w:rsidP="009E55FB">
            <w:pPr>
              <w:jc w:val="right"/>
              <w:rPr>
                <w:i/>
                <w:sz w:val="18"/>
                <w:szCs w:val="18"/>
              </w:rPr>
            </w:pPr>
            <w:r w:rsidRPr="000D0E8D">
              <w:rPr>
                <w:i/>
                <w:color w:val="000000"/>
                <w:sz w:val="18"/>
                <w:szCs w:val="18"/>
              </w:rPr>
              <w:t xml:space="preserve">         706,139.31 </w:t>
            </w:r>
          </w:p>
        </w:tc>
        <w:tc>
          <w:tcPr>
            <w:tcW w:w="4226" w:type="dxa"/>
            <w:gridSpan w:val="4"/>
            <w:tcBorders>
              <w:right w:val="double" w:sz="4" w:space="0" w:color="auto"/>
            </w:tcBorders>
            <w:shd w:val="clear" w:color="auto" w:fill="auto"/>
            <w:noWrap/>
            <w:vAlign w:val="center"/>
          </w:tcPr>
          <w:p w14:paraId="2A21633F" w14:textId="77777777" w:rsidR="00917C30" w:rsidRPr="00141EB8" w:rsidRDefault="00917C30" w:rsidP="009E55FB">
            <w:pPr>
              <w:jc w:val="center"/>
              <w:rPr>
                <w:sz w:val="18"/>
                <w:szCs w:val="18"/>
                <w:lang w:eastAsia="en-IN"/>
              </w:rPr>
            </w:pPr>
          </w:p>
        </w:tc>
      </w:tr>
      <w:tr w:rsidR="00917C30" w:rsidRPr="005A497D" w14:paraId="666A0747" w14:textId="77777777" w:rsidTr="000D0E8D">
        <w:trPr>
          <w:trHeight w:val="288"/>
        </w:trPr>
        <w:tc>
          <w:tcPr>
            <w:tcW w:w="2621" w:type="dxa"/>
            <w:tcBorders>
              <w:left w:val="double" w:sz="4" w:space="0" w:color="auto"/>
            </w:tcBorders>
            <w:shd w:val="clear" w:color="auto" w:fill="auto"/>
            <w:noWrap/>
            <w:vAlign w:val="center"/>
            <w:hideMark/>
          </w:tcPr>
          <w:p w14:paraId="53F962E0" w14:textId="77777777" w:rsidR="00917C30" w:rsidRPr="00141EB8" w:rsidRDefault="00917C30" w:rsidP="009E55FB">
            <w:pPr>
              <w:rPr>
                <w:sz w:val="18"/>
                <w:szCs w:val="18"/>
                <w:lang w:eastAsia="en-IN"/>
              </w:rPr>
            </w:pPr>
            <w:r>
              <w:rPr>
                <w:sz w:val="18"/>
                <w:szCs w:val="18"/>
                <w:lang w:eastAsia="en-IN"/>
              </w:rPr>
              <w:t>Contingency</w:t>
            </w:r>
          </w:p>
        </w:tc>
        <w:tc>
          <w:tcPr>
            <w:tcW w:w="1260" w:type="dxa"/>
            <w:shd w:val="clear" w:color="auto" w:fill="auto"/>
            <w:noWrap/>
            <w:vAlign w:val="center"/>
            <w:hideMark/>
          </w:tcPr>
          <w:p w14:paraId="2153206A" w14:textId="77777777" w:rsidR="00917C30" w:rsidRPr="000D0E8D" w:rsidRDefault="00917C30" w:rsidP="009E55FB">
            <w:pPr>
              <w:jc w:val="center"/>
              <w:rPr>
                <w:i/>
                <w:color w:val="000000"/>
                <w:sz w:val="18"/>
                <w:szCs w:val="18"/>
              </w:rPr>
            </w:pPr>
            <w:r w:rsidRPr="000D0E8D">
              <w:rPr>
                <w:i/>
                <w:sz w:val="18"/>
                <w:szCs w:val="18"/>
              </w:rPr>
              <w:t xml:space="preserve">             9,414.83 </w:t>
            </w:r>
          </w:p>
        </w:tc>
        <w:tc>
          <w:tcPr>
            <w:tcW w:w="1260" w:type="dxa"/>
            <w:shd w:val="clear" w:color="auto" w:fill="auto"/>
            <w:noWrap/>
            <w:vAlign w:val="center"/>
            <w:hideMark/>
          </w:tcPr>
          <w:p w14:paraId="0D0F51B6" w14:textId="77777777" w:rsidR="00917C30" w:rsidRPr="000D0E8D" w:rsidRDefault="00917C30" w:rsidP="009E55FB">
            <w:pPr>
              <w:jc w:val="center"/>
              <w:rPr>
                <w:i/>
                <w:color w:val="000000"/>
                <w:sz w:val="18"/>
                <w:szCs w:val="18"/>
              </w:rPr>
            </w:pPr>
            <w:r w:rsidRPr="000D0E8D">
              <w:rPr>
                <w:i/>
                <w:sz w:val="18"/>
                <w:szCs w:val="18"/>
              </w:rPr>
              <w:t xml:space="preserve">             6,926.35 </w:t>
            </w:r>
          </w:p>
        </w:tc>
        <w:tc>
          <w:tcPr>
            <w:tcW w:w="4226" w:type="dxa"/>
            <w:gridSpan w:val="4"/>
            <w:vMerge w:val="restart"/>
            <w:tcBorders>
              <w:right w:val="double" w:sz="4" w:space="0" w:color="auto"/>
            </w:tcBorders>
            <w:shd w:val="clear" w:color="auto" w:fill="auto"/>
            <w:noWrap/>
            <w:vAlign w:val="center"/>
            <w:hideMark/>
          </w:tcPr>
          <w:p w14:paraId="1FBE665F" w14:textId="77777777" w:rsidR="00917C30" w:rsidRPr="00141EB8" w:rsidRDefault="00917C30" w:rsidP="009E55FB">
            <w:pPr>
              <w:jc w:val="center"/>
              <w:rPr>
                <w:sz w:val="18"/>
                <w:szCs w:val="18"/>
                <w:lang w:eastAsia="en-IN"/>
              </w:rPr>
            </w:pPr>
          </w:p>
        </w:tc>
      </w:tr>
      <w:tr w:rsidR="00917C30" w:rsidRPr="005A497D" w14:paraId="74804CB3" w14:textId="77777777" w:rsidTr="000D0E8D">
        <w:trPr>
          <w:trHeight w:val="279"/>
        </w:trPr>
        <w:tc>
          <w:tcPr>
            <w:tcW w:w="2621" w:type="dxa"/>
            <w:tcBorders>
              <w:left w:val="double" w:sz="4" w:space="0" w:color="auto"/>
              <w:bottom w:val="double" w:sz="4" w:space="0" w:color="auto"/>
            </w:tcBorders>
            <w:shd w:val="clear" w:color="auto" w:fill="auto"/>
            <w:noWrap/>
            <w:vAlign w:val="center"/>
            <w:hideMark/>
          </w:tcPr>
          <w:p w14:paraId="0CA6148D" w14:textId="77777777" w:rsidR="00917C30" w:rsidRPr="00141EB8" w:rsidRDefault="00917C30" w:rsidP="009E55FB">
            <w:pPr>
              <w:rPr>
                <w:b/>
                <w:sz w:val="18"/>
                <w:szCs w:val="18"/>
                <w:lang w:eastAsia="en-IN"/>
              </w:rPr>
            </w:pPr>
            <w:r w:rsidRPr="00141EB8">
              <w:rPr>
                <w:b/>
                <w:sz w:val="18"/>
                <w:szCs w:val="18"/>
                <w:lang w:eastAsia="en-IN"/>
              </w:rPr>
              <w:t>Total expenditure</w:t>
            </w:r>
          </w:p>
        </w:tc>
        <w:tc>
          <w:tcPr>
            <w:tcW w:w="1260" w:type="dxa"/>
            <w:tcBorders>
              <w:bottom w:val="double" w:sz="4" w:space="0" w:color="auto"/>
            </w:tcBorders>
            <w:shd w:val="clear" w:color="auto" w:fill="auto"/>
            <w:noWrap/>
            <w:vAlign w:val="center"/>
            <w:hideMark/>
          </w:tcPr>
          <w:p w14:paraId="5A6F0BF6" w14:textId="77777777" w:rsidR="00917C30" w:rsidRPr="00141EB8" w:rsidRDefault="00917C30" w:rsidP="009E55FB">
            <w:pPr>
              <w:jc w:val="center"/>
              <w:rPr>
                <w:b/>
                <w:color w:val="000000"/>
                <w:sz w:val="18"/>
                <w:szCs w:val="18"/>
              </w:rPr>
            </w:pPr>
            <w:r w:rsidRPr="00C70E56">
              <w:rPr>
                <w:b/>
                <w:sz w:val="18"/>
                <w:szCs w:val="18"/>
              </w:rPr>
              <w:t xml:space="preserve">       2,529,555.36 </w:t>
            </w:r>
          </w:p>
        </w:tc>
        <w:tc>
          <w:tcPr>
            <w:tcW w:w="1260" w:type="dxa"/>
            <w:tcBorders>
              <w:bottom w:val="double" w:sz="4" w:space="0" w:color="auto"/>
            </w:tcBorders>
            <w:shd w:val="clear" w:color="auto" w:fill="auto"/>
            <w:noWrap/>
            <w:vAlign w:val="center"/>
            <w:hideMark/>
          </w:tcPr>
          <w:p w14:paraId="712AB2AF" w14:textId="77777777" w:rsidR="00917C30" w:rsidRPr="00141EB8" w:rsidRDefault="00917C30" w:rsidP="009E55FB">
            <w:pPr>
              <w:jc w:val="center"/>
              <w:rPr>
                <w:b/>
                <w:color w:val="000000"/>
                <w:sz w:val="18"/>
                <w:szCs w:val="18"/>
              </w:rPr>
            </w:pPr>
            <w:r w:rsidRPr="00C70E56">
              <w:rPr>
                <w:b/>
                <w:sz w:val="18"/>
                <w:szCs w:val="18"/>
              </w:rPr>
              <w:t xml:space="preserve">      2,196,113.33 </w:t>
            </w:r>
          </w:p>
        </w:tc>
        <w:tc>
          <w:tcPr>
            <w:tcW w:w="4226" w:type="dxa"/>
            <w:gridSpan w:val="4"/>
            <w:vMerge/>
            <w:tcBorders>
              <w:bottom w:val="double" w:sz="4" w:space="0" w:color="auto"/>
              <w:right w:val="double" w:sz="4" w:space="0" w:color="auto"/>
            </w:tcBorders>
            <w:shd w:val="clear" w:color="auto" w:fill="auto"/>
            <w:noWrap/>
            <w:vAlign w:val="bottom"/>
            <w:hideMark/>
          </w:tcPr>
          <w:p w14:paraId="0E15C702" w14:textId="77777777" w:rsidR="00917C30" w:rsidRPr="00141EB8" w:rsidRDefault="00917C30" w:rsidP="009E55FB">
            <w:pPr>
              <w:rPr>
                <w:b/>
                <w:sz w:val="18"/>
                <w:szCs w:val="18"/>
                <w:lang w:eastAsia="en-IN"/>
              </w:rPr>
            </w:pPr>
          </w:p>
        </w:tc>
      </w:tr>
      <w:tr w:rsidR="00917C30" w:rsidRPr="005A497D" w14:paraId="0547577E" w14:textId="77777777" w:rsidTr="009E55FB">
        <w:trPr>
          <w:trHeight w:val="264"/>
        </w:trPr>
        <w:tc>
          <w:tcPr>
            <w:tcW w:w="5141" w:type="dxa"/>
            <w:gridSpan w:val="3"/>
            <w:tcBorders>
              <w:top w:val="double" w:sz="4" w:space="0" w:color="auto"/>
              <w:left w:val="double" w:sz="4" w:space="0" w:color="auto"/>
            </w:tcBorders>
            <w:shd w:val="clear" w:color="auto" w:fill="auto"/>
            <w:noWrap/>
            <w:vAlign w:val="center"/>
            <w:hideMark/>
          </w:tcPr>
          <w:p w14:paraId="790B58F9" w14:textId="77777777" w:rsidR="00917C30" w:rsidRPr="00141EB8" w:rsidRDefault="00917C30" w:rsidP="009E55FB">
            <w:pPr>
              <w:rPr>
                <w:b/>
                <w:i/>
                <w:sz w:val="18"/>
                <w:szCs w:val="18"/>
                <w:lang w:eastAsia="en-IN"/>
              </w:rPr>
            </w:pPr>
            <w:r w:rsidRPr="00141EB8">
              <w:rPr>
                <w:b/>
                <w:i/>
                <w:sz w:val="18"/>
                <w:szCs w:val="18"/>
                <w:lang w:eastAsia="en-IN"/>
              </w:rPr>
              <w:t>Overall (PI-1) variance</w:t>
            </w:r>
          </w:p>
        </w:tc>
        <w:tc>
          <w:tcPr>
            <w:tcW w:w="4226" w:type="dxa"/>
            <w:gridSpan w:val="4"/>
            <w:tcBorders>
              <w:top w:val="double" w:sz="4" w:space="0" w:color="auto"/>
              <w:right w:val="double" w:sz="4" w:space="0" w:color="auto"/>
            </w:tcBorders>
            <w:shd w:val="clear" w:color="auto" w:fill="auto"/>
            <w:noWrap/>
            <w:vAlign w:val="center"/>
            <w:hideMark/>
          </w:tcPr>
          <w:p w14:paraId="436142AA" w14:textId="77777777" w:rsidR="00917C30" w:rsidRPr="00141EB8" w:rsidRDefault="00917C30" w:rsidP="009E55FB">
            <w:pPr>
              <w:jc w:val="center"/>
              <w:rPr>
                <w:b/>
                <w:i/>
                <w:sz w:val="18"/>
                <w:szCs w:val="18"/>
                <w:lang w:eastAsia="en-IN"/>
              </w:rPr>
            </w:pPr>
            <w:r>
              <w:rPr>
                <w:b/>
                <w:i/>
                <w:sz w:val="18"/>
                <w:szCs w:val="18"/>
                <w:lang w:eastAsia="en-IN"/>
              </w:rPr>
              <w:t>13.2%</w:t>
            </w:r>
          </w:p>
        </w:tc>
      </w:tr>
      <w:tr w:rsidR="00917C30" w:rsidRPr="005A497D" w14:paraId="79A5A25A" w14:textId="77777777" w:rsidTr="009E55FB">
        <w:trPr>
          <w:trHeight w:val="279"/>
        </w:trPr>
        <w:tc>
          <w:tcPr>
            <w:tcW w:w="5141" w:type="dxa"/>
            <w:gridSpan w:val="3"/>
            <w:tcBorders>
              <w:left w:val="double" w:sz="4" w:space="0" w:color="auto"/>
            </w:tcBorders>
            <w:shd w:val="clear" w:color="auto" w:fill="auto"/>
            <w:noWrap/>
            <w:vAlign w:val="center"/>
            <w:hideMark/>
          </w:tcPr>
          <w:p w14:paraId="1CF4272F" w14:textId="77777777" w:rsidR="00917C30" w:rsidRPr="00141EB8" w:rsidRDefault="00917C30" w:rsidP="009E55FB">
            <w:pPr>
              <w:rPr>
                <w:b/>
                <w:i/>
                <w:sz w:val="18"/>
                <w:szCs w:val="18"/>
                <w:lang w:eastAsia="en-IN"/>
              </w:rPr>
            </w:pPr>
            <w:r w:rsidRPr="00141EB8">
              <w:rPr>
                <w:b/>
                <w:i/>
                <w:sz w:val="18"/>
                <w:szCs w:val="18"/>
                <w:lang w:eastAsia="en-IN"/>
              </w:rPr>
              <w:t>Composition (PI-2) variance</w:t>
            </w:r>
          </w:p>
        </w:tc>
        <w:tc>
          <w:tcPr>
            <w:tcW w:w="4226" w:type="dxa"/>
            <w:gridSpan w:val="4"/>
            <w:tcBorders>
              <w:right w:val="double" w:sz="4" w:space="0" w:color="auto"/>
            </w:tcBorders>
            <w:shd w:val="clear" w:color="auto" w:fill="auto"/>
            <w:noWrap/>
            <w:vAlign w:val="center"/>
            <w:hideMark/>
          </w:tcPr>
          <w:p w14:paraId="5D900892" w14:textId="77777777" w:rsidR="00917C30" w:rsidRPr="00141EB8" w:rsidRDefault="00917C30" w:rsidP="009E55FB">
            <w:pPr>
              <w:jc w:val="center"/>
              <w:rPr>
                <w:b/>
                <w:i/>
                <w:sz w:val="18"/>
                <w:szCs w:val="18"/>
                <w:lang w:eastAsia="en-IN"/>
              </w:rPr>
            </w:pPr>
            <w:r>
              <w:rPr>
                <w:b/>
                <w:i/>
                <w:sz w:val="18"/>
                <w:szCs w:val="18"/>
                <w:lang w:eastAsia="en-IN"/>
              </w:rPr>
              <w:t>12.4%</w:t>
            </w:r>
          </w:p>
        </w:tc>
      </w:tr>
      <w:tr w:rsidR="00917C30" w:rsidRPr="005A497D" w14:paraId="5208E072" w14:textId="77777777" w:rsidTr="009E55FB">
        <w:trPr>
          <w:trHeight w:val="264"/>
        </w:trPr>
        <w:tc>
          <w:tcPr>
            <w:tcW w:w="5141" w:type="dxa"/>
            <w:gridSpan w:val="3"/>
            <w:tcBorders>
              <w:left w:val="double" w:sz="4" w:space="0" w:color="auto"/>
              <w:bottom w:val="double" w:sz="4" w:space="0" w:color="auto"/>
            </w:tcBorders>
            <w:shd w:val="clear" w:color="auto" w:fill="auto"/>
            <w:noWrap/>
            <w:vAlign w:val="center"/>
            <w:hideMark/>
          </w:tcPr>
          <w:p w14:paraId="62524450" w14:textId="77777777" w:rsidR="00917C30" w:rsidRPr="00141EB8" w:rsidRDefault="00917C30" w:rsidP="009E55FB">
            <w:pPr>
              <w:rPr>
                <w:b/>
                <w:i/>
                <w:sz w:val="18"/>
                <w:szCs w:val="18"/>
                <w:lang w:eastAsia="en-IN"/>
              </w:rPr>
            </w:pPr>
            <w:r w:rsidRPr="00141EB8">
              <w:rPr>
                <w:b/>
                <w:i/>
                <w:sz w:val="18"/>
                <w:szCs w:val="18"/>
                <w:lang w:eastAsia="en-IN"/>
              </w:rPr>
              <w:t>Contingency share of budget</w:t>
            </w:r>
          </w:p>
        </w:tc>
        <w:tc>
          <w:tcPr>
            <w:tcW w:w="4226" w:type="dxa"/>
            <w:gridSpan w:val="4"/>
            <w:tcBorders>
              <w:bottom w:val="double" w:sz="4" w:space="0" w:color="auto"/>
              <w:right w:val="double" w:sz="4" w:space="0" w:color="auto"/>
            </w:tcBorders>
            <w:shd w:val="clear" w:color="auto" w:fill="auto"/>
            <w:noWrap/>
            <w:vAlign w:val="center"/>
            <w:hideMark/>
          </w:tcPr>
          <w:p w14:paraId="0913A761" w14:textId="77777777" w:rsidR="00917C30" w:rsidRPr="00141EB8" w:rsidRDefault="00917C30" w:rsidP="009E55FB">
            <w:pPr>
              <w:jc w:val="center"/>
              <w:rPr>
                <w:b/>
                <w:i/>
                <w:sz w:val="18"/>
                <w:szCs w:val="18"/>
                <w:lang w:eastAsia="en-IN"/>
              </w:rPr>
            </w:pPr>
            <w:r>
              <w:rPr>
                <w:b/>
                <w:i/>
                <w:sz w:val="18"/>
                <w:szCs w:val="18"/>
                <w:lang w:eastAsia="en-IN"/>
              </w:rPr>
              <w:t>0.27%</w:t>
            </w:r>
          </w:p>
        </w:tc>
      </w:tr>
    </w:tbl>
    <w:p w14:paraId="086EF7EF" w14:textId="77777777" w:rsidR="00922567" w:rsidRPr="005A497D" w:rsidRDefault="00922567" w:rsidP="009A012D">
      <w:pPr>
        <w:autoSpaceDE w:val="0"/>
        <w:autoSpaceDN w:val="0"/>
        <w:adjustRightInd w:val="0"/>
        <w:contextualSpacing/>
        <w:jc w:val="both"/>
      </w:pPr>
    </w:p>
    <w:p w14:paraId="242A3DF4" w14:textId="135359E9" w:rsidR="00922567" w:rsidRPr="005A497D" w:rsidRDefault="0027211D" w:rsidP="00922567">
      <w:pPr>
        <w:pStyle w:val="PEFATable"/>
        <w:spacing w:after="40"/>
        <w:jc w:val="both"/>
      </w:pPr>
      <w:bookmarkStart w:id="438" w:name="_Toc454889268"/>
      <w:r>
        <w:rPr>
          <w:sz w:val="24"/>
          <w:szCs w:val="24"/>
        </w:rPr>
        <w:t xml:space="preserve">Table </w:t>
      </w:r>
      <w:r w:rsidR="009A6E2C">
        <w:rPr>
          <w:sz w:val="24"/>
          <w:szCs w:val="24"/>
        </w:rPr>
        <w:t>A</w:t>
      </w:r>
      <w:r>
        <w:rPr>
          <w:sz w:val="24"/>
          <w:szCs w:val="24"/>
        </w:rPr>
        <w:t>4</w:t>
      </w:r>
      <w:r w:rsidR="00922567" w:rsidRPr="005A497D">
        <w:rPr>
          <w:sz w:val="24"/>
          <w:szCs w:val="24"/>
        </w:rPr>
        <w:t>.2: Data for PI-1 and PI-2, 2013</w:t>
      </w:r>
      <w:bookmarkEnd w:id="438"/>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1350"/>
        <w:gridCol w:w="1170"/>
        <w:gridCol w:w="1170"/>
        <w:gridCol w:w="1170"/>
        <w:gridCol w:w="1170"/>
        <w:gridCol w:w="723"/>
      </w:tblGrid>
      <w:tr w:rsidR="00917C30" w:rsidRPr="005A497D" w14:paraId="54FBAEE3" w14:textId="77777777" w:rsidTr="009E55FB">
        <w:trPr>
          <w:trHeight w:val="144"/>
          <w:tblHeader/>
          <w:jc w:val="center"/>
        </w:trPr>
        <w:tc>
          <w:tcPr>
            <w:tcW w:w="2614" w:type="dxa"/>
            <w:tcBorders>
              <w:top w:val="double" w:sz="4" w:space="0" w:color="auto"/>
              <w:left w:val="double" w:sz="4" w:space="0" w:color="auto"/>
              <w:bottom w:val="double" w:sz="4" w:space="0" w:color="auto"/>
            </w:tcBorders>
            <w:shd w:val="clear" w:color="auto" w:fill="D9D9D9" w:themeFill="background1" w:themeFillShade="D9"/>
            <w:noWrap/>
            <w:vAlign w:val="center"/>
          </w:tcPr>
          <w:p w14:paraId="28E25DD0" w14:textId="77777777" w:rsidR="00917C30" w:rsidRPr="003567C3" w:rsidRDefault="00917C30" w:rsidP="009E55FB">
            <w:pPr>
              <w:jc w:val="center"/>
              <w:rPr>
                <w:b/>
                <w:i/>
                <w:sz w:val="20"/>
                <w:szCs w:val="16"/>
                <w:lang w:eastAsia="en-IN"/>
              </w:rPr>
            </w:pPr>
          </w:p>
        </w:tc>
        <w:tc>
          <w:tcPr>
            <w:tcW w:w="6030" w:type="dxa"/>
            <w:gridSpan w:val="5"/>
            <w:tcBorders>
              <w:top w:val="double" w:sz="4" w:space="0" w:color="auto"/>
              <w:bottom w:val="double" w:sz="4" w:space="0" w:color="auto"/>
            </w:tcBorders>
            <w:shd w:val="clear" w:color="auto" w:fill="D9D9D9" w:themeFill="background1" w:themeFillShade="D9"/>
            <w:noWrap/>
            <w:vAlign w:val="center"/>
          </w:tcPr>
          <w:p w14:paraId="0F35CFAE" w14:textId="77777777" w:rsidR="00917C30" w:rsidRPr="003567C3" w:rsidRDefault="00917C30" w:rsidP="009E55FB">
            <w:pPr>
              <w:jc w:val="center"/>
              <w:rPr>
                <w:b/>
                <w:i/>
                <w:sz w:val="20"/>
                <w:szCs w:val="16"/>
                <w:lang w:eastAsia="en-IN"/>
              </w:rPr>
            </w:pPr>
            <w:r w:rsidRPr="0071597D">
              <w:rPr>
                <w:b/>
                <w:i/>
                <w:sz w:val="20"/>
                <w:szCs w:val="16"/>
                <w:lang w:eastAsia="en-IN"/>
              </w:rPr>
              <w:t xml:space="preserve">(PhP </w:t>
            </w:r>
            <w:r>
              <w:rPr>
                <w:b/>
                <w:i/>
                <w:sz w:val="20"/>
                <w:szCs w:val="16"/>
                <w:lang w:eastAsia="en-IN"/>
              </w:rPr>
              <w:t>millions</w:t>
            </w:r>
            <w:r w:rsidRPr="0071597D">
              <w:rPr>
                <w:b/>
                <w:i/>
                <w:sz w:val="20"/>
                <w:szCs w:val="16"/>
                <w:lang w:eastAsia="en-IN"/>
              </w:rPr>
              <w:t>)</w:t>
            </w:r>
            <w:r>
              <w:rPr>
                <w:b/>
                <w:i/>
                <w:sz w:val="20"/>
                <w:szCs w:val="16"/>
                <w:lang w:eastAsia="en-IN"/>
              </w:rPr>
              <w:t xml:space="preserve"> </w:t>
            </w:r>
          </w:p>
        </w:tc>
        <w:tc>
          <w:tcPr>
            <w:tcW w:w="723" w:type="dxa"/>
            <w:vMerge w:val="restart"/>
            <w:tcBorders>
              <w:top w:val="double" w:sz="4" w:space="0" w:color="auto"/>
              <w:right w:val="double" w:sz="4" w:space="0" w:color="auto"/>
            </w:tcBorders>
            <w:shd w:val="clear" w:color="auto" w:fill="D9D9D9" w:themeFill="background1" w:themeFillShade="D9"/>
            <w:noWrap/>
            <w:vAlign w:val="center"/>
          </w:tcPr>
          <w:p w14:paraId="1E6CF4E5" w14:textId="77777777" w:rsidR="00917C30" w:rsidRPr="003567C3" w:rsidRDefault="00917C30" w:rsidP="009E55FB">
            <w:pPr>
              <w:jc w:val="center"/>
              <w:rPr>
                <w:b/>
                <w:i/>
                <w:sz w:val="20"/>
                <w:szCs w:val="16"/>
                <w:lang w:eastAsia="en-IN"/>
              </w:rPr>
            </w:pPr>
            <w:r w:rsidRPr="003567C3">
              <w:rPr>
                <w:b/>
                <w:i/>
                <w:sz w:val="20"/>
                <w:szCs w:val="16"/>
                <w:lang w:eastAsia="en-IN"/>
              </w:rPr>
              <w:t>%</w:t>
            </w:r>
          </w:p>
        </w:tc>
      </w:tr>
      <w:tr w:rsidR="00917C30" w:rsidRPr="005A497D" w14:paraId="0C0183A2" w14:textId="77777777" w:rsidTr="009E55FB">
        <w:trPr>
          <w:trHeight w:val="510"/>
          <w:tblHeader/>
          <w:jc w:val="center"/>
        </w:trPr>
        <w:tc>
          <w:tcPr>
            <w:tcW w:w="2614" w:type="dxa"/>
            <w:tcBorders>
              <w:top w:val="double" w:sz="4" w:space="0" w:color="auto"/>
              <w:left w:val="double" w:sz="4" w:space="0" w:color="auto"/>
              <w:bottom w:val="double" w:sz="4" w:space="0" w:color="auto"/>
            </w:tcBorders>
            <w:shd w:val="clear" w:color="auto" w:fill="D9D9D9" w:themeFill="background1" w:themeFillShade="D9"/>
            <w:noWrap/>
            <w:vAlign w:val="center"/>
            <w:hideMark/>
          </w:tcPr>
          <w:p w14:paraId="56710F0F" w14:textId="77777777" w:rsidR="00917C30" w:rsidRPr="003567C3" w:rsidRDefault="00917C30" w:rsidP="009E55FB">
            <w:pPr>
              <w:jc w:val="center"/>
              <w:rPr>
                <w:b/>
                <w:i/>
                <w:sz w:val="20"/>
                <w:szCs w:val="16"/>
                <w:lang w:eastAsia="en-IN"/>
              </w:rPr>
            </w:pPr>
            <w:r w:rsidRPr="003567C3">
              <w:rPr>
                <w:b/>
                <w:i/>
                <w:sz w:val="20"/>
                <w:szCs w:val="16"/>
                <w:lang w:eastAsia="en-IN"/>
              </w:rPr>
              <w:t xml:space="preserve">Administrative or </w:t>
            </w:r>
          </w:p>
          <w:p w14:paraId="4A5B8F0F" w14:textId="77777777" w:rsidR="00917C30" w:rsidRPr="003567C3" w:rsidRDefault="00917C30" w:rsidP="009E55FB">
            <w:pPr>
              <w:jc w:val="center"/>
              <w:rPr>
                <w:b/>
                <w:i/>
                <w:sz w:val="20"/>
                <w:szCs w:val="16"/>
                <w:lang w:eastAsia="en-IN"/>
              </w:rPr>
            </w:pPr>
            <w:r w:rsidRPr="003567C3">
              <w:rPr>
                <w:b/>
                <w:i/>
                <w:sz w:val="20"/>
                <w:szCs w:val="16"/>
                <w:lang w:eastAsia="en-IN"/>
              </w:rPr>
              <w:t>functional head</w:t>
            </w:r>
          </w:p>
        </w:tc>
        <w:tc>
          <w:tcPr>
            <w:tcW w:w="1350" w:type="dxa"/>
            <w:tcBorders>
              <w:top w:val="double" w:sz="4" w:space="0" w:color="auto"/>
              <w:bottom w:val="double" w:sz="4" w:space="0" w:color="auto"/>
            </w:tcBorders>
            <w:shd w:val="clear" w:color="auto" w:fill="D9D9D9" w:themeFill="background1" w:themeFillShade="D9"/>
            <w:noWrap/>
            <w:vAlign w:val="center"/>
            <w:hideMark/>
          </w:tcPr>
          <w:p w14:paraId="358C1FC5" w14:textId="77777777" w:rsidR="00917C30" w:rsidRPr="003567C3" w:rsidRDefault="00917C30" w:rsidP="009E55FB">
            <w:pPr>
              <w:jc w:val="center"/>
              <w:rPr>
                <w:b/>
                <w:bCs/>
                <w:i/>
                <w:sz w:val="20"/>
                <w:szCs w:val="16"/>
                <w:lang w:eastAsia="en-IN"/>
              </w:rPr>
            </w:pPr>
            <w:r w:rsidRPr="003567C3">
              <w:rPr>
                <w:b/>
                <w:bCs/>
                <w:i/>
                <w:sz w:val="20"/>
                <w:szCs w:val="16"/>
                <w:lang w:eastAsia="en-IN"/>
              </w:rPr>
              <w:t>Budget</w:t>
            </w:r>
          </w:p>
        </w:tc>
        <w:tc>
          <w:tcPr>
            <w:tcW w:w="1170" w:type="dxa"/>
            <w:tcBorders>
              <w:top w:val="double" w:sz="4" w:space="0" w:color="auto"/>
              <w:bottom w:val="double" w:sz="4" w:space="0" w:color="auto"/>
            </w:tcBorders>
            <w:shd w:val="clear" w:color="auto" w:fill="D9D9D9" w:themeFill="background1" w:themeFillShade="D9"/>
            <w:noWrap/>
            <w:vAlign w:val="center"/>
            <w:hideMark/>
          </w:tcPr>
          <w:p w14:paraId="5BABA2EE" w14:textId="77777777" w:rsidR="00917C30" w:rsidRPr="003567C3" w:rsidRDefault="00917C30" w:rsidP="009E55FB">
            <w:pPr>
              <w:jc w:val="center"/>
              <w:rPr>
                <w:b/>
                <w:bCs/>
                <w:i/>
                <w:sz w:val="20"/>
                <w:szCs w:val="16"/>
                <w:lang w:eastAsia="en-IN"/>
              </w:rPr>
            </w:pPr>
            <w:r w:rsidRPr="003567C3">
              <w:rPr>
                <w:b/>
                <w:bCs/>
                <w:i/>
                <w:sz w:val="20"/>
                <w:szCs w:val="16"/>
                <w:lang w:eastAsia="en-IN"/>
              </w:rPr>
              <w:t>Actual</w:t>
            </w:r>
          </w:p>
        </w:tc>
        <w:tc>
          <w:tcPr>
            <w:tcW w:w="1170" w:type="dxa"/>
            <w:tcBorders>
              <w:top w:val="double" w:sz="4" w:space="0" w:color="auto"/>
              <w:bottom w:val="double" w:sz="4" w:space="0" w:color="auto"/>
            </w:tcBorders>
            <w:shd w:val="clear" w:color="auto" w:fill="D9D9D9" w:themeFill="background1" w:themeFillShade="D9"/>
            <w:vAlign w:val="center"/>
            <w:hideMark/>
          </w:tcPr>
          <w:p w14:paraId="6296608C" w14:textId="77777777" w:rsidR="00917C30" w:rsidRPr="003567C3" w:rsidRDefault="00917C30" w:rsidP="009E55FB">
            <w:pPr>
              <w:jc w:val="center"/>
              <w:rPr>
                <w:b/>
                <w:i/>
                <w:sz w:val="20"/>
                <w:szCs w:val="16"/>
                <w:lang w:eastAsia="en-IN"/>
              </w:rPr>
            </w:pPr>
            <w:r w:rsidRPr="003567C3">
              <w:rPr>
                <w:b/>
                <w:i/>
                <w:sz w:val="20"/>
                <w:szCs w:val="16"/>
                <w:lang w:eastAsia="en-IN"/>
              </w:rPr>
              <w:t>Adjusted budget</w:t>
            </w:r>
          </w:p>
        </w:tc>
        <w:tc>
          <w:tcPr>
            <w:tcW w:w="1170" w:type="dxa"/>
            <w:tcBorders>
              <w:top w:val="double" w:sz="4" w:space="0" w:color="auto"/>
              <w:bottom w:val="double" w:sz="4" w:space="0" w:color="auto"/>
            </w:tcBorders>
            <w:shd w:val="clear" w:color="auto" w:fill="D9D9D9" w:themeFill="background1" w:themeFillShade="D9"/>
            <w:vAlign w:val="center"/>
            <w:hideMark/>
          </w:tcPr>
          <w:p w14:paraId="3E02BDC4" w14:textId="77777777" w:rsidR="00917C30" w:rsidRPr="003567C3" w:rsidRDefault="00917C30" w:rsidP="009E55FB">
            <w:pPr>
              <w:jc w:val="center"/>
              <w:rPr>
                <w:b/>
                <w:i/>
                <w:sz w:val="20"/>
                <w:szCs w:val="16"/>
                <w:lang w:eastAsia="en-IN"/>
              </w:rPr>
            </w:pPr>
            <w:r w:rsidRPr="003567C3">
              <w:rPr>
                <w:b/>
                <w:i/>
                <w:sz w:val="20"/>
                <w:szCs w:val="16"/>
                <w:lang w:eastAsia="en-IN"/>
              </w:rPr>
              <w:t>Deviation</w:t>
            </w:r>
          </w:p>
        </w:tc>
        <w:tc>
          <w:tcPr>
            <w:tcW w:w="1170" w:type="dxa"/>
            <w:tcBorders>
              <w:top w:val="double" w:sz="4" w:space="0" w:color="auto"/>
              <w:bottom w:val="double" w:sz="4" w:space="0" w:color="auto"/>
            </w:tcBorders>
            <w:shd w:val="clear" w:color="auto" w:fill="D9D9D9" w:themeFill="background1" w:themeFillShade="D9"/>
            <w:vAlign w:val="center"/>
            <w:hideMark/>
          </w:tcPr>
          <w:p w14:paraId="0A36D90E" w14:textId="77777777" w:rsidR="00917C30" w:rsidRPr="003567C3" w:rsidRDefault="00917C30" w:rsidP="009E55FB">
            <w:pPr>
              <w:jc w:val="center"/>
              <w:rPr>
                <w:b/>
                <w:i/>
                <w:sz w:val="20"/>
                <w:szCs w:val="16"/>
                <w:lang w:eastAsia="en-IN"/>
              </w:rPr>
            </w:pPr>
            <w:r w:rsidRPr="003567C3">
              <w:rPr>
                <w:b/>
                <w:i/>
                <w:sz w:val="20"/>
                <w:szCs w:val="16"/>
                <w:lang w:eastAsia="en-IN"/>
              </w:rPr>
              <w:t>Absolute deviation</w:t>
            </w:r>
          </w:p>
        </w:tc>
        <w:tc>
          <w:tcPr>
            <w:tcW w:w="723" w:type="dxa"/>
            <w:vMerge/>
            <w:tcBorders>
              <w:bottom w:val="double" w:sz="4" w:space="0" w:color="auto"/>
              <w:right w:val="double" w:sz="4" w:space="0" w:color="auto"/>
            </w:tcBorders>
            <w:shd w:val="clear" w:color="auto" w:fill="D9D9D9" w:themeFill="background1" w:themeFillShade="D9"/>
            <w:noWrap/>
            <w:vAlign w:val="center"/>
            <w:hideMark/>
          </w:tcPr>
          <w:p w14:paraId="7531A12F" w14:textId="77777777" w:rsidR="00917C30" w:rsidRPr="003567C3" w:rsidRDefault="00917C30" w:rsidP="009E55FB">
            <w:pPr>
              <w:jc w:val="center"/>
              <w:rPr>
                <w:b/>
                <w:i/>
                <w:sz w:val="20"/>
                <w:szCs w:val="16"/>
                <w:lang w:eastAsia="en-IN"/>
              </w:rPr>
            </w:pPr>
          </w:p>
        </w:tc>
      </w:tr>
      <w:tr w:rsidR="00F443A1" w:rsidRPr="005A497D" w14:paraId="243C669C" w14:textId="77777777" w:rsidTr="009E55FB">
        <w:trPr>
          <w:trHeight w:val="288"/>
          <w:jc w:val="center"/>
        </w:trPr>
        <w:tc>
          <w:tcPr>
            <w:tcW w:w="2614" w:type="dxa"/>
            <w:tcBorders>
              <w:top w:val="double" w:sz="4" w:space="0" w:color="auto"/>
              <w:left w:val="double" w:sz="4" w:space="0" w:color="auto"/>
            </w:tcBorders>
            <w:shd w:val="clear" w:color="auto" w:fill="auto"/>
            <w:noWrap/>
            <w:vAlign w:val="center"/>
            <w:hideMark/>
          </w:tcPr>
          <w:p w14:paraId="3123A58F" w14:textId="77777777" w:rsidR="00F443A1" w:rsidRPr="00141EB8" w:rsidRDefault="00F443A1" w:rsidP="00F443A1">
            <w:pPr>
              <w:rPr>
                <w:sz w:val="18"/>
                <w:szCs w:val="18"/>
              </w:rPr>
            </w:pPr>
            <w:r w:rsidRPr="00141EB8">
              <w:rPr>
                <w:sz w:val="18"/>
                <w:szCs w:val="18"/>
              </w:rPr>
              <w:t>DoF</w:t>
            </w:r>
          </w:p>
        </w:tc>
        <w:tc>
          <w:tcPr>
            <w:tcW w:w="1350" w:type="dxa"/>
            <w:tcBorders>
              <w:top w:val="double" w:sz="4" w:space="0" w:color="auto"/>
            </w:tcBorders>
            <w:shd w:val="clear" w:color="auto" w:fill="auto"/>
            <w:noWrap/>
            <w:vAlign w:val="bottom"/>
          </w:tcPr>
          <w:p w14:paraId="3F933245" w14:textId="77777777" w:rsidR="00F443A1" w:rsidRPr="00141EB8" w:rsidRDefault="00F443A1" w:rsidP="00F443A1">
            <w:pPr>
              <w:jc w:val="right"/>
              <w:rPr>
                <w:color w:val="000000"/>
                <w:sz w:val="18"/>
                <w:szCs w:val="18"/>
              </w:rPr>
            </w:pPr>
            <w:r>
              <w:rPr>
                <w:sz w:val="18"/>
                <w:szCs w:val="18"/>
              </w:rPr>
              <w:t xml:space="preserve">          140,898.03 </w:t>
            </w:r>
          </w:p>
        </w:tc>
        <w:tc>
          <w:tcPr>
            <w:tcW w:w="1170" w:type="dxa"/>
            <w:tcBorders>
              <w:top w:val="double" w:sz="4" w:space="0" w:color="auto"/>
            </w:tcBorders>
            <w:shd w:val="clear" w:color="auto" w:fill="auto"/>
            <w:noWrap/>
            <w:vAlign w:val="bottom"/>
          </w:tcPr>
          <w:p w14:paraId="0CFC5A4F" w14:textId="77777777" w:rsidR="00F443A1" w:rsidRPr="00141EB8" w:rsidRDefault="00F443A1" w:rsidP="00F443A1">
            <w:pPr>
              <w:jc w:val="right"/>
              <w:rPr>
                <w:color w:val="000000"/>
                <w:sz w:val="18"/>
                <w:szCs w:val="18"/>
              </w:rPr>
            </w:pPr>
            <w:r>
              <w:rPr>
                <w:sz w:val="18"/>
                <w:szCs w:val="18"/>
              </w:rPr>
              <w:t xml:space="preserve">         137,227.82 </w:t>
            </w:r>
          </w:p>
        </w:tc>
        <w:tc>
          <w:tcPr>
            <w:tcW w:w="1170" w:type="dxa"/>
            <w:tcBorders>
              <w:top w:val="double" w:sz="4" w:space="0" w:color="auto"/>
            </w:tcBorders>
            <w:shd w:val="clear" w:color="auto" w:fill="auto"/>
            <w:noWrap/>
            <w:vAlign w:val="bottom"/>
          </w:tcPr>
          <w:p w14:paraId="482148FD" w14:textId="01D743D0" w:rsidR="00F443A1" w:rsidRPr="00141EB8" w:rsidRDefault="00F443A1" w:rsidP="00F443A1">
            <w:pPr>
              <w:jc w:val="right"/>
              <w:rPr>
                <w:sz w:val="18"/>
                <w:szCs w:val="18"/>
              </w:rPr>
            </w:pPr>
            <w:r>
              <w:rPr>
                <w:sz w:val="18"/>
                <w:szCs w:val="18"/>
              </w:rPr>
              <w:t>115,879.94</w:t>
            </w:r>
          </w:p>
        </w:tc>
        <w:tc>
          <w:tcPr>
            <w:tcW w:w="1170" w:type="dxa"/>
            <w:tcBorders>
              <w:top w:val="double" w:sz="4" w:space="0" w:color="auto"/>
            </w:tcBorders>
            <w:shd w:val="clear" w:color="auto" w:fill="auto"/>
            <w:noWrap/>
            <w:vAlign w:val="bottom"/>
          </w:tcPr>
          <w:p w14:paraId="3FF9E5E8" w14:textId="58621181" w:rsidR="00F443A1" w:rsidRPr="00141EB8" w:rsidRDefault="00F443A1" w:rsidP="00F443A1">
            <w:pPr>
              <w:jc w:val="right"/>
              <w:rPr>
                <w:sz w:val="18"/>
                <w:szCs w:val="18"/>
              </w:rPr>
            </w:pPr>
            <w:r>
              <w:rPr>
                <w:sz w:val="18"/>
                <w:szCs w:val="18"/>
              </w:rPr>
              <w:t xml:space="preserve">21,347.88 </w:t>
            </w:r>
          </w:p>
        </w:tc>
        <w:tc>
          <w:tcPr>
            <w:tcW w:w="1170" w:type="dxa"/>
            <w:tcBorders>
              <w:top w:val="double" w:sz="4" w:space="0" w:color="auto"/>
            </w:tcBorders>
            <w:shd w:val="clear" w:color="auto" w:fill="auto"/>
            <w:noWrap/>
            <w:vAlign w:val="bottom"/>
          </w:tcPr>
          <w:p w14:paraId="70F5C082" w14:textId="399A3EA5" w:rsidR="00F443A1" w:rsidRPr="00141EB8" w:rsidRDefault="00F443A1" w:rsidP="00F443A1">
            <w:pPr>
              <w:jc w:val="right"/>
              <w:rPr>
                <w:sz w:val="18"/>
                <w:szCs w:val="18"/>
              </w:rPr>
            </w:pPr>
            <w:r>
              <w:rPr>
                <w:sz w:val="18"/>
                <w:szCs w:val="18"/>
              </w:rPr>
              <w:t>21,347.88</w:t>
            </w:r>
          </w:p>
        </w:tc>
        <w:tc>
          <w:tcPr>
            <w:tcW w:w="723" w:type="dxa"/>
            <w:tcBorders>
              <w:top w:val="double" w:sz="4" w:space="0" w:color="auto"/>
              <w:right w:val="double" w:sz="4" w:space="0" w:color="auto"/>
            </w:tcBorders>
            <w:shd w:val="clear" w:color="auto" w:fill="auto"/>
            <w:noWrap/>
            <w:vAlign w:val="bottom"/>
          </w:tcPr>
          <w:p w14:paraId="1EE72328" w14:textId="32EA28B0" w:rsidR="00F443A1" w:rsidRPr="00141EB8" w:rsidRDefault="00F443A1" w:rsidP="00F443A1">
            <w:pPr>
              <w:jc w:val="center"/>
              <w:rPr>
                <w:sz w:val="18"/>
                <w:szCs w:val="18"/>
              </w:rPr>
            </w:pPr>
            <w:r>
              <w:rPr>
                <w:sz w:val="18"/>
                <w:szCs w:val="18"/>
              </w:rPr>
              <w:t>18.42</w:t>
            </w:r>
          </w:p>
        </w:tc>
      </w:tr>
      <w:tr w:rsidR="00F443A1" w:rsidRPr="005A497D" w14:paraId="69BD5180" w14:textId="77777777" w:rsidTr="009E55FB">
        <w:trPr>
          <w:trHeight w:val="288"/>
          <w:jc w:val="center"/>
        </w:trPr>
        <w:tc>
          <w:tcPr>
            <w:tcW w:w="2614" w:type="dxa"/>
            <w:tcBorders>
              <w:left w:val="double" w:sz="4" w:space="0" w:color="auto"/>
            </w:tcBorders>
            <w:shd w:val="clear" w:color="auto" w:fill="auto"/>
            <w:noWrap/>
            <w:vAlign w:val="center"/>
            <w:hideMark/>
          </w:tcPr>
          <w:p w14:paraId="3C39478A" w14:textId="77777777" w:rsidR="00F443A1" w:rsidRPr="00141EB8" w:rsidRDefault="00F443A1" w:rsidP="00F443A1">
            <w:pPr>
              <w:rPr>
                <w:sz w:val="18"/>
                <w:szCs w:val="18"/>
              </w:rPr>
            </w:pPr>
            <w:r w:rsidRPr="00141EB8">
              <w:rPr>
                <w:sz w:val="18"/>
                <w:szCs w:val="18"/>
              </w:rPr>
              <w:t>DepEd</w:t>
            </w:r>
          </w:p>
        </w:tc>
        <w:tc>
          <w:tcPr>
            <w:tcW w:w="1350" w:type="dxa"/>
            <w:shd w:val="clear" w:color="auto" w:fill="auto"/>
            <w:noWrap/>
            <w:vAlign w:val="bottom"/>
          </w:tcPr>
          <w:p w14:paraId="7C7A3CF1" w14:textId="77777777" w:rsidR="00F443A1" w:rsidRPr="00141EB8" w:rsidRDefault="00F443A1" w:rsidP="00F443A1">
            <w:pPr>
              <w:jc w:val="right"/>
              <w:rPr>
                <w:color w:val="000000"/>
                <w:sz w:val="18"/>
                <w:szCs w:val="18"/>
              </w:rPr>
            </w:pPr>
            <w:r>
              <w:rPr>
                <w:sz w:val="18"/>
                <w:szCs w:val="18"/>
              </w:rPr>
              <w:t xml:space="preserve">          299,904.03 </w:t>
            </w:r>
          </w:p>
        </w:tc>
        <w:tc>
          <w:tcPr>
            <w:tcW w:w="1170" w:type="dxa"/>
            <w:shd w:val="clear" w:color="auto" w:fill="auto"/>
            <w:noWrap/>
            <w:vAlign w:val="bottom"/>
          </w:tcPr>
          <w:p w14:paraId="7880D226" w14:textId="77777777" w:rsidR="00F443A1" w:rsidRPr="00141EB8" w:rsidRDefault="00F443A1" w:rsidP="00F443A1">
            <w:pPr>
              <w:jc w:val="right"/>
              <w:rPr>
                <w:color w:val="000000"/>
                <w:sz w:val="18"/>
                <w:szCs w:val="18"/>
              </w:rPr>
            </w:pPr>
            <w:r>
              <w:rPr>
                <w:sz w:val="18"/>
                <w:szCs w:val="18"/>
              </w:rPr>
              <w:t xml:space="preserve">         280,609.03 </w:t>
            </w:r>
          </w:p>
        </w:tc>
        <w:tc>
          <w:tcPr>
            <w:tcW w:w="1170" w:type="dxa"/>
            <w:shd w:val="clear" w:color="auto" w:fill="auto"/>
            <w:noWrap/>
            <w:vAlign w:val="bottom"/>
          </w:tcPr>
          <w:p w14:paraId="010AEB87" w14:textId="27DE72D0" w:rsidR="00F443A1" w:rsidRPr="00141EB8" w:rsidRDefault="00F443A1" w:rsidP="00F443A1">
            <w:pPr>
              <w:jc w:val="right"/>
              <w:rPr>
                <w:sz w:val="18"/>
                <w:szCs w:val="18"/>
              </w:rPr>
            </w:pPr>
            <w:r>
              <w:rPr>
                <w:sz w:val="18"/>
                <w:szCs w:val="18"/>
              </w:rPr>
              <w:t>246,652.58</w:t>
            </w:r>
          </w:p>
        </w:tc>
        <w:tc>
          <w:tcPr>
            <w:tcW w:w="1170" w:type="dxa"/>
            <w:shd w:val="clear" w:color="auto" w:fill="auto"/>
            <w:noWrap/>
            <w:vAlign w:val="bottom"/>
          </w:tcPr>
          <w:p w14:paraId="1AFA46ED" w14:textId="15FD72DF" w:rsidR="00F443A1" w:rsidRPr="00141EB8" w:rsidRDefault="00F443A1" w:rsidP="00F443A1">
            <w:pPr>
              <w:jc w:val="right"/>
              <w:rPr>
                <w:sz w:val="18"/>
                <w:szCs w:val="18"/>
              </w:rPr>
            </w:pPr>
            <w:r>
              <w:rPr>
                <w:sz w:val="18"/>
                <w:szCs w:val="18"/>
              </w:rPr>
              <w:t xml:space="preserve">33,956.45 </w:t>
            </w:r>
          </w:p>
        </w:tc>
        <w:tc>
          <w:tcPr>
            <w:tcW w:w="1170" w:type="dxa"/>
            <w:shd w:val="clear" w:color="auto" w:fill="auto"/>
            <w:noWrap/>
            <w:vAlign w:val="bottom"/>
          </w:tcPr>
          <w:p w14:paraId="0E7FC460" w14:textId="45AD505A" w:rsidR="00F443A1" w:rsidRPr="00141EB8" w:rsidRDefault="00F443A1" w:rsidP="00F443A1">
            <w:pPr>
              <w:jc w:val="right"/>
              <w:rPr>
                <w:sz w:val="18"/>
                <w:szCs w:val="18"/>
              </w:rPr>
            </w:pPr>
            <w:r>
              <w:rPr>
                <w:sz w:val="18"/>
                <w:szCs w:val="18"/>
              </w:rPr>
              <w:t>33,956.45</w:t>
            </w:r>
          </w:p>
        </w:tc>
        <w:tc>
          <w:tcPr>
            <w:tcW w:w="723" w:type="dxa"/>
            <w:tcBorders>
              <w:right w:val="double" w:sz="4" w:space="0" w:color="auto"/>
            </w:tcBorders>
            <w:shd w:val="clear" w:color="auto" w:fill="auto"/>
            <w:noWrap/>
            <w:vAlign w:val="bottom"/>
          </w:tcPr>
          <w:p w14:paraId="569D406C" w14:textId="5C27ACF2" w:rsidR="00F443A1" w:rsidRPr="00141EB8" w:rsidRDefault="00F443A1" w:rsidP="00F443A1">
            <w:pPr>
              <w:jc w:val="center"/>
              <w:rPr>
                <w:sz w:val="18"/>
                <w:szCs w:val="18"/>
              </w:rPr>
            </w:pPr>
            <w:r>
              <w:rPr>
                <w:sz w:val="18"/>
                <w:szCs w:val="18"/>
              </w:rPr>
              <w:t>13.77</w:t>
            </w:r>
          </w:p>
        </w:tc>
      </w:tr>
      <w:tr w:rsidR="00F443A1" w:rsidRPr="005A497D" w14:paraId="34E595E8" w14:textId="77777777" w:rsidTr="009E55FB">
        <w:trPr>
          <w:trHeight w:val="288"/>
          <w:jc w:val="center"/>
        </w:trPr>
        <w:tc>
          <w:tcPr>
            <w:tcW w:w="2614" w:type="dxa"/>
            <w:tcBorders>
              <w:left w:val="double" w:sz="4" w:space="0" w:color="auto"/>
            </w:tcBorders>
            <w:shd w:val="clear" w:color="auto" w:fill="auto"/>
            <w:noWrap/>
            <w:vAlign w:val="center"/>
            <w:hideMark/>
          </w:tcPr>
          <w:p w14:paraId="1EEC90FD" w14:textId="77777777" w:rsidR="00F443A1" w:rsidRPr="00141EB8" w:rsidRDefault="00F443A1" w:rsidP="00F443A1">
            <w:pPr>
              <w:rPr>
                <w:sz w:val="18"/>
                <w:szCs w:val="18"/>
              </w:rPr>
            </w:pPr>
            <w:r w:rsidRPr="00141EB8">
              <w:rPr>
                <w:sz w:val="18"/>
                <w:szCs w:val="18"/>
              </w:rPr>
              <w:t>DPWH</w:t>
            </w:r>
          </w:p>
        </w:tc>
        <w:tc>
          <w:tcPr>
            <w:tcW w:w="1350" w:type="dxa"/>
            <w:shd w:val="clear" w:color="auto" w:fill="auto"/>
            <w:noWrap/>
            <w:vAlign w:val="bottom"/>
          </w:tcPr>
          <w:p w14:paraId="74830C8E" w14:textId="77777777" w:rsidR="00F443A1" w:rsidRPr="00141EB8" w:rsidRDefault="00F443A1" w:rsidP="00F443A1">
            <w:pPr>
              <w:jc w:val="right"/>
              <w:rPr>
                <w:color w:val="000000"/>
                <w:sz w:val="18"/>
                <w:szCs w:val="18"/>
              </w:rPr>
            </w:pPr>
            <w:r>
              <w:rPr>
                <w:sz w:val="18"/>
                <w:szCs w:val="18"/>
              </w:rPr>
              <w:t xml:space="preserve">          230,115.61 </w:t>
            </w:r>
          </w:p>
        </w:tc>
        <w:tc>
          <w:tcPr>
            <w:tcW w:w="1170" w:type="dxa"/>
            <w:shd w:val="clear" w:color="auto" w:fill="auto"/>
            <w:noWrap/>
            <w:vAlign w:val="bottom"/>
          </w:tcPr>
          <w:p w14:paraId="62858AD6" w14:textId="77777777" w:rsidR="00F443A1" w:rsidRPr="00141EB8" w:rsidRDefault="00F443A1" w:rsidP="00F443A1">
            <w:pPr>
              <w:jc w:val="right"/>
              <w:rPr>
                <w:color w:val="000000"/>
                <w:sz w:val="18"/>
                <w:szCs w:val="18"/>
              </w:rPr>
            </w:pPr>
            <w:r>
              <w:rPr>
                <w:sz w:val="18"/>
                <w:szCs w:val="18"/>
              </w:rPr>
              <w:t xml:space="preserve">         200,528.67 </w:t>
            </w:r>
          </w:p>
        </w:tc>
        <w:tc>
          <w:tcPr>
            <w:tcW w:w="1170" w:type="dxa"/>
            <w:shd w:val="clear" w:color="auto" w:fill="auto"/>
            <w:noWrap/>
            <w:vAlign w:val="bottom"/>
          </w:tcPr>
          <w:p w14:paraId="382C1945" w14:textId="793A5627" w:rsidR="00F443A1" w:rsidRPr="00141EB8" w:rsidRDefault="00F443A1" w:rsidP="00F443A1">
            <w:pPr>
              <w:jc w:val="right"/>
              <w:rPr>
                <w:sz w:val="18"/>
                <w:szCs w:val="18"/>
              </w:rPr>
            </w:pPr>
            <w:r>
              <w:rPr>
                <w:sz w:val="18"/>
                <w:szCs w:val="18"/>
              </w:rPr>
              <w:t>189,255.91</w:t>
            </w:r>
          </w:p>
        </w:tc>
        <w:tc>
          <w:tcPr>
            <w:tcW w:w="1170" w:type="dxa"/>
            <w:shd w:val="clear" w:color="auto" w:fill="auto"/>
            <w:noWrap/>
            <w:vAlign w:val="bottom"/>
          </w:tcPr>
          <w:p w14:paraId="0ED24AA1" w14:textId="279F88A4" w:rsidR="00F443A1" w:rsidRPr="00141EB8" w:rsidRDefault="00F443A1" w:rsidP="00F443A1">
            <w:pPr>
              <w:jc w:val="right"/>
              <w:rPr>
                <w:sz w:val="18"/>
                <w:szCs w:val="18"/>
              </w:rPr>
            </w:pPr>
            <w:r>
              <w:rPr>
                <w:sz w:val="18"/>
                <w:szCs w:val="18"/>
              </w:rPr>
              <w:t xml:space="preserve">11,272.76 </w:t>
            </w:r>
          </w:p>
        </w:tc>
        <w:tc>
          <w:tcPr>
            <w:tcW w:w="1170" w:type="dxa"/>
            <w:shd w:val="clear" w:color="auto" w:fill="auto"/>
            <w:noWrap/>
            <w:vAlign w:val="bottom"/>
          </w:tcPr>
          <w:p w14:paraId="3485BECE" w14:textId="5CBC1306" w:rsidR="00F443A1" w:rsidRPr="00141EB8" w:rsidRDefault="00F443A1" w:rsidP="00F443A1">
            <w:pPr>
              <w:jc w:val="right"/>
              <w:rPr>
                <w:sz w:val="18"/>
                <w:szCs w:val="18"/>
              </w:rPr>
            </w:pPr>
            <w:r>
              <w:rPr>
                <w:sz w:val="18"/>
                <w:szCs w:val="18"/>
              </w:rPr>
              <w:t>11,272.76</w:t>
            </w:r>
          </w:p>
        </w:tc>
        <w:tc>
          <w:tcPr>
            <w:tcW w:w="723" w:type="dxa"/>
            <w:tcBorders>
              <w:right w:val="double" w:sz="4" w:space="0" w:color="auto"/>
            </w:tcBorders>
            <w:shd w:val="clear" w:color="auto" w:fill="auto"/>
            <w:noWrap/>
            <w:vAlign w:val="bottom"/>
          </w:tcPr>
          <w:p w14:paraId="09F5C725" w14:textId="411D9F84" w:rsidR="00F443A1" w:rsidRPr="00141EB8" w:rsidRDefault="00F443A1" w:rsidP="00F443A1">
            <w:pPr>
              <w:jc w:val="center"/>
              <w:rPr>
                <w:sz w:val="18"/>
                <w:szCs w:val="18"/>
              </w:rPr>
            </w:pPr>
            <w:r>
              <w:rPr>
                <w:sz w:val="18"/>
                <w:szCs w:val="18"/>
              </w:rPr>
              <w:t>5.96</w:t>
            </w:r>
          </w:p>
        </w:tc>
      </w:tr>
      <w:tr w:rsidR="00F443A1" w:rsidRPr="005A497D" w14:paraId="03D3B914" w14:textId="77777777" w:rsidTr="009E55FB">
        <w:trPr>
          <w:trHeight w:val="288"/>
          <w:jc w:val="center"/>
        </w:trPr>
        <w:tc>
          <w:tcPr>
            <w:tcW w:w="2614" w:type="dxa"/>
            <w:tcBorders>
              <w:left w:val="double" w:sz="4" w:space="0" w:color="auto"/>
            </w:tcBorders>
            <w:shd w:val="clear" w:color="auto" w:fill="auto"/>
            <w:noWrap/>
            <w:vAlign w:val="center"/>
            <w:hideMark/>
          </w:tcPr>
          <w:p w14:paraId="66B4B959" w14:textId="77777777" w:rsidR="00F443A1" w:rsidRPr="00141EB8" w:rsidRDefault="00F443A1" w:rsidP="00F443A1">
            <w:pPr>
              <w:rPr>
                <w:sz w:val="18"/>
                <w:szCs w:val="18"/>
              </w:rPr>
            </w:pPr>
            <w:r w:rsidRPr="00141EB8">
              <w:rPr>
                <w:sz w:val="18"/>
                <w:szCs w:val="18"/>
              </w:rPr>
              <w:t>DND</w:t>
            </w:r>
          </w:p>
        </w:tc>
        <w:tc>
          <w:tcPr>
            <w:tcW w:w="1350" w:type="dxa"/>
            <w:shd w:val="clear" w:color="auto" w:fill="auto"/>
            <w:noWrap/>
            <w:vAlign w:val="bottom"/>
          </w:tcPr>
          <w:p w14:paraId="3E3783E4" w14:textId="77777777" w:rsidR="00F443A1" w:rsidRPr="00141EB8" w:rsidRDefault="00F443A1" w:rsidP="00F443A1">
            <w:pPr>
              <w:jc w:val="right"/>
              <w:rPr>
                <w:color w:val="000000"/>
                <w:sz w:val="18"/>
                <w:szCs w:val="18"/>
              </w:rPr>
            </w:pPr>
            <w:r>
              <w:rPr>
                <w:sz w:val="18"/>
                <w:szCs w:val="18"/>
              </w:rPr>
              <w:t xml:space="preserve">          168,847.77 </w:t>
            </w:r>
          </w:p>
        </w:tc>
        <w:tc>
          <w:tcPr>
            <w:tcW w:w="1170" w:type="dxa"/>
            <w:shd w:val="clear" w:color="auto" w:fill="auto"/>
            <w:noWrap/>
            <w:vAlign w:val="bottom"/>
          </w:tcPr>
          <w:p w14:paraId="72CBA5A1" w14:textId="77777777" w:rsidR="00F443A1" w:rsidRPr="00141EB8" w:rsidRDefault="00F443A1" w:rsidP="00F443A1">
            <w:pPr>
              <w:jc w:val="right"/>
              <w:rPr>
                <w:color w:val="000000"/>
                <w:sz w:val="18"/>
                <w:szCs w:val="18"/>
              </w:rPr>
            </w:pPr>
            <w:r>
              <w:rPr>
                <w:sz w:val="18"/>
                <w:szCs w:val="18"/>
              </w:rPr>
              <w:t xml:space="preserve">         165,379.87 </w:t>
            </w:r>
          </w:p>
        </w:tc>
        <w:tc>
          <w:tcPr>
            <w:tcW w:w="1170" w:type="dxa"/>
            <w:shd w:val="clear" w:color="auto" w:fill="auto"/>
            <w:noWrap/>
            <w:vAlign w:val="bottom"/>
          </w:tcPr>
          <w:p w14:paraId="099E0F99" w14:textId="56CCFE33" w:rsidR="00F443A1" w:rsidRPr="00141EB8" w:rsidRDefault="00F443A1" w:rsidP="00F443A1">
            <w:pPr>
              <w:jc w:val="right"/>
              <w:rPr>
                <w:sz w:val="18"/>
                <w:szCs w:val="18"/>
              </w:rPr>
            </w:pPr>
            <w:r>
              <w:rPr>
                <w:sz w:val="18"/>
                <w:szCs w:val="18"/>
              </w:rPr>
              <w:t>138,866.88</w:t>
            </w:r>
          </w:p>
        </w:tc>
        <w:tc>
          <w:tcPr>
            <w:tcW w:w="1170" w:type="dxa"/>
            <w:shd w:val="clear" w:color="auto" w:fill="auto"/>
            <w:noWrap/>
            <w:vAlign w:val="bottom"/>
          </w:tcPr>
          <w:p w14:paraId="0FC908AC" w14:textId="7E18CC0A" w:rsidR="00F443A1" w:rsidRPr="00141EB8" w:rsidRDefault="00F443A1" w:rsidP="00F443A1">
            <w:pPr>
              <w:jc w:val="right"/>
              <w:rPr>
                <w:sz w:val="18"/>
                <w:szCs w:val="18"/>
              </w:rPr>
            </w:pPr>
            <w:r>
              <w:rPr>
                <w:sz w:val="18"/>
                <w:szCs w:val="18"/>
              </w:rPr>
              <w:t xml:space="preserve">26,512.99 </w:t>
            </w:r>
          </w:p>
        </w:tc>
        <w:tc>
          <w:tcPr>
            <w:tcW w:w="1170" w:type="dxa"/>
            <w:shd w:val="clear" w:color="auto" w:fill="auto"/>
            <w:noWrap/>
            <w:vAlign w:val="bottom"/>
          </w:tcPr>
          <w:p w14:paraId="2E5E68C8" w14:textId="19B2BA40" w:rsidR="00F443A1" w:rsidRPr="00141EB8" w:rsidRDefault="00F443A1" w:rsidP="00F443A1">
            <w:pPr>
              <w:jc w:val="right"/>
              <w:rPr>
                <w:sz w:val="18"/>
                <w:szCs w:val="18"/>
              </w:rPr>
            </w:pPr>
            <w:r>
              <w:rPr>
                <w:sz w:val="18"/>
                <w:szCs w:val="18"/>
              </w:rPr>
              <w:t>26,512.99</w:t>
            </w:r>
          </w:p>
        </w:tc>
        <w:tc>
          <w:tcPr>
            <w:tcW w:w="723" w:type="dxa"/>
            <w:tcBorders>
              <w:right w:val="double" w:sz="4" w:space="0" w:color="auto"/>
            </w:tcBorders>
            <w:shd w:val="clear" w:color="auto" w:fill="auto"/>
            <w:noWrap/>
            <w:vAlign w:val="bottom"/>
          </w:tcPr>
          <w:p w14:paraId="76E68044" w14:textId="287D6432" w:rsidR="00F443A1" w:rsidRPr="00141EB8" w:rsidRDefault="00F443A1" w:rsidP="00F443A1">
            <w:pPr>
              <w:jc w:val="center"/>
              <w:rPr>
                <w:sz w:val="18"/>
                <w:szCs w:val="18"/>
              </w:rPr>
            </w:pPr>
            <w:r>
              <w:rPr>
                <w:sz w:val="18"/>
                <w:szCs w:val="18"/>
              </w:rPr>
              <w:t>19.09</w:t>
            </w:r>
          </w:p>
        </w:tc>
      </w:tr>
      <w:tr w:rsidR="00F443A1" w:rsidRPr="005A497D" w14:paraId="7C73241A" w14:textId="77777777" w:rsidTr="009E55FB">
        <w:trPr>
          <w:trHeight w:val="288"/>
          <w:jc w:val="center"/>
        </w:trPr>
        <w:tc>
          <w:tcPr>
            <w:tcW w:w="2614" w:type="dxa"/>
            <w:tcBorders>
              <w:left w:val="double" w:sz="4" w:space="0" w:color="auto"/>
            </w:tcBorders>
            <w:shd w:val="clear" w:color="auto" w:fill="auto"/>
            <w:noWrap/>
            <w:vAlign w:val="center"/>
            <w:hideMark/>
          </w:tcPr>
          <w:p w14:paraId="6C6FD7DB" w14:textId="77777777" w:rsidR="00F443A1" w:rsidRPr="00141EB8" w:rsidRDefault="00F443A1" w:rsidP="00F443A1">
            <w:pPr>
              <w:rPr>
                <w:sz w:val="18"/>
                <w:szCs w:val="18"/>
              </w:rPr>
            </w:pPr>
            <w:r w:rsidRPr="00141EB8">
              <w:rPr>
                <w:sz w:val="18"/>
                <w:szCs w:val="18"/>
              </w:rPr>
              <w:t>DILG</w:t>
            </w:r>
          </w:p>
        </w:tc>
        <w:tc>
          <w:tcPr>
            <w:tcW w:w="1350" w:type="dxa"/>
            <w:shd w:val="clear" w:color="auto" w:fill="auto"/>
            <w:noWrap/>
            <w:vAlign w:val="bottom"/>
          </w:tcPr>
          <w:p w14:paraId="19B8D11D" w14:textId="77777777" w:rsidR="00F443A1" w:rsidRPr="00141EB8" w:rsidRDefault="00F443A1" w:rsidP="00F443A1">
            <w:pPr>
              <w:jc w:val="right"/>
              <w:rPr>
                <w:color w:val="000000"/>
                <w:sz w:val="18"/>
                <w:szCs w:val="18"/>
              </w:rPr>
            </w:pPr>
            <w:r>
              <w:rPr>
                <w:sz w:val="18"/>
                <w:szCs w:val="18"/>
              </w:rPr>
              <w:t xml:space="preserve">          140,610.02 </w:t>
            </w:r>
          </w:p>
        </w:tc>
        <w:tc>
          <w:tcPr>
            <w:tcW w:w="1170" w:type="dxa"/>
            <w:shd w:val="clear" w:color="auto" w:fill="auto"/>
            <w:noWrap/>
            <w:vAlign w:val="bottom"/>
          </w:tcPr>
          <w:p w14:paraId="623B1662" w14:textId="77777777" w:rsidR="00F443A1" w:rsidRPr="00141EB8" w:rsidRDefault="00F443A1" w:rsidP="00F443A1">
            <w:pPr>
              <w:jc w:val="right"/>
              <w:rPr>
                <w:color w:val="000000"/>
                <w:sz w:val="18"/>
                <w:szCs w:val="18"/>
              </w:rPr>
            </w:pPr>
            <w:r>
              <w:rPr>
                <w:sz w:val="18"/>
                <w:szCs w:val="18"/>
              </w:rPr>
              <w:t xml:space="preserve">         131,407.41 </w:t>
            </w:r>
          </w:p>
        </w:tc>
        <w:tc>
          <w:tcPr>
            <w:tcW w:w="1170" w:type="dxa"/>
            <w:shd w:val="clear" w:color="auto" w:fill="auto"/>
            <w:noWrap/>
            <w:vAlign w:val="bottom"/>
          </w:tcPr>
          <w:p w14:paraId="0FD68712" w14:textId="49F56AFA" w:rsidR="00F443A1" w:rsidRPr="00141EB8" w:rsidRDefault="00F443A1" w:rsidP="00F443A1">
            <w:pPr>
              <w:jc w:val="right"/>
              <w:rPr>
                <w:sz w:val="18"/>
                <w:szCs w:val="18"/>
              </w:rPr>
            </w:pPr>
            <w:r>
              <w:rPr>
                <w:sz w:val="18"/>
                <w:szCs w:val="18"/>
              </w:rPr>
              <w:t>115,643.07</w:t>
            </w:r>
          </w:p>
        </w:tc>
        <w:tc>
          <w:tcPr>
            <w:tcW w:w="1170" w:type="dxa"/>
            <w:shd w:val="clear" w:color="auto" w:fill="auto"/>
            <w:noWrap/>
            <w:vAlign w:val="bottom"/>
          </w:tcPr>
          <w:p w14:paraId="34086C5F" w14:textId="490088EE" w:rsidR="00F443A1" w:rsidRPr="00141EB8" w:rsidRDefault="00F443A1" w:rsidP="00F443A1">
            <w:pPr>
              <w:jc w:val="right"/>
              <w:rPr>
                <w:sz w:val="18"/>
                <w:szCs w:val="18"/>
              </w:rPr>
            </w:pPr>
            <w:r>
              <w:rPr>
                <w:sz w:val="18"/>
                <w:szCs w:val="18"/>
              </w:rPr>
              <w:t xml:space="preserve">15,764.34 </w:t>
            </w:r>
          </w:p>
        </w:tc>
        <w:tc>
          <w:tcPr>
            <w:tcW w:w="1170" w:type="dxa"/>
            <w:shd w:val="clear" w:color="auto" w:fill="auto"/>
            <w:noWrap/>
            <w:vAlign w:val="bottom"/>
          </w:tcPr>
          <w:p w14:paraId="42324025" w14:textId="5FDAB859" w:rsidR="00F443A1" w:rsidRPr="00141EB8" w:rsidRDefault="00F443A1" w:rsidP="00F443A1">
            <w:pPr>
              <w:jc w:val="right"/>
              <w:rPr>
                <w:sz w:val="18"/>
                <w:szCs w:val="18"/>
              </w:rPr>
            </w:pPr>
            <w:r>
              <w:rPr>
                <w:sz w:val="18"/>
                <w:szCs w:val="18"/>
              </w:rPr>
              <w:t>15,764.34</w:t>
            </w:r>
          </w:p>
        </w:tc>
        <w:tc>
          <w:tcPr>
            <w:tcW w:w="723" w:type="dxa"/>
            <w:tcBorders>
              <w:right w:val="double" w:sz="4" w:space="0" w:color="auto"/>
            </w:tcBorders>
            <w:shd w:val="clear" w:color="auto" w:fill="auto"/>
            <w:noWrap/>
            <w:vAlign w:val="bottom"/>
          </w:tcPr>
          <w:p w14:paraId="1CD397CC" w14:textId="6D799273" w:rsidR="00F443A1" w:rsidRPr="00141EB8" w:rsidRDefault="00F443A1" w:rsidP="00F443A1">
            <w:pPr>
              <w:jc w:val="center"/>
              <w:rPr>
                <w:sz w:val="18"/>
                <w:szCs w:val="18"/>
              </w:rPr>
            </w:pPr>
            <w:r>
              <w:rPr>
                <w:sz w:val="18"/>
                <w:szCs w:val="18"/>
              </w:rPr>
              <w:t>13.63</w:t>
            </w:r>
          </w:p>
        </w:tc>
      </w:tr>
      <w:tr w:rsidR="00F443A1" w:rsidRPr="005A497D" w14:paraId="4839C36A" w14:textId="77777777" w:rsidTr="009E55FB">
        <w:trPr>
          <w:trHeight w:val="288"/>
          <w:jc w:val="center"/>
        </w:trPr>
        <w:tc>
          <w:tcPr>
            <w:tcW w:w="2614" w:type="dxa"/>
            <w:tcBorders>
              <w:left w:val="double" w:sz="4" w:space="0" w:color="auto"/>
            </w:tcBorders>
            <w:shd w:val="clear" w:color="auto" w:fill="auto"/>
            <w:noWrap/>
            <w:vAlign w:val="center"/>
            <w:hideMark/>
          </w:tcPr>
          <w:p w14:paraId="683D0615" w14:textId="77777777" w:rsidR="00F443A1" w:rsidRPr="00141EB8" w:rsidRDefault="00F443A1" w:rsidP="00F443A1">
            <w:pPr>
              <w:rPr>
                <w:sz w:val="18"/>
                <w:szCs w:val="18"/>
              </w:rPr>
            </w:pPr>
            <w:r w:rsidRPr="00141EB8">
              <w:rPr>
                <w:sz w:val="18"/>
                <w:szCs w:val="18"/>
              </w:rPr>
              <w:t>DSWD</w:t>
            </w:r>
          </w:p>
        </w:tc>
        <w:tc>
          <w:tcPr>
            <w:tcW w:w="1350" w:type="dxa"/>
            <w:shd w:val="clear" w:color="auto" w:fill="auto"/>
            <w:noWrap/>
            <w:vAlign w:val="bottom"/>
          </w:tcPr>
          <w:p w14:paraId="081F5196" w14:textId="77777777" w:rsidR="00F443A1" w:rsidRPr="00141EB8" w:rsidRDefault="00F443A1" w:rsidP="00F443A1">
            <w:pPr>
              <w:jc w:val="right"/>
              <w:rPr>
                <w:color w:val="000000"/>
                <w:sz w:val="18"/>
                <w:szCs w:val="18"/>
              </w:rPr>
            </w:pPr>
            <w:r>
              <w:rPr>
                <w:sz w:val="18"/>
                <w:szCs w:val="18"/>
              </w:rPr>
              <w:t xml:space="preserve">            78,574.91 </w:t>
            </w:r>
          </w:p>
        </w:tc>
        <w:tc>
          <w:tcPr>
            <w:tcW w:w="1170" w:type="dxa"/>
            <w:shd w:val="clear" w:color="auto" w:fill="auto"/>
            <w:noWrap/>
            <w:vAlign w:val="bottom"/>
          </w:tcPr>
          <w:p w14:paraId="3489A7EE" w14:textId="77777777" w:rsidR="00F443A1" w:rsidRPr="00141EB8" w:rsidRDefault="00F443A1" w:rsidP="00F443A1">
            <w:pPr>
              <w:jc w:val="right"/>
              <w:rPr>
                <w:color w:val="000000"/>
                <w:sz w:val="18"/>
                <w:szCs w:val="18"/>
              </w:rPr>
            </w:pPr>
            <w:r>
              <w:rPr>
                <w:sz w:val="18"/>
                <w:szCs w:val="18"/>
              </w:rPr>
              <w:t xml:space="preserve">           69,606.74 </w:t>
            </w:r>
          </w:p>
        </w:tc>
        <w:tc>
          <w:tcPr>
            <w:tcW w:w="1170" w:type="dxa"/>
            <w:shd w:val="clear" w:color="auto" w:fill="auto"/>
            <w:noWrap/>
            <w:vAlign w:val="bottom"/>
          </w:tcPr>
          <w:p w14:paraId="1FFC3765" w14:textId="4BFD83A6" w:rsidR="00F443A1" w:rsidRPr="00141EB8" w:rsidRDefault="00F443A1" w:rsidP="00F443A1">
            <w:pPr>
              <w:jc w:val="right"/>
              <w:rPr>
                <w:sz w:val="18"/>
                <w:szCs w:val="18"/>
              </w:rPr>
            </w:pPr>
            <w:r>
              <w:rPr>
                <w:sz w:val="18"/>
                <w:szCs w:val="18"/>
              </w:rPr>
              <w:t>64,623.02</w:t>
            </w:r>
          </w:p>
        </w:tc>
        <w:tc>
          <w:tcPr>
            <w:tcW w:w="1170" w:type="dxa"/>
            <w:shd w:val="clear" w:color="auto" w:fill="auto"/>
            <w:noWrap/>
            <w:vAlign w:val="bottom"/>
          </w:tcPr>
          <w:p w14:paraId="29E5E0AE" w14:textId="2225CA1E" w:rsidR="00F443A1" w:rsidRPr="00141EB8" w:rsidRDefault="00F443A1" w:rsidP="00F443A1">
            <w:pPr>
              <w:jc w:val="right"/>
              <w:rPr>
                <w:sz w:val="18"/>
                <w:szCs w:val="18"/>
              </w:rPr>
            </w:pPr>
            <w:r>
              <w:rPr>
                <w:sz w:val="18"/>
                <w:szCs w:val="18"/>
              </w:rPr>
              <w:t xml:space="preserve">4,983.72 </w:t>
            </w:r>
          </w:p>
        </w:tc>
        <w:tc>
          <w:tcPr>
            <w:tcW w:w="1170" w:type="dxa"/>
            <w:shd w:val="clear" w:color="auto" w:fill="auto"/>
            <w:noWrap/>
            <w:vAlign w:val="bottom"/>
          </w:tcPr>
          <w:p w14:paraId="72E93585" w14:textId="6982B952" w:rsidR="00F443A1" w:rsidRPr="00141EB8" w:rsidRDefault="00F443A1" w:rsidP="00F443A1">
            <w:pPr>
              <w:jc w:val="right"/>
              <w:rPr>
                <w:sz w:val="18"/>
                <w:szCs w:val="18"/>
              </w:rPr>
            </w:pPr>
            <w:r>
              <w:rPr>
                <w:sz w:val="18"/>
                <w:szCs w:val="18"/>
              </w:rPr>
              <w:t>4,983.72</w:t>
            </w:r>
          </w:p>
        </w:tc>
        <w:tc>
          <w:tcPr>
            <w:tcW w:w="723" w:type="dxa"/>
            <w:tcBorders>
              <w:right w:val="double" w:sz="4" w:space="0" w:color="auto"/>
            </w:tcBorders>
            <w:shd w:val="clear" w:color="auto" w:fill="auto"/>
            <w:noWrap/>
            <w:vAlign w:val="bottom"/>
          </w:tcPr>
          <w:p w14:paraId="77B72600" w14:textId="144D4A05" w:rsidR="00F443A1" w:rsidRPr="00141EB8" w:rsidRDefault="00F443A1" w:rsidP="00F443A1">
            <w:pPr>
              <w:jc w:val="right"/>
              <w:rPr>
                <w:sz w:val="18"/>
                <w:szCs w:val="18"/>
              </w:rPr>
            </w:pPr>
            <w:r>
              <w:rPr>
                <w:sz w:val="18"/>
                <w:szCs w:val="18"/>
              </w:rPr>
              <w:t>7.71</w:t>
            </w:r>
          </w:p>
        </w:tc>
      </w:tr>
      <w:tr w:rsidR="00F443A1" w:rsidRPr="005A497D" w14:paraId="441042FA" w14:textId="77777777" w:rsidTr="009E55FB">
        <w:trPr>
          <w:trHeight w:val="288"/>
          <w:jc w:val="center"/>
        </w:trPr>
        <w:tc>
          <w:tcPr>
            <w:tcW w:w="2614" w:type="dxa"/>
            <w:tcBorders>
              <w:left w:val="double" w:sz="4" w:space="0" w:color="auto"/>
            </w:tcBorders>
            <w:shd w:val="clear" w:color="auto" w:fill="auto"/>
            <w:noWrap/>
            <w:vAlign w:val="center"/>
            <w:hideMark/>
          </w:tcPr>
          <w:p w14:paraId="6B0A8542" w14:textId="77777777" w:rsidR="00F443A1" w:rsidRPr="00141EB8" w:rsidRDefault="00F443A1" w:rsidP="00F443A1">
            <w:pPr>
              <w:rPr>
                <w:sz w:val="18"/>
                <w:szCs w:val="18"/>
              </w:rPr>
            </w:pPr>
            <w:r>
              <w:rPr>
                <w:sz w:val="18"/>
                <w:szCs w:val="18"/>
              </w:rPr>
              <w:t>DoH</w:t>
            </w:r>
          </w:p>
        </w:tc>
        <w:tc>
          <w:tcPr>
            <w:tcW w:w="1350" w:type="dxa"/>
            <w:shd w:val="clear" w:color="auto" w:fill="auto"/>
            <w:noWrap/>
            <w:vAlign w:val="bottom"/>
          </w:tcPr>
          <w:p w14:paraId="0DA72752" w14:textId="77777777" w:rsidR="00F443A1" w:rsidRPr="00141EB8" w:rsidRDefault="00F443A1" w:rsidP="00F443A1">
            <w:pPr>
              <w:jc w:val="right"/>
              <w:rPr>
                <w:color w:val="000000"/>
                <w:sz w:val="18"/>
                <w:szCs w:val="18"/>
              </w:rPr>
            </w:pPr>
            <w:r>
              <w:rPr>
                <w:sz w:val="18"/>
                <w:szCs w:val="18"/>
              </w:rPr>
              <w:t xml:space="preserve">            48,454.68 </w:t>
            </w:r>
          </w:p>
        </w:tc>
        <w:tc>
          <w:tcPr>
            <w:tcW w:w="1170" w:type="dxa"/>
            <w:shd w:val="clear" w:color="auto" w:fill="auto"/>
            <w:noWrap/>
            <w:vAlign w:val="bottom"/>
          </w:tcPr>
          <w:p w14:paraId="609C2F75" w14:textId="77777777" w:rsidR="00F443A1" w:rsidRPr="00141EB8" w:rsidRDefault="00F443A1" w:rsidP="00F443A1">
            <w:pPr>
              <w:jc w:val="right"/>
              <w:rPr>
                <w:color w:val="000000"/>
                <w:sz w:val="18"/>
                <w:szCs w:val="18"/>
              </w:rPr>
            </w:pPr>
            <w:r>
              <w:rPr>
                <w:sz w:val="18"/>
                <w:szCs w:val="18"/>
              </w:rPr>
              <w:t xml:space="preserve">           40,932.73 </w:t>
            </w:r>
          </w:p>
        </w:tc>
        <w:tc>
          <w:tcPr>
            <w:tcW w:w="1170" w:type="dxa"/>
            <w:shd w:val="clear" w:color="auto" w:fill="auto"/>
            <w:noWrap/>
            <w:vAlign w:val="bottom"/>
          </w:tcPr>
          <w:p w14:paraId="62D57DF5" w14:textId="6F317917" w:rsidR="00F443A1" w:rsidRPr="00141EB8" w:rsidRDefault="0003735F" w:rsidP="00F443A1">
            <w:pPr>
              <w:jc w:val="right"/>
              <w:rPr>
                <w:sz w:val="18"/>
                <w:szCs w:val="18"/>
              </w:rPr>
            </w:pPr>
            <w:r>
              <w:rPr>
                <w:sz w:val="18"/>
                <w:szCs w:val="18"/>
              </w:rPr>
              <w:t>39,850.98</w:t>
            </w:r>
          </w:p>
        </w:tc>
        <w:tc>
          <w:tcPr>
            <w:tcW w:w="1170" w:type="dxa"/>
            <w:shd w:val="clear" w:color="auto" w:fill="auto"/>
            <w:noWrap/>
            <w:vAlign w:val="bottom"/>
          </w:tcPr>
          <w:p w14:paraId="334E13C5" w14:textId="51F591E2" w:rsidR="00F443A1" w:rsidRPr="00141EB8" w:rsidRDefault="00F443A1" w:rsidP="00F443A1">
            <w:pPr>
              <w:jc w:val="right"/>
              <w:rPr>
                <w:sz w:val="18"/>
                <w:szCs w:val="18"/>
              </w:rPr>
            </w:pPr>
            <w:r>
              <w:rPr>
                <w:sz w:val="18"/>
                <w:szCs w:val="18"/>
              </w:rPr>
              <w:t xml:space="preserve">1,081.74 </w:t>
            </w:r>
          </w:p>
        </w:tc>
        <w:tc>
          <w:tcPr>
            <w:tcW w:w="1170" w:type="dxa"/>
            <w:shd w:val="clear" w:color="auto" w:fill="auto"/>
            <w:noWrap/>
            <w:vAlign w:val="bottom"/>
          </w:tcPr>
          <w:p w14:paraId="55593865" w14:textId="3F6E8061" w:rsidR="00F443A1" w:rsidRPr="00141EB8" w:rsidRDefault="00F443A1" w:rsidP="00F443A1">
            <w:pPr>
              <w:jc w:val="right"/>
              <w:rPr>
                <w:sz w:val="18"/>
                <w:szCs w:val="18"/>
              </w:rPr>
            </w:pPr>
            <w:r>
              <w:rPr>
                <w:sz w:val="18"/>
                <w:szCs w:val="18"/>
              </w:rPr>
              <w:t>1,081.74</w:t>
            </w:r>
          </w:p>
        </w:tc>
        <w:tc>
          <w:tcPr>
            <w:tcW w:w="723" w:type="dxa"/>
            <w:tcBorders>
              <w:right w:val="double" w:sz="4" w:space="0" w:color="auto"/>
            </w:tcBorders>
            <w:shd w:val="clear" w:color="auto" w:fill="auto"/>
            <w:noWrap/>
            <w:vAlign w:val="bottom"/>
          </w:tcPr>
          <w:p w14:paraId="5AD54DA3" w14:textId="27888B73" w:rsidR="00F443A1" w:rsidRPr="00141EB8" w:rsidRDefault="00F443A1" w:rsidP="00F443A1">
            <w:pPr>
              <w:jc w:val="right"/>
              <w:rPr>
                <w:sz w:val="18"/>
                <w:szCs w:val="18"/>
              </w:rPr>
            </w:pPr>
            <w:r>
              <w:rPr>
                <w:sz w:val="18"/>
                <w:szCs w:val="18"/>
              </w:rPr>
              <w:t>2.71</w:t>
            </w:r>
          </w:p>
        </w:tc>
      </w:tr>
      <w:tr w:rsidR="00F443A1" w:rsidRPr="005A497D" w14:paraId="1F53DF59" w14:textId="77777777" w:rsidTr="009E55FB">
        <w:trPr>
          <w:trHeight w:val="288"/>
          <w:jc w:val="center"/>
        </w:trPr>
        <w:tc>
          <w:tcPr>
            <w:tcW w:w="2614" w:type="dxa"/>
            <w:tcBorders>
              <w:left w:val="double" w:sz="4" w:space="0" w:color="auto"/>
            </w:tcBorders>
            <w:shd w:val="clear" w:color="auto" w:fill="auto"/>
            <w:noWrap/>
            <w:vAlign w:val="center"/>
            <w:hideMark/>
          </w:tcPr>
          <w:p w14:paraId="3EE645B7" w14:textId="77777777" w:rsidR="00F443A1" w:rsidRPr="00141EB8" w:rsidRDefault="00F443A1" w:rsidP="00F443A1">
            <w:pPr>
              <w:rPr>
                <w:sz w:val="18"/>
                <w:szCs w:val="18"/>
              </w:rPr>
            </w:pPr>
            <w:r>
              <w:rPr>
                <w:sz w:val="18"/>
                <w:szCs w:val="18"/>
              </w:rPr>
              <w:t>DoA</w:t>
            </w:r>
          </w:p>
        </w:tc>
        <w:tc>
          <w:tcPr>
            <w:tcW w:w="1350" w:type="dxa"/>
            <w:shd w:val="clear" w:color="auto" w:fill="auto"/>
            <w:noWrap/>
            <w:vAlign w:val="bottom"/>
          </w:tcPr>
          <w:p w14:paraId="230D4F9B" w14:textId="77777777" w:rsidR="00F443A1" w:rsidRPr="00141EB8" w:rsidRDefault="00F443A1" w:rsidP="00F443A1">
            <w:pPr>
              <w:jc w:val="right"/>
              <w:rPr>
                <w:color w:val="000000"/>
                <w:sz w:val="18"/>
                <w:szCs w:val="18"/>
              </w:rPr>
            </w:pPr>
            <w:r>
              <w:rPr>
                <w:sz w:val="18"/>
                <w:szCs w:val="18"/>
              </w:rPr>
              <w:t xml:space="preserve">            76,267.18 </w:t>
            </w:r>
          </w:p>
        </w:tc>
        <w:tc>
          <w:tcPr>
            <w:tcW w:w="1170" w:type="dxa"/>
            <w:shd w:val="clear" w:color="auto" w:fill="auto"/>
            <w:noWrap/>
            <w:vAlign w:val="bottom"/>
          </w:tcPr>
          <w:p w14:paraId="50B3A3C8" w14:textId="77777777" w:rsidR="00F443A1" w:rsidRPr="00141EB8" w:rsidRDefault="00F443A1" w:rsidP="00F443A1">
            <w:pPr>
              <w:jc w:val="right"/>
              <w:rPr>
                <w:color w:val="000000"/>
                <w:sz w:val="18"/>
                <w:szCs w:val="18"/>
              </w:rPr>
            </w:pPr>
            <w:r>
              <w:rPr>
                <w:sz w:val="18"/>
                <w:szCs w:val="18"/>
              </w:rPr>
              <w:t xml:space="preserve">           66,612.98 </w:t>
            </w:r>
          </w:p>
        </w:tc>
        <w:tc>
          <w:tcPr>
            <w:tcW w:w="1170" w:type="dxa"/>
            <w:shd w:val="clear" w:color="auto" w:fill="auto"/>
            <w:noWrap/>
            <w:vAlign w:val="bottom"/>
          </w:tcPr>
          <w:p w14:paraId="169F0B85" w14:textId="22142410" w:rsidR="00F443A1" w:rsidRPr="00141EB8" w:rsidRDefault="00F443A1" w:rsidP="00F443A1">
            <w:pPr>
              <w:jc w:val="right"/>
              <w:rPr>
                <w:sz w:val="18"/>
                <w:szCs w:val="18"/>
              </w:rPr>
            </w:pPr>
            <w:r>
              <w:rPr>
                <w:sz w:val="18"/>
                <w:szCs w:val="18"/>
              </w:rPr>
              <w:t>62,725.06</w:t>
            </w:r>
          </w:p>
        </w:tc>
        <w:tc>
          <w:tcPr>
            <w:tcW w:w="1170" w:type="dxa"/>
            <w:shd w:val="clear" w:color="auto" w:fill="auto"/>
            <w:noWrap/>
            <w:vAlign w:val="bottom"/>
          </w:tcPr>
          <w:p w14:paraId="6E89BB50" w14:textId="2B29C77D" w:rsidR="00F443A1" w:rsidRPr="00141EB8" w:rsidRDefault="00F443A1" w:rsidP="00F443A1">
            <w:pPr>
              <w:jc w:val="right"/>
              <w:rPr>
                <w:sz w:val="18"/>
                <w:szCs w:val="18"/>
              </w:rPr>
            </w:pPr>
            <w:r>
              <w:rPr>
                <w:sz w:val="18"/>
                <w:szCs w:val="18"/>
              </w:rPr>
              <w:t xml:space="preserve">3,887.92 </w:t>
            </w:r>
          </w:p>
        </w:tc>
        <w:tc>
          <w:tcPr>
            <w:tcW w:w="1170" w:type="dxa"/>
            <w:shd w:val="clear" w:color="auto" w:fill="auto"/>
            <w:noWrap/>
            <w:vAlign w:val="bottom"/>
          </w:tcPr>
          <w:p w14:paraId="34E3EFA3" w14:textId="57F3251D" w:rsidR="00F443A1" w:rsidRPr="00141EB8" w:rsidRDefault="00F443A1" w:rsidP="00F443A1">
            <w:pPr>
              <w:jc w:val="right"/>
              <w:rPr>
                <w:sz w:val="18"/>
                <w:szCs w:val="18"/>
              </w:rPr>
            </w:pPr>
            <w:r>
              <w:rPr>
                <w:sz w:val="18"/>
                <w:szCs w:val="18"/>
              </w:rPr>
              <w:t>3,887.92</w:t>
            </w:r>
          </w:p>
        </w:tc>
        <w:tc>
          <w:tcPr>
            <w:tcW w:w="723" w:type="dxa"/>
            <w:tcBorders>
              <w:right w:val="double" w:sz="4" w:space="0" w:color="auto"/>
            </w:tcBorders>
            <w:shd w:val="clear" w:color="auto" w:fill="auto"/>
            <w:noWrap/>
            <w:vAlign w:val="bottom"/>
          </w:tcPr>
          <w:p w14:paraId="276D188F" w14:textId="7843D73E" w:rsidR="00F443A1" w:rsidRPr="00141EB8" w:rsidRDefault="00F443A1" w:rsidP="00F443A1">
            <w:pPr>
              <w:jc w:val="right"/>
              <w:rPr>
                <w:sz w:val="18"/>
                <w:szCs w:val="18"/>
              </w:rPr>
            </w:pPr>
            <w:r>
              <w:rPr>
                <w:sz w:val="18"/>
                <w:szCs w:val="18"/>
              </w:rPr>
              <w:t>6.20</w:t>
            </w:r>
          </w:p>
        </w:tc>
      </w:tr>
      <w:tr w:rsidR="00F443A1" w:rsidRPr="005A497D" w14:paraId="2FCA6401" w14:textId="77777777" w:rsidTr="009E55FB">
        <w:trPr>
          <w:trHeight w:val="288"/>
          <w:jc w:val="center"/>
        </w:trPr>
        <w:tc>
          <w:tcPr>
            <w:tcW w:w="2614" w:type="dxa"/>
            <w:tcBorders>
              <w:left w:val="double" w:sz="4" w:space="0" w:color="auto"/>
            </w:tcBorders>
            <w:shd w:val="clear" w:color="auto" w:fill="auto"/>
            <w:noWrap/>
            <w:vAlign w:val="center"/>
            <w:hideMark/>
          </w:tcPr>
          <w:p w14:paraId="6FAC120D" w14:textId="77777777" w:rsidR="00F443A1" w:rsidRPr="00141EB8" w:rsidRDefault="00F443A1" w:rsidP="00F443A1">
            <w:pPr>
              <w:rPr>
                <w:sz w:val="18"/>
                <w:szCs w:val="18"/>
              </w:rPr>
            </w:pPr>
            <w:r w:rsidRPr="00141EB8">
              <w:rPr>
                <w:sz w:val="18"/>
                <w:szCs w:val="18"/>
              </w:rPr>
              <w:t>DOTC</w:t>
            </w:r>
          </w:p>
        </w:tc>
        <w:tc>
          <w:tcPr>
            <w:tcW w:w="1350" w:type="dxa"/>
            <w:shd w:val="clear" w:color="auto" w:fill="auto"/>
            <w:noWrap/>
            <w:vAlign w:val="bottom"/>
          </w:tcPr>
          <w:p w14:paraId="373D69D2" w14:textId="77777777" w:rsidR="00F443A1" w:rsidRPr="00141EB8" w:rsidRDefault="00F443A1" w:rsidP="00F443A1">
            <w:pPr>
              <w:jc w:val="right"/>
              <w:rPr>
                <w:color w:val="000000"/>
                <w:sz w:val="18"/>
                <w:szCs w:val="18"/>
              </w:rPr>
            </w:pPr>
            <w:r>
              <w:rPr>
                <w:sz w:val="18"/>
                <w:szCs w:val="18"/>
              </w:rPr>
              <w:t xml:space="preserve">            39,717.71 </w:t>
            </w:r>
          </w:p>
        </w:tc>
        <w:tc>
          <w:tcPr>
            <w:tcW w:w="1170" w:type="dxa"/>
            <w:shd w:val="clear" w:color="auto" w:fill="auto"/>
            <w:noWrap/>
            <w:vAlign w:val="bottom"/>
          </w:tcPr>
          <w:p w14:paraId="4A1162BF" w14:textId="77777777" w:rsidR="00F443A1" w:rsidRPr="00141EB8" w:rsidRDefault="00F443A1" w:rsidP="00F443A1">
            <w:pPr>
              <w:jc w:val="right"/>
              <w:rPr>
                <w:color w:val="000000"/>
                <w:sz w:val="18"/>
                <w:szCs w:val="18"/>
              </w:rPr>
            </w:pPr>
            <w:r>
              <w:rPr>
                <w:sz w:val="18"/>
                <w:szCs w:val="18"/>
              </w:rPr>
              <w:t xml:space="preserve">           28,300.78 </w:t>
            </w:r>
          </w:p>
        </w:tc>
        <w:tc>
          <w:tcPr>
            <w:tcW w:w="1170" w:type="dxa"/>
            <w:shd w:val="clear" w:color="auto" w:fill="auto"/>
            <w:noWrap/>
            <w:vAlign w:val="bottom"/>
          </w:tcPr>
          <w:p w14:paraId="180621D7" w14:textId="416396A7" w:rsidR="00F443A1" w:rsidRPr="00141EB8" w:rsidRDefault="00F443A1" w:rsidP="00F443A1">
            <w:pPr>
              <w:jc w:val="right"/>
              <w:rPr>
                <w:sz w:val="18"/>
                <w:szCs w:val="18"/>
              </w:rPr>
            </w:pPr>
            <w:r>
              <w:rPr>
                <w:sz w:val="18"/>
                <w:szCs w:val="18"/>
              </w:rPr>
              <w:t>32,665.37</w:t>
            </w:r>
          </w:p>
        </w:tc>
        <w:tc>
          <w:tcPr>
            <w:tcW w:w="1170" w:type="dxa"/>
            <w:shd w:val="clear" w:color="auto" w:fill="auto"/>
            <w:noWrap/>
            <w:vAlign w:val="bottom"/>
          </w:tcPr>
          <w:p w14:paraId="3E4CF086" w14:textId="5B6B286C" w:rsidR="00F443A1" w:rsidRPr="00141EB8" w:rsidRDefault="00F443A1" w:rsidP="00F443A1">
            <w:pPr>
              <w:jc w:val="right"/>
              <w:rPr>
                <w:sz w:val="18"/>
                <w:szCs w:val="18"/>
              </w:rPr>
            </w:pPr>
            <w:r>
              <w:rPr>
                <w:sz w:val="18"/>
                <w:szCs w:val="18"/>
              </w:rPr>
              <w:t>(4,364.59)</w:t>
            </w:r>
          </w:p>
        </w:tc>
        <w:tc>
          <w:tcPr>
            <w:tcW w:w="1170" w:type="dxa"/>
            <w:shd w:val="clear" w:color="auto" w:fill="auto"/>
            <w:noWrap/>
            <w:vAlign w:val="bottom"/>
          </w:tcPr>
          <w:p w14:paraId="28B42018" w14:textId="0034B0B9" w:rsidR="00F443A1" w:rsidRPr="00141EB8" w:rsidRDefault="00F443A1" w:rsidP="00F443A1">
            <w:pPr>
              <w:jc w:val="right"/>
              <w:rPr>
                <w:sz w:val="18"/>
                <w:szCs w:val="18"/>
              </w:rPr>
            </w:pPr>
            <w:r>
              <w:rPr>
                <w:sz w:val="18"/>
                <w:szCs w:val="18"/>
              </w:rPr>
              <w:t>4,364.59</w:t>
            </w:r>
          </w:p>
        </w:tc>
        <w:tc>
          <w:tcPr>
            <w:tcW w:w="723" w:type="dxa"/>
            <w:tcBorders>
              <w:right w:val="double" w:sz="4" w:space="0" w:color="auto"/>
            </w:tcBorders>
            <w:shd w:val="clear" w:color="auto" w:fill="auto"/>
            <w:noWrap/>
            <w:vAlign w:val="bottom"/>
          </w:tcPr>
          <w:p w14:paraId="21400346" w14:textId="5DA55BFC" w:rsidR="00F443A1" w:rsidRPr="00141EB8" w:rsidRDefault="00F443A1" w:rsidP="00F443A1">
            <w:pPr>
              <w:jc w:val="right"/>
              <w:rPr>
                <w:sz w:val="18"/>
                <w:szCs w:val="18"/>
              </w:rPr>
            </w:pPr>
            <w:r>
              <w:rPr>
                <w:sz w:val="18"/>
                <w:szCs w:val="18"/>
              </w:rPr>
              <w:t>13.36</w:t>
            </w:r>
          </w:p>
        </w:tc>
      </w:tr>
      <w:tr w:rsidR="00F443A1" w:rsidRPr="005A497D" w14:paraId="638CAD56" w14:textId="77777777" w:rsidTr="009E55FB">
        <w:trPr>
          <w:trHeight w:val="288"/>
          <w:jc w:val="center"/>
        </w:trPr>
        <w:tc>
          <w:tcPr>
            <w:tcW w:w="2614" w:type="dxa"/>
            <w:tcBorders>
              <w:left w:val="double" w:sz="4" w:space="0" w:color="auto"/>
            </w:tcBorders>
            <w:shd w:val="clear" w:color="auto" w:fill="auto"/>
            <w:noWrap/>
            <w:vAlign w:val="center"/>
            <w:hideMark/>
          </w:tcPr>
          <w:p w14:paraId="026B5076" w14:textId="77777777" w:rsidR="00F443A1" w:rsidRPr="00141EB8" w:rsidRDefault="00F443A1" w:rsidP="00F443A1">
            <w:pPr>
              <w:rPr>
                <w:sz w:val="18"/>
                <w:szCs w:val="18"/>
              </w:rPr>
            </w:pPr>
            <w:r>
              <w:rPr>
                <w:sz w:val="18"/>
                <w:szCs w:val="18"/>
              </w:rPr>
              <w:t>State universities and colleges</w:t>
            </w:r>
          </w:p>
        </w:tc>
        <w:tc>
          <w:tcPr>
            <w:tcW w:w="1350" w:type="dxa"/>
            <w:shd w:val="clear" w:color="auto" w:fill="auto"/>
            <w:noWrap/>
            <w:vAlign w:val="bottom"/>
          </w:tcPr>
          <w:p w14:paraId="69FA6707" w14:textId="77777777" w:rsidR="00F443A1" w:rsidRPr="00141EB8" w:rsidRDefault="00F443A1" w:rsidP="00F443A1">
            <w:pPr>
              <w:jc w:val="right"/>
              <w:rPr>
                <w:color w:val="000000"/>
                <w:sz w:val="18"/>
                <w:szCs w:val="18"/>
              </w:rPr>
            </w:pPr>
            <w:r>
              <w:rPr>
                <w:sz w:val="18"/>
                <w:szCs w:val="18"/>
              </w:rPr>
              <w:t xml:space="preserve">            37,739.96 </w:t>
            </w:r>
          </w:p>
        </w:tc>
        <w:tc>
          <w:tcPr>
            <w:tcW w:w="1170" w:type="dxa"/>
            <w:shd w:val="clear" w:color="auto" w:fill="auto"/>
            <w:noWrap/>
            <w:vAlign w:val="bottom"/>
          </w:tcPr>
          <w:p w14:paraId="464F5F2C" w14:textId="77777777" w:rsidR="00F443A1" w:rsidRPr="00141EB8" w:rsidRDefault="00F443A1" w:rsidP="00F443A1">
            <w:pPr>
              <w:jc w:val="right"/>
              <w:rPr>
                <w:color w:val="000000"/>
                <w:sz w:val="18"/>
                <w:szCs w:val="18"/>
              </w:rPr>
            </w:pPr>
            <w:r>
              <w:rPr>
                <w:sz w:val="18"/>
                <w:szCs w:val="18"/>
              </w:rPr>
              <w:t xml:space="preserve">           36,707.28 </w:t>
            </w:r>
          </w:p>
        </w:tc>
        <w:tc>
          <w:tcPr>
            <w:tcW w:w="1170" w:type="dxa"/>
            <w:shd w:val="clear" w:color="auto" w:fill="auto"/>
            <w:noWrap/>
            <w:vAlign w:val="bottom"/>
          </w:tcPr>
          <w:p w14:paraId="6E02ED7A" w14:textId="0D1B7A54" w:rsidR="00F443A1" w:rsidRPr="00141EB8" w:rsidRDefault="00F443A1" w:rsidP="00F443A1">
            <w:pPr>
              <w:jc w:val="right"/>
              <w:rPr>
                <w:sz w:val="18"/>
                <w:szCs w:val="18"/>
              </w:rPr>
            </w:pPr>
            <w:r>
              <w:rPr>
                <w:sz w:val="18"/>
                <w:szCs w:val="18"/>
              </w:rPr>
              <w:t>31,038.79</w:t>
            </w:r>
          </w:p>
        </w:tc>
        <w:tc>
          <w:tcPr>
            <w:tcW w:w="1170" w:type="dxa"/>
            <w:shd w:val="clear" w:color="auto" w:fill="auto"/>
            <w:noWrap/>
            <w:vAlign w:val="bottom"/>
          </w:tcPr>
          <w:p w14:paraId="015D6101" w14:textId="50F3AD61" w:rsidR="00F443A1" w:rsidRPr="00141EB8" w:rsidRDefault="00F443A1" w:rsidP="00F443A1">
            <w:pPr>
              <w:jc w:val="right"/>
              <w:rPr>
                <w:sz w:val="18"/>
                <w:szCs w:val="18"/>
              </w:rPr>
            </w:pPr>
            <w:r>
              <w:rPr>
                <w:sz w:val="18"/>
                <w:szCs w:val="18"/>
              </w:rPr>
              <w:t xml:space="preserve">5,668.49 </w:t>
            </w:r>
          </w:p>
        </w:tc>
        <w:tc>
          <w:tcPr>
            <w:tcW w:w="1170" w:type="dxa"/>
            <w:shd w:val="clear" w:color="auto" w:fill="auto"/>
            <w:noWrap/>
            <w:vAlign w:val="bottom"/>
          </w:tcPr>
          <w:p w14:paraId="765F0441" w14:textId="1055BF32" w:rsidR="00F443A1" w:rsidRPr="00141EB8" w:rsidRDefault="00F443A1" w:rsidP="00F443A1">
            <w:pPr>
              <w:jc w:val="right"/>
              <w:rPr>
                <w:sz w:val="18"/>
                <w:szCs w:val="18"/>
              </w:rPr>
            </w:pPr>
            <w:r>
              <w:rPr>
                <w:sz w:val="18"/>
                <w:szCs w:val="18"/>
              </w:rPr>
              <w:t>5,668.49</w:t>
            </w:r>
          </w:p>
        </w:tc>
        <w:tc>
          <w:tcPr>
            <w:tcW w:w="723" w:type="dxa"/>
            <w:tcBorders>
              <w:right w:val="double" w:sz="4" w:space="0" w:color="auto"/>
            </w:tcBorders>
            <w:shd w:val="clear" w:color="auto" w:fill="auto"/>
            <w:noWrap/>
            <w:vAlign w:val="bottom"/>
          </w:tcPr>
          <w:p w14:paraId="363327DA" w14:textId="2BC6B322" w:rsidR="00F443A1" w:rsidRPr="00141EB8" w:rsidRDefault="00F443A1" w:rsidP="00F443A1">
            <w:pPr>
              <w:jc w:val="right"/>
              <w:rPr>
                <w:sz w:val="18"/>
                <w:szCs w:val="18"/>
              </w:rPr>
            </w:pPr>
            <w:r>
              <w:rPr>
                <w:sz w:val="18"/>
                <w:szCs w:val="18"/>
              </w:rPr>
              <w:t>18.26</w:t>
            </w:r>
          </w:p>
        </w:tc>
      </w:tr>
      <w:tr w:rsidR="00F443A1" w:rsidRPr="005A497D" w14:paraId="77AA9524" w14:textId="77777777" w:rsidTr="009E55FB">
        <w:trPr>
          <w:trHeight w:val="288"/>
          <w:jc w:val="center"/>
        </w:trPr>
        <w:tc>
          <w:tcPr>
            <w:tcW w:w="2614" w:type="dxa"/>
            <w:tcBorders>
              <w:left w:val="double" w:sz="4" w:space="0" w:color="auto"/>
            </w:tcBorders>
            <w:shd w:val="clear" w:color="auto" w:fill="auto"/>
            <w:noWrap/>
            <w:vAlign w:val="center"/>
            <w:hideMark/>
          </w:tcPr>
          <w:p w14:paraId="26E29F99" w14:textId="77777777" w:rsidR="00F443A1" w:rsidRPr="00141EB8" w:rsidRDefault="00F443A1" w:rsidP="00F443A1">
            <w:pPr>
              <w:rPr>
                <w:sz w:val="18"/>
                <w:szCs w:val="18"/>
              </w:rPr>
            </w:pPr>
            <w:r w:rsidRPr="00141EB8">
              <w:rPr>
                <w:sz w:val="18"/>
                <w:szCs w:val="18"/>
              </w:rPr>
              <w:t>DENR</w:t>
            </w:r>
          </w:p>
        </w:tc>
        <w:tc>
          <w:tcPr>
            <w:tcW w:w="1350" w:type="dxa"/>
            <w:shd w:val="clear" w:color="auto" w:fill="auto"/>
            <w:noWrap/>
            <w:vAlign w:val="bottom"/>
          </w:tcPr>
          <w:p w14:paraId="5F1184E0" w14:textId="77777777" w:rsidR="00F443A1" w:rsidRPr="00141EB8" w:rsidRDefault="00F443A1" w:rsidP="00F443A1">
            <w:pPr>
              <w:jc w:val="right"/>
              <w:rPr>
                <w:color w:val="000000"/>
                <w:sz w:val="18"/>
                <w:szCs w:val="18"/>
              </w:rPr>
            </w:pPr>
            <w:r>
              <w:rPr>
                <w:sz w:val="18"/>
                <w:szCs w:val="18"/>
              </w:rPr>
              <w:t xml:space="preserve">            28,939.75 </w:t>
            </w:r>
          </w:p>
        </w:tc>
        <w:tc>
          <w:tcPr>
            <w:tcW w:w="1170" w:type="dxa"/>
            <w:shd w:val="clear" w:color="auto" w:fill="auto"/>
            <w:noWrap/>
            <w:vAlign w:val="bottom"/>
          </w:tcPr>
          <w:p w14:paraId="3E236C7A" w14:textId="77777777" w:rsidR="00F443A1" w:rsidRPr="00141EB8" w:rsidRDefault="00F443A1" w:rsidP="00F443A1">
            <w:pPr>
              <w:jc w:val="right"/>
              <w:rPr>
                <w:color w:val="000000"/>
                <w:sz w:val="18"/>
                <w:szCs w:val="18"/>
              </w:rPr>
            </w:pPr>
            <w:r>
              <w:rPr>
                <w:sz w:val="18"/>
                <w:szCs w:val="18"/>
              </w:rPr>
              <w:t xml:space="preserve">           25,260.80 </w:t>
            </w:r>
          </w:p>
        </w:tc>
        <w:tc>
          <w:tcPr>
            <w:tcW w:w="1170" w:type="dxa"/>
            <w:shd w:val="clear" w:color="auto" w:fill="auto"/>
            <w:noWrap/>
            <w:vAlign w:val="bottom"/>
          </w:tcPr>
          <w:p w14:paraId="70055BC2" w14:textId="4F4D6000" w:rsidR="00F443A1" w:rsidRPr="00141EB8" w:rsidRDefault="00F443A1" w:rsidP="00F443A1">
            <w:pPr>
              <w:jc w:val="right"/>
              <w:rPr>
                <w:sz w:val="18"/>
                <w:szCs w:val="18"/>
              </w:rPr>
            </w:pPr>
            <w:r>
              <w:rPr>
                <w:sz w:val="18"/>
                <w:szCs w:val="18"/>
              </w:rPr>
              <w:t>23,801.16</w:t>
            </w:r>
          </w:p>
        </w:tc>
        <w:tc>
          <w:tcPr>
            <w:tcW w:w="1170" w:type="dxa"/>
            <w:shd w:val="clear" w:color="auto" w:fill="auto"/>
            <w:noWrap/>
            <w:vAlign w:val="bottom"/>
          </w:tcPr>
          <w:p w14:paraId="189E20B5" w14:textId="5D0FBA5D" w:rsidR="00F443A1" w:rsidRPr="00141EB8" w:rsidRDefault="00F443A1" w:rsidP="00F443A1">
            <w:pPr>
              <w:jc w:val="right"/>
              <w:rPr>
                <w:sz w:val="18"/>
                <w:szCs w:val="18"/>
              </w:rPr>
            </w:pPr>
            <w:r>
              <w:rPr>
                <w:sz w:val="18"/>
                <w:szCs w:val="18"/>
              </w:rPr>
              <w:t xml:space="preserve">1,459.64 </w:t>
            </w:r>
          </w:p>
        </w:tc>
        <w:tc>
          <w:tcPr>
            <w:tcW w:w="1170" w:type="dxa"/>
            <w:shd w:val="clear" w:color="auto" w:fill="auto"/>
            <w:noWrap/>
            <w:vAlign w:val="bottom"/>
          </w:tcPr>
          <w:p w14:paraId="055983B8" w14:textId="61413C38" w:rsidR="00F443A1" w:rsidRPr="00141EB8" w:rsidRDefault="00F443A1" w:rsidP="00F443A1">
            <w:pPr>
              <w:jc w:val="right"/>
              <w:rPr>
                <w:sz w:val="18"/>
                <w:szCs w:val="18"/>
              </w:rPr>
            </w:pPr>
            <w:r>
              <w:rPr>
                <w:sz w:val="18"/>
                <w:szCs w:val="18"/>
              </w:rPr>
              <w:t>1,459.64</w:t>
            </w:r>
          </w:p>
        </w:tc>
        <w:tc>
          <w:tcPr>
            <w:tcW w:w="723" w:type="dxa"/>
            <w:tcBorders>
              <w:right w:val="double" w:sz="4" w:space="0" w:color="auto"/>
            </w:tcBorders>
            <w:shd w:val="clear" w:color="auto" w:fill="auto"/>
            <w:noWrap/>
            <w:vAlign w:val="bottom"/>
          </w:tcPr>
          <w:p w14:paraId="561ED3A7" w14:textId="33B537C4" w:rsidR="00F443A1" w:rsidRPr="00141EB8" w:rsidRDefault="00F443A1" w:rsidP="00F443A1">
            <w:pPr>
              <w:jc w:val="right"/>
              <w:rPr>
                <w:sz w:val="18"/>
                <w:szCs w:val="18"/>
              </w:rPr>
            </w:pPr>
            <w:r>
              <w:rPr>
                <w:sz w:val="18"/>
                <w:szCs w:val="18"/>
              </w:rPr>
              <w:t>6.13</w:t>
            </w:r>
          </w:p>
        </w:tc>
      </w:tr>
      <w:tr w:rsidR="00F443A1" w:rsidRPr="005A497D" w14:paraId="3EDFEC42" w14:textId="77777777" w:rsidTr="009E55FB">
        <w:trPr>
          <w:trHeight w:val="288"/>
          <w:jc w:val="center"/>
        </w:trPr>
        <w:tc>
          <w:tcPr>
            <w:tcW w:w="2614" w:type="dxa"/>
            <w:tcBorders>
              <w:left w:val="double" w:sz="4" w:space="0" w:color="auto"/>
            </w:tcBorders>
            <w:shd w:val="clear" w:color="auto" w:fill="auto"/>
            <w:noWrap/>
            <w:vAlign w:val="center"/>
            <w:hideMark/>
          </w:tcPr>
          <w:p w14:paraId="6628805C" w14:textId="77777777" w:rsidR="00F443A1" w:rsidRPr="00141EB8" w:rsidRDefault="00F443A1" w:rsidP="00F443A1">
            <w:pPr>
              <w:rPr>
                <w:sz w:val="18"/>
                <w:szCs w:val="18"/>
              </w:rPr>
            </w:pPr>
            <w:r w:rsidRPr="00141EB8">
              <w:rPr>
                <w:sz w:val="18"/>
                <w:szCs w:val="18"/>
              </w:rPr>
              <w:t>COMELEC</w:t>
            </w:r>
          </w:p>
        </w:tc>
        <w:tc>
          <w:tcPr>
            <w:tcW w:w="1350" w:type="dxa"/>
            <w:shd w:val="clear" w:color="auto" w:fill="auto"/>
            <w:noWrap/>
            <w:vAlign w:val="bottom"/>
          </w:tcPr>
          <w:p w14:paraId="3AD1340C" w14:textId="77777777" w:rsidR="00F443A1" w:rsidRPr="00141EB8" w:rsidRDefault="00F443A1" w:rsidP="00F443A1">
            <w:pPr>
              <w:jc w:val="right"/>
              <w:rPr>
                <w:color w:val="000000"/>
                <w:sz w:val="18"/>
                <w:szCs w:val="18"/>
              </w:rPr>
            </w:pPr>
            <w:r>
              <w:rPr>
                <w:sz w:val="18"/>
                <w:szCs w:val="18"/>
              </w:rPr>
              <w:t xml:space="preserve">            18,850.13 </w:t>
            </w:r>
          </w:p>
        </w:tc>
        <w:tc>
          <w:tcPr>
            <w:tcW w:w="1170" w:type="dxa"/>
            <w:shd w:val="clear" w:color="auto" w:fill="auto"/>
            <w:noWrap/>
            <w:vAlign w:val="bottom"/>
          </w:tcPr>
          <w:p w14:paraId="06C6760C" w14:textId="77777777" w:rsidR="00F443A1" w:rsidRPr="00141EB8" w:rsidRDefault="00F443A1" w:rsidP="00F443A1">
            <w:pPr>
              <w:jc w:val="right"/>
              <w:rPr>
                <w:color w:val="000000"/>
                <w:sz w:val="18"/>
                <w:szCs w:val="18"/>
              </w:rPr>
            </w:pPr>
            <w:r>
              <w:rPr>
                <w:sz w:val="18"/>
                <w:szCs w:val="18"/>
              </w:rPr>
              <w:t xml:space="preserve">           15,243.55 </w:t>
            </w:r>
          </w:p>
        </w:tc>
        <w:tc>
          <w:tcPr>
            <w:tcW w:w="1170" w:type="dxa"/>
            <w:shd w:val="clear" w:color="auto" w:fill="auto"/>
            <w:noWrap/>
            <w:vAlign w:val="bottom"/>
          </w:tcPr>
          <w:p w14:paraId="06AB5AFE" w14:textId="2F3E6829" w:rsidR="00F443A1" w:rsidRPr="00141EB8" w:rsidRDefault="00F443A1" w:rsidP="00F443A1">
            <w:pPr>
              <w:jc w:val="right"/>
              <w:rPr>
                <w:sz w:val="18"/>
                <w:szCs w:val="18"/>
              </w:rPr>
            </w:pPr>
            <w:r>
              <w:rPr>
                <w:sz w:val="18"/>
                <w:szCs w:val="18"/>
              </w:rPr>
              <w:t>15,503.07</w:t>
            </w:r>
          </w:p>
        </w:tc>
        <w:tc>
          <w:tcPr>
            <w:tcW w:w="1170" w:type="dxa"/>
            <w:shd w:val="clear" w:color="auto" w:fill="auto"/>
            <w:noWrap/>
            <w:vAlign w:val="bottom"/>
          </w:tcPr>
          <w:p w14:paraId="76CE7153" w14:textId="0382A361" w:rsidR="00F443A1" w:rsidRPr="00141EB8" w:rsidRDefault="00F443A1" w:rsidP="00F443A1">
            <w:pPr>
              <w:jc w:val="right"/>
              <w:rPr>
                <w:sz w:val="18"/>
                <w:szCs w:val="18"/>
              </w:rPr>
            </w:pPr>
            <w:r>
              <w:rPr>
                <w:sz w:val="18"/>
                <w:szCs w:val="18"/>
              </w:rPr>
              <w:t>(259.52)</w:t>
            </w:r>
          </w:p>
        </w:tc>
        <w:tc>
          <w:tcPr>
            <w:tcW w:w="1170" w:type="dxa"/>
            <w:shd w:val="clear" w:color="auto" w:fill="auto"/>
            <w:noWrap/>
            <w:vAlign w:val="bottom"/>
          </w:tcPr>
          <w:p w14:paraId="68DE800D" w14:textId="52594892" w:rsidR="00F443A1" w:rsidRPr="00141EB8" w:rsidRDefault="00F443A1" w:rsidP="00F443A1">
            <w:pPr>
              <w:jc w:val="right"/>
              <w:rPr>
                <w:sz w:val="18"/>
                <w:szCs w:val="18"/>
              </w:rPr>
            </w:pPr>
            <w:r>
              <w:rPr>
                <w:sz w:val="18"/>
                <w:szCs w:val="18"/>
              </w:rPr>
              <w:t>259.52</w:t>
            </w:r>
          </w:p>
        </w:tc>
        <w:tc>
          <w:tcPr>
            <w:tcW w:w="723" w:type="dxa"/>
            <w:tcBorders>
              <w:right w:val="double" w:sz="4" w:space="0" w:color="auto"/>
            </w:tcBorders>
            <w:shd w:val="clear" w:color="auto" w:fill="auto"/>
            <w:noWrap/>
            <w:vAlign w:val="bottom"/>
          </w:tcPr>
          <w:p w14:paraId="3AE35926" w14:textId="274EA33C" w:rsidR="00F443A1" w:rsidRPr="00141EB8" w:rsidRDefault="00F443A1" w:rsidP="00F443A1">
            <w:pPr>
              <w:jc w:val="right"/>
              <w:rPr>
                <w:sz w:val="18"/>
                <w:szCs w:val="18"/>
              </w:rPr>
            </w:pPr>
            <w:r>
              <w:rPr>
                <w:sz w:val="18"/>
                <w:szCs w:val="18"/>
              </w:rPr>
              <w:t>1.67</w:t>
            </w:r>
          </w:p>
        </w:tc>
      </w:tr>
      <w:tr w:rsidR="00F443A1" w:rsidRPr="005A497D" w14:paraId="2144D0C0" w14:textId="77777777" w:rsidTr="009E55FB">
        <w:trPr>
          <w:trHeight w:val="288"/>
          <w:jc w:val="center"/>
        </w:trPr>
        <w:tc>
          <w:tcPr>
            <w:tcW w:w="2614" w:type="dxa"/>
            <w:tcBorders>
              <w:left w:val="double" w:sz="4" w:space="0" w:color="auto"/>
            </w:tcBorders>
            <w:shd w:val="clear" w:color="auto" w:fill="auto"/>
            <w:noWrap/>
            <w:vAlign w:val="center"/>
            <w:hideMark/>
          </w:tcPr>
          <w:p w14:paraId="2F777792" w14:textId="77777777" w:rsidR="00F443A1" w:rsidRPr="00141EB8" w:rsidRDefault="00F443A1" w:rsidP="00F443A1">
            <w:pPr>
              <w:rPr>
                <w:sz w:val="18"/>
                <w:szCs w:val="18"/>
              </w:rPr>
            </w:pPr>
            <w:r w:rsidRPr="00141EB8">
              <w:rPr>
                <w:sz w:val="18"/>
                <w:szCs w:val="18"/>
              </w:rPr>
              <w:t>Judiciary</w:t>
            </w:r>
          </w:p>
        </w:tc>
        <w:tc>
          <w:tcPr>
            <w:tcW w:w="1350" w:type="dxa"/>
            <w:shd w:val="clear" w:color="auto" w:fill="auto"/>
            <w:noWrap/>
            <w:vAlign w:val="bottom"/>
          </w:tcPr>
          <w:p w14:paraId="1532DC7B" w14:textId="77777777" w:rsidR="00F443A1" w:rsidRPr="00141EB8" w:rsidRDefault="00F443A1" w:rsidP="00F443A1">
            <w:pPr>
              <w:jc w:val="right"/>
              <w:rPr>
                <w:color w:val="000000"/>
                <w:sz w:val="18"/>
                <w:szCs w:val="18"/>
              </w:rPr>
            </w:pPr>
            <w:r>
              <w:rPr>
                <w:sz w:val="18"/>
                <w:szCs w:val="18"/>
              </w:rPr>
              <w:t xml:space="preserve">            20,173.26 </w:t>
            </w:r>
          </w:p>
        </w:tc>
        <w:tc>
          <w:tcPr>
            <w:tcW w:w="1170" w:type="dxa"/>
            <w:shd w:val="clear" w:color="auto" w:fill="auto"/>
            <w:noWrap/>
            <w:vAlign w:val="bottom"/>
          </w:tcPr>
          <w:p w14:paraId="5B411640" w14:textId="77777777" w:rsidR="00F443A1" w:rsidRPr="00141EB8" w:rsidRDefault="00F443A1" w:rsidP="00F443A1">
            <w:pPr>
              <w:jc w:val="right"/>
              <w:rPr>
                <w:color w:val="000000"/>
                <w:sz w:val="18"/>
                <w:szCs w:val="18"/>
              </w:rPr>
            </w:pPr>
            <w:r>
              <w:rPr>
                <w:sz w:val="18"/>
                <w:szCs w:val="18"/>
              </w:rPr>
              <w:t xml:space="preserve">           18,876.72 </w:t>
            </w:r>
          </w:p>
        </w:tc>
        <w:tc>
          <w:tcPr>
            <w:tcW w:w="1170" w:type="dxa"/>
            <w:shd w:val="clear" w:color="auto" w:fill="auto"/>
            <w:noWrap/>
            <w:vAlign w:val="bottom"/>
          </w:tcPr>
          <w:p w14:paraId="6AFF7E99" w14:textId="5D053BBF" w:rsidR="00F443A1" w:rsidRPr="00141EB8" w:rsidRDefault="00F443A1" w:rsidP="00F443A1">
            <w:pPr>
              <w:jc w:val="right"/>
              <w:rPr>
                <w:sz w:val="18"/>
                <w:szCs w:val="18"/>
              </w:rPr>
            </w:pPr>
            <w:r>
              <w:rPr>
                <w:sz w:val="18"/>
                <w:szCs w:val="18"/>
              </w:rPr>
              <w:t>16,591.26</w:t>
            </w:r>
          </w:p>
        </w:tc>
        <w:tc>
          <w:tcPr>
            <w:tcW w:w="1170" w:type="dxa"/>
            <w:shd w:val="clear" w:color="auto" w:fill="auto"/>
            <w:noWrap/>
            <w:vAlign w:val="bottom"/>
          </w:tcPr>
          <w:p w14:paraId="66A89C41" w14:textId="0BA16C6D" w:rsidR="00F443A1" w:rsidRPr="00141EB8" w:rsidRDefault="00F443A1" w:rsidP="00F443A1">
            <w:pPr>
              <w:jc w:val="right"/>
              <w:rPr>
                <w:sz w:val="18"/>
                <w:szCs w:val="18"/>
              </w:rPr>
            </w:pPr>
            <w:r>
              <w:rPr>
                <w:sz w:val="18"/>
                <w:szCs w:val="18"/>
              </w:rPr>
              <w:t xml:space="preserve">2,285.46 </w:t>
            </w:r>
          </w:p>
        </w:tc>
        <w:tc>
          <w:tcPr>
            <w:tcW w:w="1170" w:type="dxa"/>
            <w:shd w:val="clear" w:color="auto" w:fill="auto"/>
            <w:noWrap/>
            <w:vAlign w:val="bottom"/>
          </w:tcPr>
          <w:p w14:paraId="6D7F605F" w14:textId="28A20219" w:rsidR="00F443A1" w:rsidRPr="00141EB8" w:rsidRDefault="00F443A1" w:rsidP="00F443A1">
            <w:pPr>
              <w:jc w:val="right"/>
              <w:rPr>
                <w:sz w:val="18"/>
                <w:szCs w:val="18"/>
              </w:rPr>
            </w:pPr>
            <w:r>
              <w:rPr>
                <w:sz w:val="18"/>
                <w:szCs w:val="18"/>
              </w:rPr>
              <w:t>2,285.46</w:t>
            </w:r>
          </w:p>
        </w:tc>
        <w:tc>
          <w:tcPr>
            <w:tcW w:w="723" w:type="dxa"/>
            <w:tcBorders>
              <w:right w:val="double" w:sz="4" w:space="0" w:color="auto"/>
            </w:tcBorders>
            <w:shd w:val="clear" w:color="auto" w:fill="auto"/>
            <w:noWrap/>
            <w:vAlign w:val="bottom"/>
          </w:tcPr>
          <w:p w14:paraId="4AA118E4" w14:textId="0ED9026D" w:rsidR="00F443A1" w:rsidRPr="00141EB8" w:rsidRDefault="00F443A1" w:rsidP="00F443A1">
            <w:pPr>
              <w:jc w:val="right"/>
              <w:rPr>
                <w:sz w:val="18"/>
                <w:szCs w:val="18"/>
              </w:rPr>
            </w:pPr>
            <w:r>
              <w:rPr>
                <w:sz w:val="18"/>
                <w:szCs w:val="18"/>
              </w:rPr>
              <w:t>13.78</w:t>
            </w:r>
          </w:p>
        </w:tc>
      </w:tr>
      <w:tr w:rsidR="00F443A1" w:rsidRPr="005A497D" w14:paraId="272945CA" w14:textId="77777777" w:rsidTr="009E55FB">
        <w:trPr>
          <w:trHeight w:val="288"/>
          <w:jc w:val="center"/>
        </w:trPr>
        <w:tc>
          <w:tcPr>
            <w:tcW w:w="2614" w:type="dxa"/>
            <w:tcBorders>
              <w:left w:val="double" w:sz="4" w:space="0" w:color="auto"/>
            </w:tcBorders>
            <w:shd w:val="clear" w:color="auto" w:fill="auto"/>
            <w:noWrap/>
            <w:vAlign w:val="center"/>
            <w:hideMark/>
          </w:tcPr>
          <w:p w14:paraId="68091B22" w14:textId="77777777" w:rsidR="00F443A1" w:rsidRPr="00141EB8" w:rsidRDefault="00F443A1" w:rsidP="00F443A1">
            <w:pPr>
              <w:rPr>
                <w:sz w:val="18"/>
                <w:szCs w:val="18"/>
              </w:rPr>
            </w:pPr>
            <w:r w:rsidRPr="00141EB8">
              <w:rPr>
                <w:sz w:val="18"/>
                <w:szCs w:val="18"/>
              </w:rPr>
              <w:t>DAR</w:t>
            </w:r>
          </w:p>
        </w:tc>
        <w:tc>
          <w:tcPr>
            <w:tcW w:w="1350" w:type="dxa"/>
            <w:shd w:val="clear" w:color="auto" w:fill="auto"/>
            <w:noWrap/>
            <w:vAlign w:val="bottom"/>
          </w:tcPr>
          <w:p w14:paraId="4062C8D5" w14:textId="77777777" w:rsidR="00F443A1" w:rsidRPr="00141EB8" w:rsidRDefault="00F443A1" w:rsidP="00F443A1">
            <w:pPr>
              <w:jc w:val="right"/>
              <w:rPr>
                <w:color w:val="000000"/>
                <w:sz w:val="18"/>
                <w:szCs w:val="18"/>
              </w:rPr>
            </w:pPr>
            <w:r>
              <w:rPr>
                <w:sz w:val="18"/>
                <w:szCs w:val="18"/>
              </w:rPr>
              <w:t xml:space="preserve">            24,074.41 </w:t>
            </w:r>
          </w:p>
        </w:tc>
        <w:tc>
          <w:tcPr>
            <w:tcW w:w="1170" w:type="dxa"/>
            <w:shd w:val="clear" w:color="auto" w:fill="auto"/>
            <w:noWrap/>
            <w:vAlign w:val="bottom"/>
          </w:tcPr>
          <w:p w14:paraId="28BF7948" w14:textId="77777777" w:rsidR="00F443A1" w:rsidRPr="00141EB8" w:rsidRDefault="00F443A1" w:rsidP="00F443A1">
            <w:pPr>
              <w:jc w:val="right"/>
              <w:rPr>
                <w:color w:val="000000"/>
                <w:sz w:val="18"/>
                <w:szCs w:val="18"/>
              </w:rPr>
            </w:pPr>
            <w:r>
              <w:rPr>
                <w:sz w:val="18"/>
                <w:szCs w:val="18"/>
              </w:rPr>
              <w:t xml:space="preserve">           13,432.17 </w:t>
            </w:r>
          </w:p>
        </w:tc>
        <w:tc>
          <w:tcPr>
            <w:tcW w:w="1170" w:type="dxa"/>
            <w:shd w:val="clear" w:color="auto" w:fill="auto"/>
            <w:noWrap/>
            <w:vAlign w:val="bottom"/>
          </w:tcPr>
          <w:p w14:paraId="549C9A31" w14:textId="65065829" w:rsidR="00F443A1" w:rsidRPr="00141EB8" w:rsidRDefault="00F443A1" w:rsidP="00F443A1">
            <w:pPr>
              <w:jc w:val="right"/>
              <w:rPr>
                <w:sz w:val="18"/>
                <w:szCs w:val="18"/>
              </w:rPr>
            </w:pPr>
            <w:r>
              <w:rPr>
                <w:sz w:val="18"/>
                <w:szCs w:val="18"/>
              </w:rPr>
              <w:t>19,799.72</w:t>
            </w:r>
          </w:p>
        </w:tc>
        <w:tc>
          <w:tcPr>
            <w:tcW w:w="1170" w:type="dxa"/>
            <w:shd w:val="clear" w:color="auto" w:fill="auto"/>
            <w:noWrap/>
            <w:vAlign w:val="bottom"/>
          </w:tcPr>
          <w:p w14:paraId="16D43E3E" w14:textId="7053C6D0" w:rsidR="00F443A1" w:rsidRPr="00141EB8" w:rsidRDefault="00F443A1" w:rsidP="00F443A1">
            <w:pPr>
              <w:jc w:val="right"/>
              <w:rPr>
                <w:sz w:val="18"/>
                <w:szCs w:val="18"/>
              </w:rPr>
            </w:pPr>
            <w:r>
              <w:rPr>
                <w:sz w:val="18"/>
                <w:szCs w:val="18"/>
              </w:rPr>
              <w:t>(6,367.55)</w:t>
            </w:r>
          </w:p>
        </w:tc>
        <w:tc>
          <w:tcPr>
            <w:tcW w:w="1170" w:type="dxa"/>
            <w:shd w:val="clear" w:color="auto" w:fill="auto"/>
            <w:noWrap/>
            <w:vAlign w:val="bottom"/>
          </w:tcPr>
          <w:p w14:paraId="67648E56" w14:textId="4C9DB09C" w:rsidR="00F443A1" w:rsidRPr="00141EB8" w:rsidRDefault="00F443A1" w:rsidP="00F443A1">
            <w:pPr>
              <w:jc w:val="right"/>
              <w:rPr>
                <w:sz w:val="18"/>
                <w:szCs w:val="18"/>
              </w:rPr>
            </w:pPr>
            <w:r>
              <w:rPr>
                <w:sz w:val="18"/>
                <w:szCs w:val="18"/>
              </w:rPr>
              <w:t>6,367.55</w:t>
            </w:r>
          </w:p>
        </w:tc>
        <w:tc>
          <w:tcPr>
            <w:tcW w:w="723" w:type="dxa"/>
            <w:tcBorders>
              <w:right w:val="double" w:sz="4" w:space="0" w:color="auto"/>
            </w:tcBorders>
            <w:shd w:val="clear" w:color="auto" w:fill="auto"/>
            <w:noWrap/>
            <w:vAlign w:val="bottom"/>
          </w:tcPr>
          <w:p w14:paraId="17B573D4" w14:textId="363EC9F8" w:rsidR="00F443A1" w:rsidRPr="00141EB8" w:rsidRDefault="00F443A1" w:rsidP="00F443A1">
            <w:pPr>
              <w:jc w:val="right"/>
              <w:rPr>
                <w:sz w:val="18"/>
                <w:szCs w:val="18"/>
              </w:rPr>
            </w:pPr>
            <w:r>
              <w:rPr>
                <w:sz w:val="18"/>
                <w:szCs w:val="18"/>
              </w:rPr>
              <w:t>32.16</w:t>
            </w:r>
          </w:p>
        </w:tc>
      </w:tr>
      <w:tr w:rsidR="00F443A1" w:rsidRPr="005A497D" w14:paraId="783DAC96" w14:textId="77777777" w:rsidTr="009E55FB">
        <w:trPr>
          <w:trHeight w:val="288"/>
          <w:jc w:val="center"/>
        </w:trPr>
        <w:tc>
          <w:tcPr>
            <w:tcW w:w="2614" w:type="dxa"/>
            <w:tcBorders>
              <w:left w:val="double" w:sz="4" w:space="0" w:color="auto"/>
            </w:tcBorders>
            <w:shd w:val="clear" w:color="auto" w:fill="auto"/>
            <w:noWrap/>
            <w:vAlign w:val="center"/>
            <w:hideMark/>
          </w:tcPr>
          <w:p w14:paraId="75670B94" w14:textId="77777777" w:rsidR="00F443A1" w:rsidRPr="00141EB8" w:rsidRDefault="00F443A1" w:rsidP="00F443A1">
            <w:pPr>
              <w:rPr>
                <w:sz w:val="18"/>
                <w:szCs w:val="18"/>
              </w:rPr>
            </w:pPr>
            <w:r w:rsidRPr="00141EB8">
              <w:rPr>
                <w:sz w:val="18"/>
                <w:szCs w:val="18"/>
              </w:rPr>
              <w:t>ARMM</w:t>
            </w:r>
          </w:p>
        </w:tc>
        <w:tc>
          <w:tcPr>
            <w:tcW w:w="1350" w:type="dxa"/>
            <w:shd w:val="clear" w:color="auto" w:fill="auto"/>
            <w:noWrap/>
            <w:vAlign w:val="bottom"/>
          </w:tcPr>
          <w:p w14:paraId="0D342B9F" w14:textId="77777777" w:rsidR="00F443A1" w:rsidRPr="00141EB8" w:rsidRDefault="00F443A1" w:rsidP="00F443A1">
            <w:pPr>
              <w:jc w:val="right"/>
              <w:rPr>
                <w:sz w:val="18"/>
                <w:szCs w:val="18"/>
              </w:rPr>
            </w:pPr>
            <w:r>
              <w:rPr>
                <w:sz w:val="18"/>
                <w:szCs w:val="18"/>
              </w:rPr>
              <w:t xml:space="preserve">            18,140.75 </w:t>
            </w:r>
          </w:p>
        </w:tc>
        <w:tc>
          <w:tcPr>
            <w:tcW w:w="1170" w:type="dxa"/>
            <w:shd w:val="clear" w:color="auto" w:fill="auto"/>
            <w:noWrap/>
            <w:vAlign w:val="bottom"/>
          </w:tcPr>
          <w:p w14:paraId="257A3A2C" w14:textId="77777777" w:rsidR="00F443A1" w:rsidRPr="00141EB8" w:rsidRDefault="00F443A1" w:rsidP="00F443A1">
            <w:pPr>
              <w:jc w:val="right"/>
              <w:rPr>
                <w:sz w:val="18"/>
                <w:szCs w:val="18"/>
              </w:rPr>
            </w:pPr>
            <w:r>
              <w:rPr>
                <w:sz w:val="18"/>
                <w:szCs w:val="18"/>
              </w:rPr>
              <w:t xml:space="preserve">           17,984.81 </w:t>
            </w:r>
          </w:p>
        </w:tc>
        <w:tc>
          <w:tcPr>
            <w:tcW w:w="1170" w:type="dxa"/>
            <w:shd w:val="clear" w:color="auto" w:fill="auto"/>
            <w:noWrap/>
            <w:vAlign w:val="bottom"/>
          </w:tcPr>
          <w:p w14:paraId="5D16616E" w14:textId="66830E39" w:rsidR="00F443A1" w:rsidRPr="00141EB8" w:rsidRDefault="00F443A1" w:rsidP="00F443A1">
            <w:pPr>
              <w:jc w:val="right"/>
              <w:rPr>
                <w:sz w:val="18"/>
                <w:szCs w:val="18"/>
              </w:rPr>
            </w:pPr>
            <w:r>
              <w:rPr>
                <w:sz w:val="18"/>
                <w:szCs w:val="18"/>
              </w:rPr>
              <w:t>14,919.65</w:t>
            </w:r>
          </w:p>
        </w:tc>
        <w:tc>
          <w:tcPr>
            <w:tcW w:w="1170" w:type="dxa"/>
            <w:shd w:val="clear" w:color="auto" w:fill="auto"/>
            <w:noWrap/>
            <w:vAlign w:val="bottom"/>
          </w:tcPr>
          <w:p w14:paraId="3EA4A2AF" w14:textId="4FBBB5DE" w:rsidR="00F443A1" w:rsidRPr="00141EB8" w:rsidRDefault="00F443A1" w:rsidP="00F443A1">
            <w:pPr>
              <w:jc w:val="right"/>
              <w:rPr>
                <w:sz w:val="18"/>
                <w:szCs w:val="18"/>
              </w:rPr>
            </w:pPr>
            <w:r>
              <w:rPr>
                <w:sz w:val="18"/>
                <w:szCs w:val="18"/>
              </w:rPr>
              <w:t xml:space="preserve">3,065.16 </w:t>
            </w:r>
          </w:p>
        </w:tc>
        <w:tc>
          <w:tcPr>
            <w:tcW w:w="1170" w:type="dxa"/>
            <w:shd w:val="clear" w:color="auto" w:fill="auto"/>
            <w:noWrap/>
            <w:vAlign w:val="bottom"/>
          </w:tcPr>
          <w:p w14:paraId="4D01F8BA" w14:textId="0C22FDEC" w:rsidR="00F443A1" w:rsidRPr="00141EB8" w:rsidRDefault="00F443A1" w:rsidP="00F443A1">
            <w:pPr>
              <w:jc w:val="right"/>
              <w:rPr>
                <w:sz w:val="18"/>
                <w:szCs w:val="18"/>
              </w:rPr>
            </w:pPr>
            <w:r>
              <w:rPr>
                <w:sz w:val="18"/>
                <w:szCs w:val="18"/>
              </w:rPr>
              <w:t>3,065.16</w:t>
            </w:r>
          </w:p>
        </w:tc>
        <w:tc>
          <w:tcPr>
            <w:tcW w:w="723" w:type="dxa"/>
            <w:tcBorders>
              <w:right w:val="double" w:sz="4" w:space="0" w:color="auto"/>
            </w:tcBorders>
            <w:shd w:val="clear" w:color="auto" w:fill="auto"/>
            <w:noWrap/>
            <w:vAlign w:val="bottom"/>
          </w:tcPr>
          <w:p w14:paraId="5FAFD9A6" w14:textId="21D6F5AE" w:rsidR="00F443A1" w:rsidRPr="00141EB8" w:rsidRDefault="00F443A1" w:rsidP="00F443A1">
            <w:pPr>
              <w:jc w:val="right"/>
              <w:rPr>
                <w:sz w:val="18"/>
                <w:szCs w:val="18"/>
              </w:rPr>
            </w:pPr>
            <w:r>
              <w:rPr>
                <w:sz w:val="18"/>
                <w:szCs w:val="18"/>
              </w:rPr>
              <w:t>20.54</w:t>
            </w:r>
          </w:p>
        </w:tc>
      </w:tr>
      <w:tr w:rsidR="00F443A1" w:rsidRPr="005A497D" w14:paraId="20BFE377" w14:textId="77777777" w:rsidTr="009E55FB">
        <w:trPr>
          <w:trHeight w:val="288"/>
          <w:jc w:val="center"/>
        </w:trPr>
        <w:tc>
          <w:tcPr>
            <w:tcW w:w="2614" w:type="dxa"/>
            <w:tcBorders>
              <w:left w:val="double" w:sz="4" w:space="0" w:color="auto"/>
            </w:tcBorders>
            <w:shd w:val="clear" w:color="auto" w:fill="auto"/>
            <w:noWrap/>
            <w:vAlign w:val="center"/>
            <w:hideMark/>
          </w:tcPr>
          <w:p w14:paraId="7112FD49" w14:textId="77777777" w:rsidR="00F443A1" w:rsidRPr="00141EB8" w:rsidRDefault="00F443A1" w:rsidP="00F443A1">
            <w:pPr>
              <w:rPr>
                <w:sz w:val="18"/>
                <w:szCs w:val="18"/>
              </w:rPr>
            </w:pPr>
            <w:r w:rsidRPr="00141EB8">
              <w:rPr>
                <w:sz w:val="18"/>
                <w:szCs w:val="18"/>
              </w:rPr>
              <w:t>DFA</w:t>
            </w:r>
          </w:p>
        </w:tc>
        <w:tc>
          <w:tcPr>
            <w:tcW w:w="1350" w:type="dxa"/>
            <w:shd w:val="clear" w:color="auto" w:fill="auto"/>
            <w:noWrap/>
            <w:vAlign w:val="bottom"/>
          </w:tcPr>
          <w:p w14:paraId="008BD109" w14:textId="77777777" w:rsidR="00F443A1" w:rsidRPr="00141EB8" w:rsidRDefault="00F443A1" w:rsidP="00F443A1">
            <w:pPr>
              <w:jc w:val="right"/>
              <w:rPr>
                <w:sz w:val="18"/>
                <w:szCs w:val="18"/>
              </w:rPr>
            </w:pPr>
            <w:r>
              <w:rPr>
                <w:sz w:val="18"/>
                <w:szCs w:val="18"/>
              </w:rPr>
              <w:t xml:space="preserve">            14,861.59 </w:t>
            </w:r>
          </w:p>
        </w:tc>
        <w:tc>
          <w:tcPr>
            <w:tcW w:w="1170" w:type="dxa"/>
            <w:shd w:val="clear" w:color="auto" w:fill="auto"/>
            <w:noWrap/>
            <w:vAlign w:val="bottom"/>
          </w:tcPr>
          <w:p w14:paraId="0EDEEEF5" w14:textId="77777777" w:rsidR="00F443A1" w:rsidRPr="00141EB8" w:rsidRDefault="00F443A1" w:rsidP="00F443A1">
            <w:pPr>
              <w:jc w:val="right"/>
              <w:rPr>
                <w:sz w:val="18"/>
                <w:szCs w:val="18"/>
              </w:rPr>
            </w:pPr>
            <w:r>
              <w:rPr>
                <w:sz w:val="18"/>
                <w:szCs w:val="18"/>
              </w:rPr>
              <w:t xml:space="preserve">           13,618.63 </w:t>
            </w:r>
          </w:p>
        </w:tc>
        <w:tc>
          <w:tcPr>
            <w:tcW w:w="1170" w:type="dxa"/>
            <w:shd w:val="clear" w:color="auto" w:fill="auto"/>
            <w:noWrap/>
            <w:vAlign w:val="bottom"/>
          </w:tcPr>
          <w:p w14:paraId="1981F8AF" w14:textId="715B00F0" w:rsidR="00F443A1" w:rsidRPr="00141EB8" w:rsidRDefault="00F443A1" w:rsidP="00F443A1">
            <w:pPr>
              <w:jc w:val="right"/>
              <w:rPr>
                <w:sz w:val="18"/>
                <w:szCs w:val="18"/>
              </w:rPr>
            </w:pPr>
            <w:r>
              <w:rPr>
                <w:sz w:val="18"/>
                <w:szCs w:val="18"/>
              </w:rPr>
              <w:t>12,222.74</w:t>
            </w:r>
          </w:p>
        </w:tc>
        <w:tc>
          <w:tcPr>
            <w:tcW w:w="1170" w:type="dxa"/>
            <w:shd w:val="clear" w:color="auto" w:fill="auto"/>
            <w:noWrap/>
            <w:vAlign w:val="bottom"/>
          </w:tcPr>
          <w:p w14:paraId="2A2E2216" w14:textId="6F3F11DE" w:rsidR="00F443A1" w:rsidRPr="00141EB8" w:rsidRDefault="00F443A1" w:rsidP="00F443A1">
            <w:pPr>
              <w:jc w:val="right"/>
              <w:rPr>
                <w:sz w:val="18"/>
                <w:szCs w:val="18"/>
              </w:rPr>
            </w:pPr>
            <w:r>
              <w:rPr>
                <w:sz w:val="18"/>
                <w:szCs w:val="18"/>
              </w:rPr>
              <w:t xml:space="preserve">1,395.89 </w:t>
            </w:r>
          </w:p>
        </w:tc>
        <w:tc>
          <w:tcPr>
            <w:tcW w:w="1170" w:type="dxa"/>
            <w:shd w:val="clear" w:color="auto" w:fill="auto"/>
            <w:noWrap/>
            <w:vAlign w:val="bottom"/>
          </w:tcPr>
          <w:p w14:paraId="46DE7348" w14:textId="6D204CCE" w:rsidR="00F443A1" w:rsidRPr="00141EB8" w:rsidRDefault="00F443A1" w:rsidP="00F443A1">
            <w:pPr>
              <w:jc w:val="right"/>
              <w:rPr>
                <w:sz w:val="18"/>
                <w:szCs w:val="18"/>
              </w:rPr>
            </w:pPr>
            <w:r>
              <w:rPr>
                <w:sz w:val="18"/>
                <w:szCs w:val="18"/>
              </w:rPr>
              <w:t>1,395.89</w:t>
            </w:r>
          </w:p>
        </w:tc>
        <w:tc>
          <w:tcPr>
            <w:tcW w:w="723" w:type="dxa"/>
            <w:tcBorders>
              <w:right w:val="double" w:sz="4" w:space="0" w:color="auto"/>
            </w:tcBorders>
            <w:shd w:val="clear" w:color="auto" w:fill="auto"/>
            <w:noWrap/>
            <w:vAlign w:val="bottom"/>
          </w:tcPr>
          <w:p w14:paraId="5EF965B6" w14:textId="4E9BCBBB" w:rsidR="00F443A1" w:rsidRPr="00141EB8" w:rsidRDefault="00F443A1" w:rsidP="00F443A1">
            <w:pPr>
              <w:jc w:val="right"/>
              <w:rPr>
                <w:sz w:val="18"/>
                <w:szCs w:val="18"/>
              </w:rPr>
            </w:pPr>
            <w:r>
              <w:rPr>
                <w:sz w:val="18"/>
                <w:szCs w:val="18"/>
              </w:rPr>
              <w:t>11.42</w:t>
            </w:r>
          </w:p>
        </w:tc>
      </w:tr>
      <w:tr w:rsidR="00F443A1" w:rsidRPr="005A497D" w14:paraId="32F285BE" w14:textId="77777777" w:rsidTr="009E55FB">
        <w:trPr>
          <w:trHeight w:val="288"/>
          <w:jc w:val="center"/>
        </w:trPr>
        <w:tc>
          <w:tcPr>
            <w:tcW w:w="2614" w:type="dxa"/>
            <w:tcBorders>
              <w:left w:val="double" w:sz="4" w:space="0" w:color="auto"/>
            </w:tcBorders>
            <w:shd w:val="clear" w:color="auto" w:fill="auto"/>
            <w:noWrap/>
            <w:vAlign w:val="center"/>
            <w:hideMark/>
          </w:tcPr>
          <w:p w14:paraId="7C8618BB" w14:textId="77777777" w:rsidR="00F443A1" w:rsidRPr="00141EB8" w:rsidRDefault="00F443A1" w:rsidP="00F443A1">
            <w:pPr>
              <w:rPr>
                <w:sz w:val="18"/>
                <w:szCs w:val="18"/>
              </w:rPr>
            </w:pPr>
            <w:r w:rsidRPr="00141EB8">
              <w:rPr>
                <w:sz w:val="18"/>
                <w:szCs w:val="18"/>
              </w:rPr>
              <w:t>DOST</w:t>
            </w:r>
          </w:p>
        </w:tc>
        <w:tc>
          <w:tcPr>
            <w:tcW w:w="1350" w:type="dxa"/>
            <w:shd w:val="clear" w:color="auto" w:fill="auto"/>
            <w:noWrap/>
            <w:vAlign w:val="bottom"/>
          </w:tcPr>
          <w:p w14:paraId="3F6FA93B" w14:textId="77777777" w:rsidR="00F443A1" w:rsidRPr="00141EB8" w:rsidRDefault="00F443A1" w:rsidP="00F443A1">
            <w:pPr>
              <w:jc w:val="right"/>
              <w:rPr>
                <w:sz w:val="18"/>
                <w:szCs w:val="18"/>
              </w:rPr>
            </w:pPr>
            <w:r>
              <w:rPr>
                <w:sz w:val="18"/>
                <w:szCs w:val="18"/>
              </w:rPr>
              <w:t xml:space="preserve">            14,232.58 </w:t>
            </w:r>
          </w:p>
        </w:tc>
        <w:tc>
          <w:tcPr>
            <w:tcW w:w="1170" w:type="dxa"/>
            <w:shd w:val="clear" w:color="auto" w:fill="auto"/>
            <w:noWrap/>
            <w:vAlign w:val="bottom"/>
          </w:tcPr>
          <w:p w14:paraId="39BC1A78" w14:textId="77777777" w:rsidR="00F443A1" w:rsidRPr="00141EB8" w:rsidRDefault="00F443A1" w:rsidP="00F443A1">
            <w:pPr>
              <w:jc w:val="right"/>
              <w:rPr>
                <w:sz w:val="18"/>
                <w:szCs w:val="18"/>
              </w:rPr>
            </w:pPr>
            <w:r>
              <w:rPr>
                <w:sz w:val="18"/>
                <w:szCs w:val="18"/>
              </w:rPr>
              <w:t xml:space="preserve">           13,267.49 </w:t>
            </w:r>
          </w:p>
        </w:tc>
        <w:tc>
          <w:tcPr>
            <w:tcW w:w="1170" w:type="dxa"/>
            <w:shd w:val="clear" w:color="auto" w:fill="auto"/>
            <w:noWrap/>
            <w:vAlign w:val="bottom"/>
          </w:tcPr>
          <w:p w14:paraId="005045DD" w14:textId="6E40A882" w:rsidR="00F443A1" w:rsidRPr="00141EB8" w:rsidRDefault="00F443A1" w:rsidP="00F443A1">
            <w:pPr>
              <w:jc w:val="right"/>
              <w:rPr>
                <w:sz w:val="18"/>
                <w:szCs w:val="18"/>
              </w:rPr>
            </w:pPr>
            <w:r>
              <w:rPr>
                <w:sz w:val="18"/>
                <w:szCs w:val="18"/>
              </w:rPr>
              <w:t>11,705.42</w:t>
            </w:r>
          </w:p>
        </w:tc>
        <w:tc>
          <w:tcPr>
            <w:tcW w:w="1170" w:type="dxa"/>
            <w:shd w:val="clear" w:color="auto" w:fill="auto"/>
            <w:noWrap/>
            <w:vAlign w:val="bottom"/>
          </w:tcPr>
          <w:p w14:paraId="2294E1B7" w14:textId="6CEF4505" w:rsidR="00F443A1" w:rsidRPr="00141EB8" w:rsidRDefault="00F443A1" w:rsidP="00F443A1">
            <w:pPr>
              <w:jc w:val="right"/>
              <w:rPr>
                <w:sz w:val="18"/>
                <w:szCs w:val="18"/>
              </w:rPr>
            </w:pPr>
            <w:r>
              <w:rPr>
                <w:sz w:val="18"/>
                <w:szCs w:val="18"/>
              </w:rPr>
              <w:t xml:space="preserve">1,562.07 </w:t>
            </w:r>
          </w:p>
        </w:tc>
        <w:tc>
          <w:tcPr>
            <w:tcW w:w="1170" w:type="dxa"/>
            <w:shd w:val="clear" w:color="auto" w:fill="auto"/>
            <w:noWrap/>
            <w:vAlign w:val="bottom"/>
          </w:tcPr>
          <w:p w14:paraId="44A3E653" w14:textId="1E63CC4B" w:rsidR="00F443A1" w:rsidRPr="00141EB8" w:rsidRDefault="00F443A1" w:rsidP="00F443A1">
            <w:pPr>
              <w:jc w:val="right"/>
              <w:rPr>
                <w:sz w:val="18"/>
                <w:szCs w:val="18"/>
              </w:rPr>
            </w:pPr>
            <w:r>
              <w:rPr>
                <w:sz w:val="18"/>
                <w:szCs w:val="18"/>
              </w:rPr>
              <w:t>1,562.07</w:t>
            </w:r>
          </w:p>
        </w:tc>
        <w:tc>
          <w:tcPr>
            <w:tcW w:w="723" w:type="dxa"/>
            <w:tcBorders>
              <w:right w:val="double" w:sz="4" w:space="0" w:color="auto"/>
            </w:tcBorders>
            <w:shd w:val="clear" w:color="auto" w:fill="auto"/>
            <w:noWrap/>
            <w:vAlign w:val="bottom"/>
          </w:tcPr>
          <w:p w14:paraId="5EC7D2E5" w14:textId="49E3B5A0" w:rsidR="00F443A1" w:rsidRPr="00141EB8" w:rsidRDefault="00F443A1" w:rsidP="00F443A1">
            <w:pPr>
              <w:jc w:val="right"/>
              <w:rPr>
                <w:sz w:val="18"/>
                <w:szCs w:val="18"/>
              </w:rPr>
            </w:pPr>
            <w:r>
              <w:rPr>
                <w:sz w:val="18"/>
                <w:szCs w:val="18"/>
              </w:rPr>
              <w:t>13.34</w:t>
            </w:r>
          </w:p>
        </w:tc>
      </w:tr>
      <w:tr w:rsidR="00F443A1" w:rsidRPr="005A497D" w14:paraId="60D855AA" w14:textId="77777777" w:rsidTr="009E55FB">
        <w:trPr>
          <w:trHeight w:val="288"/>
          <w:jc w:val="center"/>
        </w:trPr>
        <w:tc>
          <w:tcPr>
            <w:tcW w:w="2614" w:type="dxa"/>
            <w:tcBorders>
              <w:left w:val="double" w:sz="4" w:space="0" w:color="auto"/>
            </w:tcBorders>
            <w:shd w:val="clear" w:color="auto" w:fill="auto"/>
            <w:noWrap/>
            <w:vAlign w:val="center"/>
            <w:hideMark/>
          </w:tcPr>
          <w:p w14:paraId="1D0188BE" w14:textId="77777777" w:rsidR="00F443A1" w:rsidRPr="00141EB8" w:rsidRDefault="00F443A1" w:rsidP="00F443A1">
            <w:pPr>
              <w:rPr>
                <w:sz w:val="18"/>
                <w:szCs w:val="18"/>
              </w:rPr>
            </w:pPr>
            <w:r w:rsidRPr="00141EB8">
              <w:rPr>
                <w:sz w:val="18"/>
                <w:szCs w:val="18"/>
              </w:rPr>
              <w:t>Justice</w:t>
            </w:r>
          </w:p>
        </w:tc>
        <w:tc>
          <w:tcPr>
            <w:tcW w:w="1350" w:type="dxa"/>
            <w:shd w:val="clear" w:color="auto" w:fill="auto"/>
            <w:noWrap/>
            <w:vAlign w:val="bottom"/>
          </w:tcPr>
          <w:p w14:paraId="5EE795C5" w14:textId="77777777" w:rsidR="00F443A1" w:rsidRPr="00141EB8" w:rsidRDefault="00F443A1" w:rsidP="00F443A1">
            <w:pPr>
              <w:jc w:val="right"/>
              <w:rPr>
                <w:sz w:val="18"/>
                <w:szCs w:val="18"/>
              </w:rPr>
            </w:pPr>
            <w:r>
              <w:rPr>
                <w:sz w:val="18"/>
                <w:szCs w:val="18"/>
              </w:rPr>
              <w:t xml:space="preserve">            13,348.88 </w:t>
            </w:r>
          </w:p>
        </w:tc>
        <w:tc>
          <w:tcPr>
            <w:tcW w:w="1170" w:type="dxa"/>
            <w:shd w:val="clear" w:color="auto" w:fill="auto"/>
            <w:noWrap/>
            <w:vAlign w:val="bottom"/>
          </w:tcPr>
          <w:p w14:paraId="7569A1F8" w14:textId="77777777" w:rsidR="00F443A1" w:rsidRPr="00141EB8" w:rsidRDefault="00F443A1" w:rsidP="00F443A1">
            <w:pPr>
              <w:jc w:val="right"/>
              <w:rPr>
                <w:sz w:val="18"/>
                <w:szCs w:val="18"/>
              </w:rPr>
            </w:pPr>
            <w:r>
              <w:rPr>
                <w:sz w:val="18"/>
                <w:szCs w:val="18"/>
              </w:rPr>
              <w:t xml:space="preserve">           12,675.62 </w:t>
            </w:r>
          </w:p>
        </w:tc>
        <w:tc>
          <w:tcPr>
            <w:tcW w:w="1170" w:type="dxa"/>
            <w:shd w:val="clear" w:color="auto" w:fill="auto"/>
            <w:noWrap/>
            <w:vAlign w:val="bottom"/>
          </w:tcPr>
          <w:p w14:paraId="7077AD83" w14:textId="67306F44" w:rsidR="00F443A1" w:rsidRPr="00141EB8" w:rsidRDefault="00F443A1" w:rsidP="00F443A1">
            <w:pPr>
              <w:jc w:val="right"/>
              <w:rPr>
                <w:sz w:val="18"/>
                <w:szCs w:val="18"/>
              </w:rPr>
            </w:pPr>
            <w:r>
              <w:rPr>
                <w:sz w:val="18"/>
                <w:szCs w:val="18"/>
              </w:rPr>
              <w:t>10,978.63</w:t>
            </w:r>
          </w:p>
        </w:tc>
        <w:tc>
          <w:tcPr>
            <w:tcW w:w="1170" w:type="dxa"/>
            <w:shd w:val="clear" w:color="auto" w:fill="auto"/>
            <w:noWrap/>
            <w:vAlign w:val="bottom"/>
          </w:tcPr>
          <w:p w14:paraId="3A4875B3" w14:textId="7A5D3C78" w:rsidR="00F443A1" w:rsidRPr="00141EB8" w:rsidRDefault="00F443A1" w:rsidP="00F443A1">
            <w:pPr>
              <w:jc w:val="right"/>
              <w:rPr>
                <w:sz w:val="18"/>
                <w:szCs w:val="18"/>
              </w:rPr>
            </w:pPr>
            <w:r>
              <w:rPr>
                <w:sz w:val="18"/>
                <w:szCs w:val="18"/>
              </w:rPr>
              <w:t xml:space="preserve">1,696.99 </w:t>
            </w:r>
          </w:p>
        </w:tc>
        <w:tc>
          <w:tcPr>
            <w:tcW w:w="1170" w:type="dxa"/>
            <w:shd w:val="clear" w:color="auto" w:fill="auto"/>
            <w:noWrap/>
            <w:vAlign w:val="bottom"/>
          </w:tcPr>
          <w:p w14:paraId="08D8184A" w14:textId="3A7C76E0" w:rsidR="00F443A1" w:rsidRPr="00141EB8" w:rsidRDefault="00F443A1" w:rsidP="00F443A1">
            <w:pPr>
              <w:jc w:val="right"/>
              <w:rPr>
                <w:sz w:val="18"/>
                <w:szCs w:val="18"/>
              </w:rPr>
            </w:pPr>
            <w:r>
              <w:rPr>
                <w:sz w:val="18"/>
                <w:szCs w:val="18"/>
              </w:rPr>
              <w:t>1,696.99</w:t>
            </w:r>
          </w:p>
        </w:tc>
        <w:tc>
          <w:tcPr>
            <w:tcW w:w="723" w:type="dxa"/>
            <w:tcBorders>
              <w:right w:val="double" w:sz="4" w:space="0" w:color="auto"/>
            </w:tcBorders>
            <w:shd w:val="clear" w:color="auto" w:fill="auto"/>
            <w:noWrap/>
            <w:vAlign w:val="bottom"/>
          </w:tcPr>
          <w:p w14:paraId="65289490" w14:textId="3FBB9C28" w:rsidR="00F443A1" w:rsidRPr="00141EB8" w:rsidRDefault="00F443A1" w:rsidP="00F443A1">
            <w:pPr>
              <w:jc w:val="right"/>
              <w:rPr>
                <w:sz w:val="18"/>
                <w:szCs w:val="18"/>
              </w:rPr>
            </w:pPr>
            <w:r>
              <w:rPr>
                <w:sz w:val="18"/>
                <w:szCs w:val="18"/>
              </w:rPr>
              <w:t>15.46</w:t>
            </w:r>
          </w:p>
        </w:tc>
      </w:tr>
      <w:tr w:rsidR="00F443A1" w:rsidRPr="005A497D" w14:paraId="04E3B320" w14:textId="77777777" w:rsidTr="009E55FB">
        <w:trPr>
          <w:trHeight w:val="269"/>
          <w:jc w:val="center"/>
        </w:trPr>
        <w:tc>
          <w:tcPr>
            <w:tcW w:w="2614" w:type="dxa"/>
            <w:tcBorders>
              <w:left w:val="double" w:sz="4" w:space="0" w:color="auto"/>
            </w:tcBorders>
            <w:shd w:val="clear" w:color="auto" w:fill="auto"/>
            <w:noWrap/>
            <w:vAlign w:val="center"/>
          </w:tcPr>
          <w:p w14:paraId="665B568A" w14:textId="77777777" w:rsidR="00F443A1" w:rsidRPr="00141EB8" w:rsidRDefault="00F443A1" w:rsidP="00F443A1">
            <w:pPr>
              <w:rPr>
                <w:sz w:val="18"/>
                <w:szCs w:val="18"/>
              </w:rPr>
            </w:pPr>
            <w:r>
              <w:rPr>
                <w:sz w:val="18"/>
                <w:szCs w:val="18"/>
              </w:rPr>
              <w:t>Congress</w:t>
            </w:r>
          </w:p>
        </w:tc>
        <w:tc>
          <w:tcPr>
            <w:tcW w:w="1350" w:type="dxa"/>
            <w:shd w:val="clear" w:color="auto" w:fill="auto"/>
            <w:noWrap/>
            <w:vAlign w:val="bottom"/>
          </w:tcPr>
          <w:p w14:paraId="5913C8AB" w14:textId="77777777" w:rsidR="00F443A1" w:rsidRPr="00141EB8" w:rsidRDefault="00F443A1" w:rsidP="00F443A1">
            <w:pPr>
              <w:jc w:val="right"/>
              <w:rPr>
                <w:sz w:val="18"/>
                <w:szCs w:val="18"/>
              </w:rPr>
            </w:pPr>
            <w:r>
              <w:rPr>
                <w:sz w:val="18"/>
                <w:szCs w:val="18"/>
              </w:rPr>
              <w:t xml:space="preserve">            11,891.43 </w:t>
            </w:r>
          </w:p>
        </w:tc>
        <w:tc>
          <w:tcPr>
            <w:tcW w:w="1170" w:type="dxa"/>
            <w:shd w:val="clear" w:color="auto" w:fill="auto"/>
            <w:noWrap/>
            <w:vAlign w:val="bottom"/>
          </w:tcPr>
          <w:p w14:paraId="67062E79" w14:textId="77777777" w:rsidR="00F443A1" w:rsidRPr="00141EB8" w:rsidRDefault="00F443A1" w:rsidP="00F443A1">
            <w:pPr>
              <w:jc w:val="right"/>
              <w:rPr>
                <w:sz w:val="18"/>
                <w:szCs w:val="18"/>
              </w:rPr>
            </w:pPr>
            <w:r>
              <w:rPr>
                <w:sz w:val="18"/>
                <w:szCs w:val="18"/>
              </w:rPr>
              <w:t xml:space="preserve">           10,104.06 </w:t>
            </w:r>
          </w:p>
        </w:tc>
        <w:tc>
          <w:tcPr>
            <w:tcW w:w="1170" w:type="dxa"/>
            <w:shd w:val="clear" w:color="auto" w:fill="auto"/>
            <w:noWrap/>
            <w:vAlign w:val="bottom"/>
          </w:tcPr>
          <w:p w14:paraId="7331B670" w14:textId="0854600A" w:rsidR="00F443A1" w:rsidRPr="00141EB8" w:rsidRDefault="00F443A1" w:rsidP="00F443A1">
            <w:pPr>
              <w:jc w:val="right"/>
              <w:rPr>
                <w:sz w:val="18"/>
                <w:szCs w:val="18"/>
              </w:rPr>
            </w:pPr>
            <w:r>
              <w:rPr>
                <w:sz w:val="18"/>
                <w:szCs w:val="18"/>
              </w:rPr>
              <w:t>9,779.97</w:t>
            </w:r>
          </w:p>
        </w:tc>
        <w:tc>
          <w:tcPr>
            <w:tcW w:w="1170" w:type="dxa"/>
            <w:shd w:val="clear" w:color="auto" w:fill="auto"/>
            <w:noWrap/>
            <w:vAlign w:val="bottom"/>
          </w:tcPr>
          <w:p w14:paraId="5530E8C3" w14:textId="7DBA640F" w:rsidR="00F443A1" w:rsidRDefault="00F443A1" w:rsidP="00F443A1">
            <w:pPr>
              <w:jc w:val="right"/>
              <w:rPr>
                <w:sz w:val="18"/>
                <w:szCs w:val="18"/>
              </w:rPr>
            </w:pPr>
            <w:r>
              <w:rPr>
                <w:sz w:val="18"/>
                <w:szCs w:val="18"/>
              </w:rPr>
              <w:t xml:space="preserve">324.09 </w:t>
            </w:r>
          </w:p>
        </w:tc>
        <w:tc>
          <w:tcPr>
            <w:tcW w:w="1170" w:type="dxa"/>
            <w:shd w:val="clear" w:color="auto" w:fill="auto"/>
            <w:noWrap/>
            <w:vAlign w:val="bottom"/>
          </w:tcPr>
          <w:p w14:paraId="505E6744" w14:textId="21D763C2" w:rsidR="00F443A1" w:rsidRPr="00141EB8" w:rsidRDefault="00F443A1" w:rsidP="00F443A1">
            <w:pPr>
              <w:jc w:val="right"/>
              <w:rPr>
                <w:sz w:val="18"/>
                <w:szCs w:val="18"/>
              </w:rPr>
            </w:pPr>
            <w:r>
              <w:rPr>
                <w:sz w:val="18"/>
                <w:szCs w:val="18"/>
              </w:rPr>
              <w:t>324.09</w:t>
            </w:r>
          </w:p>
        </w:tc>
        <w:tc>
          <w:tcPr>
            <w:tcW w:w="723" w:type="dxa"/>
            <w:tcBorders>
              <w:right w:val="double" w:sz="4" w:space="0" w:color="auto"/>
            </w:tcBorders>
            <w:shd w:val="clear" w:color="auto" w:fill="auto"/>
            <w:noWrap/>
            <w:vAlign w:val="bottom"/>
          </w:tcPr>
          <w:p w14:paraId="50AC8128" w14:textId="2EC79350" w:rsidR="00F443A1" w:rsidRPr="00141EB8" w:rsidRDefault="00F443A1" w:rsidP="00F443A1">
            <w:pPr>
              <w:jc w:val="right"/>
              <w:rPr>
                <w:sz w:val="18"/>
                <w:szCs w:val="18"/>
              </w:rPr>
            </w:pPr>
            <w:r>
              <w:rPr>
                <w:sz w:val="18"/>
                <w:szCs w:val="18"/>
              </w:rPr>
              <w:t>3.31</w:t>
            </w:r>
          </w:p>
        </w:tc>
      </w:tr>
      <w:tr w:rsidR="00F443A1" w:rsidRPr="005A497D" w14:paraId="566C0F3C" w14:textId="77777777" w:rsidTr="009E55FB">
        <w:trPr>
          <w:trHeight w:val="269"/>
          <w:jc w:val="center"/>
        </w:trPr>
        <w:tc>
          <w:tcPr>
            <w:tcW w:w="2614" w:type="dxa"/>
            <w:tcBorders>
              <w:left w:val="double" w:sz="4" w:space="0" w:color="auto"/>
            </w:tcBorders>
            <w:shd w:val="clear" w:color="auto" w:fill="auto"/>
            <w:noWrap/>
            <w:vAlign w:val="center"/>
            <w:hideMark/>
          </w:tcPr>
          <w:p w14:paraId="2E5B9311" w14:textId="77777777" w:rsidR="00F443A1" w:rsidRPr="00141EB8" w:rsidRDefault="00F443A1" w:rsidP="00F443A1">
            <w:pPr>
              <w:rPr>
                <w:sz w:val="18"/>
                <w:szCs w:val="18"/>
              </w:rPr>
            </w:pPr>
            <w:r w:rsidRPr="00141EB8">
              <w:rPr>
                <w:sz w:val="18"/>
                <w:szCs w:val="18"/>
              </w:rPr>
              <w:t>Other Executive Offices</w:t>
            </w:r>
          </w:p>
        </w:tc>
        <w:tc>
          <w:tcPr>
            <w:tcW w:w="1350" w:type="dxa"/>
            <w:shd w:val="clear" w:color="auto" w:fill="auto"/>
            <w:noWrap/>
            <w:vAlign w:val="bottom"/>
          </w:tcPr>
          <w:p w14:paraId="0A25AEBF" w14:textId="77777777" w:rsidR="00F443A1" w:rsidRPr="00141EB8" w:rsidRDefault="00F443A1" w:rsidP="00F443A1">
            <w:pPr>
              <w:jc w:val="right"/>
              <w:rPr>
                <w:sz w:val="18"/>
                <w:szCs w:val="18"/>
              </w:rPr>
            </w:pPr>
            <w:r>
              <w:rPr>
                <w:sz w:val="18"/>
                <w:szCs w:val="18"/>
              </w:rPr>
              <w:t xml:space="preserve">            14,199.33 </w:t>
            </w:r>
          </w:p>
        </w:tc>
        <w:tc>
          <w:tcPr>
            <w:tcW w:w="1170" w:type="dxa"/>
            <w:shd w:val="clear" w:color="auto" w:fill="auto"/>
            <w:noWrap/>
            <w:vAlign w:val="bottom"/>
          </w:tcPr>
          <w:p w14:paraId="62AD985F" w14:textId="77777777" w:rsidR="00F443A1" w:rsidRPr="00141EB8" w:rsidRDefault="00F443A1" w:rsidP="00F443A1">
            <w:pPr>
              <w:jc w:val="right"/>
              <w:rPr>
                <w:sz w:val="18"/>
                <w:szCs w:val="18"/>
              </w:rPr>
            </w:pPr>
            <w:r>
              <w:rPr>
                <w:sz w:val="18"/>
                <w:szCs w:val="18"/>
              </w:rPr>
              <w:t xml:space="preserve">           10,440.20 </w:t>
            </w:r>
          </w:p>
        </w:tc>
        <w:tc>
          <w:tcPr>
            <w:tcW w:w="1170" w:type="dxa"/>
            <w:shd w:val="clear" w:color="auto" w:fill="auto"/>
            <w:noWrap/>
            <w:vAlign w:val="bottom"/>
          </w:tcPr>
          <w:p w14:paraId="38BB5D30" w14:textId="2F8DA9A4" w:rsidR="00F443A1" w:rsidRPr="00141EB8" w:rsidRDefault="00F443A1" w:rsidP="00F443A1">
            <w:pPr>
              <w:jc w:val="right"/>
              <w:rPr>
                <w:rFonts w:eastAsia="Calibri"/>
                <w:b/>
                <w:bCs/>
                <w:sz w:val="18"/>
                <w:szCs w:val="18"/>
              </w:rPr>
            </w:pPr>
            <w:r>
              <w:rPr>
                <w:sz w:val="18"/>
                <w:szCs w:val="18"/>
              </w:rPr>
              <w:t>11,678.07</w:t>
            </w:r>
          </w:p>
        </w:tc>
        <w:tc>
          <w:tcPr>
            <w:tcW w:w="1170" w:type="dxa"/>
            <w:shd w:val="clear" w:color="auto" w:fill="auto"/>
            <w:noWrap/>
            <w:vAlign w:val="bottom"/>
          </w:tcPr>
          <w:p w14:paraId="06F2CAC4" w14:textId="05784BDD" w:rsidR="00F443A1" w:rsidRPr="00141EB8" w:rsidRDefault="00F443A1" w:rsidP="00F443A1">
            <w:pPr>
              <w:jc w:val="right"/>
              <w:rPr>
                <w:rFonts w:eastAsia="Calibri"/>
                <w:b/>
                <w:bCs/>
                <w:sz w:val="18"/>
                <w:szCs w:val="18"/>
              </w:rPr>
            </w:pPr>
            <w:r>
              <w:rPr>
                <w:sz w:val="18"/>
                <w:szCs w:val="18"/>
              </w:rPr>
              <w:t>(1,237.87)</w:t>
            </w:r>
          </w:p>
        </w:tc>
        <w:tc>
          <w:tcPr>
            <w:tcW w:w="1170" w:type="dxa"/>
            <w:shd w:val="clear" w:color="auto" w:fill="auto"/>
            <w:noWrap/>
            <w:vAlign w:val="bottom"/>
          </w:tcPr>
          <w:p w14:paraId="2B5969E4" w14:textId="559BB20C" w:rsidR="00F443A1" w:rsidRPr="00141EB8" w:rsidRDefault="00F443A1" w:rsidP="00F443A1">
            <w:pPr>
              <w:jc w:val="right"/>
              <w:rPr>
                <w:rFonts w:eastAsia="Calibri"/>
                <w:b/>
                <w:bCs/>
                <w:sz w:val="18"/>
                <w:szCs w:val="18"/>
              </w:rPr>
            </w:pPr>
            <w:r>
              <w:rPr>
                <w:sz w:val="18"/>
                <w:szCs w:val="18"/>
              </w:rPr>
              <w:t>1,237.87</w:t>
            </w:r>
          </w:p>
        </w:tc>
        <w:tc>
          <w:tcPr>
            <w:tcW w:w="723" w:type="dxa"/>
            <w:tcBorders>
              <w:right w:val="double" w:sz="4" w:space="0" w:color="auto"/>
            </w:tcBorders>
            <w:shd w:val="clear" w:color="auto" w:fill="auto"/>
            <w:noWrap/>
            <w:vAlign w:val="bottom"/>
          </w:tcPr>
          <w:p w14:paraId="20401B82" w14:textId="396B2FE4" w:rsidR="00F443A1" w:rsidRPr="00141EB8" w:rsidRDefault="00F443A1" w:rsidP="00F443A1">
            <w:pPr>
              <w:jc w:val="right"/>
              <w:rPr>
                <w:rFonts w:eastAsia="Calibri"/>
                <w:b/>
                <w:bCs/>
                <w:sz w:val="18"/>
                <w:szCs w:val="18"/>
              </w:rPr>
            </w:pPr>
            <w:r>
              <w:rPr>
                <w:sz w:val="18"/>
                <w:szCs w:val="18"/>
              </w:rPr>
              <w:t>10.60</w:t>
            </w:r>
          </w:p>
        </w:tc>
      </w:tr>
      <w:tr w:rsidR="00F443A1" w:rsidRPr="005A497D" w14:paraId="2DCF8F86" w14:textId="77777777" w:rsidTr="009E55FB">
        <w:trPr>
          <w:trHeight w:val="288"/>
          <w:jc w:val="center"/>
        </w:trPr>
        <w:tc>
          <w:tcPr>
            <w:tcW w:w="2614" w:type="dxa"/>
            <w:tcBorders>
              <w:left w:val="double" w:sz="4" w:space="0" w:color="auto"/>
            </w:tcBorders>
            <w:shd w:val="clear" w:color="auto" w:fill="auto"/>
            <w:noWrap/>
            <w:vAlign w:val="center"/>
            <w:hideMark/>
          </w:tcPr>
          <w:p w14:paraId="0A9155CE" w14:textId="77777777" w:rsidR="00F443A1" w:rsidRPr="00141EB8" w:rsidRDefault="00F443A1" w:rsidP="00F443A1">
            <w:pPr>
              <w:rPr>
                <w:sz w:val="18"/>
                <w:szCs w:val="18"/>
              </w:rPr>
            </w:pPr>
            <w:r w:rsidRPr="00141EB8">
              <w:rPr>
                <w:sz w:val="18"/>
                <w:szCs w:val="18"/>
              </w:rPr>
              <w:t>Others (= sum of rest)</w:t>
            </w:r>
          </w:p>
        </w:tc>
        <w:tc>
          <w:tcPr>
            <w:tcW w:w="1350" w:type="dxa"/>
            <w:shd w:val="clear" w:color="auto" w:fill="auto"/>
            <w:noWrap/>
            <w:vAlign w:val="bottom"/>
          </w:tcPr>
          <w:p w14:paraId="04956D9F" w14:textId="77777777" w:rsidR="00F443A1" w:rsidRPr="00141EB8" w:rsidRDefault="00F443A1" w:rsidP="00F443A1">
            <w:pPr>
              <w:jc w:val="right"/>
              <w:rPr>
                <w:sz w:val="18"/>
                <w:szCs w:val="18"/>
              </w:rPr>
            </w:pPr>
            <w:r>
              <w:rPr>
                <w:sz w:val="18"/>
                <w:szCs w:val="18"/>
              </w:rPr>
              <w:t xml:space="preserve">          581,518.75 </w:t>
            </w:r>
          </w:p>
        </w:tc>
        <w:tc>
          <w:tcPr>
            <w:tcW w:w="1170" w:type="dxa"/>
            <w:shd w:val="clear" w:color="auto" w:fill="auto"/>
            <w:noWrap/>
            <w:vAlign w:val="bottom"/>
          </w:tcPr>
          <w:p w14:paraId="739B1F8F" w14:textId="77777777" w:rsidR="00F443A1" w:rsidRPr="00141EB8" w:rsidRDefault="00F443A1" w:rsidP="00F443A1">
            <w:pPr>
              <w:jc w:val="right"/>
              <w:rPr>
                <w:sz w:val="18"/>
                <w:szCs w:val="18"/>
              </w:rPr>
            </w:pPr>
            <w:r>
              <w:rPr>
                <w:sz w:val="18"/>
                <w:szCs w:val="18"/>
              </w:rPr>
              <w:t xml:space="preserve">         354,227.25 </w:t>
            </w:r>
          </w:p>
        </w:tc>
        <w:tc>
          <w:tcPr>
            <w:tcW w:w="1170" w:type="dxa"/>
            <w:shd w:val="clear" w:color="auto" w:fill="auto"/>
            <w:noWrap/>
            <w:vAlign w:val="bottom"/>
          </w:tcPr>
          <w:p w14:paraId="2116B700" w14:textId="06581C90" w:rsidR="00F443A1" w:rsidRPr="00141EB8" w:rsidRDefault="00F443A1" w:rsidP="00F443A1">
            <w:pPr>
              <w:jc w:val="right"/>
              <w:rPr>
                <w:sz w:val="18"/>
                <w:szCs w:val="18"/>
              </w:rPr>
            </w:pPr>
            <w:r>
              <w:rPr>
                <w:sz w:val="18"/>
                <w:szCs w:val="18"/>
              </w:rPr>
              <w:t>478,263.32</w:t>
            </w:r>
          </w:p>
        </w:tc>
        <w:tc>
          <w:tcPr>
            <w:tcW w:w="1170" w:type="dxa"/>
            <w:shd w:val="clear" w:color="auto" w:fill="auto"/>
            <w:noWrap/>
            <w:vAlign w:val="bottom"/>
          </w:tcPr>
          <w:p w14:paraId="7F772CD3" w14:textId="7AB7CA65" w:rsidR="00F443A1" w:rsidRPr="00141EB8" w:rsidRDefault="00F443A1" w:rsidP="00F443A1">
            <w:pPr>
              <w:jc w:val="right"/>
              <w:rPr>
                <w:sz w:val="18"/>
                <w:szCs w:val="18"/>
              </w:rPr>
            </w:pPr>
            <w:r>
              <w:rPr>
                <w:sz w:val="18"/>
                <w:szCs w:val="18"/>
              </w:rPr>
              <w:t>(124,036.07)</w:t>
            </w:r>
          </w:p>
        </w:tc>
        <w:tc>
          <w:tcPr>
            <w:tcW w:w="1170" w:type="dxa"/>
            <w:shd w:val="clear" w:color="auto" w:fill="auto"/>
            <w:noWrap/>
            <w:vAlign w:val="bottom"/>
          </w:tcPr>
          <w:p w14:paraId="19FF92D7" w14:textId="5FF4AD2E" w:rsidR="00F443A1" w:rsidRPr="00141EB8" w:rsidRDefault="00F443A1" w:rsidP="00F443A1">
            <w:pPr>
              <w:jc w:val="right"/>
              <w:rPr>
                <w:sz w:val="18"/>
                <w:szCs w:val="18"/>
              </w:rPr>
            </w:pPr>
            <w:r>
              <w:rPr>
                <w:sz w:val="18"/>
                <w:szCs w:val="18"/>
              </w:rPr>
              <w:t>124,036.07</w:t>
            </w:r>
          </w:p>
        </w:tc>
        <w:tc>
          <w:tcPr>
            <w:tcW w:w="723" w:type="dxa"/>
            <w:tcBorders>
              <w:right w:val="double" w:sz="4" w:space="0" w:color="auto"/>
            </w:tcBorders>
            <w:shd w:val="clear" w:color="auto" w:fill="auto"/>
            <w:noWrap/>
            <w:vAlign w:val="bottom"/>
          </w:tcPr>
          <w:p w14:paraId="7CB10311" w14:textId="601910C6" w:rsidR="00F443A1" w:rsidRPr="00141EB8" w:rsidRDefault="00F443A1" w:rsidP="00F443A1">
            <w:pPr>
              <w:jc w:val="right"/>
              <w:rPr>
                <w:sz w:val="18"/>
                <w:szCs w:val="18"/>
              </w:rPr>
            </w:pPr>
            <w:r>
              <w:rPr>
                <w:sz w:val="18"/>
                <w:szCs w:val="18"/>
              </w:rPr>
              <w:t>25.93</w:t>
            </w:r>
          </w:p>
        </w:tc>
      </w:tr>
      <w:tr w:rsidR="00F443A1" w:rsidRPr="005A497D" w14:paraId="476F3FBE" w14:textId="77777777" w:rsidTr="000D0E8D">
        <w:trPr>
          <w:trHeight w:val="288"/>
          <w:jc w:val="center"/>
        </w:trPr>
        <w:tc>
          <w:tcPr>
            <w:tcW w:w="2614" w:type="dxa"/>
            <w:tcBorders>
              <w:left w:val="double" w:sz="4" w:space="0" w:color="auto"/>
            </w:tcBorders>
            <w:shd w:val="clear" w:color="auto" w:fill="auto"/>
            <w:noWrap/>
            <w:vAlign w:val="center"/>
            <w:hideMark/>
          </w:tcPr>
          <w:p w14:paraId="0EC1D456" w14:textId="77777777" w:rsidR="00F443A1" w:rsidRPr="00141EB8" w:rsidRDefault="00F443A1" w:rsidP="00F443A1">
            <w:pPr>
              <w:rPr>
                <w:i/>
                <w:sz w:val="18"/>
                <w:szCs w:val="18"/>
              </w:rPr>
            </w:pPr>
            <w:r w:rsidRPr="00141EB8">
              <w:rPr>
                <w:i/>
                <w:sz w:val="18"/>
                <w:szCs w:val="18"/>
              </w:rPr>
              <w:t>Allocated expenditure</w:t>
            </w:r>
          </w:p>
        </w:tc>
        <w:tc>
          <w:tcPr>
            <w:tcW w:w="1350" w:type="dxa"/>
            <w:shd w:val="clear" w:color="auto" w:fill="auto"/>
            <w:noWrap/>
            <w:vAlign w:val="center"/>
          </w:tcPr>
          <w:p w14:paraId="3CFB93C0" w14:textId="77777777" w:rsidR="00F443A1" w:rsidRPr="00141EB8" w:rsidRDefault="00F443A1" w:rsidP="00F443A1">
            <w:pPr>
              <w:jc w:val="right"/>
              <w:rPr>
                <w:i/>
                <w:sz w:val="18"/>
                <w:szCs w:val="18"/>
              </w:rPr>
            </w:pPr>
            <w:r>
              <w:rPr>
                <w:i/>
                <w:iCs/>
                <w:sz w:val="18"/>
                <w:szCs w:val="18"/>
              </w:rPr>
              <w:t xml:space="preserve">      2,021,360.76 </w:t>
            </w:r>
          </w:p>
        </w:tc>
        <w:tc>
          <w:tcPr>
            <w:tcW w:w="1170" w:type="dxa"/>
            <w:shd w:val="clear" w:color="auto" w:fill="auto"/>
            <w:noWrap/>
            <w:vAlign w:val="center"/>
          </w:tcPr>
          <w:p w14:paraId="1A60028C" w14:textId="54E6BCE9" w:rsidR="00F443A1" w:rsidRPr="00141EB8" w:rsidRDefault="00F443A1" w:rsidP="00F443A1">
            <w:pPr>
              <w:jc w:val="right"/>
              <w:rPr>
                <w:i/>
                <w:sz w:val="18"/>
                <w:szCs w:val="18"/>
              </w:rPr>
            </w:pPr>
            <w:r>
              <w:rPr>
                <w:i/>
                <w:iCs/>
                <w:sz w:val="18"/>
                <w:szCs w:val="18"/>
              </w:rPr>
              <w:t xml:space="preserve"> 1,662,444.61 </w:t>
            </w:r>
          </w:p>
        </w:tc>
        <w:tc>
          <w:tcPr>
            <w:tcW w:w="1170" w:type="dxa"/>
            <w:shd w:val="clear" w:color="auto" w:fill="auto"/>
            <w:noWrap/>
            <w:vAlign w:val="bottom"/>
          </w:tcPr>
          <w:p w14:paraId="704E6782" w14:textId="23F95CC0" w:rsidR="00F443A1" w:rsidRPr="00F443A1" w:rsidRDefault="00F443A1" w:rsidP="00F443A1">
            <w:pPr>
              <w:jc w:val="right"/>
              <w:rPr>
                <w:i/>
                <w:iCs/>
                <w:sz w:val="18"/>
                <w:szCs w:val="18"/>
              </w:rPr>
            </w:pPr>
            <w:r>
              <w:rPr>
                <w:i/>
                <w:iCs/>
                <w:sz w:val="18"/>
                <w:szCs w:val="18"/>
              </w:rPr>
              <w:t>1,662,444.61</w:t>
            </w:r>
          </w:p>
        </w:tc>
        <w:tc>
          <w:tcPr>
            <w:tcW w:w="1170" w:type="dxa"/>
            <w:shd w:val="clear" w:color="auto" w:fill="auto"/>
            <w:noWrap/>
            <w:vAlign w:val="center"/>
          </w:tcPr>
          <w:p w14:paraId="0AE5DE57" w14:textId="06F1FDA9" w:rsidR="00F443A1" w:rsidRPr="00141EB8" w:rsidRDefault="00F443A1" w:rsidP="00F443A1">
            <w:pPr>
              <w:jc w:val="right"/>
              <w:rPr>
                <w:i/>
                <w:sz w:val="18"/>
                <w:szCs w:val="18"/>
              </w:rPr>
            </w:pPr>
            <w:r>
              <w:rPr>
                <w:i/>
                <w:iCs/>
                <w:sz w:val="18"/>
                <w:szCs w:val="18"/>
              </w:rPr>
              <w:t>-</w:t>
            </w:r>
          </w:p>
        </w:tc>
        <w:tc>
          <w:tcPr>
            <w:tcW w:w="1170" w:type="dxa"/>
            <w:shd w:val="clear" w:color="auto" w:fill="auto"/>
            <w:noWrap/>
            <w:vAlign w:val="bottom"/>
          </w:tcPr>
          <w:p w14:paraId="2F8F69AD" w14:textId="2E485332" w:rsidR="00F443A1" w:rsidRPr="00141EB8" w:rsidRDefault="00F443A1" w:rsidP="00F443A1">
            <w:pPr>
              <w:jc w:val="right"/>
              <w:rPr>
                <w:i/>
                <w:sz w:val="18"/>
                <w:szCs w:val="18"/>
              </w:rPr>
            </w:pPr>
            <w:r>
              <w:rPr>
                <w:i/>
                <w:iCs/>
                <w:sz w:val="18"/>
                <w:szCs w:val="18"/>
              </w:rPr>
              <w:t>272,531.19</w:t>
            </w:r>
          </w:p>
        </w:tc>
        <w:tc>
          <w:tcPr>
            <w:tcW w:w="723" w:type="dxa"/>
            <w:tcBorders>
              <w:right w:val="double" w:sz="4" w:space="0" w:color="auto"/>
            </w:tcBorders>
            <w:shd w:val="clear" w:color="auto" w:fill="auto"/>
            <w:noWrap/>
            <w:vAlign w:val="center"/>
          </w:tcPr>
          <w:p w14:paraId="2BD5E2EC" w14:textId="27AC774A" w:rsidR="00F443A1" w:rsidRPr="00141EB8" w:rsidRDefault="00F443A1" w:rsidP="00F443A1">
            <w:pPr>
              <w:jc w:val="right"/>
              <w:rPr>
                <w:i/>
                <w:sz w:val="18"/>
                <w:szCs w:val="18"/>
              </w:rPr>
            </w:pPr>
          </w:p>
        </w:tc>
      </w:tr>
      <w:tr w:rsidR="00917C30" w:rsidRPr="005A497D" w14:paraId="352A3A5D" w14:textId="77777777" w:rsidTr="009E55FB">
        <w:trPr>
          <w:trHeight w:val="288"/>
          <w:jc w:val="center"/>
        </w:trPr>
        <w:tc>
          <w:tcPr>
            <w:tcW w:w="2614" w:type="dxa"/>
            <w:tcBorders>
              <w:left w:val="double" w:sz="4" w:space="0" w:color="auto"/>
            </w:tcBorders>
            <w:shd w:val="clear" w:color="auto" w:fill="auto"/>
            <w:noWrap/>
            <w:vAlign w:val="center"/>
          </w:tcPr>
          <w:p w14:paraId="11ED24DB" w14:textId="77777777" w:rsidR="00917C30" w:rsidRPr="00141EB8" w:rsidRDefault="00917C30" w:rsidP="009E55FB">
            <w:pPr>
              <w:rPr>
                <w:sz w:val="18"/>
                <w:szCs w:val="18"/>
                <w:lang w:eastAsia="en-IN"/>
              </w:rPr>
            </w:pPr>
            <w:r w:rsidRPr="00141EB8">
              <w:rPr>
                <w:sz w:val="18"/>
                <w:szCs w:val="18"/>
                <w:lang w:eastAsia="en-IN"/>
              </w:rPr>
              <w:t xml:space="preserve">Interest </w:t>
            </w:r>
            <w:r>
              <w:rPr>
                <w:sz w:val="18"/>
                <w:szCs w:val="18"/>
                <w:lang w:eastAsia="en-IN"/>
              </w:rPr>
              <w:t xml:space="preserve">&amp; principal </w:t>
            </w:r>
            <w:r w:rsidRPr="00141EB8">
              <w:rPr>
                <w:sz w:val="18"/>
                <w:szCs w:val="18"/>
                <w:lang w:eastAsia="en-IN"/>
              </w:rPr>
              <w:t>on debt</w:t>
            </w:r>
          </w:p>
        </w:tc>
        <w:tc>
          <w:tcPr>
            <w:tcW w:w="1350" w:type="dxa"/>
            <w:shd w:val="clear" w:color="auto" w:fill="auto"/>
            <w:noWrap/>
            <w:vAlign w:val="center"/>
          </w:tcPr>
          <w:p w14:paraId="51ABAE50" w14:textId="77777777" w:rsidR="00917C30" w:rsidRPr="000D0E8D" w:rsidRDefault="00917C30" w:rsidP="009E55FB">
            <w:pPr>
              <w:jc w:val="right"/>
              <w:rPr>
                <w:i/>
                <w:color w:val="000000"/>
                <w:sz w:val="18"/>
                <w:szCs w:val="18"/>
              </w:rPr>
            </w:pPr>
            <w:r w:rsidRPr="000D0E8D">
              <w:rPr>
                <w:i/>
                <w:sz w:val="18"/>
                <w:szCs w:val="18"/>
              </w:rPr>
              <w:t xml:space="preserve">          783,246.00 </w:t>
            </w:r>
          </w:p>
        </w:tc>
        <w:tc>
          <w:tcPr>
            <w:tcW w:w="1170" w:type="dxa"/>
            <w:shd w:val="clear" w:color="auto" w:fill="auto"/>
            <w:noWrap/>
            <w:vAlign w:val="center"/>
          </w:tcPr>
          <w:p w14:paraId="424B1B37" w14:textId="77777777" w:rsidR="00917C30" w:rsidRPr="000D0E8D" w:rsidRDefault="00917C30" w:rsidP="009E55FB">
            <w:pPr>
              <w:jc w:val="right"/>
              <w:rPr>
                <w:i/>
                <w:color w:val="000000"/>
                <w:sz w:val="18"/>
                <w:szCs w:val="18"/>
              </w:rPr>
            </w:pPr>
            <w:r w:rsidRPr="000D0E8D">
              <w:rPr>
                <w:i/>
                <w:sz w:val="18"/>
                <w:szCs w:val="18"/>
              </w:rPr>
              <w:t xml:space="preserve">         557,028.40 </w:t>
            </w:r>
          </w:p>
        </w:tc>
        <w:tc>
          <w:tcPr>
            <w:tcW w:w="4233" w:type="dxa"/>
            <w:gridSpan w:val="4"/>
            <w:vMerge w:val="restart"/>
            <w:tcBorders>
              <w:right w:val="double" w:sz="4" w:space="0" w:color="auto"/>
            </w:tcBorders>
            <w:shd w:val="clear" w:color="auto" w:fill="auto"/>
            <w:noWrap/>
            <w:vAlign w:val="center"/>
          </w:tcPr>
          <w:p w14:paraId="565FD2E3" w14:textId="77777777" w:rsidR="00917C30" w:rsidRPr="00141EB8" w:rsidRDefault="00917C30" w:rsidP="009E55FB">
            <w:pPr>
              <w:jc w:val="center"/>
              <w:rPr>
                <w:sz w:val="18"/>
                <w:szCs w:val="18"/>
                <w:lang w:eastAsia="en-IN"/>
              </w:rPr>
            </w:pPr>
          </w:p>
        </w:tc>
      </w:tr>
      <w:tr w:rsidR="00917C30" w:rsidRPr="005A497D" w14:paraId="664589AA" w14:textId="77777777" w:rsidTr="009E55FB">
        <w:trPr>
          <w:trHeight w:val="288"/>
          <w:jc w:val="center"/>
        </w:trPr>
        <w:tc>
          <w:tcPr>
            <w:tcW w:w="2614" w:type="dxa"/>
            <w:tcBorders>
              <w:left w:val="double" w:sz="4" w:space="0" w:color="auto"/>
            </w:tcBorders>
            <w:shd w:val="clear" w:color="auto" w:fill="auto"/>
            <w:noWrap/>
            <w:vAlign w:val="center"/>
            <w:hideMark/>
          </w:tcPr>
          <w:p w14:paraId="300DCAD7" w14:textId="77777777" w:rsidR="00917C30" w:rsidRPr="00141EB8" w:rsidRDefault="00917C30" w:rsidP="009E55FB">
            <w:pPr>
              <w:rPr>
                <w:sz w:val="18"/>
                <w:szCs w:val="18"/>
                <w:lang w:eastAsia="en-IN"/>
              </w:rPr>
            </w:pPr>
            <w:r>
              <w:rPr>
                <w:sz w:val="18"/>
                <w:szCs w:val="18"/>
                <w:lang w:eastAsia="en-IN"/>
              </w:rPr>
              <w:t>Contingency</w:t>
            </w:r>
          </w:p>
        </w:tc>
        <w:tc>
          <w:tcPr>
            <w:tcW w:w="1350" w:type="dxa"/>
            <w:shd w:val="clear" w:color="auto" w:fill="auto"/>
            <w:noWrap/>
            <w:vAlign w:val="bottom"/>
          </w:tcPr>
          <w:p w14:paraId="1C2B77C5" w14:textId="77777777" w:rsidR="00917C30" w:rsidRPr="000D0E8D" w:rsidRDefault="00917C30" w:rsidP="009E55FB">
            <w:pPr>
              <w:jc w:val="right"/>
              <w:rPr>
                <w:i/>
                <w:color w:val="000000"/>
                <w:sz w:val="18"/>
                <w:szCs w:val="18"/>
              </w:rPr>
            </w:pPr>
            <w:r w:rsidRPr="000D0E8D">
              <w:rPr>
                <w:i/>
                <w:sz w:val="18"/>
                <w:szCs w:val="18"/>
              </w:rPr>
              <w:t xml:space="preserve">            13,782.69 </w:t>
            </w:r>
          </w:p>
        </w:tc>
        <w:tc>
          <w:tcPr>
            <w:tcW w:w="1170" w:type="dxa"/>
            <w:shd w:val="clear" w:color="auto" w:fill="auto"/>
            <w:noWrap/>
            <w:vAlign w:val="bottom"/>
          </w:tcPr>
          <w:p w14:paraId="4A9E75FD" w14:textId="77777777" w:rsidR="00917C30" w:rsidRPr="000D0E8D" w:rsidRDefault="00917C30" w:rsidP="009E55FB">
            <w:pPr>
              <w:jc w:val="right"/>
              <w:rPr>
                <w:i/>
                <w:color w:val="000000"/>
                <w:sz w:val="18"/>
                <w:szCs w:val="18"/>
              </w:rPr>
            </w:pPr>
            <w:r w:rsidRPr="000D0E8D">
              <w:rPr>
                <w:i/>
                <w:sz w:val="18"/>
                <w:szCs w:val="18"/>
              </w:rPr>
              <w:t xml:space="preserve">             9,325.73 </w:t>
            </w:r>
          </w:p>
        </w:tc>
        <w:tc>
          <w:tcPr>
            <w:tcW w:w="4233" w:type="dxa"/>
            <w:gridSpan w:val="4"/>
            <w:vMerge/>
            <w:tcBorders>
              <w:right w:val="double" w:sz="4" w:space="0" w:color="auto"/>
            </w:tcBorders>
            <w:shd w:val="clear" w:color="auto" w:fill="auto"/>
            <w:noWrap/>
            <w:vAlign w:val="bottom"/>
            <w:hideMark/>
          </w:tcPr>
          <w:p w14:paraId="3C21584E" w14:textId="77777777" w:rsidR="00917C30" w:rsidRPr="00141EB8" w:rsidRDefault="00917C30" w:rsidP="009E55FB">
            <w:pPr>
              <w:jc w:val="center"/>
              <w:rPr>
                <w:sz w:val="18"/>
                <w:szCs w:val="18"/>
                <w:lang w:eastAsia="en-IN"/>
              </w:rPr>
            </w:pPr>
          </w:p>
        </w:tc>
      </w:tr>
      <w:tr w:rsidR="00917C30" w:rsidRPr="005A497D" w14:paraId="46D6A74F" w14:textId="77777777" w:rsidTr="009E55FB">
        <w:trPr>
          <w:trHeight w:val="279"/>
          <w:jc w:val="center"/>
        </w:trPr>
        <w:tc>
          <w:tcPr>
            <w:tcW w:w="2614" w:type="dxa"/>
            <w:tcBorders>
              <w:left w:val="double" w:sz="4" w:space="0" w:color="auto"/>
              <w:bottom w:val="double" w:sz="4" w:space="0" w:color="auto"/>
            </w:tcBorders>
            <w:shd w:val="clear" w:color="auto" w:fill="auto"/>
            <w:noWrap/>
            <w:vAlign w:val="center"/>
            <w:hideMark/>
          </w:tcPr>
          <w:p w14:paraId="14BF3D17" w14:textId="77777777" w:rsidR="00917C30" w:rsidRPr="00141EB8" w:rsidRDefault="00917C30" w:rsidP="009E55FB">
            <w:pPr>
              <w:rPr>
                <w:b/>
                <w:sz w:val="18"/>
                <w:szCs w:val="18"/>
                <w:lang w:eastAsia="en-IN"/>
              </w:rPr>
            </w:pPr>
            <w:r w:rsidRPr="00141EB8">
              <w:rPr>
                <w:b/>
                <w:sz w:val="18"/>
                <w:szCs w:val="18"/>
                <w:lang w:eastAsia="en-IN"/>
              </w:rPr>
              <w:t>Total expenditure</w:t>
            </w:r>
          </w:p>
        </w:tc>
        <w:tc>
          <w:tcPr>
            <w:tcW w:w="1350" w:type="dxa"/>
            <w:tcBorders>
              <w:bottom w:val="double" w:sz="4" w:space="0" w:color="auto"/>
            </w:tcBorders>
            <w:shd w:val="clear" w:color="auto" w:fill="auto"/>
            <w:noWrap/>
            <w:vAlign w:val="bottom"/>
          </w:tcPr>
          <w:p w14:paraId="07975847" w14:textId="77777777" w:rsidR="00917C30" w:rsidRPr="00141EB8" w:rsidRDefault="00917C30" w:rsidP="009E55FB">
            <w:pPr>
              <w:jc w:val="right"/>
              <w:rPr>
                <w:b/>
                <w:color w:val="000000"/>
                <w:sz w:val="18"/>
                <w:szCs w:val="18"/>
              </w:rPr>
            </w:pPr>
            <w:r w:rsidRPr="00AC326C">
              <w:rPr>
                <w:b/>
                <w:sz w:val="18"/>
                <w:szCs w:val="18"/>
              </w:rPr>
              <w:t xml:space="preserve">       2,818,389.45 </w:t>
            </w:r>
          </w:p>
        </w:tc>
        <w:tc>
          <w:tcPr>
            <w:tcW w:w="1170" w:type="dxa"/>
            <w:tcBorders>
              <w:bottom w:val="double" w:sz="4" w:space="0" w:color="auto"/>
            </w:tcBorders>
            <w:shd w:val="clear" w:color="auto" w:fill="auto"/>
            <w:noWrap/>
            <w:vAlign w:val="bottom"/>
          </w:tcPr>
          <w:p w14:paraId="542242C1" w14:textId="77777777" w:rsidR="00917C30" w:rsidRPr="00141EB8" w:rsidRDefault="00917C30" w:rsidP="009E55FB">
            <w:pPr>
              <w:jc w:val="right"/>
              <w:rPr>
                <w:b/>
                <w:color w:val="000000"/>
                <w:sz w:val="18"/>
                <w:szCs w:val="18"/>
              </w:rPr>
            </w:pPr>
            <w:r w:rsidRPr="00C70E56">
              <w:rPr>
                <w:b/>
                <w:sz w:val="18"/>
                <w:szCs w:val="18"/>
              </w:rPr>
              <w:t xml:space="preserve">      2,228,798.74 </w:t>
            </w:r>
          </w:p>
        </w:tc>
        <w:tc>
          <w:tcPr>
            <w:tcW w:w="4233" w:type="dxa"/>
            <w:gridSpan w:val="4"/>
            <w:vMerge/>
            <w:tcBorders>
              <w:bottom w:val="double" w:sz="4" w:space="0" w:color="auto"/>
              <w:right w:val="double" w:sz="4" w:space="0" w:color="auto"/>
            </w:tcBorders>
            <w:shd w:val="clear" w:color="auto" w:fill="auto"/>
            <w:noWrap/>
            <w:vAlign w:val="bottom"/>
            <w:hideMark/>
          </w:tcPr>
          <w:p w14:paraId="4167D156" w14:textId="77777777" w:rsidR="00917C30" w:rsidRPr="00141EB8" w:rsidRDefault="00917C30" w:rsidP="009E55FB">
            <w:pPr>
              <w:rPr>
                <w:b/>
                <w:sz w:val="18"/>
                <w:szCs w:val="18"/>
                <w:lang w:eastAsia="en-IN"/>
              </w:rPr>
            </w:pPr>
          </w:p>
        </w:tc>
      </w:tr>
      <w:tr w:rsidR="00917C30" w:rsidRPr="005A497D" w14:paraId="1E865E83" w14:textId="77777777" w:rsidTr="009E55FB">
        <w:trPr>
          <w:trHeight w:val="264"/>
          <w:jc w:val="center"/>
        </w:trPr>
        <w:tc>
          <w:tcPr>
            <w:tcW w:w="5134" w:type="dxa"/>
            <w:gridSpan w:val="3"/>
            <w:tcBorders>
              <w:top w:val="double" w:sz="4" w:space="0" w:color="auto"/>
              <w:left w:val="double" w:sz="4" w:space="0" w:color="auto"/>
            </w:tcBorders>
            <w:shd w:val="clear" w:color="auto" w:fill="auto"/>
            <w:noWrap/>
            <w:vAlign w:val="center"/>
            <w:hideMark/>
          </w:tcPr>
          <w:p w14:paraId="33DD5E16" w14:textId="77777777" w:rsidR="00917C30" w:rsidRPr="00141EB8" w:rsidRDefault="00917C30" w:rsidP="009E55FB">
            <w:pPr>
              <w:rPr>
                <w:b/>
                <w:i/>
                <w:sz w:val="18"/>
                <w:szCs w:val="18"/>
                <w:lang w:eastAsia="en-IN"/>
              </w:rPr>
            </w:pPr>
            <w:r w:rsidRPr="00141EB8">
              <w:rPr>
                <w:b/>
                <w:i/>
                <w:sz w:val="18"/>
                <w:szCs w:val="18"/>
                <w:lang w:eastAsia="en-IN"/>
              </w:rPr>
              <w:t>Overall (PI-1) variance</w:t>
            </w:r>
          </w:p>
        </w:tc>
        <w:tc>
          <w:tcPr>
            <w:tcW w:w="4233" w:type="dxa"/>
            <w:gridSpan w:val="4"/>
            <w:tcBorders>
              <w:top w:val="double" w:sz="4" w:space="0" w:color="auto"/>
              <w:right w:val="double" w:sz="4" w:space="0" w:color="auto"/>
            </w:tcBorders>
            <w:shd w:val="clear" w:color="auto" w:fill="auto"/>
            <w:noWrap/>
            <w:vAlign w:val="bottom"/>
          </w:tcPr>
          <w:p w14:paraId="4E6F4A68" w14:textId="77777777" w:rsidR="00917C30" w:rsidRPr="0071597D" w:rsidRDefault="00917C30" w:rsidP="009E55FB">
            <w:pPr>
              <w:jc w:val="center"/>
              <w:rPr>
                <w:b/>
                <w:i/>
                <w:sz w:val="18"/>
                <w:szCs w:val="18"/>
              </w:rPr>
            </w:pPr>
            <w:r w:rsidRPr="0071597D">
              <w:rPr>
                <w:b/>
                <w:i/>
                <w:sz w:val="18"/>
                <w:szCs w:val="18"/>
              </w:rPr>
              <w:t>20.9%</w:t>
            </w:r>
          </w:p>
        </w:tc>
      </w:tr>
      <w:tr w:rsidR="00917C30" w:rsidRPr="005A497D" w14:paraId="4FE3EE95" w14:textId="77777777" w:rsidTr="009E55FB">
        <w:trPr>
          <w:trHeight w:val="279"/>
          <w:jc w:val="center"/>
        </w:trPr>
        <w:tc>
          <w:tcPr>
            <w:tcW w:w="5134" w:type="dxa"/>
            <w:gridSpan w:val="3"/>
            <w:tcBorders>
              <w:left w:val="double" w:sz="4" w:space="0" w:color="auto"/>
            </w:tcBorders>
            <w:shd w:val="clear" w:color="auto" w:fill="auto"/>
            <w:noWrap/>
            <w:vAlign w:val="center"/>
            <w:hideMark/>
          </w:tcPr>
          <w:p w14:paraId="23E47C31" w14:textId="77777777" w:rsidR="00917C30" w:rsidRPr="00141EB8" w:rsidRDefault="00917C30" w:rsidP="009E55FB">
            <w:pPr>
              <w:rPr>
                <w:b/>
                <w:i/>
                <w:sz w:val="18"/>
                <w:szCs w:val="18"/>
                <w:lang w:eastAsia="en-IN"/>
              </w:rPr>
            </w:pPr>
            <w:r w:rsidRPr="00141EB8">
              <w:rPr>
                <w:b/>
                <w:i/>
                <w:sz w:val="18"/>
                <w:szCs w:val="18"/>
                <w:lang w:eastAsia="en-IN"/>
              </w:rPr>
              <w:t>Composition (PI-2) variance</w:t>
            </w:r>
          </w:p>
        </w:tc>
        <w:tc>
          <w:tcPr>
            <w:tcW w:w="4233" w:type="dxa"/>
            <w:gridSpan w:val="4"/>
            <w:tcBorders>
              <w:right w:val="double" w:sz="4" w:space="0" w:color="auto"/>
            </w:tcBorders>
            <w:shd w:val="clear" w:color="auto" w:fill="auto"/>
            <w:noWrap/>
            <w:vAlign w:val="bottom"/>
          </w:tcPr>
          <w:p w14:paraId="0F7D2AE9" w14:textId="77777777" w:rsidR="00917C30" w:rsidRPr="0071597D" w:rsidRDefault="00917C30" w:rsidP="009E55FB">
            <w:pPr>
              <w:jc w:val="center"/>
              <w:rPr>
                <w:b/>
                <w:i/>
                <w:sz w:val="18"/>
                <w:szCs w:val="18"/>
              </w:rPr>
            </w:pPr>
            <w:r w:rsidRPr="0071597D">
              <w:rPr>
                <w:b/>
                <w:i/>
                <w:sz w:val="18"/>
                <w:szCs w:val="18"/>
              </w:rPr>
              <w:t>16.</w:t>
            </w:r>
            <w:r>
              <w:rPr>
                <w:b/>
                <w:i/>
                <w:sz w:val="18"/>
                <w:szCs w:val="18"/>
              </w:rPr>
              <w:t>39</w:t>
            </w:r>
            <w:r w:rsidRPr="0071597D">
              <w:rPr>
                <w:b/>
                <w:i/>
                <w:sz w:val="18"/>
                <w:szCs w:val="18"/>
              </w:rPr>
              <w:t>%</w:t>
            </w:r>
          </w:p>
        </w:tc>
      </w:tr>
      <w:tr w:rsidR="00917C30" w:rsidRPr="005A497D" w14:paraId="16CE4B7E" w14:textId="77777777" w:rsidTr="009E55FB">
        <w:trPr>
          <w:trHeight w:val="264"/>
          <w:jc w:val="center"/>
        </w:trPr>
        <w:tc>
          <w:tcPr>
            <w:tcW w:w="5134" w:type="dxa"/>
            <w:gridSpan w:val="3"/>
            <w:tcBorders>
              <w:left w:val="double" w:sz="4" w:space="0" w:color="auto"/>
              <w:bottom w:val="double" w:sz="4" w:space="0" w:color="auto"/>
            </w:tcBorders>
            <w:shd w:val="clear" w:color="auto" w:fill="auto"/>
            <w:noWrap/>
            <w:vAlign w:val="center"/>
            <w:hideMark/>
          </w:tcPr>
          <w:p w14:paraId="76449DF8" w14:textId="77777777" w:rsidR="00917C30" w:rsidRPr="00141EB8" w:rsidRDefault="00917C30" w:rsidP="009E55FB">
            <w:pPr>
              <w:rPr>
                <w:b/>
                <w:i/>
                <w:sz w:val="18"/>
                <w:szCs w:val="18"/>
                <w:lang w:eastAsia="en-IN"/>
              </w:rPr>
            </w:pPr>
            <w:r w:rsidRPr="00141EB8">
              <w:rPr>
                <w:b/>
                <w:i/>
                <w:sz w:val="18"/>
                <w:szCs w:val="18"/>
                <w:lang w:eastAsia="en-IN"/>
              </w:rPr>
              <w:t>Contingency share of budget</w:t>
            </w:r>
          </w:p>
        </w:tc>
        <w:tc>
          <w:tcPr>
            <w:tcW w:w="4233" w:type="dxa"/>
            <w:gridSpan w:val="4"/>
            <w:tcBorders>
              <w:bottom w:val="double" w:sz="4" w:space="0" w:color="auto"/>
              <w:right w:val="double" w:sz="4" w:space="0" w:color="auto"/>
            </w:tcBorders>
            <w:shd w:val="clear" w:color="auto" w:fill="auto"/>
            <w:noWrap/>
            <w:vAlign w:val="bottom"/>
          </w:tcPr>
          <w:p w14:paraId="416D3D1D" w14:textId="77777777" w:rsidR="00917C30" w:rsidRPr="0071597D" w:rsidRDefault="00917C30" w:rsidP="009E55FB">
            <w:pPr>
              <w:jc w:val="center"/>
              <w:rPr>
                <w:b/>
                <w:i/>
                <w:sz w:val="18"/>
                <w:szCs w:val="18"/>
              </w:rPr>
            </w:pPr>
            <w:r w:rsidRPr="0071597D">
              <w:rPr>
                <w:b/>
                <w:i/>
                <w:sz w:val="18"/>
                <w:szCs w:val="18"/>
              </w:rPr>
              <w:t>0.</w:t>
            </w:r>
            <w:r>
              <w:rPr>
                <w:b/>
                <w:i/>
                <w:sz w:val="18"/>
                <w:szCs w:val="18"/>
              </w:rPr>
              <w:t>3</w:t>
            </w:r>
            <w:r w:rsidRPr="0071597D">
              <w:rPr>
                <w:b/>
                <w:i/>
                <w:sz w:val="18"/>
                <w:szCs w:val="18"/>
              </w:rPr>
              <w:t>3%</w:t>
            </w:r>
          </w:p>
        </w:tc>
      </w:tr>
    </w:tbl>
    <w:p w14:paraId="5CC87D38" w14:textId="77777777" w:rsidR="00211604" w:rsidRPr="005A497D" w:rsidRDefault="00211604" w:rsidP="009A012D">
      <w:pPr>
        <w:autoSpaceDE w:val="0"/>
        <w:autoSpaceDN w:val="0"/>
        <w:adjustRightInd w:val="0"/>
        <w:contextualSpacing/>
        <w:jc w:val="both"/>
      </w:pPr>
    </w:p>
    <w:p w14:paraId="1278B4AC" w14:textId="7FACF4B1" w:rsidR="00631D6A" w:rsidRPr="005A497D" w:rsidRDefault="00631D6A" w:rsidP="00631D6A">
      <w:pPr>
        <w:pStyle w:val="PEFATable"/>
        <w:spacing w:after="40"/>
        <w:jc w:val="both"/>
      </w:pPr>
      <w:bookmarkStart w:id="439" w:name="_Toc454889269"/>
      <w:r w:rsidRPr="005A497D">
        <w:rPr>
          <w:sz w:val="24"/>
          <w:szCs w:val="24"/>
        </w:rPr>
        <w:t xml:space="preserve">Table </w:t>
      </w:r>
      <w:r w:rsidR="009A6E2C">
        <w:rPr>
          <w:sz w:val="24"/>
          <w:szCs w:val="24"/>
        </w:rPr>
        <w:t>A</w:t>
      </w:r>
      <w:r w:rsidR="0027211D">
        <w:rPr>
          <w:sz w:val="24"/>
          <w:szCs w:val="24"/>
        </w:rPr>
        <w:t>4</w:t>
      </w:r>
      <w:r w:rsidRPr="005A497D">
        <w:rPr>
          <w:sz w:val="24"/>
          <w:szCs w:val="24"/>
        </w:rPr>
        <w:t>.3: Data for PI-1 and PI-2, 2014</w:t>
      </w:r>
      <w:bookmarkEnd w:id="439"/>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1440"/>
        <w:gridCol w:w="1227"/>
        <w:gridCol w:w="1260"/>
        <w:gridCol w:w="1170"/>
        <w:gridCol w:w="1113"/>
        <w:gridCol w:w="896"/>
      </w:tblGrid>
      <w:tr w:rsidR="00917C30" w:rsidRPr="005A497D" w14:paraId="2E399321" w14:textId="77777777" w:rsidTr="009E55FB">
        <w:trPr>
          <w:trHeight w:val="144"/>
          <w:tblHeader/>
        </w:trPr>
        <w:tc>
          <w:tcPr>
            <w:tcW w:w="2261" w:type="dxa"/>
            <w:tcBorders>
              <w:top w:val="double" w:sz="4" w:space="0" w:color="auto"/>
              <w:left w:val="double" w:sz="4" w:space="0" w:color="auto"/>
              <w:bottom w:val="double" w:sz="4" w:space="0" w:color="auto"/>
            </w:tcBorders>
            <w:shd w:val="clear" w:color="auto" w:fill="D9D9D9" w:themeFill="background1" w:themeFillShade="D9"/>
            <w:noWrap/>
            <w:vAlign w:val="center"/>
          </w:tcPr>
          <w:p w14:paraId="6EF473E5" w14:textId="77777777" w:rsidR="00917C30" w:rsidRPr="003567C3" w:rsidRDefault="00917C30" w:rsidP="009E55FB">
            <w:pPr>
              <w:jc w:val="center"/>
              <w:rPr>
                <w:b/>
                <w:i/>
                <w:sz w:val="20"/>
                <w:szCs w:val="16"/>
                <w:lang w:eastAsia="en-IN"/>
              </w:rPr>
            </w:pPr>
          </w:p>
        </w:tc>
        <w:tc>
          <w:tcPr>
            <w:tcW w:w="6210" w:type="dxa"/>
            <w:gridSpan w:val="5"/>
            <w:tcBorders>
              <w:top w:val="double" w:sz="4" w:space="0" w:color="auto"/>
              <w:bottom w:val="double" w:sz="4" w:space="0" w:color="auto"/>
            </w:tcBorders>
            <w:shd w:val="clear" w:color="auto" w:fill="D9D9D9" w:themeFill="background1" w:themeFillShade="D9"/>
            <w:noWrap/>
            <w:vAlign w:val="center"/>
          </w:tcPr>
          <w:p w14:paraId="330F1B2B" w14:textId="77777777" w:rsidR="00917C30" w:rsidRPr="003567C3" w:rsidRDefault="00917C30" w:rsidP="009E55FB">
            <w:pPr>
              <w:jc w:val="center"/>
              <w:rPr>
                <w:b/>
                <w:i/>
                <w:sz w:val="20"/>
                <w:szCs w:val="16"/>
                <w:lang w:eastAsia="en-IN"/>
              </w:rPr>
            </w:pPr>
            <w:r w:rsidRPr="0071597D">
              <w:rPr>
                <w:b/>
                <w:i/>
                <w:sz w:val="20"/>
                <w:szCs w:val="16"/>
                <w:lang w:eastAsia="en-IN"/>
              </w:rPr>
              <w:t xml:space="preserve">(PhP </w:t>
            </w:r>
            <w:r>
              <w:rPr>
                <w:b/>
                <w:i/>
                <w:sz w:val="20"/>
                <w:szCs w:val="16"/>
                <w:lang w:eastAsia="en-IN"/>
              </w:rPr>
              <w:t>millions</w:t>
            </w:r>
            <w:r w:rsidRPr="0071597D">
              <w:rPr>
                <w:b/>
                <w:i/>
                <w:sz w:val="20"/>
                <w:szCs w:val="16"/>
                <w:lang w:eastAsia="en-IN"/>
              </w:rPr>
              <w:t>)</w:t>
            </w:r>
          </w:p>
        </w:tc>
        <w:tc>
          <w:tcPr>
            <w:tcW w:w="896" w:type="dxa"/>
            <w:vMerge w:val="restart"/>
            <w:tcBorders>
              <w:top w:val="double" w:sz="4" w:space="0" w:color="auto"/>
              <w:right w:val="double" w:sz="4" w:space="0" w:color="auto"/>
            </w:tcBorders>
            <w:shd w:val="clear" w:color="auto" w:fill="D9D9D9" w:themeFill="background1" w:themeFillShade="D9"/>
            <w:noWrap/>
            <w:vAlign w:val="center"/>
          </w:tcPr>
          <w:p w14:paraId="65920794" w14:textId="77777777" w:rsidR="00917C30" w:rsidRPr="003567C3" w:rsidRDefault="00917C30" w:rsidP="009E55FB">
            <w:pPr>
              <w:jc w:val="center"/>
              <w:rPr>
                <w:b/>
                <w:i/>
                <w:sz w:val="20"/>
                <w:szCs w:val="16"/>
                <w:lang w:eastAsia="en-IN"/>
              </w:rPr>
            </w:pPr>
            <w:r w:rsidRPr="003567C3">
              <w:rPr>
                <w:b/>
                <w:i/>
                <w:sz w:val="20"/>
                <w:szCs w:val="16"/>
                <w:lang w:eastAsia="en-IN"/>
              </w:rPr>
              <w:t>%</w:t>
            </w:r>
          </w:p>
        </w:tc>
      </w:tr>
      <w:tr w:rsidR="00917C30" w:rsidRPr="005A497D" w14:paraId="2E32A0B1" w14:textId="77777777" w:rsidTr="000D0E8D">
        <w:trPr>
          <w:trHeight w:val="510"/>
          <w:tblHeader/>
        </w:trPr>
        <w:tc>
          <w:tcPr>
            <w:tcW w:w="2261" w:type="dxa"/>
            <w:tcBorders>
              <w:top w:val="double" w:sz="4" w:space="0" w:color="auto"/>
              <w:left w:val="double" w:sz="4" w:space="0" w:color="auto"/>
              <w:bottom w:val="double" w:sz="4" w:space="0" w:color="auto"/>
            </w:tcBorders>
            <w:shd w:val="clear" w:color="auto" w:fill="D9D9D9" w:themeFill="background1" w:themeFillShade="D9"/>
            <w:noWrap/>
            <w:vAlign w:val="center"/>
            <w:hideMark/>
          </w:tcPr>
          <w:p w14:paraId="71CE3513" w14:textId="77777777" w:rsidR="00917C30" w:rsidRPr="003567C3" w:rsidRDefault="00917C30" w:rsidP="009E55FB">
            <w:pPr>
              <w:jc w:val="center"/>
              <w:rPr>
                <w:b/>
                <w:i/>
                <w:sz w:val="20"/>
                <w:szCs w:val="16"/>
                <w:lang w:eastAsia="en-IN"/>
              </w:rPr>
            </w:pPr>
            <w:r w:rsidRPr="003567C3">
              <w:rPr>
                <w:b/>
                <w:i/>
                <w:sz w:val="20"/>
                <w:szCs w:val="16"/>
                <w:lang w:eastAsia="en-IN"/>
              </w:rPr>
              <w:t xml:space="preserve">Administrative or </w:t>
            </w:r>
          </w:p>
          <w:p w14:paraId="0ED6FCD0" w14:textId="77777777" w:rsidR="00917C30" w:rsidRPr="003567C3" w:rsidRDefault="00917C30" w:rsidP="009E55FB">
            <w:pPr>
              <w:jc w:val="center"/>
              <w:rPr>
                <w:b/>
                <w:i/>
                <w:sz w:val="20"/>
                <w:szCs w:val="16"/>
                <w:lang w:eastAsia="en-IN"/>
              </w:rPr>
            </w:pPr>
            <w:r w:rsidRPr="003567C3">
              <w:rPr>
                <w:b/>
                <w:i/>
                <w:sz w:val="20"/>
                <w:szCs w:val="16"/>
                <w:lang w:eastAsia="en-IN"/>
              </w:rPr>
              <w:t>functional head</w:t>
            </w:r>
          </w:p>
        </w:tc>
        <w:tc>
          <w:tcPr>
            <w:tcW w:w="1440" w:type="dxa"/>
            <w:tcBorders>
              <w:top w:val="double" w:sz="4" w:space="0" w:color="auto"/>
              <w:bottom w:val="double" w:sz="4" w:space="0" w:color="auto"/>
            </w:tcBorders>
            <w:shd w:val="clear" w:color="auto" w:fill="D9D9D9" w:themeFill="background1" w:themeFillShade="D9"/>
            <w:noWrap/>
            <w:vAlign w:val="center"/>
            <w:hideMark/>
          </w:tcPr>
          <w:p w14:paraId="68AD620B" w14:textId="77777777" w:rsidR="00917C30" w:rsidRPr="003567C3" w:rsidRDefault="00917C30" w:rsidP="009E55FB">
            <w:pPr>
              <w:jc w:val="center"/>
              <w:rPr>
                <w:b/>
                <w:bCs/>
                <w:i/>
                <w:sz w:val="20"/>
                <w:szCs w:val="16"/>
                <w:lang w:eastAsia="en-IN"/>
              </w:rPr>
            </w:pPr>
            <w:r w:rsidRPr="003567C3">
              <w:rPr>
                <w:b/>
                <w:bCs/>
                <w:i/>
                <w:sz w:val="20"/>
                <w:szCs w:val="16"/>
                <w:lang w:eastAsia="en-IN"/>
              </w:rPr>
              <w:t>Budget</w:t>
            </w:r>
          </w:p>
        </w:tc>
        <w:tc>
          <w:tcPr>
            <w:tcW w:w="1227" w:type="dxa"/>
            <w:tcBorders>
              <w:top w:val="double" w:sz="4" w:space="0" w:color="auto"/>
              <w:bottom w:val="double" w:sz="4" w:space="0" w:color="auto"/>
            </w:tcBorders>
            <w:shd w:val="clear" w:color="auto" w:fill="D9D9D9" w:themeFill="background1" w:themeFillShade="D9"/>
            <w:noWrap/>
            <w:vAlign w:val="center"/>
            <w:hideMark/>
          </w:tcPr>
          <w:p w14:paraId="5E973FD2" w14:textId="77777777" w:rsidR="00917C30" w:rsidRPr="003567C3" w:rsidRDefault="00917C30" w:rsidP="009E55FB">
            <w:pPr>
              <w:jc w:val="center"/>
              <w:rPr>
                <w:b/>
                <w:bCs/>
                <w:i/>
                <w:sz w:val="20"/>
                <w:szCs w:val="16"/>
                <w:lang w:eastAsia="en-IN"/>
              </w:rPr>
            </w:pPr>
            <w:r w:rsidRPr="003567C3">
              <w:rPr>
                <w:b/>
                <w:bCs/>
                <w:i/>
                <w:sz w:val="20"/>
                <w:szCs w:val="16"/>
                <w:lang w:eastAsia="en-IN"/>
              </w:rPr>
              <w:t>Actual</w:t>
            </w:r>
          </w:p>
        </w:tc>
        <w:tc>
          <w:tcPr>
            <w:tcW w:w="1260" w:type="dxa"/>
            <w:tcBorders>
              <w:top w:val="double" w:sz="4" w:space="0" w:color="auto"/>
              <w:bottom w:val="double" w:sz="4" w:space="0" w:color="auto"/>
            </w:tcBorders>
            <w:shd w:val="clear" w:color="auto" w:fill="D9D9D9" w:themeFill="background1" w:themeFillShade="D9"/>
            <w:vAlign w:val="center"/>
            <w:hideMark/>
          </w:tcPr>
          <w:p w14:paraId="6B7856D8" w14:textId="77777777" w:rsidR="00917C30" w:rsidRPr="003567C3" w:rsidRDefault="00917C30" w:rsidP="009E55FB">
            <w:pPr>
              <w:jc w:val="center"/>
              <w:rPr>
                <w:b/>
                <w:i/>
                <w:sz w:val="20"/>
                <w:szCs w:val="16"/>
                <w:lang w:eastAsia="en-IN"/>
              </w:rPr>
            </w:pPr>
            <w:r w:rsidRPr="003567C3">
              <w:rPr>
                <w:b/>
                <w:i/>
                <w:sz w:val="20"/>
                <w:szCs w:val="16"/>
                <w:lang w:eastAsia="en-IN"/>
              </w:rPr>
              <w:t>Adjusted budget</w:t>
            </w:r>
          </w:p>
        </w:tc>
        <w:tc>
          <w:tcPr>
            <w:tcW w:w="1170" w:type="dxa"/>
            <w:tcBorders>
              <w:top w:val="double" w:sz="4" w:space="0" w:color="auto"/>
              <w:bottom w:val="double" w:sz="4" w:space="0" w:color="auto"/>
            </w:tcBorders>
            <w:shd w:val="clear" w:color="auto" w:fill="D9D9D9" w:themeFill="background1" w:themeFillShade="D9"/>
            <w:vAlign w:val="center"/>
            <w:hideMark/>
          </w:tcPr>
          <w:p w14:paraId="02A88A78" w14:textId="77777777" w:rsidR="00917C30" w:rsidRPr="003567C3" w:rsidRDefault="00917C30" w:rsidP="009E55FB">
            <w:pPr>
              <w:jc w:val="center"/>
              <w:rPr>
                <w:b/>
                <w:i/>
                <w:sz w:val="20"/>
                <w:szCs w:val="16"/>
                <w:lang w:eastAsia="en-IN"/>
              </w:rPr>
            </w:pPr>
            <w:r w:rsidRPr="003567C3">
              <w:rPr>
                <w:b/>
                <w:i/>
                <w:sz w:val="20"/>
                <w:szCs w:val="16"/>
                <w:lang w:eastAsia="en-IN"/>
              </w:rPr>
              <w:t>Deviation</w:t>
            </w:r>
          </w:p>
        </w:tc>
        <w:tc>
          <w:tcPr>
            <w:tcW w:w="1113" w:type="dxa"/>
            <w:tcBorders>
              <w:top w:val="double" w:sz="4" w:space="0" w:color="auto"/>
              <w:bottom w:val="double" w:sz="4" w:space="0" w:color="auto"/>
            </w:tcBorders>
            <w:shd w:val="clear" w:color="auto" w:fill="D9D9D9" w:themeFill="background1" w:themeFillShade="D9"/>
            <w:vAlign w:val="center"/>
            <w:hideMark/>
          </w:tcPr>
          <w:p w14:paraId="16D4C396" w14:textId="77777777" w:rsidR="00917C30" w:rsidRPr="003567C3" w:rsidRDefault="00917C30" w:rsidP="009E55FB">
            <w:pPr>
              <w:jc w:val="center"/>
              <w:rPr>
                <w:b/>
                <w:i/>
                <w:sz w:val="20"/>
                <w:szCs w:val="16"/>
                <w:lang w:eastAsia="en-IN"/>
              </w:rPr>
            </w:pPr>
            <w:r w:rsidRPr="003567C3">
              <w:rPr>
                <w:b/>
                <w:i/>
                <w:sz w:val="20"/>
                <w:szCs w:val="16"/>
                <w:lang w:eastAsia="en-IN"/>
              </w:rPr>
              <w:t>Absolute deviation</w:t>
            </w:r>
          </w:p>
        </w:tc>
        <w:tc>
          <w:tcPr>
            <w:tcW w:w="896" w:type="dxa"/>
            <w:vMerge/>
            <w:tcBorders>
              <w:bottom w:val="double" w:sz="4" w:space="0" w:color="auto"/>
              <w:right w:val="double" w:sz="4" w:space="0" w:color="auto"/>
            </w:tcBorders>
            <w:shd w:val="clear" w:color="auto" w:fill="D9D9D9" w:themeFill="background1" w:themeFillShade="D9"/>
            <w:noWrap/>
            <w:vAlign w:val="center"/>
            <w:hideMark/>
          </w:tcPr>
          <w:p w14:paraId="7B60087D" w14:textId="77777777" w:rsidR="00917C30" w:rsidRPr="003567C3" w:rsidRDefault="00917C30" w:rsidP="009E55FB">
            <w:pPr>
              <w:jc w:val="center"/>
              <w:rPr>
                <w:b/>
                <w:i/>
                <w:sz w:val="20"/>
                <w:szCs w:val="16"/>
                <w:lang w:eastAsia="en-IN"/>
              </w:rPr>
            </w:pPr>
          </w:p>
        </w:tc>
      </w:tr>
      <w:tr w:rsidR="0003735F" w:rsidRPr="005A497D" w14:paraId="22CF1C7C" w14:textId="77777777" w:rsidTr="000D0E8D">
        <w:trPr>
          <w:trHeight w:val="288"/>
        </w:trPr>
        <w:tc>
          <w:tcPr>
            <w:tcW w:w="2261" w:type="dxa"/>
            <w:tcBorders>
              <w:top w:val="double" w:sz="4" w:space="0" w:color="auto"/>
              <w:left w:val="double" w:sz="4" w:space="0" w:color="auto"/>
            </w:tcBorders>
            <w:shd w:val="clear" w:color="auto" w:fill="auto"/>
            <w:noWrap/>
            <w:vAlign w:val="center"/>
            <w:hideMark/>
          </w:tcPr>
          <w:p w14:paraId="674B74C0" w14:textId="77777777" w:rsidR="0003735F" w:rsidRPr="005A687A" w:rsidRDefault="0003735F" w:rsidP="0003735F">
            <w:pPr>
              <w:rPr>
                <w:sz w:val="18"/>
                <w:szCs w:val="16"/>
              </w:rPr>
            </w:pPr>
            <w:r w:rsidRPr="005A687A">
              <w:rPr>
                <w:sz w:val="18"/>
                <w:szCs w:val="16"/>
              </w:rPr>
              <w:t>DoF</w:t>
            </w:r>
          </w:p>
        </w:tc>
        <w:tc>
          <w:tcPr>
            <w:tcW w:w="1440" w:type="dxa"/>
            <w:tcBorders>
              <w:top w:val="double" w:sz="4" w:space="0" w:color="auto"/>
            </w:tcBorders>
            <w:shd w:val="clear" w:color="auto" w:fill="auto"/>
            <w:noWrap/>
            <w:vAlign w:val="bottom"/>
          </w:tcPr>
          <w:p w14:paraId="54CACA68" w14:textId="77777777" w:rsidR="0003735F" w:rsidRPr="00141EB8" w:rsidRDefault="0003735F" w:rsidP="0003735F">
            <w:pPr>
              <w:jc w:val="right"/>
              <w:rPr>
                <w:color w:val="000000"/>
                <w:sz w:val="18"/>
                <w:szCs w:val="18"/>
              </w:rPr>
            </w:pPr>
            <w:r>
              <w:rPr>
                <w:sz w:val="18"/>
                <w:szCs w:val="18"/>
              </w:rPr>
              <w:t xml:space="preserve">          138,140.82 </w:t>
            </w:r>
          </w:p>
        </w:tc>
        <w:tc>
          <w:tcPr>
            <w:tcW w:w="1227" w:type="dxa"/>
            <w:tcBorders>
              <w:top w:val="double" w:sz="4" w:space="0" w:color="auto"/>
            </w:tcBorders>
            <w:shd w:val="clear" w:color="auto" w:fill="auto"/>
            <w:noWrap/>
            <w:vAlign w:val="bottom"/>
          </w:tcPr>
          <w:p w14:paraId="02C3DDC3" w14:textId="77777777" w:rsidR="0003735F" w:rsidRPr="00141EB8" w:rsidRDefault="0003735F" w:rsidP="0003735F">
            <w:pPr>
              <w:jc w:val="right"/>
              <w:rPr>
                <w:color w:val="000000"/>
                <w:sz w:val="18"/>
                <w:szCs w:val="18"/>
              </w:rPr>
            </w:pPr>
            <w:r>
              <w:rPr>
                <w:sz w:val="18"/>
                <w:szCs w:val="18"/>
              </w:rPr>
              <w:t xml:space="preserve">         133,412.67 </w:t>
            </w:r>
          </w:p>
        </w:tc>
        <w:tc>
          <w:tcPr>
            <w:tcW w:w="1260" w:type="dxa"/>
            <w:tcBorders>
              <w:top w:val="double" w:sz="4" w:space="0" w:color="auto"/>
            </w:tcBorders>
            <w:shd w:val="clear" w:color="auto" w:fill="auto"/>
            <w:noWrap/>
            <w:vAlign w:val="bottom"/>
          </w:tcPr>
          <w:p w14:paraId="2F1F3D7C" w14:textId="57AB5D0F" w:rsidR="0003735F" w:rsidRPr="00141EB8" w:rsidRDefault="0003735F" w:rsidP="0003735F">
            <w:pPr>
              <w:jc w:val="right"/>
              <w:rPr>
                <w:sz w:val="18"/>
                <w:szCs w:val="18"/>
              </w:rPr>
            </w:pPr>
            <w:r>
              <w:rPr>
                <w:sz w:val="18"/>
                <w:szCs w:val="18"/>
              </w:rPr>
              <w:t>101,694.86</w:t>
            </w:r>
          </w:p>
        </w:tc>
        <w:tc>
          <w:tcPr>
            <w:tcW w:w="1170" w:type="dxa"/>
            <w:tcBorders>
              <w:top w:val="double" w:sz="4" w:space="0" w:color="auto"/>
            </w:tcBorders>
            <w:shd w:val="clear" w:color="auto" w:fill="auto"/>
            <w:noWrap/>
            <w:vAlign w:val="bottom"/>
          </w:tcPr>
          <w:p w14:paraId="5C868801" w14:textId="6CA3DE57" w:rsidR="0003735F" w:rsidRPr="00141EB8" w:rsidRDefault="0003735F" w:rsidP="0003735F">
            <w:pPr>
              <w:jc w:val="right"/>
              <w:rPr>
                <w:sz w:val="18"/>
                <w:szCs w:val="18"/>
              </w:rPr>
            </w:pPr>
            <w:r>
              <w:rPr>
                <w:sz w:val="18"/>
                <w:szCs w:val="18"/>
              </w:rPr>
              <w:t>31,717.81</w:t>
            </w:r>
          </w:p>
        </w:tc>
        <w:tc>
          <w:tcPr>
            <w:tcW w:w="1113" w:type="dxa"/>
            <w:tcBorders>
              <w:top w:val="double" w:sz="4" w:space="0" w:color="auto"/>
            </w:tcBorders>
            <w:shd w:val="clear" w:color="auto" w:fill="auto"/>
            <w:noWrap/>
            <w:vAlign w:val="bottom"/>
          </w:tcPr>
          <w:p w14:paraId="301C638F" w14:textId="3A022FE5" w:rsidR="0003735F" w:rsidRPr="00141EB8" w:rsidRDefault="0003735F" w:rsidP="0003735F">
            <w:pPr>
              <w:jc w:val="right"/>
              <w:rPr>
                <w:sz w:val="18"/>
                <w:szCs w:val="18"/>
              </w:rPr>
            </w:pPr>
            <w:r>
              <w:rPr>
                <w:sz w:val="18"/>
                <w:szCs w:val="18"/>
              </w:rPr>
              <w:t>31,717.81</w:t>
            </w:r>
          </w:p>
        </w:tc>
        <w:tc>
          <w:tcPr>
            <w:tcW w:w="896" w:type="dxa"/>
            <w:tcBorders>
              <w:top w:val="double" w:sz="4" w:space="0" w:color="auto"/>
              <w:right w:val="double" w:sz="4" w:space="0" w:color="auto"/>
            </w:tcBorders>
            <w:shd w:val="clear" w:color="auto" w:fill="auto"/>
            <w:noWrap/>
            <w:vAlign w:val="bottom"/>
          </w:tcPr>
          <w:p w14:paraId="4C242C95" w14:textId="35A06335" w:rsidR="0003735F" w:rsidRPr="00141EB8" w:rsidRDefault="0003735F" w:rsidP="0003735F">
            <w:pPr>
              <w:jc w:val="center"/>
              <w:rPr>
                <w:sz w:val="18"/>
                <w:szCs w:val="18"/>
              </w:rPr>
            </w:pPr>
            <w:r>
              <w:rPr>
                <w:sz w:val="18"/>
                <w:szCs w:val="18"/>
              </w:rPr>
              <w:t>31.19%</w:t>
            </w:r>
          </w:p>
        </w:tc>
      </w:tr>
      <w:tr w:rsidR="0003735F" w:rsidRPr="005A497D" w14:paraId="640A18B0" w14:textId="77777777" w:rsidTr="000D0E8D">
        <w:trPr>
          <w:trHeight w:val="288"/>
        </w:trPr>
        <w:tc>
          <w:tcPr>
            <w:tcW w:w="2261" w:type="dxa"/>
            <w:tcBorders>
              <w:left w:val="double" w:sz="4" w:space="0" w:color="auto"/>
            </w:tcBorders>
            <w:shd w:val="clear" w:color="auto" w:fill="auto"/>
            <w:noWrap/>
            <w:vAlign w:val="center"/>
            <w:hideMark/>
          </w:tcPr>
          <w:p w14:paraId="7E84780A" w14:textId="77777777" w:rsidR="0003735F" w:rsidRPr="005A687A" w:rsidRDefault="0003735F" w:rsidP="0003735F">
            <w:pPr>
              <w:rPr>
                <w:sz w:val="18"/>
                <w:szCs w:val="16"/>
              </w:rPr>
            </w:pPr>
            <w:r w:rsidRPr="005A687A">
              <w:rPr>
                <w:sz w:val="18"/>
                <w:szCs w:val="16"/>
              </w:rPr>
              <w:t>DepEd</w:t>
            </w:r>
          </w:p>
        </w:tc>
        <w:tc>
          <w:tcPr>
            <w:tcW w:w="1440" w:type="dxa"/>
            <w:shd w:val="clear" w:color="auto" w:fill="auto"/>
            <w:noWrap/>
            <w:vAlign w:val="bottom"/>
          </w:tcPr>
          <w:p w14:paraId="3AFE2446" w14:textId="77777777" w:rsidR="0003735F" w:rsidRPr="00141EB8" w:rsidRDefault="0003735F" w:rsidP="0003735F">
            <w:pPr>
              <w:jc w:val="right"/>
              <w:rPr>
                <w:color w:val="000000"/>
                <w:sz w:val="18"/>
                <w:szCs w:val="18"/>
              </w:rPr>
            </w:pPr>
            <w:r>
              <w:rPr>
                <w:sz w:val="18"/>
                <w:szCs w:val="18"/>
              </w:rPr>
              <w:t xml:space="preserve">          309,658.76 </w:t>
            </w:r>
          </w:p>
        </w:tc>
        <w:tc>
          <w:tcPr>
            <w:tcW w:w="1227" w:type="dxa"/>
            <w:shd w:val="clear" w:color="auto" w:fill="auto"/>
            <w:noWrap/>
            <w:vAlign w:val="bottom"/>
          </w:tcPr>
          <w:p w14:paraId="42C26905" w14:textId="77777777" w:rsidR="0003735F" w:rsidRPr="00141EB8" w:rsidRDefault="0003735F" w:rsidP="0003735F">
            <w:pPr>
              <w:jc w:val="right"/>
              <w:rPr>
                <w:color w:val="000000"/>
                <w:sz w:val="18"/>
                <w:szCs w:val="18"/>
              </w:rPr>
            </w:pPr>
            <w:r>
              <w:rPr>
                <w:sz w:val="18"/>
                <w:szCs w:val="18"/>
              </w:rPr>
              <w:t xml:space="preserve">         274,459.54 </w:t>
            </w:r>
          </w:p>
        </w:tc>
        <w:tc>
          <w:tcPr>
            <w:tcW w:w="1260" w:type="dxa"/>
            <w:shd w:val="clear" w:color="auto" w:fill="auto"/>
            <w:noWrap/>
            <w:vAlign w:val="bottom"/>
          </w:tcPr>
          <w:p w14:paraId="3743CB9E" w14:textId="67FE98C7" w:rsidR="0003735F" w:rsidRPr="00141EB8" w:rsidRDefault="0003735F" w:rsidP="0003735F">
            <w:pPr>
              <w:jc w:val="right"/>
              <w:rPr>
                <w:sz w:val="18"/>
                <w:szCs w:val="18"/>
              </w:rPr>
            </w:pPr>
            <w:r>
              <w:rPr>
                <w:sz w:val="18"/>
                <w:szCs w:val="18"/>
              </w:rPr>
              <w:t>227,960.90</w:t>
            </w:r>
          </w:p>
        </w:tc>
        <w:tc>
          <w:tcPr>
            <w:tcW w:w="1170" w:type="dxa"/>
            <w:shd w:val="clear" w:color="auto" w:fill="auto"/>
            <w:noWrap/>
            <w:vAlign w:val="bottom"/>
          </w:tcPr>
          <w:p w14:paraId="3EE74E55" w14:textId="55517159" w:rsidR="0003735F" w:rsidRPr="00141EB8" w:rsidRDefault="0003735F" w:rsidP="0003735F">
            <w:pPr>
              <w:jc w:val="right"/>
              <w:rPr>
                <w:sz w:val="18"/>
                <w:szCs w:val="18"/>
              </w:rPr>
            </w:pPr>
            <w:r>
              <w:rPr>
                <w:sz w:val="18"/>
                <w:szCs w:val="18"/>
              </w:rPr>
              <w:t>46,498.64</w:t>
            </w:r>
          </w:p>
        </w:tc>
        <w:tc>
          <w:tcPr>
            <w:tcW w:w="1113" w:type="dxa"/>
            <w:shd w:val="clear" w:color="auto" w:fill="auto"/>
            <w:noWrap/>
            <w:vAlign w:val="bottom"/>
          </w:tcPr>
          <w:p w14:paraId="4AB4D5DD" w14:textId="45BBF423" w:rsidR="0003735F" w:rsidRPr="00141EB8" w:rsidRDefault="0003735F" w:rsidP="0003735F">
            <w:pPr>
              <w:jc w:val="right"/>
              <w:rPr>
                <w:sz w:val="18"/>
                <w:szCs w:val="18"/>
              </w:rPr>
            </w:pPr>
            <w:r>
              <w:rPr>
                <w:sz w:val="18"/>
                <w:szCs w:val="18"/>
              </w:rPr>
              <w:t>46,498.64</w:t>
            </w:r>
          </w:p>
        </w:tc>
        <w:tc>
          <w:tcPr>
            <w:tcW w:w="896" w:type="dxa"/>
            <w:tcBorders>
              <w:right w:val="double" w:sz="4" w:space="0" w:color="auto"/>
            </w:tcBorders>
            <w:shd w:val="clear" w:color="auto" w:fill="auto"/>
            <w:noWrap/>
            <w:vAlign w:val="bottom"/>
          </w:tcPr>
          <w:p w14:paraId="167D67F6" w14:textId="2DE4BD50" w:rsidR="0003735F" w:rsidRPr="00141EB8" w:rsidRDefault="0003735F" w:rsidP="0003735F">
            <w:pPr>
              <w:jc w:val="center"/>
              <w:rPr>
                <w:sz w:val="18"/>
                <w:szCs w:val="18"/>
              </w:rPr>
            </w:pPr>
            <w:r>
              <w:rPr>
                <w:sz w:val="18"/>
                <w:szCs w:val="18"/>
              </w:rPr>
              <w:t>20.40%</w:t>
            </w:r>
          </w:p>
        </w:tc>
      </w:tr>
      <w:tr w:rsidR="0003735F" w:rsidRPr="005A497D" w14:paraId="1DB0EF23" w14:textId="77777777" w:rsidTr="000D0E8D">
        <w:trPr>
          <w:trHeight w:val="288"/>
        </w:trPr>
        <w:tc>
          <w:tcPr>
            <w:tcW w:w="2261" w:type="dxa"/>
            <w:tcBorders>
              <w:left w:val="double" w:sz="4" w:space="0" w:color="auto"/>
            </w:tcBorders>
            <w:shd w:val="clear" w:color="auto" w:fill="auto"/>
            <w:noWrap/>
            <w:vAlign w:val="center"/>
            <w:hideMark/>
          </w:tcPr>
          <w:p w14:paraId="72620D59" w14:textId="77777777" w:rsidR="0003735F" w:rsidRPr="005A687A" w:rsidRDefault="0003735F" w:rsidP="0003735F">
            <w:pPr>
              <w:rPr>
                <w:sz w:val="18"/>
                <w:szCs w:val="16"/>
              </w:rPr>
            </w:pPr>
            <w:r w:rsidRPr="005A687A">
              <w:rPr>
                <w:sz w:val="18"/>
                <w:szCs w:val="16"/>
              </w:rPr>
              <w:t>DPWH</w:t>
            </w:r>
          </w:p>
        </w:tc>
        <w:tc>
          <w:tcPr>
            <w:tcW w:w="1440" w:type="dxa"/>
            <w:shd w:val="clear" w:color="auto" w:fill="auto"/>
            <w:noWrap/>
            <w:vAlign w:val="bottom"/>
          </w:tcPr>
          <w:p w14:paraId="36A70160" w14:textId="77777777" w:rsidR="0003735F" w:rsidRPr="00141EB8" w:rsidRDefault="0003735F" w:rsidP="0003735F">
            <w:pPr>
              <w:jc w:val="right"/>
              <w:rPr>
                <w:color w:val="000000"/>
                <w:sz w:val="18"/>
                <w:szCs w:val="18"/>
              </w:rPr>
            </w:pPr>
            <w:r>
              <w:rPr>
                <w:sz w:val="18"/>
                <w:szCs w:val="18"/>
              </w:rPr>
              <w:t xml:space="preserve">          302,110.59 </w:t>
            </w:r>
          </w:p>
        </w:tc>
        <w:tc>
          <w:tcPr>
            <w:tcW w:w="1227" w:type="dxa"/>
            <w:shd w:val="clear" w:color="auto" w:fill="auto"/>
            <w:noWrap/>
            <w:vAlign w:val="bottom"/>
          </w:tcPr>
          <w:p w14:paraId="3FEC8509" w14:textId="77777777" w:rsidR="0003735F" w:rsidRPr="00141EB8" w:rsidRDefault="0003735F" w:rsidP="0003735F">
            <w:pPr>
              <w:jc w:val="right"/>
              <w:rPr>
                <w:color w:val="000000"/>
                <w:sz w:val="18"/>
                <w:szCs w:val="18"/>
              </w:rPr>
            </w:pPr>
            <w:r>
              <w:rPr>
                <w:sz w:val="18"/>
                <w:szCs w:val="18"/>
              </w:rPr>
              <w:t xml:space="preserve">         190,534.45 </w:t>
            </w:r>
          </w:p>
        </w:tc>
        <w:tc>
          <w:tcPr>
            <w:tcW w:w="1260" w:type="dxa"/>
            <w:shd w:val="clear" w:color="auto" w:fill="auto"/>
            <w:noWrap/>
            <w:vAlign w:val="bottom"/>
          </w:tcPr>
          <w:p w14:paraId="6FB876D8" w14:textId="0DEC94AA" w:rsidR="0003735F" w:rsidRPr="00141EB8" w:rsidRDefault="0003735F" w:rsidP="0003735F">
            <w:pPr>
              <w:jc w:val="right"/>
              <w:rPr>
                <w:sz w:val="18"/>
                <w:szCs w:val="18"/>
              </w:rPr>
            </w:pPr>
            <w:r>
              <w:rPr>
                <w:sz w:val="18"/>
                <w:szCs w:val="18"/>
              </w:rPr>
              <w:t>222,404.17</w:t>
            </w:r>
          </w:p>
        </w:tc>
        <w:tc>
          <w:tcPr>
            <w:tcW w:w="1170" w:type="dxa"/>
            <w:shd w:val="clear" w:color="auto" w:fill="auto"/>
            <w:noWrap/>
            <w:vAlign w:val="bottom"/>
          </w:tcPr>
          <w:p w14:paraId="12B42EBD" w14:textId="3F03BA0F" w:rsidR="0003735F" w:rsidRPr="00141EB8" w:rsidRDefault="0003735F" w:rsidP="0003735F">
            <w:pPr>
              <w:jc w:val="right"/>
              <w:rPr>
                <w:sz w:val="18"/>
                <w:szCs w:val="18"/>
              </w:rPr>
            </w:pPr>
            <w:r>
              <w:rPr>
                <w:sz w:val="18"/>
                <w:szCs w:val="18"/>
              </w:rPr>
              <w:t>(31,869.72)</w:t>
            </w:r>
          </w:p>
        </w:tc>
        <w:tc>
          <w:tcPr>
            <w:tcW w:w="1113" w:type="dxa"/>
            <w:shd w:val="clear" w:color="auto" w:fill="auto"/>
            <w:noWrap/>
            <w:vAlign w:val="bottom"/>
          </w:tcPr>
          <w:p w14:paraId="2571BC4A" w14:textId="62A93355" w:rsidR="0003735F" w:rsidRPr="00141EB8" w:rsidRDefault="0003735F" w:rsidP="0003735F">
            <w:pPr>
              <w:jc w:val="right"/>
              <w:rPr>
                <w:sz w:val="18"/>
                <w:szCs w:val="18"/>
              </w:rPr>
            </w:pPr>
            <w:r>
              <w:rPr>
                <w:sz w:val="18"/>
                <w:szCs w:val="18"/>
              </w:rPr>
              <w:t>31,869.72</w:t>
            </w:r>
          </w:p>
        </w:tc>
        <w:tc>
          <w:tcPr>
            <w:tcW w:w="896" w:type="dxa"/>
            <w:tcBorders>
              <w:right w:val="double" w:sz="4" w:space="0" w:color="auto"/>
            </w:tcBorders>
            <w:shd w:val="clear" w:color="auto" w:fill="auto"/>
            <w:noWrap/>
            <w:vAlign w:val="bottom"/>
          </w:tcPr>
          <w:p w14:paraId="17511C21" w14:textId="2F65BFF0" w:rsidR="0003735F" w:rsidRPr="00141EB8" w:rsidRDefault="0003735F" w:rsidP="0003735F">
            <w:pPr>
              <w:jc w:val="center"/>
              <w:rPr>
                <w:sz w:val="18"/>
                <w:szCs w:val="18"/>
              </w:rPr>
            </w:pPr>
            <w:r>
              <w:rPr>
                <w:sz w:val="18"/>
                <w:szCs w:val="18"/>
              </w:rPr>
              <w:t>14.33%</w:t>
            </w:r>
          </w:p>
        </w:tc>
      </w:tr>
      <w:tr w:rsidR="0003735F" w:rsidRPr="005A497D" w14:paraId="360D6035" w14:textId="77777777" w:rsidTr="000D0E8D">
        <w:trPr>
          <w:trHeight w:val="288"/>
        </w:trPr>
        <w:tc>
          <w:tcPr>
            <w:tcW w:w="2261" w:type="dxa"/>
            <w:tcBorders>
              <w:left w:val="double" w:sz="4" w:space="0" w:color="auto"/>
            </w:tcBorders>
            <w:shd w:val="clear" w:color="auto" w:fill="auto"/>
            <w:noWrap/>
            <w:vAlign w:val="center"/>
            <w:hideMark/>
          </w:tcPr>
          <w:p w14:paraId="27D2E0B1" w14:textId="77777777" w:rsidR="0003735F" w:rsidRPr="005A687A" w:rsidRDefault="0003735F" w:rsidP="0003735F">
            <w:pPr>
              <w:rPr>
                <w:sz w:val="18"/>
                <w:szCs w:val="16"/>
              </w:rPr>
            </w:pPr>
            <w:r w:rsidRPr="005A687A">
              <w:rPr>
                <w:sz w:val="18"/>
                <w:szCs w:val="16"/>
              </w:rPr>
              <w:t>DND</w:t>
            </w:r>
          </w:p>
        </w:tc>
        <w:tc>
          <w:tcPr>
            <w:tcW w:w="1440" w:type="dxa"/>
            <w:shd w:val="clear" w:color="auto" w:fill="auto"/>
            <w:noWrap/>
            <w:vAlign w:val="bottom"/>
          </w:tcPr>
          <w:p w14:paraId="6002AB02" w14:textId="77777777" w:rsidR="0003735F" w:rsidRPr="00141EB8" w:rsidRDefault="0003735F" w:rsidP="0003735F">
            <w:pPr>
              <w:jc w:val="right"/>
              <w:rPr>
                <w:color w:val="000000"/>
                <w:sz w:val="18"/>
                <w:szCs w:val="18"/>
              </w:rPr>
            </w:pPr>
            <w:r>
              <w:rPr>
                <w:sz w:val="18"/>
                <w:szCs w:val="18"/>
              </w:rPr>
              <w:t xml:space="preserve">          143,222.97 </w:t>
            </w:r>
          </w:p>
        </w:tc>
        <w:tc>
          <w:tcPr>
            <w:tcW w:w="1227" w:type="dxa"/>
            <w:shd w:val="clear" w:color="auto" w:fill="auto"/>
            <w:noWrap/>
            <w:vAlign w:val="bottom"/>
          </w:tcPr>
          <w:p w14:paraId="61675B38" w14:textId="77777777" w:rsidR="0003735F" w:rsidRPr="00141EB8" w:rsidRDefault="0003735F" w:rsidP="0003735F">
            <w:pPr>
              <w:jc w:val="right"/>
              <w:rPr>
                <w:color w:val="000000"/>
                <w:sz w:val="18"/>
                <w:szCs w:val="18"/>
              </w:rPr>
            </w:pPr>
            <w:r>
              <w:rPr>
                <w:sz w:val="18"/>
                <w:szCs w:val="18"/>
              </w:rPr>
              <w:t xml:space="preserve">         138,088.36 </w:t>
            </w:r>
          </w:p>
        </w:tc>
        <w:tc>
          <w:tcPr>
            <w:tcW w:w="1260" w:type="dxa"/>
            <w:shd w:val="clear" w:color="auto" w:fill="auto"/>
            <w:noWrap/>
            <w:vAlign w:val="bottom"/>
          </w:tcPr>
          <w:p w14:paraId="552357F9" w14:textId="0F09757D" w:rsidR="0003735F" w:rsidRPr="00141EB8" w:rsidRDefault="0003735F" w:rsidP="0003735F">
            <w:pPr>
              <w:jc w:val="right"/>
              <w:rPr>
                <w:sz w:val="18"/>
                <w:szCs w:val="18"/>
              </w:rPr>
            </w:pPr>
            <w:r>
              <w:rPr>
                <w:sz w:val="18"/>
                <w:szCs w:val="18"/>
              </w:rPr>
              <w:t>105,436.18</w:t>
            </w:r>
          </w:p>
        </w:tc>
        <w:tc>
          <w:tcPr>
            <w:tcW w:w="1170" w:type="dxa"/>
            <w:shd w:val="clear" w:color="auto" w:fill="auto"/>
            <w:noWrap/>
            <w:vAlign w:val="bottom"/>
          </w:tcPr>
          <w:p w14:paraId="47F2C31F" w14:textId="34B5E965" w:rsidR="0003735F" w:rsidRPr="00141EB8" w:rsidRDefault="0003735F" w:rsidP="0003735F">
            <w:pPr>
              <w:jc w:val="right"/>
              <w:rPr>
                <w:sz w:val="18"/>
                <w:szCs w:val="18"/>
              </w:rPr>
            </w:pPr>
            <w:r>
              <w:rPr>
                <w:sz w:val="18"/>
                <w:szCs w:val="18"/>
              </w:rPr>
              <w:t>32,652.18</w:t>
            </w:r>
          </w:p>
        </w:tc>
        <w:tc>
          <w:tcPr>
            <w:tcW w:w="1113" w:type="dxa"/>
            <w:shd w:val="clear" w:color="auto" w:fill="auto"/>
            <w:noWrap/>
            <w:vAlign w:val="bottom"/>
          </w:tcPr>
          <w:p w14:paraId="47346A08" w14:textId="23B7A2A1" w:rsidR="0003735F" w:rsidRPr="00141EB8" w:rsidRDefault="0003735F" w:rsidP="0003735F">
            <w:pPr>
              <w:jc w:val="right"/>
              <w:rPr>
                <w:sz w:val="18"/>
                <w:szCs w:val="18"/>
              </w:rPr>
            </w:pPr>
            <w:r>
              <w:rPr>
                <w:sz w:val="18"/>
                <w:szCs w:val="18"/>
              </w:rPr>
              <w:t>32,652.18</w:t>
            </w:r>
          </w:p>
        </w:tc>
        <w:tc>
          <w:tcPr>
            <w:tcW w:w="896" w:type="dxa"/>
            <w:tcBorders>
              <w:right w:val="double" w:sz="4" w:space="0" w:color="auto"/>
            </w:tcBorders>
            <w:shd w:val="clear" w:color="auto" w:fill="auto"/>
            <w:noWrap/>
            <w:vAlign w:val="bottom"/>
          </w:tcPr>
          <w:p w14:paraId="40D492B7" w14:textId="6F5E3857" w:rsidR="0003735F" w:rsidRPr="00141EB8" w:rsidRDefault="0003735F" w:rsidP="0003735F">
            <w:pPr>
              <w:jc w:val="center"/>
              <w:rPr>
                <w:sz w:val="18"/>
                <w:szCs w:val="18"/>
              </w:rPr>
            </w:pPr>
            <w:r>
              <w:rPr>
                <w:sz w:val="18"/>
                <w:szCs w:val="18"/>
              </w:rPr>
              <w:t>30.97%</w:t>
            </w:r>
          </w:p>
        </w:tc>
      </w:tr>
      <w:tr w:rsidR="0003735F" w:rsidRPr="005A497D" w14:paraId="0C2C98EB" w14:textId="77777777" w:rsidTr="000D0E8D">
        <w:trPr>
          <w:trHeight w:val="288"/>
        </w:trPr>
        <w:tc>
          <w:tcPr>
            <w:tcW w:w="2261" w:type="dxa"/>
            <w:tcBorders>
              <w:left w:val="double" w:sz="4" w:space="0" w:color="auto"/>
            </w:tcBorders>
            <w:shd w:val="clear" w:color="auto" w:fill="auto"/>
            <w:noWrap/>
            <w:vAlign w:val="center"/>
            <w:hideMark/>
          </w:tcPr>
          <w:p w14:paraId="3A30900B" w14:textId="77777777" w:rsidR="0003735F" w:rsidRPr="005A687A" w:rsidRDefault="0003735F" w:rsidP="0003735F">
            <w:pPr>
              <w:rPr>
                <w:sz w:val="18"/>
                <w:szCs w:val="16"/>
              </w:rPr>
            </w:pPr>
            <w:r w:rsidRPr="005A687A">
              <w:rPr>
                <w:sz w:val="18"/>
                <w:szCs w:val="16"/>
              </w:rPr>
              <w:t>DILG</w:t>
            </w:r>
          </w:p>
        </w:tc>
        <w:tc>
          <w:tcPr>
            <w:tcW w:w="1440" w:type="dxa"/>
            <w:shd w:val="clear" w:color="auto" w:fill="auto"/>
            <w:noWrap/>
            <w:vAlign w:val="bottom"/>
          </w:tcPr>
          <w:p w14:paraId="7412D813" w14:textId="77777777" w:rsidR="0003735F" w:rsidRPr="00141EB8" w:rsidRDefault="0003735F" w:rsidP="0003735F">
            <w:pPr>
              <w:jc w:val="right"/>
              <w:rPr>
                <w:color w:val="000000"/>
                <w:sz w:val="18"/>
                <w:szCs w:val="18"/>
              </w:rPr>
            </w:pPr>
            <w:r>
              <w:rPr>
                <w:sz w:val="18"/>
                <w:szCs w:val="18"/>
              </w:rPr>
              <w:t xml:space="preserve">          160,000.48 </w:t>
            </w:r>
          </w:p>
        </w:tc>
        <w:tc>
          <w:tcPr>
            <w:tcW w:w="1227" w:type="dxa"/>
            <w:shd w:val="clear" w:color="auto" w:fill="auto"/>
            <w:noWrap/>
            <w:vAlign w:val="bottom"/>
          </w:tcPr>
          <w:p w14:paraId="11F84831" w14:textId="77777777" w:rsidR="0003735F" w:rsidRPr="00141EB8" w:rsidRDefault="0003735F" w:rsidP="0003735F">
            <w:pPr>
              <w:jc w:val="right"/>
              <w:rPr>
                <w:color w:val="000000"/>
                <w:sz w:val="18"/>
                <w:szCs w:val="18"/>
              </w:rPr>
            </w:pPr>
            <w:r>
              <w:rPr>
                <w:sz w:val="18"/>
                <w:szCs w:val="18"/>
              </w:rPr>
              <w:t xml:space="preserve">         143,035.87 </w:t>
            </w:r>
          </w:p>
        </w:tc>
        <w:tc>
          <w:tcPr>
            <w:tcW w:w="1260" w:type="dxa"/>
            <w:shd w:val="clear" w:color="auto" w:fill="auto"/>
            <w:noWrap/>
            <w:vAlign w:val="bottom"/>
          </w:tcPr>
          <w:p w14:paraId="7CF639DE" w14:textId="19C78E42" w:rsidR="0003735F" w:rsidRPr="00141EB8" w:rsidRDefault="0003735F" w:rsidP="0003735F">
            <w:pPr>
              <w:jc w:val="right"/>
              <w:rPr>
                <w:sz w:val="18"/>
                <w:szCs w:val="18"/>
              </w:rPr>
            </w:pPr>
            <w:r>
              <w:rPr>
                <w:sz w:val="18"/>
                <w:szCs w:val="18"/>
              </w:rPr>
              <w:t>117,787.25</w:t>
            </w:r>
          </w:p>
        </w:tc>
        <w:tc>
          <w:tcPr>
            <w:tcW w:w="1170" w:type="dxa"/>
            <w:shd w:val="clear" w:color="auto" w:fill="auto"/>
            <w:noWrap/>
            <w:vAlign w:val="bottom"/>
          </w:tcPr>
          <w:p w14:paraId="0D16F116" w14:textId="52CE0F74" w:rsidR="0003735F" w:rsidRPr="00141EB8" w:rsidRDefault="0003735F" w:rsidP="0003735F">
            <w:pPr>
              <w:jc w:val="right"/>
              <w:rPr>
                <w:sz w:val="18"/>
                <w:szCs w:val="18"/>
              </w:rPr>
            </w:pPr>
            <w:r>
              <w:rPr>
                <w:sz w:val="18"/>
                <w:szCs w:val="18"/>
              </w:rPr>
              <w:t>25,248.62</w:t>
            </w:r>
          </w:p>
        </w:tc>
        <w:tc>
          <w:tcPr>
            <w:tcW w:w="1113" w:type="dxa"/>
            <w:shd w:val="clear" w:color="auto" w:fill="auto"/>
            <w:noWrap/>
            <w:vAlign w:val="bottom"/>
          </w:tcPr>
          <w:p w14:paraId="442BA126" w14:textId="4B44DCE5" w:rsidR="0003735F" w:rsidRPr="00141EB8" w:rsidRDefault="0003735F" w:rsidP="0003735F">
            <w:pPr>
              <w:jc w:val="right"/>
              <w:rPr>
                <w:sz w:val="18"/>
                <w:szCs w:val="18"/>
              </w:rPr>
            </w:pPr>
            <w:r>
              <w:rPr>
                <w:sz w:val="18"/>
                <w:szCs w:val="18"/>
              </w:rPr>
              <w:t>25,248.62</w:t>
            </w:r>
          </w:p>
        </w:tc>
        <w:tc>
          <w:tcPr>
            <w:tcW w:w="896" w:type="dxa"/>
            <w:tcBorders>
              <w:right w:val="double" w:sz="4" w:space="0" w:color="auto"/>
            </w:tcBorders>
            <w:shd w:val="clear" w:color="auto" w:fill="auto"/>
            <w:noWrap/>
            <w:vAlign w:val="bottom"/>
          </w:tcPr>
          <w:p w14:paraId="58D20592" w14:textId="0DE18D29" w:rsidR="0003735F" w:rsidRPr="00141EB8" w:rsidRDefault="0003735F" w:rsidP="0003735F">
            <w:pPr>
              <w:jc w:val="center"/>
              <w:rPr>
                <w:sz w:val="18"/>
                <w:szCs w:val="18"/>
              </w:rPr>
            </w:pPr>
            <w:r>
              <w:rPr>
                <w:sz w:val="18"/>
                <w:szCs w:val="18"/>
              </w:rPr>
              <w:t>21.44%</w:t>
            </w:r>
          </w:p>
        </w:tc>
      </w:tr>
      <w:tr w:rsidR="0003735F" w:rsidRPr="005A497D" w14:paraId="2F723CFD" w14:textId="77777777" w:rsidTr="000D0E8D">
        <w:trPr>
          <w:trHeight w:val="288"/>
        </w:trPr>
        <w:tc>
          <w:tcPr>
            <w:tcW w:w="2261" w:type="dxa"/>
            <w:tcBorders>
              <w:left w:val="double" w:sz="4" w:space="0" w:color="auto"/>
            </w:tcBorders>
            <w:shd w:val="clear" w:color="auto" w:fill="auto"/>
            <w:noWrap/>
            <w:vAlign w:val="center"/>
            <w:hideMark/>
          </w:tcPr>
          <w:p w14:paraId="25F331E9" w14:textId="77777777" w:rsidR="0003735F" w:rsidRPr="005A687A" w:rsidRDefault="0003735F" w:rsidP="0003735F">
            <w:pPr>
              <w:rPr>
                <w:sz w:val="18"/>
                <w:szCs w:val="16"/>
              </w:rPr>
            </w:pPr>
            <w:r w:rsidRPr="005A687A">
              <w:rPr>
                <w:sz w:val="18"/>
                <w:szCs w:val="16"/>
              </w:rPr>
              <w:t>DSWD</w:t>
            </w:r>
          </w:p>
        </w:tc>
        <w:tc>
          <w:tcPr>
            <w:tcW w:w="1440" w:type="dxa"/>
            <w:shd w:val="clear" w:color="auto" w:fill="auto"/>
            <w:noWrap/>
            <w:vAlign w:val="bottom"/>
          </w:tcPr>
          <w:p w14:paraId="7DCE7682" w14:textId="77777777" w:rsidR="0003735F" w:rsidRPr="00141EB8" w:rsidRDefault="0003735F" w:rsidP="0003735F">
            <w:pPr>
              <w:jc w:val="right"/>
              <w:rPr>
                <w:color w:val="000000"/>
                <w:sz w:val="18"/>
                <w:szCs w:val="18"/>
              </w:rPr>
            </w:pPr>
            <w:r>
              <w:rPr>
                <w:sz w:val="18"/>
                <w:szCs w:val="18"/>
              </w:rPr>
              <w:t xml:space="preserve">          103,658.09 </w:t>
            </w:r>
          </w:p>
        </w:tc>
        <w:tc>
          <w:tcPr>
            <w:tcW w:w="1227" w:type="dxa"/>
            <w:shd w:val="clear" w:color="auto" w:fill="auto"/>
            <w:noWrap/>
            <w:vAlign w:val="bottom"/>
          </w:tcPr>
          <w:p w14:paraId="74A54246" w14:textId="77777777" w:rsidR="0003735F" w:rsidRPr="00141EB8" w:rsidRDefault="0003735F" w:rsidP="0003735F">
            <w:pPr>
              <w:jc w:val="right"/>
              <w:rPr>
                <w:color w:val="000000"/>
                <w:sz w:val="18"/>
                <w:szCs w:val="18"/>
              </w:rPr>
            </w:pPr>
            <w:r>
              <w:rPr>
                <w:sz w:val="18"/>
                <w:szCs w:val="18"/>
              </w:rPr>
              <w:t xml:space="preserve">           86,135.27 </w:t>
            </w:r>
          </w:p>
        </w:tc>
        <w:tc>
          <w:tcPr>
            <w:tcW w:w="1260" w:type="dxa"/>
            <w:shd w:val="clear" w:color="auto" w:fill="auto"/>
            <w:noWrap/>
            <w:vAlign w:val="bottom"/>
          </w:tcPr>
          <w:p w14:paraId="02EC6AC0" w14:textId="5CBE0977" w:rsidR="0003735F" w:rsidRPr="00141EB8" w:rsidRDefault="0003735F" w:rsidP="0003735F">
            <w:pPr>
              <w:jc w:val="right"/>
              <w:rPr>
                <w:sz w:val="18"/>
                <w:szCs w:val="18"/>
              </w:rPr>
            </w:pPr>
            <w:r>
              <w:rPr>
                <w:sz w:val="18"/>
                <w:szCs w:val="18"/>
              </w:rPr>
              <w:t>76,309.78</w:t>
            </w:r>
          </w:p>
        </w:tc>
        <w:tc>
          <w:tcPr>
            <w:tcW w:w="1170" w:type="dxa"/>
            <w:shd w:val="clear" w:color="auto" w:fill="auto"/>
            <w:noWrap/>
            <w:vAlign w:val="bottom"/>
          </w:tcPr>
          <w:p w14:paraId="42C7E9D8" w14:textId="5998B63C" w:rsidR="0003735F" w:rsidRPr="00141EB8" w:rsidRDefault="0003735F" w:rsidP="0003735F">
            <w:pPr>
              <w:jc w:val="right"/>
              <w:rPr>
                <w:sz w:val="18"/>
                <w:szCs w:val="18"/>
              </w:rPr>
            </w:pPr>
            <w:r>
              <w:rPr>
                <w:sz w:val="18"/>
                <w:szCs w:val="18"/>
              </w:rPr>
              <w:t>9,825.49</w:t>
            </w:r>
          </w:p>
        </w:tc>
        <w:tc>
          <w:tcPr>
            <w:tcW w:w="1113" w:type="dxa"/>
            <w:shd w:val="clear" w:color="auto" w:fill="auto"/>
            <w:noWrap/>
            <w:vAlign w:val="bottom"/>
          </w:tcPr>
          <w:p w14:paraId="0A62CFC0" w14:textId="1196A79A" w:rsidR="0003735F" w:rsidRPr="00141EB8" w:rsidRDefault="0003735F" w:rsidP="0003735F">
            <w:pPr>
              <w:jc w:val="right"/>
              <w:rPr>
                <w:sz w:val="18"/>
                <w:szCs w:val="18"/>
              </w:rPr>
            </w:pPr>
            <w:r>
              <w:rPr>
                <w:sz w:val="18"/>
                <w:szCs w:val="18"/>
              </w:rPr>
              <w:t>9,825.49</w:t>
            </w:r>
          </w:p>
        </w:tc>
        <w:tc>
          <w:tcPr>
            <w:tcW w:w="896" w:type="dxa"/>
            <w:tcBorders>
              <w:right w:val="double" w:sz="4" w:space="0" w:color="auto"/>
            </w:tcBorders>
            <w:shd w:val="clear" w:color="auto" w:fill="auto"/>
            <w:noWrap/>
            <w:vAlign w:val="bottom"/>
          </w:tcPr>
          <w:p w14:paraId="0BC8BFC9" w14:textId="6C0BBEEF" w:rsidR="0003735F" w:rsidRPr="00141EB8" w:rsidRDefault="0003735F" w:rsidP="0003735F">
            <w:pPr>
              <w:jc w:val="center"/>
              <w:rPr>
                <w:sz w:val="18"/>
                <w:szCs w:val="18"/>
              </w:rPr>
            </w:pPr>
            <w:r>
              <w:rPr>
                <w:sz w:val="18"/>
                <w:szCs w:val="18"/>
              </w:rPr>
              <w:t>12.88%</w:t>
            </w:r>
          </w:p>
        </w:tc>
      </w:tr>
      <w:tr w:rsidR="0003735F" w:rsidRPr="005A497D" w14:paraId="20725515" w14:textId="77777777" w:rsidTr="000D0E8D">
        <w:trPr>
          <w:trHeight w:val="288"/>
        </w:trPr>
        <w:tc>
          <w:tcPr>
            <w:tcW w:w="2261" w:type="dxa"/>
            <w:tcBorders>
              <w:left w:val="double" w:sz="4" w:space="0" w:color="auto"/>
            </w:tcBorders>
            <w:shd w:val="clear" w:color="auto" w:fill="auto"/>
            <w:noWrap/>
            <w:vAlign w:val="center"/>
            <w:hideMark/>
          </w:tcPr>
          <w:p w14:paraId="4C9A8DE0" w14:textId="77777777" w:rsidR="0003735F" w:rsidRPr="005A687A" w:rsidRDefault="0003735F" w:rsidP="0003735F">
            <w:pPr>
              <w:rPr>
                <w:sz w:val="18"/>
                <w:szCs w:val="16"/>
              </w:rPr>
            </w:pPr>
            <w:r w:rsidRPr="005A687A">
              <w:rPr>
                <w:sz w:val="18"/>
                <w:szCs w:val="16"/>
              </w:rPr>
              <w:t>DoH</w:t>
            </w:r>
          </w:p>
        </w:tc>
        <w:tc>
          <w:tcPr>
            <w:tcW w:w="1440" w:type="dxa"/>
            <w:shd w:val="clear" w:color="auto" w:fill="auto"/>
            <w:noWrap/>
            <w:vAlign w:val="bottom"/>
          </w:tcPr>
          <w:p w14:paraId="6041ADA7" w14:textId="77777777" w:rsidR="0003735F" w:rsidRPr="00141EB8" w:rsidRDefault="0003735F" w:rsidP="0003735F">
            <w:pPr>
              <w:jc w:val="right"/>
              <w:rPr>
                <w:color w:val="000000"/>
                <w:sz w:val="18"/>
                <w:szCs w:val="18"/>
              </w:rPr>
            </w:pPr>
            <w:r>
              <w:rPr>
                <w:sz w:val="18"/>
                <w:szCs w:val="18"/>
              </w:rPr>
              <w:t xml:space="preserve">            56,781.44 </w:t>
            </w:r>
          </w:p>
        </w:tc>
        <w:tc>
          <w:tcPr>
            <w:tcW w:w="1227" w:type="dxa"/>
            <w:shd w:val="clear" w:color="auto" w:fill="auto"/>
            <w:noWrap/>
            <w:vAlign w:val="bottom"/>
          </w:tcPr>
          <w:p w14:paraId="52AFD35B" w14:textId="77777777" w:rsidR="0003735F" w:rsidRPr="00141EB8" w:rsidRDefault="0003735F" w:rsidP="0003735F">
            <w:pPr>
              <w:jc w:val="right"/>
              <w:rPr>
                <w:color w:val="000000"/>
                <w:sz w:val="18"/>
                <w:szCs w:val="18"/>
              </w:rPr>
            </w:pPr>
            <w:r>
              <w:rPr>
                <w:sz w:val="18"/>
                <w:szCs w:val="18"/>
              </w:rPr>
              <w:t xml:space="preserve">           47,228.15 </w:t>
            </w:r>
          </w:p>
        </w:tc>
        <w:tc>
          <w:tcPr>
            <w:tcW w:w="1260" w:type="dxa"/>
            <w:shd w:val="clear" w:color="auto" w:fill="auto"/>
            <w:noWrap/>
            <w:vAlign w:val="bottom"/>
          </w:tcPr>
          <w:p w14:paraId="3E4C3548" w14:textId="7A3A5CB9" w:rsidR="0003735F" w:rsidRPr="00141EB8" w:rsidRDefault="0003735F" w:rsidP="0003735F">
            <w:pPr>
              <w:jc w:val="right"/>
              <w:rPr>
                <w:sz w:val="18"/>
                <w:szCs w:val="18"/>
              </w:rPr>
            </w:pPr>
            <w:r>
              <w:rPr>
                <w:sz w:val="18"/>
                <w:szCs w:val="18"/>
              </w:rPr>
              <w:t>41,800.68</w:t>
            </w:r>
          </w:p>
        </w:tc>
        <w:tc>
          <w:tcPr>
            <w:tcW w:w="1170" w:type="dxa"/>
            <w:shd w:val="clear" w:color="auto" w:fill="auto"/>
            <w:noWrap/>
            <w:vAlign w:val="bottom"/>
          </w:tcPr>
          <w:p w14:paraId="0CA4E23A" w14:textId="33D47912" w:rsidR="0003735F" w:rsidRPr="00141EB8" w:rsidRDefault="0003735F" w:rsidP="0003735F">
            <w:pPr>
              <w:jc w:val="right"/>
              <w:rPr>
                <w:sz w:val="18"/>
                <w:szCs w:val="18"/>
              </w:rPr>
            </w:pPr>
            <w:r>
              <w:rPr>
                <w:sz w:val="18"/>
                <w:szCs w:val="18"/>
              </w:rPr>
              <w:t>5,427.47</w:t>
            </w:r>
          </w:p>
        </w:tc>
        <w:tc>
          <w:tcPr>
            <w:tcW w:w="1113" w:type="dxa"/>
            <w:shd w:val="clear" w:color="auto" w:fill="auto"/>
            <w:noWrap/>
            <w:vAlign w:val="bottom"/>
          </w:tcPr>
          <w:p w14:paraId="2C878118" w14:textId="1383657E" w:rsidR="0003735F" w:rsidRPr="00141EB8" w:rsidRDefault="0003735F" w:rsidP="0003735F">
            <w:pPr>
              <w:jc w:val="right"/>
              <w:rPr>
                <w:sz w:val="18"/>
                <w:szCs w:val="18"/>
              </w:rPr>
            </w:pPr>
            <w:r>
              <w:rPr>
                <w:sz w:val="18"/>
                <w:szCs w:val="18"/>
              </w:rPr>
              <w:t>5,427.47</w:t>
            </w:r>
          </w:p>
        </w:tc>
        <w:tc>
          <w:tcPr>
            <w:tcW w:w="896" w:type="dxa"/>
            <w:tcBorders>
              <w:right w:val="double" w:sz="4" w:space="0" w:color="auto"/>
            </w:tcBorders>
            <w:shd w:val="clear" w:color="auto" w:fill="auto"/>
            <w:noWrap/>
            <w:vAlign w:val="bottom"/>
          </w:tcPr>
          <w:p w14:paraId="65704E22" w14:textId="55F58513" w:rsidR="0003735F" w:rsidRPr="00141EB8" w:rsidRDefault="0003735F" w:rsidP="0003735F">
            <w:pPr>
              <w:jc w:val="center"/>
              <w:rPr>
                <w:sz w:val="18"/>
                <w:szCs w:val="18"/>
              </w:rPr>
            </w:pPr>
            <w:r>
              <w:rPr>
                <w:sz w:val="18"/>
                <w:szCs w:val="18"/>
              </w:rPr>
              <w:t>12.98%</w:t>
            </w:r>
          </w:p>
        </w:tc>
      </w:tr>
      <w:tr w:rsidR="0003735F" w:rsidRPr="005A497D" w14:paraId="2949C86A" w14:textId="77777777" w:rsidTr="000D0E8D">
        <w:trPr>
          <w:trHeight w:val="288"/>
        </w:trPr>
        <w:tc>
          <w:tcPr>
            <w:tcW w:w="2261" w:type="dxa"/>
            <w:tcBorders>
              <w:left w:val="double" w:sz="4" w:space="0" w:color="auto"/>
            </w:tcBorders>
            <w:shd w:val="clear" w:color="auto" w:fill="auto"/>
            <w:noWrap/>
            <w:vAlign w:val="center"/>
            <w:hideMark/>
          </w:tcPr>
          <w:p w14:paraId="5D36BB3A" w14:textId="77777777" w:rsidR="0003735F" w:rsidRPr="005A687A" w:rsidRDefault="0003735F" w:rsidP="0003735F">
            <w:pPr>
              <w:rPr>
                <w:sz w:val="18"/>
                <w:szCs w:val="16"/>
              </w:rPr>
            </w:pPr>
            <w:r w:rsidRPr="005A687A">
              <w:rPr>
                <w:sz w:val="18"/>
                <w:szCs w:val="16"/>
              </w:rPr>
              <w:t>DoA</w:t>
            </w:r>
          </w:p>
        </w:tc>
        <w:tc>
          <w:tcPr>
            <w:tcW w:w="1440" w:type="dxa"/>
            <w:shd w:val="clear" w:color="auto" w:fill="auto"/>
            <w:noWrap/>
            <w:vAlign w:val="bottom"/>
          </w:tcPr>
          <w:p w14:paraId="17B98D8B" w14:textId="77777777" w:rsidR="0003735F" w:rsidRPr="00141EB8" w:rsidRDefault="0003735F" w:rsidP="0003735F">
            <w:pPr>
              <w:jc w:val="right"/>
              <w:rPr>
                <w:color w:val="000000"/>
                <w:sz w:val="18"/>
                <w:szCs w:val="18"/>
              </w:rPr>
            </w:pPr>
            <w:r>
              <w:rPr>
                <w:sz w:val="18"/>
                <w:szCs w:val="18"/>
              </w:rPr>
              <w:t xml:space="preserve">            74,695.59 </w:t>
            </w:r>
          </w:p>
        </w:tc>
        <w:tc>
          <w:tcPr>
            <w:tcW w:w="1227" w:type="dxa"/>
            <w:shd w:val="clear" w:color="auto" w:fill="auto"/>
            <w:noWrap/>
            <w:vAlign w:val="bottom"/>
          </w:tcPr>
          <w:p w14:paraId="4477CF6F" w14:textId="77777777" w:rsidR="0003735F" w:rsidRPr="00141EB8" w:rsidRDefault="0003735F" w:rsidP="0003735F">
            <w:pPr>
              <w:jc w:val="right"/>
              <w:rPr>
                <w:color w:val="000000"/>
                <w:sz w:val="18"/>
                <w:szCs w:val="18"/>
              </w:rPr>
            </w:pPr>
            <w:r>
              <w:rPr>
                <w:sz w:val="18"/>
                <w:szCs w:val="18"/>
              </w:rPr>
              <w:t xml:space="preserve">           56,697.10 </w:t>
            </w:r>
          </w:p>
        </w:tc>
        <w:tc>
          <w:tcPr>
            <w:tcW w:w="1260" w:type="dxa"/>
            <w:shd w:val="clear" w:color="auto" w:fill="auto"/>
            <w:noWrap/>
            <w:vAlign w:val="bottom"/>
          </w:tcPr>
          <w:p w14:paraId="435DA92B" w14:textId="4130D6D5" w:rsidR="0003735F" w:rsidRPr="00141EB8" w:rsidRDefault="0003735F" w:rsidP="0003735F">
            <w:pPr>
              <w:jc w:val="right"/>
              <w:rPr>
                <w:sz w:val="18"/>
                <w:szCs w:val="18"/>
              </w:rPr>
            </w:pPr>
            <w:r>
              <w:rPr>
                <w:sz w:val="18"/>
                <w:szCs w:val="18"/>
              </w:rPr>
              <w:t>54,988.51</w:t>
            </w:r>
          </w:p>
        </w:tc>
        <w:tc>
          <w:tcPr>
            <w:tcW w:w="1170" w:type="dxa"/>
            <w:shd w:val="clear" w:color="auto" w:fill="auto"/>
            <w:noWrap/>
            <w:vAlign w:val="bottom"/>
          </w:tcPr>
          <w:p w14:paraId="7B2FBA46" w14:textId="06B90F59" w:rsidR="0003735F" w:rsidRPr="00141EB8" w:rsidRDefault="0003735F" w:rsidP="0003735F">
            <w:pPr>
              <w:jc w:val="right"/>
              <w:rPr>
                <w:sz w:val="18"/>
                <w:szCs w:val="18"/>
              </w:rPr>
            </w:pPr>
            <w:r>
              <w:rPr>
                <w:sz w:val="18"/>
                <w:szCs w:val="18"/>
              </w:rPr>
              <w:t>1,708.59</w:t>
            </w:r>
          </w:p>
        </w:tc>
        <w:tc>
          <w:tcPr>
            <w:tcW w:w="1113" w:type="dxa"/>
            <w:shd w:val="clear" w:color="auto" w:fill="auto"/>
            <w:noWrap/>
            <w:vAlign w:val="bottom"/>
          </w:tcPr>
          <w:p w14:paraId="7109FF98" w14:textId="68E3E80B" w:rsidR="0003735F" w:rsidRPr="00141EB8" w:rsidRDefault="0003735F" w:rsidP="0003735F">
            <w:pPr>
              <w:jc w:val="right"/>
              <w:rPr>
                <w:sz w:val="18"/>
                <w:szCs w:val="18"/>
              </w:rPr>
            </w:pPr>
            <w:r>
              <w:rPr>
                <w:sz w:val="18"/>
                <w:szCs w:val="18"/>
              </w:rPr>
              <w:t>1,708.59</w:t>
            </w:r>
          </w:p>
        </w:tc>
        <w:tc>
          <w:tcPr>
            <w:tcW w:w="896" w:type="dxa"/>
            <w:tcBorders>
              <w:right w:val="double" w:sz="4" w:space="0" w:color="auto"/>
            </w:tcBorders>
            <w:shd w:val="clear" w:color="auto" w:fill="auto"/>
            <w:noWrap/>
            <w:vAlign w:val="bottom"/>
          </w:tcPr>
          <w:p w14:paraId="279F6747" w14:textId="4D27DB88" w:rsidR="0003735F" w:rsidRPr="00141EB8" w:rsidRDefault="0003735F" w:rsidP="0003735F">
            <w:pPr>
              <w:jc w:val="center"/>
              <w:rPr>
                <w:sz w:val="18"/>
                <w:szCs w:val="18"/>
              </w:rPr>
            </w:pPr>
            <w:r>
              <w:rPr>
                <w:sz w:val="18"/>
                <w:szCs w:val="18"/>
              </w:rPr>
              <w:t>3.11%</w:t>
            </w:r>
          </w:p>
        </w:tc>
      </w:tr>
      <w:tr w:rsidR="0003735F" w:rsidRPr="005A497D" w14:paraId="5416DC51" w14:textId="77777777" w:rsidTr="000D0E8D">
        <w:trPr>
          <w:trHeight w:val="288"/>
        </w:trPr>
        <w:tc>
          <w:tcPr>
            <w:tcW w:w="2261" w:type="dxa"/>
            <w:tcBorders>
              <w:left w:val="double" w:sz="4" w:space="0" w:color="auto"/>
            </w:tcBorders>
            <w:shd w:val="clear" w:color="auto" w:fill="auto"/>
            <w:noWrap/>
            <w:vAlign w:val="center"/>
            <w:hideMark/>
          </w:tcPr>
          <w:p w14:paraId="0E9A5823" w14:textId="77777777" w:rsidR="0003735F" w:rsidRPr="005A687A" w:rsidRDefault="0003735F" w:rsidP="0003735F">
            <w:pPr>
              <w:rPr>
                <w:sz w:val="18"/>
                <w:szCs w:val="16"/>
              </w:rPr>
            </w:pPr>
            <w:r w:rsidRPr="005A687A">
              <w:rPr>
                <w:sz w:val="18"/>
                <w:szCs w:val="16"/>
              </w:rPr>
              <w:t>DOTC</w:t>
            </w:r>
          </w:p>
        </w:tc>
        <w:tc>
          <w:tcPr>
            <w:tcW w:w="1440" w:type="dxa"/>
            <w:shd w:val="clear" w:color="auto" w:fill="auto"/>
            <w:noWrap/>
            <w:vAlign w:val="bottom"/>
          </w:tcPr>
          <w:p w14:paraId="5233F115" w14:textId="77777777" w:rsidR="0003735F" w:rsidRPr="00141EB8" w:rsidRDefault="0003735F" w:rsidP="0003735F">
            <w:pPr>
              <w:jc w:val="right"/>
              <w:rPr>
                <w:color w:val="000000"/>
                <w:sz w:val="18"/>
                <w:szCs w:val="18"/>
              </w:rPr>
            </w:pPr>
            <w:r>
              <w:rPr>
                <w:sz w:val="18"/>
                <w:szCs w:val="18"/>
              </w:rPr>
              <w:t xml:space="preserve">            59,354.94 </w:t>
            </w:r>
          </w:p>
        </w:tc>
        <w:tc>
          <w:tcPr>
            <w:tcW w:w="1227" w:type="dxa"/>
            <w:shd w:val="clear" w:color="auto" w:fill="auto"/>
            <w:noWrap/>
            <w:vAlign w:val="bottom"/>
          </w:tcPr>
          <w:p w14:paraId="2DB49F93" w14:textId="77777777" w:rsidR="0003735F" w:rsidRPr="00141EB8" w:rsidRDefault="0003735F" w:rsidP="0003735F">
            <w:pPr>
              <w:jc w:val="right"/>
              <w:rPr>
                <w:color w:val="000000"/>
                <w:sz w:val="18"/>
                <w:szCs w:val="18"/>
              </w:rPr>
            </w:pPr>
            <w:r>
              <w:rPr>
                <w:sz w:val="18"/>
                <w:szCs w:val="18"/>
              </w:rPr>
              <w:t xml:space="preserve">           34,107.99 </w:t>
            </w:r>
          </w:p>
        </w:tc>
        <w:tc>
          <w:tcPr>
            <w:tcW w:w="1260" w:type="dxa"/>
            <w:shd w:val="clear" w:color="auto" w:fill="auto"/>
            <w:noWrap/>
            <w:vAlign w:val="bottom"/>
          </w:tcPr>
          <w:p w14:paraId="055AA84B" w14:textId="4CA51062" w:rsidR="0003735F" w:rsidRPr="00141EB8" w:rsidRDefault="0003735F" w:rsidP="0003735F">
            <w:pPr>
              <w:jc w:val="right"/>
              <w:rPr>
                <w:sz w:val="18"/>
                <w:szCs w:val="18"/>
              </w:rPr>
            </w:pPr>
            <w:r>
              <w:rPr>
                <w:sz w:val="18"/>
                <w:szCs w:val="18"/>
              </w:rPr>
              <w:t>43,695.21</w:t>
            </w:r>
          </w:p>
        </w:tc>
        <w:tc>
          <w:tcPr>
            <w:tcW w:w="1170" w:type="dxa"/>
            <w:shd w:val="clear" w:color="auto" w:fill="auto"/>
            <w:noWrap/>
            <w:vAlign w:val="bottom"/>
          </w:tcPr>
          <w:p w14:paraId="01F6E937" w14:textId="41F32059" w:rsidR="0003735F" w:rsidRPr="00141EB8" w:rsidRDefault="0003735F" w:rsidP="0003735F">
            <w:pPr>
              <w:jc w:val="right"/>
              <w:rPr>
                <w:sz w:val="18"/>
                <w:szCs w:val="18"/>
              </w:rPr>
            </w:pPr>
            <w:r>
              <w:rPr>
                <w:sz w:val="18"/>
                <w:szCs w:val="18"/>
              </w:rPr>
              <w:t>(9,587.22)</w:t>
            </w:r>
          </w:p>
        </w:tc>
        <w:tc>
          <w:tcPr>
            <w:tcW w:w="1113" w:type="dxa"/>
            <w:shd w:val="clear" w:color="auto" w:fill="auto"/>
            <w:noWrap/>
            <w:vAlign w:val="bottom"/>
          </w:tcPr>
          <w:p w14:paraId="785D9DA5" w14:textId="76993ABB" w:rsidR="0003735F" w:rsidRPr="00141EB8" w:rsidRDefault="0003735F" w:rsidP="0003735F">
            <w:pPr>
              <w:jc w:val="right"/>
              <w:rPr>
                <w:sz w:val="18"/>
                <w:szCs w:val="18"/>
              </w:rPr>
            </w:pPr>
            <w:r>
              <w:rPr>
                <w:sz w:val="18"/>
                <w:szCs w:val="18"/>
              </w:rPr>
              <w:t>9,587.22</w:t>
            </w:r>
          </w:p>
        </w:tc>
        <w:tc>
          <w:tcPr>
            <w:tcW w:w="896" w:type="dxa"/>
            <w:tcBorders>
              <w:right w:val="double" w:sz="4" w:space="0" w:color="auto"/>
            </w:tcBorders>
            <w:shd w:val="clear" w:color="auto" w:fill="auto"/>
            <w:noWrap/>
            <w:vAlign w:val="bottom"/>
          </w:tcPr>
          <w:p w14:paraId="3A75CBC3" w14:textId="12D895A8" w:rsidR="0003735F" w:rsidRPr="00141EB8" w:rsidRDefault="0003735F" w:rsidP="0003735F">
            <w:pPr>
              <w:jc w:val="center"/>
              <w:rPr>
                <w:sz w:val="18"/>
                <w:szCs w:val="18"/>
              </w:rPr>
            </w:pPr>
            <w:r>
              <w:rPr>
                <w:sz w:val="18"/>
                <w:szCs w:val="18"/>
              </w:rPr>
              <w:t>21.94%</w:t>
            </w:r>
          </w:p>
        </w:tc>
      </w:tr>
      <w:tr w:rsidR="0003735F" w:rsidRPr="005A497D" w14:paraId="0C54EA26" w14:textId="77777777" w:rsidTr="000D0E8D">
        <w:trPr>
          <w:trHeight w:val="288"/>
        </w:trPr>
        <w:tc>
          <w:tcPr>
            <w:tcW w:w="2261" w:type="dxa"/>
            <w:tcBorders>
              <w:left w:val="double" w:sz="4" w:space="0" w:color="auto"/>
            </w:tcBorders>
            <w:shd w:val="clear" w:color="auto" w:fill="auto"/>
            <w:noWrap/>
            <w:vAlign w:val="center"/>
            <w:hideMark/>
          </w:tcPr>
          <w:p w14:paraId="0C0EFF86" w14:textId="77777777" w:rsidR="0003735F" w:rsidRPr="005A687A" w:rsidRDefault="0003735F" w:rsidP="0003735F">
            <w:pPr>
              <w:rPr>
                <w:sz w:val="18"/>
                <w:szCs w:val="16"/>
              </w:rPr>
            </w:pPr>
            <w:r w:rsidRPr="005A687A">
              <w:rPr>
                <w:sz w:val="18"/>
                <w:szCs w:val="16"/>
              </w:rPr>
              <w:t>State universities and colleges</w:t>
            </w:r>
          </w:p>
        </w:tc>
        <w:tc>
          <w:tcPr>
            <w:tcW w:w="1440" w:type="dxa"/>
            <w:shd w:val="clear" w:color="auto" w:fill="auto"/>
            <w:noWrap/>
            <w:vAlign w:val="bottom"/>
          </w:tcPr>
          <w:p w14:paraId="366D60F7" w14:textId="77777777" w:rsidR="0003735F" w:rsidRPr="00141EB8" w:rsidRDefault="0003735F" w:rsidP="0003735F">
            <w:pPr>
              <w:jc w:val="right"/>
              <w:rPr>
                <w:color w:val="000000"/>
                <w:sz w:val="18"/>
                <w:szCs w:val="18"/>
              </w:rPr>
            </w:pPr>
            <w:r>
              <w:rPr>
                <w:sz w:val="18"/>
                <w:szCs w:val="18"/>
              </w:rPr>
              <w:t xml:space="preserve">            42,902.27 </w:t>
            </w:r>
          </w:p>
        </w:tc>
        <w:tc>
          <w:tcPr>
            <w:tcW w:w="1227" w:type="dxa"/>
            <w:shd w:val="clear" w:color="auto" w:fill="auto"/>
            <w:noWrap/>
            <w:vAlign w:val="bottom"/>
          </w:tcPr>
          <w:p w14:paraId="1D2DC0CB" w14:textId="77777777" w:rsidR="0003735F" w:rsidRPr="00141EB8" w:rsidRDefault="0003735F" w:rsidP="0003735F">
            <w:pPr>
              <w:jc w:val="right"/>
              <w:rPr>
                <w:color w:val="000000"/>
                <w:sz w:val="18"/>
                <w:szCs w:val="18"/>
              </w:rPr>
            </w:pPr>
            <w:r>
              <w:rPr>
                <w:sz w:val="18"/>
                <w:szCs w:val="18"/>
              </w:rPr>
              <w:t xml:space="preserve">           38,883.67 </w:t>
            </w:r>
          </w:p>
        </w:tc>
        <w:tc>
          <w:tcPr>
            <w:tcW w:w="1260" w:type="dxa"/>
            <w:shd w:val="clear" w:color="auto" w:fill="auto"/>
            <w:noWrap/>
            <w:vAlign w:val="bottom"/>
          </w:tcPr>
          <w:p w14:paraId="7F49F625" w14:textId="74EE615C" w:rsidR="0003735F" w:rsidRPr="00141EB8" w:rsidRDefault="0003735F" w:rsidP="0003735F">
            <w:pPr>
              <w:jc w:val="right"/>
              <w:rPr>
                <w:sz w:val="18"/>
                <w:szCs w:val="18"/>
              </w:rPr>
            </w:pPr>
            <w:r>
              <w:rPr>
                <w:sz w:val="18"/>
                <w:szCs w:val="18"/>
              </w:rPr>
              <w:t>31,583.28</w:t>
            </w:r>
          </w:p>
        </w:tc>
        <w:tc>
          <w:tcPr>
            <w:tcW w:w="1170" w:type="dxa"/>
            <w:shd w:val="clear" w:color="auto" w:fill="auto"/>
            <w:noWrap/>
            <w:vAlign w:val="bottom"/>
          </w:tcPr>
          <w:p w14:paraId="5374F7CE" w14:textId="18E78099" w:rsidR="0003735F" w:rsidRPr="00141EB8" w:rsidRDefault="0003735F" w:rsidP="0003735F">
            <w:pPr>
              <w:jc w:val="right"/>
              <w:rPr>
                <w:sz w:val="18"/>
                <w:szCs w:val="18"/>
              </w:rPr>
            </w:pPr>
            <w:r>
              <w:rPr>
                <w:sz w:val="18"/>
                <w:szCs w:val="18"/>
              </w:rPr>
              <w:t>7,300.39</w:t>
            </w:r>
          </w:p>
        </w:tc>
        <w:tc>
          <w:tcPr>
            <w:tcW w:w="1113" w:type="dxa"/>
            <w:shd w:val="clear" w:color="auto" w:fill="auto"/>
            <w:noWrap/>
            <w:vAlign w:val="bottom"/>
          </w:tcPr>
          <w:p w14:paraId="4953782C" w14:textId="3C855BF1" w:rsidR="0003735F" w:rsidRPr="00141EB8" w:rsidRDefault="0003735F" w:rsidP="0003735F">
            <w:pPr>
              <w:jc w:val="right"/>
              <w:rPr>
                <w:sz w:val="18"/>
                <w:szCs w:val="18"/>
              </w:rPr>
            </w:pPr>
            <w:r>
              <w:rPr>
                <w:sz w:val="18"/>
                <w:szCs w:val="18"/>
              </w:rPr>
              <w:t>7,300.39</w:t>
            </w:r>
          </w:p>
        </w:tc>
        <w:tc>
          <w:tcPr>
            <w:tcW w:w="896" w:type="dxa"/>
            <w:tcBorders>
              <w:right w:val="double" w:sz="4" w:space="0" w:color="auto"/>
            </w:tcBorders>
            <w:shd w:val="clear" w:color="auto" w:fill="auto"/>
            <w:noWrap/>
            <w:vAlign w:val="bottom"/>
          </w:tcPr>
          <w:p w14:paraId="2235FDC3" w14:textId="20392792" w:rsidR="0003735F" w:rsidRPr="00141EB8" w:rsidRDefault="0003735F" w:rsidP="0003735F">
            <w:pPr>
              <w:jc w:val="center"/>
              <w:rPr>
                <w:sz w:val="18"/>
                <w:szCs w:val="18"/>
              </w:rPr>
            </w:pPr>
            <w:r>
              <w:rPr>
                <w:sz w:val="18"/>
                <w:szCs w:val="18"/>
              </w:rPr>
              <w:t>23.11%</w:t>
            </w:r>
          </w:p>
        </w:tc>
      </w:tr>
      <w:tr w:rsidR="0003735F" w:rsidRPr="005A497D" w14:paraId="306BD02A" w14:textId="77777777" w:rsidTr="000D0E8D">
        <w:trPr>
          <w:trHeight w:val="288"/>
        </w:trPr>
        <w:tc>
          <w:tcPr>
            <w:tcW w:w="2261" w:type="dxa"/>
            <w:tcBorders>
              <w:left w:val="double" w:sz="4" w:space="0" w:color="auto"/>
            </w:tcBorders>
            <w:shd w:val="clear" w:color="auto" w:fill="auto"/>
            <w:noWrap/>
            <w:vAlign w:val="center"/>
            <w:hideMark/>
          </w:tcPr>
          <w:p w14:paraId="30A77225" w14:textId="77777777" w:rsidR="0003735F" w:rsidRPr="005A687A" w:rsidRDefault="0003735F" w:rsidP="0003735F">
            <w:pPr>
              <w:rPr>
                <w:sz w:val="18"/>
                <w:szCs w:val="16"/>
              </w:rPr>
            </w:pPr>
            <w:r w:rsidRPr="005A687A">
              <w:rPr>
                <w:sz w:val="18"/>
                <w:szCs w:val="16"/>
              </w:rPr>
              <w:t>DENR</w:t>
            </w:r>
          </w:p>
        </w:tc>
        <w:tc>
          <w:tcPr>
            <w:tcW w:w="1440" w:type="dxa"/>
            <w:shd w:val="clear" w:color="auto" w:fill="auto"/>
            <w:noWrap/>
            <w:vAlign w:val="bottom"/>
          </w:tcPr>
          <w:p w14:paraId="22D2D414" w14:textId="77777777" w:rsidR="0003735F" w:rsidRPr="00141EB8" w:rsidRDefault="0003735F" w:rsidP="0003735F">
            <w:pPr>
              <w:jc w:val="right"/>
              <w:rPr>
                <w:color w:val="000000"/>
                <w:sz w:val="18"/>
                <w:szCs w:val="18"/>
              </w:rPr>
            </w:pPr>
            <w:r>
              <w:rPr>
                <w:sz w:val="18"/>
                <w:szCs w:val="18"/>
              </w:rPr>
              <w:t xml:space="preserve">            30,083.72 </w:t>
            </w:r>
          </w:p>
        </w:tc>
        <w:tc>
          <w:tcPr>
            <w:tcW w:w="1227" w:type="dxa"/>
            <w:shd w:val="clear" w:color="auto" w:fill="auto"/>
            <w:noWrap/>
            <w:vAlign w:val="bottom"/>
          </w:tcPr>
          <w:p w14:paraId="0D1EC68E" w14:textId="77777777" w:rsidR="0003735F" w:rsidRPr="00141EB8" w:rsidRDefault="0003735F" w:rsidP="0003735F">
            <w:pPr>
              <w:jc w:val="right"/>
              <w:rPr>
                <w:color w:val="000000"/>
                <w:sz w:val="18"/>
                <w:szCs w:val="18"/>
              </w:rPr>
            </w:pPr>
            <w:r>
              <w:rPr>
                <w:sz w:val="18"/>
                <w:szCs w:val="18"/>
              </w:rPr>
              <w:t xml:space="preserve">           23,825.60 </w:t>
            </w:r>
          </w:p>
        </w:tc>
        <w:tc>
          <w:tcPr>
            <w:tcW w:w="1260" w:type="dxa"/>
            <w:shd w:val="clear" w:color="auto" w:fill="auto"/>
            <w:noWrap/>
            <w:vAlign w:val="bottom"/>
          </w:tcPr>
          <w:p w14:paraId="70B3ED68" w14:textId="3069FB97" w:rsidR="0003735F" w:rsidRPr="00141EB8" w:rsidRDefault="0003735F" w:rsidP="0003735F">
            <w:pPr>
              <w:jc w:val="right"/>
              <w:rPr>
                <w:sz w:val="18"/>
                <w:szCs w:val="18"/>
              </w:rPr>
            </w:pPr>
            <w:r>
              <w:rPr>
                <w:sz w:val="18"/>
                <w:szCs w:val="18"/>
              </w:rPr>
              <w:t>22,146.67</w:t>
            </w:r>
          </w:p>
        </w:tc>
        <w:tc>
          <w:tcPr>
            <w:tcW w:w="1170" w:type="dxa"/>
            <w:shd w:val="clear" w:color="auto" w:fill="auto"/>
            <w:noWrap/>
            <w:vAlign w:val="bottom"/>
          </w:tcPr>
          <w:p w14:paraId="41A794FC" w14:textId="42699ACD" w:rsidR="0003735F" w:rsidRPr="00141EB8" w:rsidRDefault="0003735F" w:rsidP="0003735F">
            <w:pPr>
              <w:jc w:val="right"/>
              <w:rPr>
                <w:sz w:val="18"/>
                <w:szCs w:val="18"/>
              </w:rPr>
            </w:pPr>
            <w:r>
              <w:rPr>
                <w:sz w:val="18"/>
                <w:szCs w:val="18"/>
              </w:rPr>
              <w:t>1,678.93</w:t>
            </w:r>
          </w:p>
        </w:tc>
        <w:tc>
          <w:tcPr>
            <w:tcW w:w="1113" w:type="dxa"/>
            <w:shd w:val="clear" w:color="auto" w:fill="auto"/>
            <w:noWrap/>
            <w:vAlign w:val="bottom"/>
          </w:tcPr>
          <w:p w14:paraId="550B5818" w14:textId="729F4975" w:rsidR="0003735F" w:rsidRPr="00141EB8" w:rsidRDefault="0003735F" w:rsidP="0003735F">
            <w:pPr>
              <w:jc w:val="right"/>
              <w:rPr>
                <w:sz w:val="18"/>
                <w:szCs w:val="18"/>
              </w:rPr>
            </w:pPr>
            <w:r>
              <w:rPr>
                <w:sz w:val="18"/>
                <w:szCs w:val="18"/>
              </w:rPr>
              <w:t>1,678.93</w:t>
            </w:r>
          </w:p>
        </w:tc>
        <w:tc>
          <w:tcPr>
            <w:tcW w:w="896" w:type="dxa"/>
            <w:tcBorders>
              <w:right w:val="double" w:sz="4" w:space="0" w:color="auto"/>
            </w:tcBorders>
            <w:shd w:val="clear" w:color="auto" w:fill="auto"/>
            <w:noWrap/>
            <w:vAlign w:val="bottom"/>
          </w:tcPr>
          <w:p w14:paraId="2F3F74AD" w14:textId="09F206B3" w:rsidR="0003735F" w:rsidRPr="00141EB8" w:rsidRDefault="0003735F" w:rsidP="0003735F">
            <w:pPr>
              <w:jc w:val="center"/>
              <w:rPr>
                <w:sz w:val="18"/>
                <w:szCs w:val="18"/>
              </w:rPr>
            </w:pPr>
            <w:r>
              <w:rPr>
                <w:sz w:val="18"/>
                <w:szCs w:val="18"/>
              </w:rPr>
              <w:t>7.58%</w:t>
            </w:r>
          </w:p>
        </w:tc>
      </w:tr>
      <w:tr w:rsidR="0003735F" w:rsidRPr="005A497D" w14:paraId="26A818AF" w14:textId="77777777" w:rsidTr="000D0E8D">
        <w:trPr>
          <w:trHeight w:val="288"/>
        </w:trPr>
        <w:tc>
          <w:tcPr>
            <w:tcW w:w="2261" w:type="dxa"/>
            <w:tcBorders>
              <w:left w:val="double" w:sz="4" w:space="0" w:color="auto"/>
            </w:tcBorders>
            <w:shd w:val="clear" w:color="auto" w:fill="auto"/>
            <w:noWrap/>
            <w:vAlign w:val="center"/>
            <w:hideMark/>
          </w:tcPr>
          <w:p w14:paraId="331DA164" w14:textId="77777777" w:rsidR="0003735F" w:rsidRPr="005A687A" w:rsidRDefault="0003735F" w:rsidP="0003735F">
            <w:pPr>
              <w:rPr>
                <w:sz w:val="18"/>
                <w:szCs w:val="16"/>
              </w:rPr>
            </w:pPr>
            <w:r w:rsidRPr="005A687A">
              <w:rPr>
                <w:sz w:val="18"/>
                <w:szCs w:val="16"/>
              </w:rPr>
              <w:t>COMELEC</w:t>
            </w:r>
          </w:p>
        </w:tc>
        <w:tc>
          <w:tcPr>
            <w:tcW w:w="1440" w:type="dxa"/>
            <w:shd w:val="clear" w:color="auto" w:fill="auto"/>
            <w:noWrap/>
            <w:vAlign w:val="bottom"/>
          </w:tcPr>
          <w:p w14:paraId="12C553C5" w14:textId="77777777" w:rsidR="0003735F" w:rsidRPr="00141EB8" w:rsidRDefault="0003735F" w:rsidP="0003735F">
            <w:pPr>
              <w:jc w:val="right"/>
              <w:rPr>
                <w:color w:val="000000"/>
                <w:sz w:val="18"/>
                <w:szCs w:val="18"/>
              </w:rPr>
            </w:pPr>
            <w:r>
              <w:rPr>
                <w:sz w:val="18"/>
                <w:szCs w:val="18"/>
              </w:rPr>
              <w:t xml:space="preserve">              6,615.82 </w:t>
            </w:r>
          </w:p>
        </w:tc>
        <w:tc>
          <w:tcPr>
            <w:tcW w:w="1227" w:type="dxa"/>
            <w:shd w:val="clear" w:color="auto" w:fill="auto"/>
            <w:noWrap/>
            <w:vAlign w:val="bottom"/>
          </w:tcPr>
          <w:p w14:paraId="372B6942" w14:textId="77777777" w:rsidR="0003735F" w:rsidRPr="00141EB8" w:rsidRDefault="0003735F" w:rsidP="0003735F">
            <w:pPr>
              <w:jc w:val="right"/>
              <w:rPr>
                <w:color w:val="000000"/>
                <w:sz w:val="18"/>
                <w:szCs w:val="18"/>
              </w:rPr>
            </w:pPr>
            <w:r>
              <w:rPr>
                <w:sz w:val="18"/>
                <w:szCs w:val="18"/>
              </w:rPr>
              <w:t xml:space="preserve">             5,439.17 </w:t>
            </w:r>
          </w:p>
        </w:tc>
        <w:tc>
          <w:tcPr>
            <w:tcW w:w="1260" w:type="dxa"/>
            <w:shd w:val="clear" w:color="auto" w:fill="auto"/>
            <w:noWrap/>
            <w:vAlign w:val="bottom"/>
          </w:tcPr>
          <w:p w14:paraId="1771E7C3" w14:textId="4B7605D3" w:rsidR="0003735F" w:rsidRPr="00141EB8" w:rsidRDefault="0003735F" w:rsidP="0003735F">
            <w:pPr>
              <w:jc w:val="right"/>
              <w:rPr>
                <w:sz w:val="18"/>
                <w:szCs w:val="18"/>
              </w:rPr>
            </w:pPr>
            <w:r>
              <w:rPr>
                <w:sz w:val="18"/>
                <w:szCs w:val="18"/>
              </w:rPr>
              <w:t>4,870.36</w:t>
            </w:r>
          </w:p>
        </w:tc>
        <w:tc>
          <w:tcPr>
            <w:tcW w:w="1170" w:type="dxa"/>
            <w:shd w:val="clear" w:color="auto" w:fill="auto"/>
            <w:noWrap/>
            <w:vAlign w:val="bottom"/>
          </w:tcPr>
          <w:p w14:paraId="07D4F511" w14:textId="6A3D1027" w:rsidR="0003735F" w:rsidRPr="00141EB8" w:rsidRDefault="0003735F" w:rsidP="0003735F">
            <w:pPr>
              <w:jc w:val="right"/>
              <w:rPr>
                <w:sz w:val="18"/>
                <w:szCs w:val="18"/>
              </w:rPr>
            </w:pPr>
            <w:r>
              <w:rPr>
                <w:sz w:val="18"/>
                <w:szCs w:val="18"/>
              </w:rPr>
              <w:t>568.81</w:t>
            </w:r>
          </w:p>
        </w:tc>
        <w:tc>
          <w:tcPr>
            <w:tcW w:w="1113" w:type="dxa"/>
            <w:shd w:val="clear" w:color="auto" w:fill="auto"/>
            <w:noWrap/>
            <w:vAlign w:val="bottom"/>
          </w:tcPr>
          <w:p w14:paraId="0FCA3CC2" w14:textId="2B971841" w:rsidR="0003735F" w:rsidRPr="00141EB8" w:rsidRDefault="0003735F" w:rsidP="0003735F">
            <w:pPr>
              <w:jc w:val="right"/>
              <w:rPr>
                <w:sz w:val="18"/>
                <w:szCs w:val="18"/>
              </w:rPr>
            </w:pPr>
            <w:r>
              <w:rPr>
                <w:sz w:val="18"/>
                <w:szCs w:val="18"/>
              </w:rPr>
              <w:t>568.81</w:t>
            </w:r>
          </w:p>
        </w:tc>
        <w:tc>
          <w:tcPr>
            <w:tcW w:w="896" w:type="dxa"/>
            <w:tcBorders>
              <w:right w:val="double" w:sz="4" w:space="0" w:color="auto"/>
            </w:tcBorders>
            <w:shd w:val="clear" w:color="auto" w:fill="auto"/>
            <w:noWrap/>
            <w:vAlign w:val="bottom"/>
          </w:tcPr>
          <w:p w14:paraId="5C899F10" w14:textId="7967BA35" w:rsidR="0003735F" w:rsidRPr="00141EB8" w:rsidRDefault="0003735F" w:rsidP="0003735F">
            <w:pPr>
              <w:jc w:val="center"/>
              <w:rPr>
                <w:sz w:val="18"/>
                <w:szCs w:val="18"/>
              </w:rPr>
            </w:pPr>
            <w:r>
              <w:rPr>
                <w:sz w:val="18"/>
                <w:szCs w:val="18"/>
              </w:rPr>
              <w:t>11.68%</w:t>
            </w:r>
          </w:p>
        </w:tc>
      </w:tr>
      <w:tr w:rsidR="0003735F" w:rsidRPr="005A497D" w14:paraId="1FB04004" w14:textId="77777777" w:rsidTr="000D0E8D">
        <w:trPr>
          <w:trHeight w:val="288"/>
        </w:trPr>
        <w:tc>
          <w:tcPr>
            <w:tcW w:w="2261" w:type="dxa"/>
            <w:tcBorders>
              <w:left w:val="double" w:sz="4" w:space="0" w:color="auto"/>
            </w:tcBorders>
            <w:shd w:val="clear" w:color="auto" w:fill="auto"/>
            <w:noWrap/>
            <w:vAlign w:val="center"/>
            <w:hideMark/>
          </w:tcPr>
          <w:p w14:paraId="19C7AC52" w14:textId="77777777" w:rsidR="0003735F" w:rsidRPr="005A687A" w:rsidRDefault="0003735F" w:rsidP="0003735F">
            <w:pPr>
              <w:rPr>
                <w:sz w:val="18"/>
                <w:szCs w:val="16"/>
              </w:rPr>
            </w:pPr>
            <w:r w:rsidRPr="005A687A">
              <w:rPr>
                <w:sz w:val="18"/>
                <w:szCs w:val="16"/>
              </w:rPr>
              <w:t>Judiciary</w:t>
            </w:r>
          </w:p>
        </w:tc>
        <w:tc>
          <w:tcPr>
            <w:tcW w:w="1440" w:type="dxa"/>
            <w:shd w:val="clear" w:color="auto" w:fill="auto"/>
            <w:noWrap/>
            <w:vAlign w:val="bottom"/>
          </w:tcPr>
          <w:p w14:paraId="1C2A88DA" w14:textId="77777777" w:rsidR="0003735F" w:rsidRPr="00141EB8" w:rsidRDefault="0003735F" w:rsidP="0003735F">
            <w:pPr>
              <w:jc w:val="right"/>
              <w:rPr>
                <w:color w:val="000000"/>
                <w:sz w:val="18"/>
                <w:szCs w:val="18"/>
              </w:rPr>
            </w:pPr>
            <w:r>
              <w:rPr>
                <w:sz w:val="18"/>
                <w:szCs w:val="18"/>
              </w:rPr>
              <w:t xml:space="preserve">            21,957.88 </w:t>
            </w:r>
          </w:p>
        </w:tc>
        <w:tc>
          <w:tcPr>
            <w:tcW w:w="1227" w:type="dxa"/>
            <w:shd w:val="clear" w:color="auto" w:fill="auto"/>
            <w:noWrap/>
            <w:vAlign w:val="bottom"/>
          </w:tcPr>
          <w:p w14:paraId="26D0DC7A" w14:textId="77777777" w:rsidR="0003735F" w:rsidRPr="00141EB8" w:rsidRDefault="0003735F" w:rsidP="0003735F">
            <w:pPr>
              <w:jc w:val="right"/>
              <w:rPr>
                <w:color w:val="000000"/>
                <w:sz w:val="18"/>
                <w:szCs w:val="18"/>
              </w:rPr>
            </w:pPr>
            <w:r>
              <w:rPr>
                <w:sz w:val="18"/>
                <w:szCs w:val="18"/>
              </w:rPr>
              <w:t xml:space="preserve">           19,443.77 </w:t>
            </w:r>
          </w:p>
        </w:tc>
        <w:tc>
          <w:tcPr>
            <w:tcW w:w="1260" w:type="dxa"/>
            <w:shd w:val="clear" w:color="auto" w:fill="auto"/>
            <w:noWrap/>
            <w:vAlign w:val="bottom"/>
          </w:tcPr>
          <w:p w14:paraId="35A70086" w14:textId="3AD86A87" w:rsidR="0003735F" w:rsidRPr="00141EB8" w:rsidRDefault="0003735F" w:rsidP="0003735F">
            <w:pPr>
              <w:jc w:val="right"/>
              <w:rPr>
                <w:sz w:val="18"/>
                <w:szCs w:val="18"/>
              </w:rPr>
            </w:pPr>
            <w:r>
              <w:rPr>
                <w:sz w:val="18"/>
                <w:szCs w:val="18"/>
              </w:rPr>
              <w:t>16,164.69</w:t>
            </w:r>
          </w:p>
        </w:tc>
        <w:tc>
          <w:tcPr>
            <w:tcW w:w="1170" w:type="dxa"/>
            <w:shd w:val="clear" w:color="auto" w:fill="auto"/>
            <w:noWrap/>
            <w:vAlign w:val="bottom"/>
          </w:tcPr>
          <w:p w14:paraId="62CBE41A" w14:textId="6CF3E951" w:rsidR="0003735F" w:rsidRPr="00141EB8" w:rsidRDefault="0003735F" w:rsidP="0003735F">
            <w:pPr>
              <w:jc w:val="right"/>
              <w:rPr>
                <w:sz w:val="18"/>
                <w:szCs w:val="18"/>
              </w:rPr>
            </w:pPr>
            <w:r>
              <w:rPr>
                <w:sz w:val="18"/>
                <w:szCs w:val="18"/>
              </w:rPr>
              <w:t>3,279.08</w:t>
            </w:r>
          </w:p>
        </w:tc>
        <w:tc>
          <w:tcPr>
            <w:tcW w:w="1113" w:type="dxa"/>
            <w:shd w:val="clear" w:color="auto" w:fill="auto"/>
            <w:noWrap/>
            <w:vAlign w:val="bottom"/>
          </w:tcPr>
          <w:p w14:paraId="42FAA7F7" w14:textId="233F02D4" w:rsidR="0003735F" w:rsidRPr="00141EB8" w:rsidRDefault="0003735F" w:rsidP="0003735F">
            <w:pPr>
              <w:jc w:val="right"/>
              <w:rPr>
                <w:sz w:val="18"/>
                <w:szCs w:val="18"/>
              </w:rPr>
            </w:pPr>
            <w:r>
              <w:rPr>
                <w:sz w:val="18"/>
                <w:szCs w:val="18"/>
              </w:rPr>
              <w:t>3,279.08</w:t>
            </w:r>
          </w:p>
        </w:tc>
        <w:tc>
          <w:tcPr>
            <w:tcW w:w="896" w:type="dxa"/>
            <w:tcBorders>
              <w:right w:val="double" w:sz="4" w:space="0" w:color="auto"/>
            </w:tcBorders>
            <w:shd w:val="clear" w:color="auto" w:fill="auto"/>
            <w:noWrap/>
            <w:vAlign w:val="bottom"/>
          </w:tcPr>
          <w:p w14:paraId="250A8580" w14:textId="441AF129" w:rsidR="0003735F" w:rsidRPr="00141EB8" w:rsidRDefault="0003735F" w:rsidP="0003735F">
            <w:pPr>
              <w:jc w:val="center"/>
              <w:rPr>
                <w:sz w:val="18"/>
                <w:szCs w:val="18"/>
              </w:rPr>
            </w:pPr>
            <w:r>
              <w:rPr>
                <w:sz w:val="18"/>
                <w:szCs w:val="18"/>
              </w:rPr>
              <w:t>20.29%</w:t>
            </w:r>
          </w:p>
        </w:tc>
      </w:tr>
      <w:tr w:rsidR="0003735F" w:rsidRPr="005A497D" w14:paraId="14EED459" w14:textId="77777777" w:rsidTr="000D0E8D">
        <w:trPr>
          <w:trHeight w:val="288"/>
        </w:trPr>
        <w:tc>
          <w:tcPr>
            <w:tcW w:w="2261" w:type="dxa"/>
            <w:tcBorders>
              <w:left w:val="double" w:sz="4" w:space="0" w:color="auto"/>
            </w:tcBorders>
            <w:shd w:val="clear" w:color="auto" w:fill="auto"/>
            <w:noWrap/>
            <w:vAlign w:val="center"/>
            <w:hideMark/>
          </w:tcPr>
          <w:p w14:paraId="47949BFD" w14:textId="77777777" w:rsidR="0003735F" w:rsidRPr="005A687A" w:rsidRDefault="0003735F" w:rsidP="0003735F">
            <w:pPr>
              <w:rPr>
                <w:sz w:val="18"/>
                <w:szCs w:val="16"/>
              </w:rPr>
            </w:pPr>
            <w:r w:rsidRPr="005A687A">
              <w:rPr>
                <w:sz w:val="18"/>
                <w:szCs w:val="16"/>
              </w:rPr>
              <w:t>DAR</w:t>
            </w:r>
          </w:p>
        </w:tc>
        <w:tc>
          <w:tcPr>
            <w:tcW w:w="1440" w:type="dxa"/>
            <w:shd w:val="clear" w:color="auto" w:fill="auto"/>
            <w:noWrap/>
            <w:vAlign w:val="bottom"/>
          </w:tcPr>
          <w:p w14:paraId="2B311E24" w14:textId="77777777" w:rsidR="0003735F" w:rsidRPr="00141EB8" w:rsidRDefault="0003735F" w:rsidP="0003735F">
            <w:pPr>
              <w:jc w:val="right"/>
              <w:rPr>
                <w:color w:val="000000"/>
                <w:sz w:val="18"/>
                <w:szCs w:val="18"/>
              </w:rPr>
            </w:pPr>
            <w:r>
              <w:rPr>
                <w:sz w:val="18"/>
                <w:szCs w:val="18"/>
              </w:rPr>
              <w:t xml:space="preserve">            30,445.53 </w:t>
            </w:r>
          </w:p>
        </w:tc>
        <w:tc>
          <w:tcPr>
            <w:tcW w:w="1227" w:type="dxa"/>
            <w:shd w:val="clear" w:color="auto" w:fill="auto"/>
            <w:noWrap/>
            <w:vAlign w:val="bottom"/>
          </w:tcPr>
          <w:p w14:paraId="165E0DC4" w14:textId="77777777" w:rsidR="0003735F" w:rsidRPr="00141EB8" w:rsidRDefault="0003735F" w:rsidP="0003735F">
            <w:pPr>
              <w:jc w:val="right"/>
              <w:rPr>
                <w:color w:val="000000"/>
                <w:sz w:val="18"/>
                <w:szCs w:val="18"/>
              </w:rPr>
            </w:pPr>
            <w:r>
              <w:rPr>
                <w:sz w:val="18"/>
                <w:szCs w:val="18"/>
              </w:rPr>
              <w:t xml:space="preserve">           12,161.67 </w:t>
            </w:r>
          </w:p>
        </w:tc>
        <w:tc>
          <w:tcPr>
            <w:tcW w:w="1260" w:type="dxa"/>
            <w:shd w:val="clear" w:color="auto" w:fill="auto"/>
            <w:noWrap/>
            <w:vAlign w:val="bottom"/>
          </w:tcPr>
          <w:p w14:paraId="3142E501" w14:textId="6D986B52" w:rsidR="0003735F" w:rsidRPr="00141EB8" w:rsidRDefault="0003735F" w:rsidP="0003735F">
            <w:pPr>
              <w:jc w:val="right"/>
              <w:rPr>
                <w:sz w:val="18"/>
                <w:szCs w:val="18"/>
              </w:rPr>
            </w:pPr>
            <w:r>
              <w:rPr>
                <w:sz w:val="18"/>
                <w:szCs w:val="18"/>
              </w:rPr>
              <w:t>22,413.03</w:t>
            </w:r>
          </w:p>
        </w:tc>
        <w:tc>
          <w:tcPr>
            <w:tcW w:w="1170" w:type="dxa"/>
            <w:shd w:val="clear" w:color="auto" w:fill="auto"/>
            <w:noWrap/>
            <w:vAlign w:val="bottom"/>
          </w:tcPr>
          <w:p w14:paraId="6E58382B" w14:textId="7BB76C40" w:rsidR="0003735F" w:rsidRPr="00141EB8" w:rsidRDefault="0003735F" w:rsidP="0003735F">
            <w:pPr>
              <w:jc w:val="right"/>
              <w:rPr>
                <w:sz w:val="18"/>
                <w:szCs w:val="18"/>
              </w:rPr>
            </w:pPr>
            <w:r>
              <w:rPr>
                <w:sz w:val="18"/>
                <w:szCs w:val="18"/>
              </w:rPr>
              <w:t>(10,251.36)</w:t>
            </w:r>
          </w:p>
        </w:tc>
        <w:tc>
          <w:tcPr>
            <w:tcW w:w="1113" w:type="dxa"/>
            <w:shd w:val="clear" w:color="auto" w:fill="auto"/>
            <w:noWrap/>
            <w:vAlign w:val="bottom"/>
          </w:tcPr>
          <w:p w14:paraId="496FBD89" w14:textId="78733337" w:rsidR="0003735F" w:rsidRPr="00141EB8" w:rsidRDefault="0003735F" w:rsidP="0003735F">
            <w:pPr>
              <w:jc w:val="right"/>
              <w:rPr>
                <w:sz w:val="18"/>
                <w:szCs w:val="18"/>
              </w:rPr>
            </w:pPr>
            <w:r>
              <w:rPr>
                <w:sz w:val="18"/>
                <w:szCs w:val="18"/>
              </w:rPr>
              <w:t>10,251.36</w:t>
            </w:r>
          </w:p>
        </w:tc>
        <w:tc>
          <w:tcPr>
            <w:tcW w:w="896" w:type="dxa"/>
            <w:tcBorders>
              <w:right w:val="double" w:sz="4" w:space="0" w:color="auto"/>
            </w:tcBorders>
            <w:shd w:val="clear" w:color="auto" w:fill="auto"/>
            <w:noWrap/>
            <w:vAlign w:val="bottom"/>
          </w:tcPr>
          <w:p w14:paraId="5EC70A9B" w14:textId="43DD3C0C" w:rsidR="0003735F" w:rsidRPr="00141EB8" w:rsidRDefault="0003735F" w:rsidP="0003735F">
            <w:pPr>
              <w:jc w:val="center"/>
              <w:rPr>
                <w:sz w:val="18"/>
                <w:szCs w:val="18"/>
              </w:rPr>
            </w:pPr>
            <w:r>
              <w:rPr>
                <w:sz w:val="18"/>
                <w:szCs w:val="18"/>
              </w:rPr>
              <w:t>45.74%</w:t>
            </w:r>
          </w:p>
        </w:tc>
      </w:tr>
      <w:tr w:rsidR="0003735F" w:rsidRPr="005A497D" w14:paraId="494F22D9" w14:textId="77777777" w:rsidTr="000D0E8D">
        <w:trPr>
          <w:trHeight w:val="288"/>
        </w:trPr>
        <w:tc>
          <w:tcPr>
            <w:tcW w:w="2261" w:type="dxa"/>
            <w:tcBorders>
              <w:left w:val="double" w:sz="4" w:space="0" w:color="auto"/>
            </w:tcBorders>
            <w:shd w:val="clear" w:color="auto" w:fill="auto"/>
            <w:noWrap/>
            <w:vAlign w:val="center"/>
            <w:hideMark/>
          </w:tcPr>
          <w:p w14:paraId="29550D5C" w14:textId="77777777" w:rsidR="0003735F" w:rsidRPr="005A687A" w:rsidRDefault="0003735F" w:rsidP="0003735F">
            <w:pPr>
              <w:rPr>
                <w:sz w:val="18"/>
                <w:szCs w:val="16"/>
              </w:rPr>
            </w:pPr>
            <w:r w:rsidRPr="005A687A">
              <w:rPr>
                <w:sz w:val="18"/>
                <w:szCs w:val="16"/>
              </w:rPr>
              <w:t>ARMM</w:t>
            </w:r>
          </w:p>
        </w:tc>
        <w:tc>
          <w:tcPr>
            <w:tcW w:w="1440" w:type="dxa"/>
            <w:shd w:val="clear" w:color="auto" w:fill="auto"/>
            <w:noWrap/>
            <w:vAlign w:val="bottom"/>
          </w:tcPr>
          <w:p w14:paraId="3EEE50A6" w14:textId="77777777" w:rsidR="0003735F" w:rsidRPr="00141EB8" w:rsidRDefault="0003735F" w:rsidP="0003735F">
            <w:pPr>
              <w:jc w:val="right"/>
              <w:rPr>
                <w:color w:val="000000"/>
                <w:sz w:val="18"/>
                <w:szCs w:val="18"/>
              </w:rPr>
            </w:pPr>
            <w:r>
              <w:rPr>
                <w:sz w:val="18"/>
                <w:szCs w:val="18"/>
              </w:rPr>
              <w:t xml:space="preserve">            22,850.84 </w:t>
            </w:r>
          </w:p>
        </w:tc>
        <w:tc>
          <w:tcPr>
            <w:tcW w:w="1227" w:type="dxa"/>
            <w:shd w:val="clear" w:color="auto" w:fill="auto"/>
            <w:noWrap/>
            <w:vAlign w:val="bottom"/>
          </w:tcPr>
          <w:p w14:paraId="5798BC0E" w14:textId="77777777" w:rsidR="0003735F" w:rsidRPr="00141EB8" w:rsidRDefault="0003735F" w:rsidP="0003735F">
            <w:pPr>
              <w:jc w:val="right"/>
              <w:rPr>
                <w:color w:val="000000"/>
                <w:sz w:val="18"/>
                <w:szCs w:val="18"/>
              </w:rPr>
            </w:pPr>
            <w:r>
              <w:rPr>
                <w:sz w:val="18"/>
                <w:szCs w:val="18"/>
              </w:rPr>
              <w:t xml:space="preserve">           22,450.91 </w:t>
            </w:r>
          </w:p>
        </w:tc>
        <w:tc>
          <w:tcPr>
            <w:tcW w:w="1260" w:type="dxa"/>
            <w:shd w:val="clear" w:color="auto" w:fill="auto"/>
            <w:noWrap/>
            <w:vAlign w:val="bottom"/>
          </w:tcPr>
          <w:p w14:paraId="1973576E" w14:textId="7DF9A0F9" w:rsidR="0003735F" w:rsidRPr="00141EB8" w:rsidRDefault="0003735F" w:rsidP="0003735F">
            <w:pPr>
              <w:jc w:val="right"/>
              <w:rPr>
                <w:sz w:val="18"/>
                <w:szCs w:val="18"/>
              </w:rPr>
            </w:pPr>
            <w:r>
              <w:rPr>
                <w:sz w:val="18"/>
                <w:szCs w:val="18"/>
              </w:rPr>
              <w:t>16,822.06</w:t>
            </w:r>
          </w:p>
        </w:tc>
        <w:tc>
          <w:tcPr>
            <w:tcW w:w="1170" w:type="dxa"/>
            <w:shd w:val="clear" w:color="auto" w:fill="auto"/>
            <w:noWrap/>
            <w:vAlign w:val="bottom"/>
          </w:tcPr>
          <w:p w14:paraId="78EDD17A" w14:textId="3026E311" w:rsidR="0003735F" w:rsidRPr="00141EB8" w:rsidRDefault="0003735F" w:rsidP="0003735F">
            <w:pPr>
              <w:jc w:val="right"/>
              <w:rPr>
                <w:sz w:val="18"/>
                <w:szCs w:val="18"/>
              </w:rPr>
            </w:pPr>
            <w:r>
              <w:rPr>
                <w:sz w:val="18"/>
                <w:szCs w:val="18"/>
              </w:rPr>
              <w:t>5,628.85</w:t>
            </w:r>
          </w:p>
        </w:tc>
        <w:tc>
          <w:tcPr>
            <w:tcW w:w="1113" w:type="dxa"/>
            <w:shd w:val="clear" w:color="auto" w:fill="auto"/>
            <w:noWrap/>
            <w:vAlign w:val="bottom"/>
          </w:tcPr>
          <w:p w14:paraId="568A3034" w14:textId="1989D865" w:rsidR="0003735F" w:rsidRPr="00141EB8" w:rsidRDefault="0003735F" w:rsidP="0003735F">
            <w:pPr>
              <w:jc w:val="right"/>
              <w:rPr>
                <w:sz w:val="18"/>
                <w:szCs w:val="18"/>
              </w:rPr>
            </w:pPr>
            <w:r>
              <w:rPr>
                <w:sz w:val="18"/>
                <w:szCs w:val="18"/>
              </w:rPr>
              <w:t>5,628.85</w:t>
            </w:r>
          </w:p>
        </w:tc>
        <w:tc>
          <w:tcPr>
            <w:tcW w:w="896" w:type="dxa"/>
            <w:tcBorders>
              <w:right w:val="double" w:sz="4" w:space="0" w:color="auto"/>
            </w:tcBorders>
            <w:shd w:val="clear" w:color="auto" w:fill="auto"/>
            <w:noWrap/>
            <w:vAlign w:val="bottom"/>
          </w:tcPr>
          <w:p w14:paraId="0E681089" w14:textId="12B755FD" w:rsidR="0003735F" w:rsidRPr="00141EB8" w:rsidRDefault="0003735F" w:rsidP="0003735F">
            <w:pPr>
              <w:jc w:val="center"/>
              <w:rPr>
                <w:sz w:val="18"/>
                <w:szCs w:val="18"/>
              </w:rPr>
            </w:pPr>
            <w:r>
              <w:rPr>
                <w:sz w:val="18"/>
                <w:szCs w:val="18"/>
              </w:rPr>
              <w:t>33.46%</w:t>
            </w:r>
          </w:p>
        </w:tc>
      </w:tr>
      <w:tr w:rsidR="0003735F" w:rsidRPr="005A497D" w14:paraId="3E73CCDD" w14:textId="77777777" w:rsidTr="000D0E8D">
        <w:trPr>
          <w:trHeight w:val="288"/>
        </w:trPr>
        <w:tc>
          <w:tcPr>
            <w:tcW w:w="2261" w:type="dxa"/>
            <w:tcBorders>
              <w:left w:val="double" w:sz="4" w:space="0" w:color="auto"/>
            </w:tcBorders>
            <w:shd w:val="clear" w:color="auto" w:fill="auto"/>
            <w:noWrap/>
            <w:vAlign w:val="center"/>
            <w:hideMark/>
          </w:tcPr>
          <w:p w14:paraId="7BF8B8D1" w14:textId="77777777" w:rsidR="0003735F" w:rsidRPr="005A687A" w:rsidRDefault="0003735F" w:rsidP="0003735F">
            <w:pPr>
              <w:rPr>
                <w:sz w:val="18"/>
                <w:szCs w:val="16"/>
              </w:rPr>
            </w:pPr>
            <w:r w:rsidRPr="005A687A">
              <w:rPr>
                <w:sz w:val="18"/>
                <w:szCs w:val="16"/>
              </w:rPr>
              <w:t>DFA</w:t>
            </w:r>
          </w:p>
        </w:tc>
        <w:tc>
          <w:tcPr>
            <w:tcW w:w="1440" w:type="dxa"/>
            <w:shd w:val="clear" w:color="auto" w:fill="auto"/>
            <w:noWrap/>
            <w:vAlign w:val="bottom"/>
          </w:tcPr>
          <w:p w14:paraId="0FD72FE7" w14:textId="77777777" w:rsidR="0003735F" w:rsidRPr="00141EB8" w:rsidRDefault="0003735F" w:rsidP="0003735F">
            <w:pPr>
              <w:jc w:val="right"/>
              <w:rPr>
                <w:sz w:val="18"/>
                <w:szCs w:val="18"/>
              </w:rPr>
            </w:pPr>
            <w:r>
              <w:rPr>
                <w:sz w:val="18"/>
                <w:szCs w:val="18"/>
              </w:rPr>
              <w:t xml:space="preserve">            15,489.31 </w:t>
            </w:r>
          </w:p>
        </w:tc>
        <w:tc>
          <w:tcPr>
            <w:tcW w:w="1227" w:type="dxa"/>
            <w:shd w:val="clear" w:color="auto" w:fill="auto"/>
            <w:noWrap/>
            <w:vAlign w:val="bottom"/>
          </w:tcPr>
          <w:p w14:paraId="4D555BB4" w14:textId="77777777" w:rsidR="0003735F" w:rsidRPr="00141EB8" w:rsidRDefault="0003735F" w:rsidP="0003735F">
            <w:pPr>
              <w:jc w:val="right"/>
              <w:rPr>
                <w:sz w:val="18"/>
                <w:szCs w:val="18"/>
              </w:rPr>
            </w:pPr>
            <w:r>
              <w:rPr>
                <w:sz w:val="18"/>
                <w:szCs w:val="18"/>
              </w:rPr>
              <w:t xml:space="preserve">           13,371.16 </w:t>
            </w:r>
          </w:p>
        </w:tc>
        <w:tc>
          <w:tcPr>
            <w:tcW w:w="1260" w:type="dxa"/>
            <w:shd w:val="clear" w:color="auto" w:fill="auto"/>
            <w:noWrap/>
            <w:vAlign w:val="bottom"/>
          </w:tcPr>
          <w:p w14:paraId="5EABD75D" w14:textId="7A4DE1CB" w:rsidR="0003735F" w:rsidRPr="00141EB8" w:rsidRDefault="0003735F" w:rsidP="0003735F">
            <w:pPr>
              <w:jc w:val="right"/>
              <w:rPr>
                <w:sz w:val="18"/>
                <w:szCs w:val="18"/>
              </w:rPr>
            </w:pPr>
            <w:r>
              <w:rPr>
                <w:sz w:val="18"/>
                <w:szCs w:val="18"/>
              </w:rPr>
              <w:t>11,402.74</w:t>
            </w:r>
          </w:p>
        </w:tc>
        <w:tc>
          <w:tcPr>
            <w:tcW w:w="1170" w:type="dxa"/>
            <w:shd w:val="clear" w:color="auto" w:fill="auto"/>
            <w:noWrap/>
            <w:vAlign w:val="bottom"/>
          </w:tcPr>
          <w:p w14:paraId="0171F5DD" w14:textId="4EA64045" w:rsidR="0003735F" w:rsidRPr="00141EB8" w:rsidRDefault="0003735F" w:rsidP="0003735F">
            <w:pPr>
              <w:jc w:val="right"/>
              <w:rPr>
                <w:sz w:val="18"/>
                <w:szCs w:val="18"/>
              </w:rPr>
            </w:pPr>
            <w:r>
              <w:rPr>
                <w:sz w:val="18"/>
                <w:szCs w:val="18"/>
              </w:rPr>
              <w:t>1,968.42</w:t>
            </w:r>
          </w:p>
        </w:tc>
        <w:tc>
          <w:tcPr>
            <w:tcW w:w="1113" w:type="dxa"/>
            <w:shd w:val="clear" w:color="auto" w:fill="auto"/>
            <w:noWrap/>
            <w:vAlign w:val="bottom"/>
          </w:tcPr>
          <w:p w14:paraId="0BF1C20E" w14:textId="247843F1" w:rsidR="0003735F" w:rsidRPr="00141EB8" w:rsidRDefault="0003735F" w:rsidP="0003735F">
            <w:pPr>
              <w:jc w:val="right"/>
              <w:rPr>
                <w:sz w:val="18"/>
                <w:szCs w:val="18"/>
              </w:rPr>
            </w:pPr>
            <w:r>
              <w:rPr>
                <w:sz w:val="18"/>
                <w:szCs w:val="18"/>
              </w:rPr>
              <w:t>1,968.42</w:t>
            </w:r>
          </w:p>
        </w:tc>
        <w:tc>
          <w:tcPr>
            <w:tcW w:w="896" w:type="dxa"/>
            <w:tcBorders>
              <w:right w:val="double" w:sz="4" w:space="0" w:color="auto"/>
            </w:tcBorders>
            <w:shd w:val="clear" w:color="auto" w:fill="auto"/>
            <w:noWrap/>
            <w:vAlign w:val="bottom"/>
          </w:tcPr>
          <w:p w14:paraId="54AE515A" w14:textId="27EF1576" w:rsidR="0003735F" w:rsidRPr="00141EB8" w:rsidRDefault="0003735F" w:rsidP="0003735F">
            <w:pPr>
              <w:jc w:val="center"/>
              <w:rPr>
                <w:sz w:val="18"/>
                <w:szCs w:val="18"/>
              </w:rPr>
            </w:pPr>
            <w:r>
              <w:rPr>
                <w:sz w:val="18"/>
                <w:szCs w:val="18"/>
              </w:rPr>
              <w:t>17.26%</w:t>
            </w:r>
          </w:p>
        </w:tc>
      </w:tr>
      <w:tr w:rsidR="0003735F" w:rsidRPr="005A497D" w14:paraId="2F819ADD" w14:textId="77777777" w:rsidTr="000D0E8D">
        <w:trPr>
          <w:trHeight w:val="288"/>
        </w:trPr>
        <w:tc>
          <w:tcPr>
            <w:tcW w:w="2261" w:type="dxa"/>
            <w:tcBorders>
              <w:left w:val="double" w:sz="4" w:space="0" w:color="auto"/>
            </w:tcBorders>
            <w:shd w:val="clear" w:color="auto" w:fill="auto"/>
            <w:noWrap/>
            <w:vAlign w:val="center"/>
            <w:hideMark/>
          </w:tcPr>
          <w:p w14:paraId="7B87104D" w14:textId="77777777" w:rsidR="0003735F" w:rsidRPr="005A687A" w:rsidRDefault="0003735F" w:rsidP="0003735F">
            <w:pPr>
              <w:rPr>
                <w:sz w:val="18"/>
                <w:szCs w:val="16"/>
              </w:rPr>
            </w:pPr>
            <w:r w:rsidRPr="005A687A">
              <w:rPr>
                <w:sz w:val="18"/>
                <w:szCs w:val="16"/>
              </w:rPr>
              <w:t>DOST</w:t>
            </w:r>
          </w:p>
        </w:tc>
        <w:tc>
          <w:tcPr>
            <w:tcW w:w="1440" w:type="dxa"/>
            <w:shd w:val="clear" w:color="auto" w:fill="auto"/>
            <w:noWrap/>
            <w:vAlign w:val="bottom"/>
          </w:tcPr>
          <w:p w14:paraId="078947E5" w14:textId="77777777" w:rsidR="0003735F" w:rsidRPr="00141EB8" w:rsidRDefault="0003735F" w:rsidP="0003735F">
            <w:pPr>
              <w:jc w:val="right"/>
              <w:rPr>
                <w:sz w:val="18"/>
                <w:szCs w:val="18"/>
              </w:rPr>
            </w:pPr>
            <w:r>
              <w:rPr>
                <w:sz w:val="18"/>
                <w:szCs w:val="18"/>
              </w:rPr>
              <w:t xml:space="preserve">            14,694.14 </w:t>
            </w:r>
          </w:p>
        </w:tc>
        <w:tc>
          <w:tcPr>
            <w:tcW w:w="1227" w:type="dxa"/>
            <w:shd w:val="clear" w:color="auto" w:fill="auto"/>
            <w:noWrap/>
            <w:vAlign w:val="bottom"/>
          </w:tcPr>
          <w:p w14:paraId="3897E1A7" w14:textId="77777777" w:rsidR="0003735F" w:rsidRPr="00141EB8" w:rsidRDefault="0003735F" w:rsidP="0003735F">
            <w:pPr>
              <w:jc w:val="right"/>
              <w:rPr>
                <w:sz w:val="18"/>
                <w:szCs w:val="18"/>
              </w:rPr>
            </w:pPr>
            <w:r>
              <w:rPr>
                <w:sz w:val="18"/>
                <w:szCs w:val="18"/>
              </w:rPr>
              <w:t xml:space="preserve">           12,630.66 </w:t>
            </w:r>
          </w:p>
        </w:tc>
        <w:tc>
          <w:tcPr>
            <w:tcW w:w="1260" w:type="dxa"/>
            <w:shd w:val="clear" w:color="auto" w:fill="auto"/>
            <w:noWrap/>
            <w:vAlign w:val="bottom"/>
          </w:tcPr>
          <w:p w14:paraId="35B885C1" w14:textId="02B9982F" w:rsidR="0003735F" w:rsidRPr="00141EB8" w:rsidRDefault="0003735F" w:rsidP="0003735F">
            <w:pPr>
              <w:jc w:val="right"/>
              <w:rPr>
                <w:sz w:val="18"/>
                <w:szCs w:val="18"/>
              </w:rPr>
            </w:pPr>
            <w:r>
              <w:rPr>
                <w:sz w:val="18"/>
                <w:szCs w:val="18"/>
              </w:rPr>
              <w:t>10,817.36</w:t>
            </w:r>
          </w:p>
        </w:tc>
        <w:tc>
          <w:tcPr>
            <w:tcW w:w="1170" w:type="dxa"/>
            <w:shd w:val="clear" w:color="auto" w:fill="auto"/>
            <w:noWrap/>
            <w:vAlign w:val="bottom"/>
          </w:tcPr>
          <w:p w14:paraId="02F01EE6" w14:textId="7097AF37" w:rsidR="0003735F" w:rsidRPr="00141EB8" w:rsidRDefault="0003735F" w:rsidP="0003735F">
            <w:pPr>
              <w:jc w:val="right"/>
              <w:rPr>
                <w:sz w:val="18"/>
                <w:szCs w:val="18"/>
              </w:rPr>
            </w:pPr>
            <w:r>
              <w:rPr>
                <w:sz w:val="18"/>
                <w:szCs w:val="18"/>
              </w:rPr>
              <w:t>1,813.30</w:t>
            </w:r>
          </w:p>
        </w:tc>
        <w:tc>
          <w:tcPr>
            <w:tcW w:w="1113" w:type="dxa"/>
            <w:shd w:val="clear" w:color="auto" w:fill="auto"/>
            <w:noWrap/>
            <w:vAlign w:val="bottom"/>
          </w:tcPr>
          <w:p w14:paraId="50DE129A" w14:textId="08A4BF5E" w:rsidR="0003735F" w:rsidRPr="00141EB8" w:rsidRDefault="0003735F" w:rsidP="0003735F">
            <w:pPr>
              <w:jc w:val="right"/>
              <w:rPr>
                <w:sz w:val="18"/>
                <w:szCs w:val="18"/>
              </w:rPr>
            </w:pPr>
            <w:r>
              <w:rPr>
                <w:sz w:val="18"/>
                <w:szCs w:val="18"/>
              </w:rPr>
              <w:t>1,813.30</w:t>
            </w:r>
          </w:p>
        </w:tc>
        <w:tc>
          <w:tcPr>
            <w:tcW w:w="896" w:type="dxa"/>
            <w:tcBorders>
              <w:right w:val="double" w:sz="4" w:space="0" w:color="auto"/>
            </w:tcBorders>
            <w:shd w:val="clear" w:color="auto" w:fill="auto"/>
            <w:noWrap/>
            <w:vAlign w:val="bottom"/>
          </w:tcPr>
          <w:p w14:paraId="727C8EDD" w14:textId="5704BF76" w:rsidR="0003735F" w:rsidRPr="00141EB8" w:rsidRDefault="0003735F" w:rsidP="0003735F">
            <w:pPr>
              <w:jc w:val="center"/>
              <w:rPr>
                <w:sz w:val="18"/>
                <w:szCs w:val="18"/>
              </w:rPr>
            </w:pPr>
            <w:r>
              <w:rPr>
                <w:sz w:val="18"/>
                <w:szCs w:val="18"/>
              </w:rPr>
              <w:t>16.76%</w:t>
            </w:r>
          </w:p>
        </w:tc>
      </w:tr>
      <w:tr w:rsidR="0003735F" w:rsidRPr="005A497D" w14:paraId="60506D2D" w14:textId="77777777" w:rsidTr="000D0E8D">
        <w:trPr>
          <w:trHeight w:val="288"/>
        </w:trPr>
        <w:tc>
          <w:tcPr>
            <w:tcW w:w="2261" w:type="dxa"/>
            <w:tcBorders>
              <w:left w:val="double" w:sz="4" w:space="0" w:color="auto"/>
            </w:tcBorders>
            <w:shd w:val="clear" w:color="auto" w:fill="auto"/>
            <w:noWrap/>
            <w:vAlign w:val="center"/>
            <w:hideMark/>
          </w:tcPr>
          <w:p w14:paraId="1A1EDD64" w14:textId="77777777" w:rsidR="0003735F" w:rsidRPr="005A687A" w:rsidRDefault="0003735F" w:rsidP="0003735F">
            <w:pPr>
              <w:rPr>
                <w:sz w:val="18"/>
                <w:szCs w:val="16"/>
              </w:rPr>
            </w:pPr>
            <w:r w:rsidRPr="005A687A">
              <w:rPr>
                <w:sz w:val="18"/>
                <w:szCs w:val="16"/>
              </w:rPr>
              <w:t>Justice</w:t>
            </w:r>
          </w:p>
        </w:tc>
        <w:tc>
          <w:tcPr>
            <w:tcW w:w="1440" w:type="dxa"/>
            <w:shd w:val="clear" w:color="auto" w:fill="auto"/>
            <w:noWrap/>
            <w:vAlign w:val="bottom"/>
          </w:tcPr>
          <w:p w14:paraId="2D1FF549" w14:textId="77777777" w:rsidR="0003735F" w:rsidRPr="00141EB8" w:rsidRDefault="0003735F" w:rsidP="0003735F">
            <w:pPr>
              <w:jc w:val="right"/>
              <w:rPr>
                <w:sz w:val="18"/>
                <w:szCs w:val="18"/>
              </w:rPr>
            </w:pPr>
            <w:r>
              <w:rPr>
                <w:sz w:val="18"/>
                <w:szCs w:val="18"/>
              </w:rPr>
              <w:t xml:space="preserve">            14,568.17 </w:t>
            </w:r>
          </w:p>
        </w:tc>
        <w:tc>
          <w:tcPr>
            <w:tcW w:w="1227" w:type="dxa"/>
            <w:shd w:val="clear" w:color="auto" w:fill="auto"/>
            <w:noWrap/>
            <w:vAlign w:val="bottom"/>
          </w:tcPr>
          <w:p w14:paraId="3E11AE96" w14:textId="77777777" w:rsidR="0003735F" w:rsidRPr="00141EB8" w:rsidRDefault="0003735F" w:rsidP="0003735F">
            <w:pPr>
              <w:jc w:val="right"/>
              <w:rPr>
                <w:sz w:val="18"/>
                <w:szCs w:val="18"/>
              </w:rPr>
            </w:pPr>
            <w:r>
              <w:rPr>
                <w:sz w:val="18"/>
                <w:szCs w:val="18"/>
              </w:rPr>
              <w:t xml:space="preserve">           13,640.93 </w:t>
            </w:r>
          </w:p>
        </w:tc>
        <w:tc>
          <w:tcPr>
            <w:tcW w:w="1260" w:type="dxa"/>
            <w:shd w:val="clear" w:color="auto" w:fill="auto"/>
            <w:noWrap/>
            <w:vAlign w:val="bottom"/>
          </w:tcPr>
          <w:p w14:paraId="47638BC1" w14:textId="55E3C59E" w:rsidR="0003735F" w:rsidRPr="00141EB8" w:rsidRDefault="0003735F" w:rsidP="0003735F">
            <w:pPr>
              <w:jc w:val="right"/>
              <w:rPr>
                <w:sz w:val="18"/>
                <w:szCs w:val="18"/>
              </w:rPr>
            </w:pPr>
            <w:r>
              <w:rPr>
                <w:sz w:val="18"/>
                <w:szCs w:val="18"/>
              </w:rPr>
              <w:t>10,724.62</w:t>
            </w:r>
          </w:p>
        </w:tc>
        <w:tc>
          <w:tcPr>
            <w:tcW w:w="1170" w:type="dxa"/>
            <w:shd w:val="clear" w:color="auto" w:fill="auto"/>
            <w:noWrap/>
            <w:vAlign w:val="bottom"/>
          </w:tcPr>
          <w:p w14:paraId="50F54E18" w14:textId="7929D11E" w:rsidR="0003735F" w:rsidRPr="00141EB8" w:rsidRDefault="0003735F" w:rsidP="0003735F">
            <w:pPr>
              <w:jc w:val="right"/>
              <w:rPr>
                <w:sz w:val="18"/>
                <w:szCs w:val="18"/>
              </w:rPr>
            </w:pPr>
            <w:r>
              <w:rPr>
                <w:sz w:val="18"/>
                <w:szCs w:val="18"/>
              </w:rPr>
              <w:t>2,916.31</w:t>
            </w:r>
          </w:p>
        </w:tc>
        <w:tc>
          <w:tcPr>
            <w:tcW w:w="1113" w:type="dxa"/>
            <w:shd w:val="clear" w:color="auto" w:fill="auto"/>
            <w:noWrap/>
            <w:vAlign w:val="bottom"/>
          </w:tcPr>
          <w:p w14:paraId="6DC1C688" w14:textId="27B7474A" w:rsidR="0003735F" w:rsidRPr="00141EB8" w:rsidRDefault="0003735F" w:rsidP="0003735F">
            <w:pPr>
              <w:jc w:val="right"/>
              <w:rPr>
                <w:sz w:val="18"/>
                <w:szCs w:val="18"/>
              </w:rPr>
            </w:pPr>
            <w:r>
              <w:rPr>
                <w:sz w:val="18"/>
                <w:szCs w:val="18"/>
              </w:rPr>
              <w:t>2,916.31</w:t>
            </w:r>
          </w:p>
        </w:tc>
        <w:tc>
          <w:tcPr>
            <w:tcW w:w="896" w:type="dxa"/>
            <w:tcBorders>
              <w:right w:val="double" w:sz="4" w:space="0" w:color="auto"/>
            </w:tcBorders>
            <w:shd w:val="clear" w:color="auto" w:fill="auto"/>
            <w:noWrap/>
            <w:vAlign w:val="bottom"/>
          </w:tcPr>
          <w:p w14:paraId="3DEA4B1D" w14:textId="73C1A86F" w:rsidR="0003735F" w:rsidRPr="00141EB8" w:rsidRDefault="0003735F" w:rsidP="0003735F">
            <w:pPr>
              <w:jc w:val="center"/>
              <w:rPr>
                <w:sz w:val="18"/>
                <w:szCs w:val="18"/>
              </w:rPr>
            </w:pPr>
            <w:r>
              <w:rPr>
                <w:sz w:val="18"/>
                <w:szCs w:val="18"/>
              </w:rPr>
              <w:t>27.19%</w:t>
            </w:r>
          </w:p>
        </w:tc>
      </w:tr>
      <w:tr w:rsidR="0003735F" w:rsidRPr="005A497D" w14:paraId="1658CD20" w14:textId="77777777" w:rsidTr="000D0E8D">
        <w:trPr>
          <w:trHeight w:val="288"/>
        </w:trPr>
        <w:tc>
          <w:tcPr>
            <w:tcW w:w="2261" w:type="dxa"/>
            <w:tcBorders>
              <w:left w:val="double" w:sz="4" w:space="0" w:color="auto"/>
            </w:tcBorders>
            <w:shd w:val="clear" w:color="auto" w:fill="auto"/>
            <w:noWrap/>
            <w:vAlign w:val="center"/>
          </w:tcPr>
          <w:p w14:paraId="087948CB" w14:textId="77777777" w:rsidR="0003735F" w:rsidRPr="005A687A" w:rsidRDefault="0003735F" w:rsidP="0003735F">
            <w:pPr>
              <w:rPr>
                <w:sz w:val="18"/>
                <w:szCs w:val="16"/>
              </w:rPr>
            </w:pPr>
            <w:r w:rsidRPr="005A687A">
              <w:rPr>
                <w:sz w:val="18"/>
                <w:szCs w:val="16"/>
              </w:rPr>
              <w:t>Congress</w:t>
            </w:r>
          </w:p>
        </w:tc>
        <w:tc>
          <w:tcPr>
            <w:tcW w:w="1440" w:type="dxa"/>
            <w:shd w:val="clear" w:color="auto" w:fill="auto"/>
            <w:noWrap/>
            <w:vAlign w:val="bottom"/>
          </w:tcPr>
          <w:p w14:paraId="2FEA475F" w14:textId="77777777" w:rsidR="0003735F" w:rsidRPr="00141EB8" w:rsidRDefault="0003735F" w:rsidP="0003735F">
            <w:pPr>
              <w:jc w:val="right"/>
              <w:rPr>
                <w:sz w:val="18"/>
                <w:szCs w:val="18"/>
              </w:rPr>
            </w:pPr>
            <w:r>
              <w:rPr>
                <w:sz w:val="18"/>
                <w:szCs w:val="18"/>
              </w:rPr>
              <w:t xml:space="preserve">            12,545.34 </w:t>
            </w:r>
          </w:p>
        </w:tc>
        <w:tc>
          <w:tcPr>
            <w:tcW w:w="1227" w:type="dxa"/>
            <w:shd w:val="clear" w:color="auto" w:fill="auto"/>
            <w:noWrap/>
            <w:vAlign w:val="bottom"/>
          </w:tcPr>
          <w:p w14:paraId="49C0E71F" w14:textId="77777777" w:rsidR="0003735F" w:rsidRPr="00141EB8" w:rsidRDefault="0003735F" w:rsidP="0003735F">
            <w:pPr>
              <w:jc w:val="right"/>
              <w:rPr>
                <w:sz w:val="18"/>
                <w:szCs w:val="18"/>
              </w:rPr>
            </w:pPr>
            <w:r>
              <w:rPr>
                <w:sz w:val="18"/>
                <w:szCs w:val="18"/>
              </w:rPr>
              <w:t xml:space="preserve">           10,506.38 </w:t>
            </w:r>
          </w:p>
        </w:tc>
        <w:tc>
          <w:tcPr>
            <w:tcW w:w="1260" w:type="dxa"/>
            <w:shd w:val="clear" w:color="auto" w:fill="auto"/>
            <w:noWrap/>
            <w:vAlign w:val="bottom"/>
          </w:tcPr>
          <w:p w14:paraId="086F616A" w14:textId="0D11A54C" w:rsidR="0003735F" w:rsidRPr="00141EB8" w:rsidRDefault="0003735F" w:rsidP="0003735F">
            <w:pPr>
              <w:jc w:val="right"/>
              <w:rPr>
                <w:sz w:val="18"/>
                <w:szCs w:val="18"/>
              </w:rPr>
            </w:pPr>
            <w:r>
              <w:rPr>
                <w:sz w:val="18"/>
                <w:szCs w:val="18"/>
              </w:rPr>
              <w:t>9,235.48</w:t>
            </w:r>
          </w:p>
        </w:tc>
        <w:tc>
          <w:tcPr>
            <w:tcW w:w="1170" w:type="dxa"/>
            <w:shd w:val="clear" w:color="auto" w:fill="auto"/>
            <w:noWrap/>
            <w:vAlign w:val="bottom"/>
          </w:tcPr>
          <w:p w14:paraId="33F8C81F" w14:textId="6A19EED8" w:rsidR="0003735F" w:rsidRDefault="0003735F" w:rsidP="0003735F">
            <w:pPr>
              <w:jc w:val="right"/>
              <w:rPr>
                <w:sz w:val="18"/>
                <w:szCs w:val="18"/>
              </w:rPr>
            </w:pPr>
            <w:r>
              <w:rPr>
                <w:sz w:val="18"/>
                <w:szCs w:val="18"/>
              </w:rPr>
              <w:t>1,270.90</w:t>
            </w:r>
          </w:p>
        </w:tc>
        <w:tc>
          <w:tcPr>
            <w:tcW w:w="1113" w:type="dxa"/>
            <w:shd w:val="clear" w:color="auto" w:fill="auto"/>
            <w:noWrap/>
            <w:vAlign w:val="bottom"/>
          </w:tcPr>
          <w:p w14:paraId="6A2211F8" w14:textId="39743581" w:rsidR="0003735F" w:rsidRPr="00141EB8" w:rsidRDefault="0003735F" w:rsidP="0003735F">
            <w:pPr>
              <w:jc w:val="right"/>
              <w:rPr>
                <w:sz w:val="18"/>
                <w:szCs w:val="18"/>
              </w:rPr>
            </w:pPr>
            <w:r>
              <w:rPr>
                <w:sz w:val="18"/>
                <w:szCs w:val="18"/>
              </w:rPr>
              <w:t>1,270.90</w:t>
            </w:r>
          </w:p>
        </w:tc>
        <w:tc>
          <w:tcPr>
            <w:tcW w:w="896" w:type="dxa"/>
            <w:tcBorders>
              <w:right w:val="double" w:sz="4" w:space="0" w:color="auto"/>
            </w:tcBorders>
            <w:shd w:val="clear" w:color="auto" w:fill="auto"/>
            <w:noWrap/>
            <w:vAlign w:val="bottom"/>
          </w:tcPr>
          <w:p w14:paraId="38184696" w14:textId="2F501AF6" w:rsidR="0003735F" w:rsidRPr="00141EB8" w:rsidRDefault="0003735F" w:rsidP="0003735F">
            <w:pPr>
              <w:jc w:val="center"/>
              <w:rPr>
                <w:sz w:val="18"/>
                <w:szCs w:val="18"/>
              </w:rPr>
            </w:pPr>
            <w:r>
              <w:rPr>
                <w:sz w:val="18"/>
                <w:szCs w:val="18"/>
              </w:rPr>
              <w:t>13.76%</w:t>
            </w:r>
          </w:p>
        </w:tc>
      </w:tr>
      <w:tr w:rsidR="0003735F" w:rsidRPr="005A497D" w14:paraId="6EA2F6C4" w14:textId="77777777" w:rsidTr="000D0E8D">
        <w:trPr>
          <w:trHeight w:val="288"/>
        </w:trPr>
        <w:tc>
          <w:tcPr>
            <w:tcW w:w="2261" w:type="dxa"/>
            <w:tcBorders>
              <w:left w:val="double" w:sz="4" w:space="0" w:color="auto"/>
            </w:tcBorders>
            <w:shd w:val="clear" w:color="auto" w:fill="auto"/>
            <w:noWrap/>
            <w:vAlign w:val="center"/>
            <w:hideMark/>
          </w:tcPr>
          <w:p w14:paraId="67C1F5ED" w14:textId="77777777" w:rsidR="0003735F" w:rsidRPr="005A687A" w:rsidRDefault="0003735F" w:rsidP="0003735F">
            <w:pPr>
              <w:rPr>
                <w:sz w:val="18"/>
                <w:szCs w:val="16"/>
              </w:rPr>
            </w:pPr>
            <w:r w:rsidRPr="005A687A">
              <w:rPr>
                <w:sz w:val="18"/>
                <w:szCs w:val="16"/>
              </w:rPr>
              <w:t>Other Executive Offices</w:t>
            </w:r>
          </w:p>
        </w:tc>
        <w:tc>
          <w:tcPr>
            <w:tcW w:w="1440" w:type="dxa"/>
            <w:shd w:val="clear" w:color="auto" w:fill="auto"/>
            <w:noWrap/>
            <w:vAlign w:val="bottom"/>
          </w:tcPr>
          <w:p w14:paraId="170472DF" w14:textId="77777777" w:rsidR="0003735F" w:rsidRPr="00141EB8" w:rsidRDefault="0003735F" w:rsidP="0003735F">
            <w:pPr>
              <w:jc w:val="right"/>
              <w:rPr>
                <w:sz w:val="18"/>
                <w:szCs w:val="18"/>
              </w:rPr>
            </w:pPr>
            <w:r>
              <w:rPr>
                <w:sz w:val="18"/>
                <w:szCs w:val="18"/>
              </w:rPr>
              <w:t xml:space="preserve">            18,473.90 </w:t>
            </w:r>
          </w:p>
        </w:tc>
        <w:tc>
          <w:tcPr>
            <w:tcW w:w="1227" w:type="dxa"/>
            <w:shd w:val="clear" w:color="auto" w:fill="auto"/>
            <w:noWrap/>
            <w:vAlign w:val="bottom"/>
          </w:tcPr>
          <w:p w14:paraId="20B78C76" w14:textId="77777777" w:rsidR="0003735F" w:rsidRPr="00141EB8" w:rsidRDefault="0003735F" w:rsidP="0003735F">
            <w:pPr>
              <w:jc w:val="right"/>
              <w:rPr>
                <w:sz w:val="18"/>
                <w:szCs w:val="18"/>
              </w:rPr>
            </w:pPr>
            <w:r>
              <w:rPr>
                <w:sz w:val="18"/>
                <w:szCs w:val="18"/>
              </w:rPr>
              <w:t xml:space="preserve">           13,327.59 </w:t>
            </w:r>
          </w:p>
        </w:tc>
        <w:tc>
          <w:tcPr>
            <w:tcW w:w="1260" w:type="dxa"/>
            <w:shd w:val="clear" w:color="auto" w:fill="auto"/>
            <w:noWrap/>
            <w:vAlign w:val="bottom"/>
          </w:tcPr>
          <w:p w14:paraId="3C944E3A" w14:textId="09008EFC" w:rsidR="0003735F" w:rsidRPr="00141EB8" w:rsidRDefault="0003735F" w:rsidP="0003735F">
            <w:pPr>
              <w:jc w:val="right"/>
              <w:rPr>
                <w:sz w:val="18"/>
                <w:szCs w:val="18"/>
              </w:rPr>
            </w:pPr>
            <w:r>
              <w:rPr>
                <w:sz w:val="18"/>
                <w:szCs w:val="18"/>
              </w:rPr>
              <w:t>13,599.90</w:t>
            </w:r>
          </w:p>
        </w:tc>
        <w:tc>
          <w:tcPr>
            <w:tcW w:w="1170" w:type="dxa"/>
            <w:shd w:val="clear" w:color="auto" w:fill="auto"/>
            <w:noWrap/>
            <w:vAlign w:val="bottom"/>
          </w:tcPr>
          <w:p w14:paraId="2089EC3A" w14:textId="77E7B9B3" w:rsidR="0003735F" w:rsidRPr="00141EB8" w:rsidRDefault="0003735F" w:rsidP="0003735F">
            <w:pPr>
              <w:jc w:val="right"/>
              <w:rPr>
                <w:sz w:val="18"/>
                <w:szCs w:val="18"/>
              </w:rPr>
            </w:pPr>
            <w:r>
              <w:rPr>
                <w:sz w:val="18"/>
                <w:szCs w:val="18"/>
              </w:rPr>
              <w:t>(272.31)</w:t>
            </w:r>
          </w:p>
        </w:tc>
        <w:tc>
          <w:tcPr>
            <w:tcW w:w="1113" w:type="dxa"/>
            <w:shd w:val="clear" w:color="auto" w:fill="auto"/>
            <w:noWrap/>
            <w:vAlign w:val="bottom"/>
          </w:tcPr>
          <w:p w14:paraId="663828C9" w14:textId="5548D911" w:rsidR="0003735F" w:rsidRPr="00141EB8" w:rsidRDefault="0003735F" w:rsidP="0003735F">
            <w:pPr>
              <w:jc w:val="right"/>
              <w:rPr>
                <w:sz w:val="18"/>
                <w:szCs w:val="18"/>
              </w:rPr>
            </w:pPr>
            <w:r>
              <w:rPr>
                <w:sz w:val="18"/>
                <w:szCs w:val="18"/>
              </w:rPr>
              <w:t>272.31</w:t>
            </w:r>
          </w:p>
        </w:tc>
        <w:tc>
          <w:tcPr>
            <w:tcW w:w="896" w:type="dxa"/>
            <w:tcBorders>
              <w:right w:val="double" w:sz="4" w:space="0" w:color="auto"/>
            </w:tcBorders>
            <w:shd w:val="clear" w:color="auto" w:fill="auto"/>
            <w:noWrap/>
            <w:vAlign w:val="bottom"/>
          </w:tcPr>
          <w:p w14:paraId="13819E4F" w14:textId="5F788B61" w:rsidR="0003735F" w:rsidRPr="00141EB8" w:rsidRDefault="0003735F" w:rsidP="0003735F">
            <w:pPr>
              <w:jc w:val="center"/>
              <w:rPr>
                <w:sz w:val="18"/>
                <w:szCs w:val="18"/>
              </w:rPr>
            </w:pPr>
            <w:r>
              <w:rPr>
                <w:sz w:val="18"/>
                <w:szCs w:val="18"/>
              </w:rPr>
              <w:t>2.00%</w:t>
            </w:r>
          </w:p>
        </w:tc>
      </w:tr>
      <w:tr w:rsidR="0003735F" w:rsidRPr="005A497D" w14:paraId="0683FB7C" w14:textId="77777777" w:rsidTr="000D0E8D">
        <w:trPr>
          <w:trHeight w:val="288"/>
        </w:trPr>
        <w:tc>
          <w:tcPr>
            <w:tcW w:w="2261" w:type="dxa"/>
            <w:tcBorders>
              <w:left w:val="double" w:sz="4" w:space="0" w:color="auto"/>
            </w:tcBorders>
            <w:shd w:val="clear" w:color="auto" w:fill="auto"/>
            <w:noWrap/>
            <w:vAlign w:val="center"/>
            <w:hideMark/>
          </w:tcPr>
          <w:p w14:paraId="7CE1B4A3" w14:textId="77777777" w:rsidR="0003735F" w:rsidRPr="005A687A" w:rsidRDefault="0003735F" w:rsidP="0003735F">
            <w:pPr>
              <w:rPr>
                <w:sz w:val="18"/>
                <w:szCs w:val="16"/>
              </w:rPr>
            </w:pPr>
            <w:r w:rsidRPr="005A687A">
              <w:rPr>
                <w:sz w:val="18"/>
                <w:szCs w:val="16"/>
              </w:rPr>
              <w:t>Others (= sum of rest)</w:t>
            </w:r>
          </w:p>
        </w:tc>
        <w:tc>
          <w:tcPr>
            <w:tcW w:w="1440" w:type="dxa"/>
            <w:shd w:val="clear" w:color="auto" w:fill="auto"/>
            <w:noWrap/>
            <w:vAlign w:val="bottom"/>
          </w:tcPr>
          <w:p w14:paraId="79DBBFBB" w14:textId="77777777" w:rsidR="0003735F" w:rsidRPr="00141EB8" w:rsidRDefault="0003735F" w:rsidP="0003735F">
            <w:pPr>
              <w:jc w:val="right"/>
              <w:rPr>
                <w:sz w:val="18"/>
                <w:szCs w:val="18"/>
              </w:rPr>
            </w:pPr>
            <w:r>
              <w:rPr>
                <w:sz w:val="18"/>
                <w:szCs w:val="18"/>
              </w:rPr>
              <w:t xml:space="preserve">          655,342.72 </w:t>
            </w:r>
          </w:p>
        </w:tc>
        <w:tc>
          <w:tcPr>
            <w:tcW w:w="1227" w:type="dxa"/>
            <w:shd w:val="clear" w:color="auto" w:fill="auto"/>
            <w:noWrap/>
            <w:vAlign w:val="bottom"/>
          </w:tcPr>
          <w:p w14:paraId="7E576623" w14:textId="77777777" w:rsidR="0003735F" w:rsidRPr="00141EB8" w:rsidRDefault="0003735F" w:rsidP="0003735F">
            <w:pPr>
              <w:jc w:val="right"/>
              <w:rPr>
                <w:sz w:val="18"/>
                <w:szCs w:val="18"/>
              </w:rPr>
            </w:pPr>
            <w:r>
              <w:rPr>
                <w:sz w:val="18"/>
                <w:szCs w:val="18"/>
              </w:rPr>
              <w:t xml:space="preserve">         354,919.21 </w:t>
            </w:r>
          </w:p>
        </w:tc>
        <w:tc>
          <w:tcPr>
            <w:tcW w:w="1260" w:type="dxa"/>
            <w:shd w:val="clear" w:color="auto" w:fill="auto"/>
            <w:noWrap/>
            <w:vAlign w:val="bottom"/>
          </w:tcPr>
          <w:p w14:paraId="79F63AA2" w14:textId="323D39CB" w:rsidR="0003735F" w:rsidRPr="00141EB8" w:rsidRDefault="0003735F" w:rsidP="0003735F">
            <w:pPr>
              <w:jc w:val="right"/>
              <w:rPr>
                <w:sz w:val="18"/>
                <w:szCs w:val="18"/>
              </w:rPr>
            </w:pPr>
            <w:r>
              <w:rPr>
                <w:sz w:val="18"/>
                <w:szCs w:val="18"/>
              </w:rPr>
              <w:t>482,442.40</w:t>
            </w:r>
          </w:p>
        </w:tc>
        <w:tc>
          <w:tcPr>
            <w:tcW w:w="1170" w:type="dxa"/>
            <w:shd w:val="clear" w:color="auto" w:fill="auto"/>
            <w:noWrap/>
            <w:vAlign w:val="bottom"/>
          </w:tcPr>
          <w:p w14:paraId="763444AC" w14:textId="7920CF30" w:rsidR="0003735F" w:rsidRPr="00141EB8" w:rsidRDefault="0003735F" w:rsidP="0003735F">
            <w:pPr>
              <w:jc w:val="right"/>
              <w:rPr>
                <w:sz w:val="18"/>
                <w:szCs w:val="18"/>
              </w:rPr>
            </w:pPr>
            <w:r>
              <w:rPr>
                <w:sz w:val="18"/>
                <w:szCs w:val="18"/>
              </w:rPr>
              <w:t>(127,523.19)</w:t>
            </w:r>
          </w:p>
        </w:tc>
        <w:tc>
          <w:tcPr>
            <w:tcW w:w="1113" w:type="dxa"/>
            <w:shd w:val="clear" w:color="auto" w:fill="auto"/>
            <w:noWrap/>
            <w:vAlign w:val="bottom"/>
          </w:tcPr>
          <w:p w14:paraId="4E3B6302" w14:textId="709241F7" w:rsidR="0003735F" w:rsidRPr="00141EB8" w:rsidRDefault="0003735F" w:rsidP="0003735F">
            <w:pPr>
              <w:jc w:val="right"/>
              <w:rPr>
                <w:sz w:val="18"/>
                <w:szCs w:val="18"/>
              </w:rPr>
            </w:pPr>
            <w:r>
              <w:rPr>
                <w:sz w:val="18"/>
                <w:szCs w:val="18"/>
              </w:rPr>
              <w:t>127,523.19</w:t>
            </w:r>
          </w:p>
        </w:tc>
        <w:tc>
          <w:tcPr>
            <w:tcW w:w="896" w:type="dxa"/>
            <w:tcBorders>
              <w:right w:val="double" w:sz="4" w:space="0" w:color="auto"/>
            </w:tcBorders>
            <w:shd w:val="clear" w:color="auto" w:fill="auto"/>
            <w:noWrap/>
            <w:vAlign w:val="bottom"/>
          </w:tcPr>
          <w:p w14:paraId="57522C8D" w14:textId="431E93E7" w:rsidR="0003735F" w:rsidRPr="00141EB8" w:rsidRDefault="0003735F" w:rsidP="0003735F">
            <w:pPr>
              <w:jc w:val="center"/>
              <w:rPr>
                <w:sz w:val="18"/>
                <w:szCs w:val="18"/>
              </w:rPr>
            </w:pPr>
            <w:r>
              <w:rPr>
                <w:sz w:val="18"/>
                <w:szCs w:val="18"/>
              </w:rPr>
              <w:t>26.43%</w:t>
            </w:r>
          </w:p>
        </w:tc>
      </w:tr>
      <w:tr w:rsidR="0003735F" w:rsidRPr="005A497D" w14:paraId="34A826A8" w14:textId="77777777" w:rsidTr="000D0E8D">
        <w:trPr>
          <w:trHeight w:val="288"/>
        </w:trPr>
        <w:tc>
          <w:tcPr>
            <w:tcW w:w="2261" w:type="dxa"/>
            <w:tcBorders>
              <w:left w:val="double" w:sz="4" w:space="0" w:color="auto"/>
            </w:tcBorders>
            <w:shd w:val="clear" w:color="auto" w:fill="auto"/>
            <w:noWrap/>
            <w:vAlign w:val="center"/>
            <w:hideMark/>
          </w:tcPr>
          <w:p w14:paraId="10538ADB" w14:textId="77777777" w:rsidR="0003735F" w:rsidRPr="005A687A" w:rsidRDefault="0003735F" w:rsidP="0003735F">
            <w:pPr>
              <w:rPr>
                <w:b/>
                <w:sz w:val="18"/>
                <w:szCs w:val="16"/>
              </w:rPr>
            </w:pPr>
            <w:r w:rsidRPr="005A687A">
              <w:rPr>
                <w:b/>
                <w:sz w:val="18"/>
                <w:szCs w:val="16"/>
              </w:rPr>
              <w:t>Allocated expenditure</w:t>
            </w:r>
          </w:p>
        </w:tc>
        <w:tc>
          <w:tcPr>
            <w:tcW w:w="1440" w:type="dxa"/>
            <w:shd w:val="clear" w:color="auto" w:fill="auto"/>
            <w:noWrap/>
            <w:vAlign w:val="bottom"/>
          </w:tcPr>
          <w:p w14:paraId="7002BFFC" w14:textId="77777777" w:rsidR="0003735F" w:rsidRPr="00141EB8" w:rsidRDefault="0003735F" w:rsidP="0003735F">
            <w:pPr>
              <w:jc w:val="right"/>
              <w:rPr>
                <w:b/>
                <w:color w:val="000000"/>
                <w:sz w:val="18"/>
                <w:szCs w:val="18"/>
              </w:rPr>
            </w:pPr>
            <w:r w:rsidRPr="00E640E4">
              <w:rPr>
                <w:i/>
                <w:sz w:val="18"/>
                <w:szCs w:val="18"/>
              </w:rPr>
              <w:t xml:space="preserve">       2,233,593.32 </w:t>
            </w:r>
          </w:p>
        </w:tc>
        <w:tc>
          <w:tcPr>
            <w:tcW w:w="1227" w:type="dxa"/>
            <w:shd w:val="clear" w:color="auto" w:fill="auto"/>
            <w:noWrap/>
            <w:vAlign w:val="bottom"/>
          </w:tcPr>
          <w:p w14:paraId="348C0AE0" w14:textId="77777777" w:rsidR="0003735F" w:rsidRPr="00141EB8" w:rsidRDefault="0003735F" w:rsidP="0003735F">
            <w:pPr>
              <w:jc w:val="right"/>
              <w:rPr>
                <w:b/>
                <w:color w:val="000000"/>
                <w:sz w:val="18"/>
                <w:szCs w:val="18"/>
              </w:rPr>
            </w:pPr>
            <w:r w:rsidRPr="00E640E4">
              <w:rPr>
                <w:i/>
                <w:sz w:val="18"/>
                <w:szCs w:val="18"/>
              </w:rPr>
              <w:t xml:space="preserve">      1,644,300.12 </w:t>
            </w:r>
          </w:p>
        </w:tc>
        <w:tc>
          <w:tcPr>
            <w:tcW w:w="1260" w:type="dxa"/>
            <w:shd w:val="clear" w:color="auto" w:fill="auto"/>
            <w:noWrap/>
            <w:vAlign w:val="bottom"/>
          </w:tcPr>
          <w:p w14:paraId="7B8A159A" w14:textId="771986FC" w:rsidR="0003735F" w:rsidRPr="000D0E8D" w:rsidRDefault="0003735F" w:rsidP="0003735F">
            <w:pPr>
              <w:jc w:val="right"/>
              <w:rPr>
                <w:b/>
                <w:i/>
                <w:sz w:val="18"/>
                <w:szCs w:val="18"/>
              </w:rPr>
            </w:pPr>
            <w:r w:rsidRPr="000D0E8D">
              <w:rPr>
                <w:i/>
                <w:sz w:val="18"/>
                <w:szCs w:val="18"/>
              </w:rPr>
              <w:t>1,644,300.12</w:t>
            </w:r>
          </w:p>
        </w:tc>
        <w:tc>
          <w:tcPr>
            <w:tcW w:w="1170" w:type="dxa"/>
            <w:shd w:val="clear" w:color="auto" w:fill="auto"/>
            <w:noWrap/>
            <w:vAlign w:val="bottom"/>
          </w:tcPr>
          <w:p w14:paraId="7B6BBA2A" w14:textId="5B058BA4" w:rsidR="0003735F" w:rsidRPr="000D0E8D" w:rsidRDefault="0003735F" w:rsidP="0003735F">
            <w:pPr>
              <w:jc w:val="right"/>
              <w:rPr>
                <w:b/>
                <w:i/>
                <w:sz w:val="18"/>
                <w:szCs w:val="18"/>
              </w:rPr>
            </w:pPr>
            <w:r>
              <w:rPr>
                <w:i/>
                <w:sz w:val="18"/>
                <w:szCs w:val="18"/>
              </w:rPr>
              <w:t>-</w:t>
            </w:r>
          </w:p>
        </w:tc>
        <w:tc>
          <w:tcPr>
            <w:tcW w:w="1113" w:type="dxa"/>
            <w:shd w:val="clear" w:color="auto" w:fill="auto"/>
            <w:noWrap/>
            <w:vAlign w:val="bottom"/>
          </w:tcPr>
          <w:p w14:paraId="6ED1DBF6" w14:textId="1C013241" w:rsidR="0003735F" w:rsidRPr="000D0E8D" w:rsidRDefault="0003735F" w:rsidP="0003735F">
            <w:pPr>
              <w:jc w:val="right"/>
              <w:rPr>
                <w:b/>
                <w:i/>
                <w:sz w:val="18"/>
                <w:szCs w:val="18"/>
              </w:rPr>
            </w:pPr>
            <w:r w:rsidRPr="000D0E8D">
              <w:rPr>
                <w:i/>
                <w:sz w:val="18"/>
                <w:szCs w:val="18"/>
              </w:rPr>
              <w:t>359,007.59</w:t>
            </w:r>
          </w:p>
        </w:tc>
        <w:tc>
          <w:tcPr>
            <w:tcW w:w="896" w:type="dxa"/>
            <w:tcBorders>
              <w:right w:val="double" w:sz="4" w:space="0" w:color="auto"/>
            </w:tcBorders>
            <w:shd w:val="clear" w:color="auto" w:fill="auto"/>
            <w:noWrap/>
            <w:vAlign w:val="bottom"/>
          </w:tcPr>
          <w:p w14:paraId="03F04C34" w14:textId="7ECAE9A4" w:rsidR="0003735F" w:rsidRPr="00141EB8" w:rsidRDefault="0003735F" w:rsidP="0003735F">
            <w:pPr>
              <w:jc w:val="right"/>
              <w:rPr>
                <w:b/>
                <w:sz w:val="18"/>
                <w:szCs w:val="18"/>
              </w:rPr>
            </w:pPr>
          </w:p>
        </w:tc>
      </w:tr>
      <w:tr w:rsidR="00917C30" w:rsidRPr="005A497D" w14:paraId="59CDF4A0" w14:textId="77777777" w:rsidTr="000D0E8D">
        <w:trPr>
          <w:trHeight w:val="288"/>
        </w:trPr>
        <w:tc>
          <w:tcPr>
            <w:tcW w:w="2261" w:type="dxa"/>
            <w:tcBorders>
              <w:left w:val="double" w:sz="4" w:space="0" w:color="auto"/>
            </w:tcBorders>
            <w:shd w:val="clear" w:color="auto" w:fill="auto"/>
            <w:noWrap/>
            <w:vAlign w:val="center"/>
          </w:tcPr>
          <w:p w14:paraId="31DFC49D" w14:textId="77777777" w:rsidR="00917C30" w:rsidRPr="005A687A" w:rsidRDefault="00917C30" w:rsidP="009E55FB">
            <w:pPr>
              <w:rPr>
                <w:sz w:val="18"/>
                <w:szCs w:val="16"/>
                <w:lang w:eastAsia="en-IN"/>
              </w:rPr>
            </w:pPr>
            <w:r w:rsidRPr="005A687A">
              <w:rPr>
                <w:sz w:val="18"/>
                <w:szCs w:val="16"/>
                <w:lang w:eastAsia="en-IN"/>
              </w:rPr>
              <w:t>Interest on debt</w:t>
            </w:r>
          </w:p>
        </w:tc>
        <w:tc>
          <w:tcPr>
            <w:tcW w:w="1440" w:type="dxa"/>
            <w:shd w:val="clear" w:color="auto" w:fill="auto"/>
            <w:noWrap/>
            <w:vAlign w:val="bottom"/>
          </w:tcPr>
          <w:p w14:paraId="70867CBF" w14:textId="77777777" w:rsidR="00917C30" w:rsidRPr="000D0E8D" w:rsidRDefault="00917C30" w:rsidP="009E55FB">
            <w:pPr>
              <w:jc w:val="right"/>
              <w:rPr>
                <w:i/>
                <w:color w:val="000000"/>
                <w:sz w:val="18"/>
                <w:szCs w:val="18"/>
              </w:rPr>
            </w:pPr>
            <w:r w:rsidRPr="000D0E8D">
              <w:rPr>
                <w:i/>
                <w:sz w:val="18"/>
                <w:szCs w:val="18"/>
              </w:rPr>
              <w:t xml:space="preserve">          793,583.00 </w:t>
            </w:r>
          </w:p>
        </w:tc>
        <w:tc>
          <w:tcPr>
            <w:tcW w:w="1227" w:type="dxa"/>
            <w:shd w:val="clear" w:color="auto" w:fill="auto"/>
            <w:noWrap/>
            <w:vAlign w:val="bottom"/>
          </w:tcPr>
          <w:p w14:paraId="726C90B0" w14:textId="77777777" w:rsidR="00917C30" w:rsidRPr="000D0E8D" w:rsidRDefault="00917C30" w:rsidP="009E55FB">
            <w:pPr>
              <w:jc w:val="right"/>
              <w:rPr>
                <w:i/>
                <w:color w:val="000000"/>
                <w:sz w:val="18"/>
                <w:szCs w:val="18"/>
              </w:rPr>
            </w:pPr>
            <w:r w:rsidRPr="000D0E8D">
              <w:rPr>
                <w:i/>
                <w:sz w:val="18"/>
                <w:szCs w:val="18"/>
              </w:rPr>
              <w:t xml:space="preserve">         541,910.30 </w:t>
            </w:r>
          </w:p>
        </w:tc>
        <w:tc>
          <w:tcPr>
            <w:tcW w:w="4439" w:type="dxa"/>
            <w:gridSpan w:val="4"/>
            <w:vMerge w:val="restart"/>
            <w:tcBorders>
              <w:right w:val="double" w:sz="4" w:space="0" w:color="auto"/>
            </w:tcBorders>
            <w:shd w:val="clear" w:color="auto" w:fill="auto"/>
            <w:noWrap/>
            <w:vAlign w:val="center"/>
          </w:tcPr>
          <w:p w14:paraId="49F79FF4" w14:textId="77777777" w:rsidR="00917C30" w:rsidRPr="00141EB8" w:rsidRDefault="00917C30" w:rsidP="009E55FB">
            <w:pPr>
              <w:jc w:val="center"/>
              <w:rPr>
                <w:sz w:val="18"/>
                <w:szCs w:val="18"/>
                <w:lang w:eastAsia="en-IN"/>
              </w:rPr>
            </w:pPr>
          </w:p>
          <w:p w14:paraId="3BC042C3" w14:textId="77777777" w:rsidR="00917C30" w:rsidRPr="00141EB8" w:rsidRDefault="00917C30" w:rsidP="009E55FB">
            <w:pPr>
              <w:jc w:val="center"/>
              <w:rPr>
                <w:sz w:val="18"/>
                <w:szCs w:val="18"/>
                <w:lang w:eastAsia="en-IN"/>
              </w:rPr>
            </w:pPr>
          </w:p>
        </w:tc>
      </w:tr>
      <w:tr w:rsidR="00917C30" w:rsidRPr="005A497D" w14:paraId="5677951F" w14:textId="77777777" w:rsidTr="000D0E8D">
        <w:trPr>
          <w:trHeight w:val="288"/>
        </w:trPr>
        <w:tc>
          <w:tcPr>
            <w:tcW w:w="2261" w:type="dxa"/>
            <w:tcBorders>
              <w:left w:val="double" w:sz="4" w:space="0" w:color="auto"/>
            </w:tcBorders>
            <w:shd w:val="clear" w:color="auto" w:fill="auto"/>
            <w:noWrap/>
            <w:vAlign w:val="center"/>
            <w:hideMark/>
          </w:tcPr>
          <w:p w14:paraId="4D2E8A65" w14:textId="77777777" w:rsidR="00917C30" w:rsidRPr="005A687A" w:rsidRDefault="00917C30" w:rsidP="009E55FB">
            <w:pPr>
              <w:rPr>
                <w:sz w:val="18"/>
                <w:szCs w:val="16"/>
                <w:lang w:eastAsia="en-IN"/>
              </w:rPr>
            </w:pPr>
            <w:r w:rsidRPr="005A687A">
              <w:rPr>
                <w:sz w:val="18"/>
                <w:szCs w:val="16"/>
                <w:lang w:eastAsia="en-IN"/>
              </w:rPr>
              <w:t>Special Purpose Fund for LGUs</w:t>
            </w:r>
          </w:p>
        </w:tc>
        <w:tc>
          <w:tcPr>
            <w:tcW w:w="1440" w:type="dxa"/>
            <w:shd w:val="clear" w:color="auto" w:fill="auto"/>
            <w:noWrap/>
            <w:vAlign w:val="bottom"/>
          </w:tcPr>
          <w:p w14:paraId="0D803097" w14:textId="77777777" w:rsidR="00917C30" w:rsidRPr="000D0E8D" w:rsidRDefault="00917C30" w:rsidP="009E55FB">
            <w:pPr>
              <w:jc w:val="right"/>
              <w:rPr>
                <w:i/>
                <w:color w:val="000000"/>
                <w:sz w:val="18"/>
                <w:szCs w:val="18"/>
              </w:rPr>
            </w:pPr>
            <w:r w:rsidRPr="000D0E8D">
              <w:rPr>
                <w:i/>
                <w:sz w:val="18"/>
                <w:szCs w:val="18"/>
              </w:rPr>
              <w:t xml:space="preserve">            50,397.47 </w:t>
            </w:r>
          </w:p>
        </w:tc>
        <w:tc>
          <w:tcPr>
            <w:tcW w:w="1227" w:type="dxa"/>
            <w:shd w:val="clear" w:color="auto" w:fill="auto"/>
            <w:noWrap/>
            <w:vAlign w:val="bottom"/>
          </w:tcPr>
          <w:p w14:paraId="09D4D9EA" w14:textId="77777777" w:rsidR="00917C30" w:rsidRPr="000D0E8D" w:rsidRDefault="00917C30" w:rsidP="009E55FB">
            <w:pPr>
              <w:jc w:val="right"/>
              <w:rPr>
                <w:i/>
                <w:color w:val="000000"/>
                <w:sz w:val="18"/>
                <w:szCs w:val="18"/>
              </w:rPr>
            </w:pPr>
            <w:r w:rsidRPr="000D0E8D">
              <w:rPr>
                <w:i/>
                <w:sz w:val="18"/>
                <w:szCs w:val="18"/>
              </w:rPr>
              <w:t xml:space="preserve">           41,321.95 </w:t>
            </w:r>
          </w:p>
        </w:tc>
        <w:tc>
          <w:tcPr>
            <w:tcW w:w="4439" w:type="dxa"/>
            <w:gridSpan w:val="4"/>
            <w:vMerge/>
            <w:tcBorders>
              <w:right w:val="double" w:sz="4" w:space="0" w:color="auto"/>
            </w:tcBorders>
            <w:shd w:val="clear" w:color="auto" w:fill="auto"/>
            <w:noWrap/>
            <w:vAlign w:val="center"/>
          </w:tcPr>
          <w:p w14:paraId="45B89D4E" w14:textId="77777777" w:rsidR="00917C30" w:rsidRPr="00141EB8" w:rsidRDefault="00917C30" w:rsidP="009E55FB">
            <w:pPr>
              <w:jc w:val="center"/>
              <w:rPr>
                <w:sz w:val="18"/>
                <w:szCs w:val="18"/>
                <w:lang w:eastAsia="en-IN"/>
              </w:rPr>
            </w:pPr>
          </w:p>
        </w:tc>
      </w:tr>
      <w:tr w:rsidR="00917C30" w:rsidRPr="005A497D" w14:paraId="0A1D0D3C" w14:textId="77777777" w:rsidTr="000D0E8D">
        <w:trPr>
          <w:trHeight w:val="279"/>
        </w:trPr>
        <w:tc>
          <w:tcPr>
            <w:tcW w:w="2261" w:type="dxa"/>
            <w:tcBorders>
              <w:left w:val="double" w:sz="4" w:space="0" w:color="auto"/>
              <w:bottom w:val="double" w:sz="4" w:space="0" w:color="auto"/>
            </w:tcBorders>
            <w:shd w:val="clear" w:color="auto" w:fill="auto"/>
            <w:noWrap/>
            <w:vAlign w:val="center"/>
            <w:hideMark/>
          </w:tcPr>
          <w:p w14:paraId="44A0B3A8" w14:textId="77777777" w:rsidR="00917C30" w:rsidRPr="005A497D" w:rsidRDefault="00917C30" w:rsidP="009E55FB">
            <w:pPr>
              <w:rPr>
                <w:b/>
                <w:sz w:val="16"/>
                <w:szCs w:val="16"/>
                <w:lang w:eastAsia="en-IN"/>
              </w:rPr>
            </w:pPr>
            <w:r w:rsidRPr="005A687A">
              <w:rPr>
                <w:b/>
                <w:sz w:val="18"/>
                <w:szCs w:val="16"/>
                <w:lang w:eastAsia="en-IN"/>
              </w:rPr>
              <w:t>Total expenditure</w:t>
            </w:r>
          </w:p>
        </w:tc>
        <w:tc>
          <w:tcPr>
            <w:tcW w:w="1440" w:type="dxa"/>
            <w:tcBorders>
              <w:bottom w:val="double" w:sz="4" w:space="0" w:color="auto"/>
            </w:tcBorders>
            <w:shd w:val="clear" w:color="auto" w:fill="auto"/>
            <w:noWrap/>
            <w:vAlign w:val="bottom"/>
          </w:tcPr>
          <w:p w14:paraId="6419155C" w14:textId="77777777" w:rsidR="00917C30" w:rsidRPr="00141EB8" w:rsidRDefault="00917C30" w:rsidP="009E55FB">
            <w:pPr>
              <w:jc w:val="right"/>
              <w:rPr>
                <w:color w:val="000000"/>
                <w:sz w:val="18"/>
                <w:szCs w:val="18"/>
              </w:rPr>
            </w:pPr>
            <w:r w:rsidRPr="00C70E56">
              <w:rPr>
                <w:b/>
                <w:sz w:val="18"/>
                <w:szCs w:val="18"/>
              </w:rPr>
              <w:t xml:space="preserve">       3,077,573.79 </w:t>
            </w:r>
          </w:p>
        </w:tc>
        <w:tc>
          <w:tcPr>
            <w:tcW w:w="1227" w:type="dxa"/>
            <w:tcBorders>
              <w:bottom w:val="double" w:sz="4" w:space="0" w:color="auto"/>
            </w:tcBorders>
            <w:shd w:val="clear" w:color="auto" w:fill="auto"/>
            <w:noWrap/>
            <w:vAlign w:val="bottom"/>
          </w:tcPr>
          <w:p w14:paraId="315568C1" w14:textId="77777777" w:rsidR="00917C30" w:rsidRPr="00141EB8" w:rsidRDefault="00917C30" w:rsidP="009E55FB">
            <w:pPr>
              <w:jc w:val="right"/>
              <w:rPr>
                <w:color w:val="000000"/>
                <w:sz w:val="18"/>
                <w:szCs w:val="18"/>
              </w:rPr>
            </w:pPr>
            <w:r w:rsidRPr="00C70E56">
              <w:rPr>
                <w:b/>
                <w:sz w:val="18"/>
                <w:szCs w:val="18"/>
              </w:rPr>
              <w:t xml:space="preserve">      2,227,532.37 </w:t>
            </w:r>
          </w:p>
        </w:tc>
        <w:tc>
          <w:tcPr>
            <w:tcW w:w="4439" w:type="dxa"/>
            <w:gridSpan w:val="4"/>
            <w:vMerge/>
            <w:tcBorders>
              <w:bottom w:val="double" w:sz="4" w:space="0" w:color="auto"/>
              <w:right w:val="double" w:sz="4" w:space="0" w:color="auto"/>
            </w:tcBorders>
            <w:shd w:val="clear" w:color="auto" w:fill="auto"/>
            <w:noWrap/>
            <w:vAlign w:val="center"/>
            <w:hideMark/>
          </w:tcPr>
          <w:p w14:paraId="34A07108" w14:textId="77777777" w:rsidR="00917C30" w:rsidRPr="00141EB8" w:rsidRDefault="00917C30" w:rsidP="009E55FB">
            <w:pPr>
              <w:rPr>
                <w:b/>
                <w:sz w:val="18"/>
                <w:szCs w:val="18"/>
                <w:lang w:eastAsia="en-IN"/>
              </w:rPr>
            </w:pPr>
          </w:p>
        </w:tc>
      </w:tr>
      <w:tr w:rsidR="00917C30" w:rsidRPr="005A497D" w14:paraId="4A80A278" w14:textId="77777777" w:rsidTr="000D0E8D">
        <w:trPr>
          <w:trHeight w:val="264"/>
        </w:trPr>
        <w:tc>
          <w:tcPr>
            <w:tcW w:w="4928" w:type="dxa"/>
            <w:gridSpan w:val="3"/>
            <w:tcBorders>
              <w:top w:val="double" w:sz="4" w:space="0" w:color="auto"/>
              <w:left w:val="double" w:sz="4" w:space="0" w:color="auto"/>
            </w:tcBorders>
            <w:shd w:val="clear" w:color="auto" w:fill="auto"/>
            <w:noWrap/>
            <w:vAlign w:val="center"/>
            <w:hideMark/>
          </w:tcPr>
          <w:p w14:paraId="17917BA9" w14:textId="77777777" w:rsidR="00917C30" w:rsidRPr="005A687A" w:rsidRDefault="00917C30" w:rsidP="009E55FB">
            <w:pPr>
              <w:rPr>
                <w:b/>
                <w:i/>
                <w:sz w:val="18"/>
                <w:szCs w:val="16"/>
                <w:lang w:eastAsia="en-IN"/>
              </w:rPr>
            </w:pPr>
            <w:r w:rsidRPr="005A687A">
              <w:rPr>
                <w:b/>
                <w:i/>
                <w:sz w:val="18"/>
                <w:szCs w:val="16"/>
                <w:lang w:eastAsia="en-IN"/>
              </w:rPr>
              <w:t>Overall (PI-1) variance</w:t>
            </w:r>
          </w:p>
        </w:tc>
        <w:tc>
          <w:tcPr>
            <w:tcW w:w="4439" w:type="dxa"/>
            <w:gridSpan w:val="4"/>
            <w:tcBorders>
              <w:top w:val="double" w:sz="4" w:space="0" w:color="auto"/>
              <w:right w:val="double" w:sz="4" w:space="0" w:color="auto"/>
            </w:tcBorders>
            <w:shd w:val="clear" w:color="auto" w:fill="auto"/>
            <w:noWrap/>
            <w:vAlign w:val="bottom"/>
          </w:tcPr>
          <w:p w14:paraId="4341B319" w14:textId="77777777" w:rsidR="00917C30" w:rsidRPr="000D0E8D" w:rsidRDefault="00917C30" w:rsidP="009E55FB">
            <w:pPr>
              <w:jc w:val="center"/>
              <w:rPr>
                <w:b/>
                <w:i/>
                <w:sz w:val="18"/>
                <w:szCs w:val="16"/>
              </w:rPr>
            </w:pPr>
            <w:r w:rsidRPr="000D0E8D">
              <w:rPr>
                <w:b/>
                <w:i/>
                <w:sz w:val="18"/>
                <w:szCs w:val="16"/>
              </w:rPr>
              <w:t>27.6%</w:t>
            </w:r>
          </w:p>
        </w:tc>
      </w:tr>
      <w:tr w:rsidR="00917C30" w:rsidRPr="005A497D" w14:paraId="1747621B" w14:textId="77777777" w:rsidTr="000D0E8D">
        <w:trPr>
          <w:trHeight w:val="279"/>
        </w:trPr>
        <w:tc>
          <w:tcPr>
            <w:tcW w:w="4928" w:type="dxa"/>
            <w:gridSpan w:val="3"/>
            <w:tcBorders>
              <w:left w:val="double" w:sz="4" w:space="0" w:color="auto"/>
            </w:tcBorders>
            <w:shd w:val="clear" w:color="auto" w:fill="auto"/>
            <w:noWrap/>
            <w:vAlign w:val="center"/>
            <w:hideMark/>
          </w:tcPr>
          <w:p w14:paraId="43E5AE02" w14:textId="77777777" w:rsidR="00917C30" w:rsidRPr="005A687A" w:rsidRDefault="00917C30" w:rsidP="009E55FB">
            <w:pPr>
              <w:rPr>
                <w:b/>
                <w:i/>
                <w:sz w:val="18"/>
                <w:szCs w:val="16"/>
                <w:lang w:eastAsia="en-IN"/>
              </w:rPr>
            </w:pPr>
            <w:r w:rsidRPr="005A687A">
              <w:rPr>
                <w:b/>
                <w:i/>
                <w:sz w:val="18"/>
                <w:szCs w:val="16"/>
                <w:lang w:eastAsia="en-IN"/>
              </w:rPr>
              <w:t>Composition (PI-2) variance</w:t>
            </w:r>
          </w:p>
        </w:tc>
        <w:tc>
          <w:tcPr>
            <w:tcW w:w="4439" w:type="dxa"/>
            <w:gridSpan w:val="4"/>
            <w:tcBorders>
              <w:right w:val="double" w:sz="4" w:space="0" w:color="auto"/>
            </w:tcBorders>
            <w:shd w:val="clear" w:color="auto" w:fill="auto"/>
            <w:noWrap/>
            <w:vAlign w:val="bottom"/>
          </w:tcPr>
          <w:p w14:paraId="5D516974" w14:textId="77777777" w:rsidR="00917C30" w:rsidRPr="000D0E8D" w:rsidRDefault="00917C30" w:rsidP="009E55FB">
            <w:pPr>
              <w:jc w:val="center"/>
              <w:rPr>
                <w:b/>
                <w:i/>
                <w:sz w:val="18"/>
                <w:szCs w:val="16"/>
              </w:rPr>
            </w:pPr>
            <w:r w:rsidRPr="000D0E8D">
              <w:rPr>
                <w:b/>
                <w:i/>
                <w:sz w:val="18"/>
                <w:szCs w:val="16"/>
              </w:rPr>
              <w:t>21.83%</w:t>
            </w:r>
          </w:p>
        </w:tc>
      </w:tr>
      <w:tr w:rsidR="00917C30" w:rsidRPr="005A497D" w14:paraId="72AFEB8B" w14:textId="77777777" w:rsidTr="000D0E8D">
        <w:trPr>
          <w:trHeight w:val="264"/>
        </w:trPr>
        <w:tc>
          <w:tcPr>
            <w:tcW w:w="4928" w:type="dxa"/>
            <w:gridSpan w:val="3"/>
            <w:tcBorders>
              <w:left w:val="double" w:sz="4" w:space="0" w:color="auto"/>
              <w:bottom w:val="double" w:sz="4" w:space="0" w:color="auto"/>
            </w:tcBorders>
            <w:shd w:val="clear" w:color="auto" w:fill="auto"/>
            <w:noWrap/>
            <w:vAlign w:val="center"/>
            <w:hideMark/>
          </w:tcPr>
          <w:p w14:paraId="288B6CEB" w14:textId="77777777" w:rsidR="00917C30" w:rsidRPr="005A687A" w:rsidRDefault="00917C30" w:rsidP="009E55FB">
            <w:pPr>
              <w:rPr>
                <w:b/>
                <w:i/>
                <w:sz w:val="18"/>
                <w:szCs w:val="16"/>
                <w:lang w:eastAsia="en-IN"/>
              </w:rPr>
            </w:pPr>
            <w:r w:rsidRPr="005A687A">
              <w:rPr>
                <w:b/>
                <w:i/>
                <w:sz w:val="18"/>
                <w:szCs w:val="16"/>
                <w:lang w:eastAsia="en-IN"/>
              </w:rPr>
              <w:t>Contingency share of budget</w:t>
            </w:r>
          </w:p>
        </w:tc>
        <w:tc>
          <w:tcPr>
            <w:tcW w:w="4439" w:type="dxa"/>
            <w:gridSpan w:val="4"/>
            <w:tcBorders>
              <w:bottom w:val="double" w:sz="4" w:space="0" w:color="auto"/>
              <w:right w:val="double" w:sz="4" w:space="0" w:color="auto"/>
            </w:tcBorders>
            <w:shd w:val="clear" w:color="auto" w:fill="auto"/>
            <w:noWrap/>
            <w:vAlign w:val="bottom"/>
          </w:tcPr>
          <w:p w14:paraId="07DE3550" w14:textId="77777777" w:rsidR="00917C30" w:rsidRPr="000D0E8D" w:rsidRDefault="00917C30" w:rsidP="009E55FB">
            <w:pPr>
              <w:jc w:val="center"/>
              <w:rPr>
                <w:b/>
                <w:i/>
                <w:sz w:val="18"/>
                <w:szCs w:val="16"/>
              </w:rPr>
            </w:pPr>
            <w:r w:rsidRPr="000D0E8D">
              <w:rPr>
                <w:b/>
                <w:i/>
                <w:sz w:val="18"/>
                <w:szCs w:val="16"/>
              </w:rPr>
              <w:t>1.34%</w:t>
            </w:r>
          </w:p>
        </w:tc>
      </w:tr>
    </w:tbl>
    <w:p w14:paraId="133984FD" w14:textId="77777777" w:rsidR="00B63470" w:rsidRDefault="00B63470" w:rsidP="00F73832">
      <w:pPr>
        <w:pStyle w:val="PEFATable"/>
        <w:spacing w:after="40"/>
        <w:jc w:val="both"/>
        <w:rPr>
          <w:sz w:val="24"/>
          <w:szCs w:val="24"/>
        </w:rPr>
      </w:pPr>
    </w:p>
    <w:p w14:paraId="237CD0F2" w14:textId="77777777" w:rsidR="009C0F17" w:rsidRDefault="009C0F17" w:rsidP="00F73832">
      <w:pPr>
        <w:pStyle w:val="PEFATable"/>
        <w:spacing w:after="40"/>
        <w:jc w:val="both"/>
        <w:rPr>
          <w:sz w:val="24"/>
          <w:szCs w:val="24"/>
        </w:rPr>
      </w:pPr>
    </w:p>
    <w:p w14:paraId="1B6193B1" w14:textId="29341B38" w:rsidR="00F73832" w:rsidRDefault="00F73832" w:rsidP="00F73832">
      <w:pPr>
        <w:pStyle w:val="PEFATable"/>
        <w:spacing w:after="40"/>
        <w:jc w:val="both"/>
        <w:rPr>
          <w:sz w:val="24"/>
          <w:szCs w:val="24"/>
        </w:rPr>
      </w:pPr>
      <w:bookmarkStart w:id="440" w:name="_Toc454889270"/>
      <w:r w:rsidRPr="005A497D">
        <w:rPr>
          <w:sz w:val="24"/>
          <w:szCs w:val="24"/>
        </w:rPr>
        <w:t xml:space="preserve">Table </w:t>
      </w:r>
      <w:r w:rsidR="009A6E2C">
        <w:rPr>
          <w:sz w:val="24"/>
          <w:szCs w:val="24"/>
        </w:rPr>
        <w:t>A</w:t>
      </w:r>
      <w:r w:rsidR="0027211D">
        <w:rPr>
          <w:sz w:val="24"/>
          <w:szCs w:val="24"/>
        </w:rPr>
        <w:t>4</w:t>
      </w:r>
      <w:r w:rsidRPr="005A497D">
        <w:rPr>
          <w:sz w:val="24"/>
          <w:szCs w:val="24"/>
        </w:rPr>
        <w:t>.4: Results Matrix for PI-1 and PI-2</w:t>
      </w:r>
      <w:bookmarkEnd w:id="440"/>
    </w:p>
    <w:p w14:paraId="51113149" w14:textId="77777777" w:rsidR="005A687A" w:rsidRDefault="005A687A" w:rsidP="00F73832">
      <w:pPr>
        <w:pStyle w:val="PEFATable"/>
        <w:spacing w:after="40"/>
        <w:jc w:val="both"/>
        <w:rPr>
          <w:sz w:val="24"/>
          <w:szCs w:val="24"/>
        </w:rPr>
      </w:pPr>
    </w:p>
    <w:tbl>
      <w:tblPr>
        <w:tblW w:w="947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2551"/>
        <w:gridCol w:w="2552"/>
        <w:gridCol w:w="2522"/>
      </w:tblGrid>
      <w:tr w:rsidR="00917C30" w:rsidRPr="005A687A" w14:paraId="300D00C8" w14:textId="77777777" w:rsidTr="005A687A">
        <w:trPr>
          <w:trHeight w:val="264"/>
        </w:trPr>
        <w:tc>
          <w:tcPr>
            <w:tcW w:w="1854" w:type="dxa"/>
            <w:tcBorders>
              <w:top w:val="double" w:sz="4" w:space="0" w:color="auto"/>
              <w:left w:val="double" w:sz="4" w:space="0" w:color="auto"/>
              <w:bottom w:val="double" w:sz="4" w:space="0" w:color="auto"/>
              <w:right w:val="single" w:sz="4" w:space="0" w:color="auto"/>
            </w:tcBorders>
            <w:shd w:val="clear" w:color="auto" w:fill="D9D9D9" w:themeFill="background1" w:themeFillShade="D9"/>
            <w:noWrap/>
            <w:vAlign w:val="center"/>
            <w:hideMark/>
          </w:tcPr>
          <w:p w14:paraId="03077D5A" w14:textId="77777777" w:rsidR="00917C30" w:rsidRPr="005A687A" w:rsidRDefault="00917C30" w:rsidP="009E55FB">
            <w:pPr>
              <w:jc w:val="center"/>
              <w:rPr>
                <w:b/>
                <w:sz w:val="18"/>
                <w:szCs w:val="18"/>
                <w:lang w:eastAsia="en-IN"/>
              </w:rPr>
            </w:pPr>
            <w:r w:rsidRPr="005A687A">
              <w:rPr>
                <w:b/>
                <w:sz w:val="18"/>
                <w:szCs w:val="18"/>
                <w:lang w:eastAsia="en-IN"/>
              </w:rPr>
              <w:t>Year</w:t>
            </w:r>
          </w:p>
        </w:tc>
        <w:tc>
          <w:tcPr>
            <w:tcW w:w="2551" w:type="dxa"/>
            <w:tcBorders>
              <w:top w:val="doub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160A4A2" w14:textId="77777777" w:rsidR="00917C30" w:rsidRPr="005A687A" w:rsidRDefault="00917C30" w:rsidP="009E55FB">
            <w:pPr>
              <w:jc w:val="center"/>
              <w:rPr>
                <w:b/>
                <w:sz w:val="18"/>
                <w:szCs w:val="18"/>
                <w:lang w:eastAsia="en-IN"/>
              </w:rPr>
            </w:pPr>
            <w:r w:rsidRPr="005A687A">
              <w:rPr>
                <w:b/>
                <w:sz w:val="18"/>
                <w:szCs w:val="18"/>
                <w:lang w:eastAsia="en-IN"/>
              </w:rPr>
              <w:t>For PI-1: Total expenditure variation</w:t>
            </w:r>
          </w:p>
        </w:tc>
        <w:tc>
          <w:tcPr>
            <w:tcW w:w="2552" w:type="dxa"/>
            <w:tcBorders>
              <w:top w:val="doub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398CAE0" w14:textId="530334C9" w:rsidR="00917C30" w:rsidRPr="005A687A" w:rsidRDefault="00917C30" w:rsidP="009E55FB">
            <w:pPr>
              <w:jc w:val="center"/>
              <w:rPr>
                <w:b/>
                <w:sz w:val="18"/>
                <w:szCs w:val="18"/>
                <w:lang w:eastAsia="en-IN"/>
              </w:rPr>
            </w:pPr>
            <w:r w:rsidRPr="005A687A">
              <w:rPr>
                <w:b/>
                <w:sz w:val="18"/>
                <w:szCs w:val="18"/>
                <w:lang w:eastAsia="en-IN"/>
              </w:rPr>
              <w:t>For PI-2</w:t>
            </w:r>
            <w:r w:rsidR="005A687A">
              <w:rPr>
                <w:b/>
                <w:sz w:val="18"/>
                <w:szCs w:val="18"/>
                <w:lang w:eastAsia="en-IN"/>
              </w:rPr>
              <w:t>.1</w:t>
            </w:r>
            <w:r w:rsidRPr="005A687A">
              <w:rPr>
                <w:b/>
                <w:sz w:val="18"/>
                <w:szCs w:val="18"/>
                <w:lang w:eastAsia="en-IN"/>
              </w:rPr>
              <w:t>: Composition variance</w:t>
            </w:r>
          </w:p>
        </w:tc>
        <w:tc>
          <w:tcPr>
            <w:tcW w:w="2522" w:type="dxa"/>
            <w:tcBorders>
              <w:top w:val="double" w:sz="4" w:space="0" w:color="auto"/>
              <w:left w:val="single" w:sz="4" w:space="0" w:color="auto"/>
              <w:bottom w:val="double" w:sz="4" w:space="0" w:color="auto"/>
              <w:right w:val="double" w:sz="4" w:space="0" w:color="auto"/>
            </w:tcBorders>
            <w:shd w:val="clear" w:color="auto" w:fill="D9D9D9" w:themeFill="background1" w:themeFillShade="D9"/>
            <w:noWrap/>
            <w:vAlign w:val="center"/>
            <w:hideMark/>
          </w:tcPr>
          <w:p w14:paraId="17ABACB3" w14:textId="3D0CDA16" w:rsidR="00917C30" w:rsidRPr="005A687A" w:rsidRDefault="00917C30" w:rsidP="009E55FB">
            <w:pPr>
              <w:ind w:left="227" w:right="227"/>
              <w:jc w:val="center"/>
              <w:rPr>
                <w:b/>
                <w:sz w:val="18"/>
                <w:szCs w:val="18"/>
                <w:lang w:eastAsia="en-IN"/>
              </w:rPr>
            </w:pPr>
            <w:r w:rsidRPr="005A687A">
              <w:rPr>
                <w:b/>
                <w:sz w:val="18"/>
                <w:szCs w:val="18"/>
                <w:lang w:eastAsia="en-IN"/>
              </w:rPr>
              <w:t>For PI-2</w:t>
            </w:r>
            <w:r w:rsidR="005A687A">
              <w:rPr>
                <w:b/>
                <w:sz w:val="18"/>
                <w:szCs w:val="18"/>
                <w:lang w:eastAsia="en-IN"/>
              </w:rPr>
              <w:t>.3</w:t>
            </w:r>
            <w:r w:rsidRPr="005A687A">
              <w:rPr>
                <w:b/>
                <w:sz w:val="18"/>
                <w:szCs w:val="18"/>
                <w:lang w:eastAsia="en-IN"/>
              </w:rPr>
              <w:t>: Contingency share</w:t>
            </w:r>
          </w:p>
        </w:tc>
      </w:tr>
      <w:tr w:rsidR="005A687A" w:rsidRPr="005A497D" w14:paraId="3748D35D" w14:textId="77777777" w:rsidTr="00A51E64">
        <w:trPr>
          <w:trHeight w:val="264"/>
        </w:trPr>
        <w:tc>
          <w:tcPr>
            <w:tcW w:w="1854"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DE3C382" w14:textId="77777777" w:rsidR="005A687A" w:rsidRPr="005A687A" w:rsidRDefault="005A687A" w:rsidP="009E55FB">
            <w:pPr>
              <w:jc w:val="center"/>
              <w:rPr>
                <w:sz w:val="18"/>
                <w:szCs w:val="18"/>
                <w:lang w:eastAsia="en-IN"/>
              </w:rPr>
            </w:pPr>
            <w:r w:rsidRPr="005A687A">
              <w:rPr>
                <w:sz w:val="18"/>
                <w:szCs w:val="18"/>
                <w:lang w:eastAsia="en-IN"/>
              </w:rPr>
              <w:t>2012</w:t>
            </w:r>
          </w:p>
        </w:tc>
        <w:tc>
          <w:tcPr>
            <w:tcW w:w="255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5D03DAD" w14:textId="3E1EF5FE" w:rsidR="005A687A" w:rsidRPr="005A687A" w:rsidRDefault="005A687A" w:rsidP="009E55FB">
            <w:pPr>
              <w:jc w:val="center"/>
              <w:rPr>
                <w:sz w:val="18"/>
                <w:szCs w:val="18"/>
                <w:lang w:eastAsia="en-IN"/>
              </w:rPr>
            </w:pPr>
            <w:r>
              <w:rPr>
                <w:sz w:val="18"/>
                <w:szCs w:val="18"/>
                <w:lang w:eastAsia="en-IN"/>
              </w:rPr>
              <w:t>86</w:t>
            </w:r>
            <w:r w:rsidRPr="005A687A">
              <w:rPr>
                <w:sz w:val="18"/>
                <w:szCs w:val="18"/>
                <w:lang w:eastAsia="en-IN"/>
              </w:rPr>
              <w:t>.</w:t>
            </w:r>
            <w:r>
              <w:rPr>
                <w:sz w:val="18"/>
                <w:szCs w:val="18"/>
                <w:lang w:eastAsia="en-IN"/>
              </w:rPr>
              <w:t>8</w:t>
            </w:r>
            <w:r w:rsidRPr="005A687A">
              <w:rPr>
                <w:sz w:val="18"/>
                <w:szCs w:val="18"/>
                <w:lang w:eastAsia="en-IN"/>
              </w:rPr>
              <w:t>2%</w:t>
            </w:r>
          </w:p>
        </w:tc>
        <w:tc>
          <w:tcPr>
            <w:tcW w:w="255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0DADB9B" w14:textId="77777777" w:rsidR="005A687A" w:rsidRPr="005A687A" w:rsidRDefault="005A687A" w:rsidP="009E55FB">
            <w:pPr>
              <w:jc w:val="center"/>
              <w:rPr>
                <w:sz w:val="18"/>
                <w:szCs w:val="18"/>
                <w:lang w:eastAsia="en-IN"/>
              </w:rPr>
            </w:pPr>
            <w:r w:rsidRPr="005A687A">
              <w:rPr>
                <w:sz w:val="18"/>
                <w:szCs w:val="18"/>
                <w:lang w:eastAsia="en-IN"/>
              </w:rPr>
              <w:t>12.42%</w:t>
            </w:r>
          </w:p>
        </w:tc>
        <w:tc>
          <w:tcPr>
            <w:tcW w:w="2522" w:type="dxa"/>
            <w:vMerge w:val="restart"/>
            <w:tcBorders>
              <w:top w:val="double" w:sz="4" w:space="0" w:color="auto"/>
              <w:left w:val="single" w:sz="4" w:space="0" w:color="auto"/>
              <w:right w:val="double" w:sz="4" w:space="0" w:color="auto"/>
            </w:tcBorders>
            <w:shd w:val="clear" w:color="auto" w:fill="auto"/>
            <w:noWrap/>
            <w:vAlign w:val="center"/>
            <w:hideMark/>
          </w:tcPr>
          <w:p w14:paraId="2727A745" w14:textId="77777777" w:rsidR="005A687A" w:rsidRPr="005A687A" w:rsidRDefault="005A687A" w:rsidP="00917C30">
            <w:pPr>
              <w:ind w:left="227" w:right="227"/>
              <w:jc w:val="center"/>
              <w:rPr>
                <w:sz w:val="18"/>
                <w:szCs w:val="18"/>
                <w:lang w:eastAsia="en-IN"/>
              </w:rPr>
            </w:pPr>
            <w:r w:rsidRPr="005A687A">
              <w:rPr>
                <w:sz w:val="18"/>
                <w:szCs w:val="18"/>
                <w:lang w:eastAsia="en-IN"/>
              </w:rPr>
              <w:t>0.65%</w:t>
            </w:r>
          </w:p>
        </w:tc>
      </w:tr>
      <w:tr w:rsidR="005A687A" w:rsidRPr="005A497D" w14:paraId="1DBA897F" w14:textId="77777777" w:rsidTr="00A51E64">
        <w:trPr>
          <w:trHeight w:val="264"/>
        </w:trPr>
        <w:tc>
          <w:tcPr>
            <w:tcW w:w="1854"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FE173B1" w14:textId="77777777" w:rsidR="005A687A" w:rsidRPr="005A687A" w:rsidRDefault="005A687A" w:rsidP="009E55FB">
            <w:pPr>
              <w:jc w:val="center"/>
              <w:rPr>
                <w:sz w:val="18"/>
                <w:szCs w:val="18"/>
                <w:lang w:eastAsia="en-IN"/>
              </w:rPr>
            </w:pPr>
            <w:r w:rsidRPr="005A687A">
              <w:rPr>
                <w:sz w:val="18"/>
                <w:szCs w:val="18"/>
                <w:lang w:eastAsia="en-IN"/>
              </w:rPr>
              <w:t>2013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5680" w14:textId="7EF76DC7" w:rsidR="005A687A" w:rsidRPr="005A687A" w:rsidRDefault="005A687A" w:rsidP="005A687A">
            <w:pPr>
              <w:jc w:val="center"/>
              <w:rPr>
                <w:sz w:val="18"/>
                <w:szCs w:val="18"/>
                <w:lang w:eastAsia="en-IN"/>
              </w:rPr>
            </w:pPr>
            <w:r>
              <w:rPr>
                <w:sz w:val="18"/>
                <w:szCs w:val="18"/>
                <w:lang w:eastAsia="en-IN"/>
              </w:rPr>
              <w:t>79.08</w:t>
            </w:r>
            <w:r w:rsidRPr="005A687A">
              <w:rPr>
                <w:sz w:val="18"/>
                <w:szCs w:val="18"/>
                <w:lang w:eastAsia="en-IN"/>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1016" w14:textId="77777777" w:rsidR="005A687A" w:rsidRPr="005A687A" w:rsidRDefault="005A687A" w:rsidP="009E55FB">
            <w:pPr>
              <w:jc w:val="center"/>
              <w:rPr>
                <w:sz w:val="18"/>
                <w:szCs w:val="18"/>
                <w:lang w:eastAsia="en-IN"/>
              </w:rPr>
            </w:pPr>
            <w:r w:rsidRPr="005A687A">
              <w:rPr>
                <w:sz w:val="18"/>
                <w:szCs w:val="18"/>
                <w:lang w:eastAsia="en-IN"/>
              </w:rPr>
              <w:t>16.39%</w:t>
            </w:r>
          </w:p>
        </w:tc>
        <w:tc>
          <w:tcPr>
            <w:tcW w:w="2522" w:type="dxa"/>
            <w:vMerge/>
            <w:tcBorders>
              <w:left w:val="single" w:sz="4" w:space="0" w:color="auto"/>
              <w:right w:val="double" w:sz="4" w:space="0" w:color="auto"/>
            </w:tcBorders>
            <w:shd w:val="clear" w:color="auto" w:fill="auto"/>
            <w:noWrap/>
            <w:vAlign w:val="center"/>
            <w:hideMark/>
          </w:tcPr>
          <w:p w14:paraId="50AD26E9" w14:textId="77777777" w:rsidR="005A687A" w:rsidRPr="005A687A" w:rsidRDefault="005A687A" w:rsidP="00917C30">
            <w:pPr>
              <w:ind w:left="227" w:right="227"/>
              <w:jc w:val="center"/>
              <w:rPr>
                <w:sz w:val="18"/>
                <w:szCs w:val="18"/>
                <w:lang w:eastAsia="en-IN"/>
              </w:rPr>
            </w:pPr>
          </w:p>
        </w:tc>
      </w:tr>
      <w:tr w:rsidR="005A687A" w:rsidRPr="005A497D" w14:paraId="03014508" w14:textId="77777777" w:rsidTr="00A51E64">
        <w:trPr>
          <w:trHeight w:val="264"/>
        </w:trPr>
        <w:tc>
          <w:tcPr>
            <w:tcW w:w="1854"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1839803E" w14:textId="77777777" w:rsidR="005A687A" w:rsidRPr="005A687A" w:rsidRDefault="005A687A" w:rsidP="009E55FB">
            <w:pPr>
              <w:jc w:val="center"/>
              <w:rPr>
                <w:sz w:val="18"/>
                <w:szCs w:val="18"/>
                <w:lang w:eastAsia="en-IN"/>
              </w:rPr>
            </w:pPr>
            <w:r w:rsidRPr="005A687A">
              <w:rPr>
                <w:sz w:val="18"/>
                <w:szCs w:val="18"/>
                <w:lang w:eastAsia="en-IN"/>
              </w:rPr>
              <w:t>2014</w:t>
            </w:r>
          </w:p>
        </w:tc>
        <w:tc>
          <w:tcPr>
            <w:tcW w:w="255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0F9795A" w14:textId="03C5B6D1" w:rsidR="005A687A" w:rsidRPr="005A687A" w:rsidRDefault="005A687A" w:rsidP="009E55FB">
            <w:pPr>
              <w:jc w:val="center"/>
              <w:rPr>
                <w:sz w:val="18"/>
                <w:szCs w:val="18"/>
                <w:lang w:eastAsia="en-IN"/>
              </w:rPr>
            </w:pPr>
            <w:r>
              <w:rPr>
                <w:sz w:val="18"/>
                <w:szCs w:val="18"/>
                <w:lang w:eastAsia="en-IN"/>
              </w:rPr>
              <w:t>72.38</w:t>
            </w:r>
            <w:r w:rsidRPr="005A687A">
              <w:rPr>
                <w:sz w:val="18"/>
                <w:szCs w:val="18"/>
                <w:lang w:eastAsia="en-IN"/>
              </w:rPr>
              <w:t>%</w:t>
            </w:r>
          </w:p>
        </w:tc>
        <w:tc>
          <w:tcPr>
            <w:tcW w:w="2552"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DB15FB1" w14:textId="77777777" w:rsidR="005A687A" w:rsidRPr="005A687A" w:rsidRDefault="005A687A" w:rsidP="009E55FB">
            <w:pPr>
              <w:jc w:val="center"/>
              <w:rPr>
                <w:sz w:val="18"/>
                <w:szCs w:val="18"/>
                <w:lang w:eastAsia="en-IN"/>
              </w:rPr>
            </w:pPr>
            <w:r w:rsidRPr="005A687A">
              <w:rPr>
                <w:sz w:val="18"/>
                <w:szCs w:val="18"/>
                <w:lang w:eastAsia="en-IN"/>
              </w:rPr>
              <w:t>21.83%</w:t>
            </w:r>
          </w:p>
        </w:tc>
        <w:tc>
          <w:tcPr>
            <w:tcW w:w="2522" w:type="dxa"/>
            <w:vMerge/>
            <w:tcBorders>
              <w:left w:val="single" w:sz="4" w:space="0" w:color="auto"/>
              <w:bottom w:val="double" w:sz="4" w:space="0" w:color="auto"/>
              <w:right w:val="double" w:sz="4" w:space="0" w:color="auto"/>
            </w:tcBorders>
            <w:shd w:val="clear" w:color="auto" w:fill="auto"/>
            <w:noWrap/>
            <w:vAlign w:val="center"/>
            <w:hideMark/>
          </w:tcPr>
          <w:p w14:paraId="08B0D5A8" w14:textId="77777777" w:rsidR="005A687A" w:rsidRPr="005A687A" w:rsidRDefault="005A687A" w:rsidP="00917C30">
            <w:pPr>
              <w:ind w:left="227" w:right="227"/>
              <w:jc w:val="center"/>
              <w:rPr>
                <w:sz w:val="18"/>
                <w:szCs w:val="18"/>
                <w:lang w:eastAsia="en-IN"/>
              </w:rPr>
            </w:pPr>
          </w:p>
        </w:tc>
      </w:tr>
    </w:tbl>
    <w:p w14:paraId="4B5EA5AF" w14:textId="77777777" w:rsidR="00F73832" w:rsidRPr="005A497D" w:rsidRDefault="00F73832" w:rsidP="009A012D">
      <w:pPr>
        <w:autoSpaceDE w:val="0"/>
        <w:autoSpaceDN w:val="0"/>
        <w:adjustRightInd w:val="0"/>
        <w:contextualSpacing/>
        <w:jc w:val="both"/>
      </w:pPr>
    </w:p>
    <w:p w14:paraId="090712BA" w14:textId="31175A61" w:rsidR="007D69FC" w:rsidRDefault="007D69FC" w:rsidP="007D69FC">
      <w:pPr>
        <w:pStyle w:val="PEFATable"/>
        <w:spacing w:after="40"/>
        <w:jc w:val="both"/>
        <w:rPr>
          <w:sz w:val="24"/>
          <w:szCs w:val="24"/>
        </w:rPr>
      </w:pPr>
      <w:bookmarkStart w:id="441" w:name="_Toc454889271"/>
      <w:r w:rsidRPr="005A497D">
        <w:rPr>
          <w:sz w:val="24"/>
          <w:szCs w:val="24"/>
        </w:rPr>
        <w:t xml:space="preserve">Table </w:t>
      </w:r>
      <w:r w:rsidR="009A6E2C">
        <w:rPr>
          <w:sz w:val="24"/>
          <w:szCs w:val="24"/>
        </w:rPr>
        <w:t>A</w:t>
      </w:r>
      <w:r w:rsidR="0027211D">
        <w:rPr>
          <w:sz w:val="24"/>
          <w:szCs w:val="24"/>
        </w:rPr>
        <w:t>4</w:t>
      </w:r>
      <w:r w:rsidRPr="005A497D">
        <w:rPr>
          <w:sz w:val="24"/>
          <w:szCs w:val="24"/>
        </w:rPr>
        <w:t>.5: Data for PI-2</w:t>
      </w:r>
      <w:r w:rsidR="005A687A">
        <w:rPr>
          <w:sz w:val="24"/>
          <w:szCs w:val="24"/>
        </w:rPr>
        <w:t>.2</w:t>
      </w:r>
      <w:r w:rsidRPr="005A497D">
        <w:rPr>
          <w:sz w:val="24"/>
          <w:szCs w:val="24"/>
        </w:rPr>
        <w:t>, 2012</w:t>
      </w:r>
      <w:bookmarkEnd w:id="441"/>
    </w:p>
    <w:p w14:paraId="6DAC6B82" w14:textId="77777777" w:rsidR="009C0F17" w:rsidRPr="005A497D" w:rsidRDefault="009C0F17" w:rsidP="007D69FC">
      <w:pPr>
        <w:pStyle w:val="PEFATable"/>
        <w:spacing w:after="40"/>
        <w:jc w:val="both"/>
      </w:pPr>
    </w:p>
    <w:tbl>
      <w:tblPr>
        <w:tblW w:w="9447" w:type="dxa"/>
        <w:tblInd w:w="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96"/>
        <w:gridCol w:w="1241"/>
        <w:gridCol w:w="1242"/>
        <w:gridCol w:w="1242"/>
        <w:gridCol w:w="1242"/>
        <w:gridCol w:w="1242"/>
        <w:gridCol w:w="1242"/>
      </w:tblGrid>
      <w:tr w:rsidR="00917C30" w:rsidRPr="003567C3" w14:paraId="03AC27BC" w14:textId="77777777" w:rsidTr="009E55FB">
        <w:trPr>
          <w:trHeight w:val="144"/>
          <w:tblHeader/>
        </w:trPr>
        <w:tc>
          <w:tcPr>
            <w:tcW w:w="1996" w:type="dxa"/>
            <w:vMerge w:val="restart"/>
            <w:tcBorders>
              <w:top w:val="double" w:sz="4" w:space="0" w:color="auto"/>
            </w:tcBorders>
            <w:shd w:val="clear" w:color="auto" w:fill="D9D9D9" w:themeFill="background1" w:themeFillShade="D9"/>
            <w:noWrap/>
            <w:vAlign w:val="center"/>
          </w:tcPr>
          <w:p w14:paraId="76E87071" w14:textId="77777777" w:rsidR="00917C30" w:rsidRPr="005A687A" w:rsidRDefault="00917C30" w:rsidP="009E55FB">
            <w:pPr>
              <w:jc w:val="center"/>
              <w:rPr>
                <w:b/>
                <w:sz w:val="16"/>
                <w:szCs w:val="16"/>
                <w:lang w:eastAsia="en-IN"/>
              </w:rPr>
            </w:pPr>
            <w:r w:rsidRPr="005A687A">
              <w:rPr>
                <w:b/>
                <w:sz w:val="16"/>
                <w:szCs w:val="16"/>
                <w:lang w:eastAsia="en-IN"/>
              </w:rPr>
              <w:t>Economic head</w:t>
            </w:r>
          </w:p>
        </w:tc>
        <w:tc>
          <w:tcPr>
            <w:tcW w:w="6209" w:type="dxa"/>
            <w:gridSpan w:val="5"/>
            <w:tcBorders>
              <w:top w:val="double" w:sz="4" w:space="0" w:color="auto"/>
              <w:bottom w:val="double" w:sz="4" w:space="0" w:color="auto"/>
            </w:tcBorders>
            <w:shd w:val="clear" w:color="auto" w:fill="D9D9D9" w:themeFill="background1" w:themeFillShade="D9"/>
            <w:noWrap/>
            <w:vAlign w:val="center"/>
          </w:tcPr>
          <w:p w14:paraId="4E2E930A" w14:textId="77777777" w:rsidR="00917C30" w:rsidRPr="005A687A" w:rsidRDefault="00917C30" w:rsidP="009E55FB">
            <w:pPr>
              <w:jc w:val="center"/>
              <w:rPr>
                <w:b/>
                <w:i/>
                <w:sz w:val="16"/>
                <w:szCs w:val="16"/>
                <w:lang w:eastAsia="en-IN"/>
              </w:rPr>
            </w:pPr>
            <w:r w:rsidRPr="005A687A">
              <w:rPr>
                <w:b/>
                <w:i/>
                <w:sz w:val="16"/>
                <w:szCs w:val="16"/>
                <w:lang w:eastAsia="en-IN"/>
              </w:rPr>
              <w:t>(PhP billions)</w:t>
            </w:r>
          </w:p>
        </w:tc>
        <w:tc>
          <w:tcPr>
            <w:tcW w:w="1242" w:type="dxa"/>
            <w:vMerge w:val="restart"/>
            <w:tcBorders>
              <w:top w:val="double" w:sz="4" w:space="0" w:color="auto"/>
            </w:tcBorders>
            <w:shd w:val="clear" w:color="auto" w:fill="D9D9D9" w:themeFill="background1" w:themeFillShade="D9"/>
            <w:noWrap/>
            <w:vAlign w:val="center"/>
          </w:tcPr>
          <w:p w14:paraId="6BCBC75D" w14:textId="77777777" w:rsidR="00917C30" w:rsidRPr="005A687A" w:rsidRDefault="00917C30" w:rsidP="009E55FB">
            <w:pPr>
              <w:jc w:val="center"/>
              <w:rPr>
                <w:b/>
                <w:sz w:val="16"/>
                <w:szCs w:val="16"/>
                <w:lang w:eastAsia="en-IN"/>
              </w:rPr>
            </w:pPr>
            <w:r w:rsidRPr="005A687A">
              <w:rPr>
                <w:b/>
                <w:sz w:val="16"/>
                <w:szCs w:val="16"/>
                <w:lang w:eastAsia="en-IN"/>
              </w:rPr>
              <w:t>%</w:t>
            </w:r>
          </w:p>
        </w:tc>
      </w:tr>
      <w:tr w:rsidR="00917C30" w:rsidRPr="003567C3" w14:paraId="6C58238F" w14:textId="77777777" w:rsidTr="009E55FB">
        <w:trPr>
          <w:trHeight w:val="454"/>
          <w:tblHeader/>
        </w:trPr>
        <w:tc>
          <w:tcPr>
            <w:tcW w:w="1996" w:type="dxa"/>
            <w:vMerge/>
            <w:tcBorders>
              <w:bottom w:val="double" w:sz="4" w:space="0" w:color="auto"/>
            </w:tcBorders>
            <w:shd w:val="clear" w:color="auto" w:fill="D9D9D9" w:themeFill="background1" w:themeFillShade="D9"/>
            <w:noWrap/>
            <w:vAlign w:val="center"/>
            <w:hideMark/>
          </w:tcPr>
          <w:p w14:paraId="7E7D0EF7" w14:textId="77777777" w:rsidR="00917C30" w:rsidRPr="003567C3" w:rsidRDefault="00917C30" w:rsidP="009E55FB">
            <w:pPr>
              <w:jc w:val="center"/>
              <w:rPr>
                <w:b/>
                <w:i/>
                <w:sz w:val="16"/>
                <w:szCs w:val="16"/>
                <w:lang w:eastAsia="en-IN"/>
              </w:rPr>
            </w:pPr>
          </w:p>
        </w:tc>
        <w:tc>
          <w:tcPr>
            <w:tcW w:w="1241" w:type="dxa"/>
            <w:tcBorders>
              <w:top w:val="double" w:sz="4" w:space="0" w:color="auto"/>
              <w:bottom w:val="double" w:sz="4" w:space="0" w:color="auto"/>
            </w:tcBorders>
            <w:shd w:val="clear" w:color="auto" w:fill="D9D9D9" w:themeFill="background1" w:themeFillShade="D9"/>
            <w:noWrap/>
            <w:vAlign w:val="center"/>
            <w:hideMark/>
          </w:tcPr>
          <w:p w14:paraId="1EB4185D" w14:textId="77777777" w:rsidR="00917C30" w:rsidRPr="005A687A" w:rsidRDefault="00917C30" w:rsidP="009E55FB">
            <w:pPr>
              <w:jc w:val="center"/>
              <w:rPr>
                <w:b/>
                <w:bCs/>
                <w:sz w:val="16"/>
                <w:szCs w:val="16"/>
                <w:lang w:eastAsia="en-IN"/>
              </w:rPr>
            </w:pPr>
            <w:r w:rsidRPr="005A687A">
              <w:rPr>
                <w:b/>
                <w:bCs/>
                <w:sz w:val="16"/>
                <w:szCs w:val="16"/>
                <w:lang w:eastAsia="en-IN"/>
              </w:rPr>
              <w:t>Budget</w:t>
            </w:r>
          </w:p>
        </w:tc>
        <w:tc>
          <w:tcPr>
            <w:tcW w:w="1242" w:type="dxa"/>
            <w:tcBorders>
              <w:top w:val="double" w:sz="4" w:space="0" w:color="auto"/>
              <w:bottom w:val="double" w:sz="4" w:space="0" w:color="auto"/>
            </w:tcBorders>
            <w:shd w:val="clear" w:color="auto" w:fill="D9D9D9" w:themeFill="background1" w:themeFillShade="D9"/>
            <w:noWrap/>
            <w:vAlign w:val="center"/>
            <w:hideMark/>
          </w:tcPr>
          <w:p w14:paraId="7E175A5C" w14:textId="77777777" w:rsidR="00917C30" w:rsidRPr="005A687A" w:rsidRDefault="00917C30" w:rsidP="009E55FB">
            <w:pPr>
              <w:jc w:val="center"/>
              <w:rPr>
                <w:b/>
                <w:bCs/>
                <w:sz w:val="16"/>
                <w:szCs w:val="16"/>
                <w:lang w:eastAsia="en-IN"/>
              </w:rPr>
            </w:pPr>
            <w:r w:rsidRPr="005A687A">
              <w:rPr>
                <w:b/>
                <w:bCs/>
                <w:sz w:val="16"/>
                <w:szCs w:val="16"/>
                <w:lang w:eastAsia="en-IN"/>
              </w:rPr>
              <w:t xml:space="preserve">Actual </w:t>
            </w:r>
          </w:p>
        </w:tc>
        <w:tc>
          <w:tcPr>
            <w:tcW w:w="1242" w:type="dxa"/>
            <w:tcBorders>
              <w:top w:val="double" w:sz="4" w:space="0" w:color="auto"/>
              <w:bottom w:val="double" w:sz="4" w:space="0" w:color="auto"/>
            </w:tcBorders>
            <w:shd w:val="clear" w:color="auto" w:fill="D9D9D9" w:themeFill="background1" w:themeFillShade="D9"/>
            <w:vAlign w:val="center"/>
            <w:hideMark/>
          </w:tcPr>
          <w:p w14:paraId="60F26C90" w14:textId="77777777" w:rsidR="00917C30" w:rsidRPr="005A687A" w:rsidRDefault="00917C30" w:rsidP="009E55FB">
            <w:pPr>
              <w:jc w:val="center"/>
              <w:rPr>
                <w:b/>
                <w:sz w:val="16"/>
                <w:szCs w:val="16"/>
                <w:lang w:eastAsia="en-IN"/>
              </w:rPr>
            </w:pPr>
            <w:r w:rsidRPr="005A687A">
              <w:rPr>
                <w:b/>
                <w:sz w:val="16"/>
                <w:szCs w:val="16"/>
                <w:lang w:eastAsia="en-IN"/>
              </w:rPr>
              <w:t>Adjusted budget</w:t>
            </w:r>
          </w:p>
        </w:tc>
        <w:tc>
          <w:tcPr>
            <w:tcW w:w="1242" w:type="dxa"/>
            <w:tcBorders>
              <w:top w:val="double" w:sz="4" w:space="0" w:color="auto"/>
              <w:bottom w:val="double" w:sz="4" w:space="0" w:color="auto"/>
            </w:tcBorders>
            <w:shd w:val="clear" w:color="auto" w:fill="D9D9D9" w:themeFill="background1" w:themeFillShade="D9"/>
            <w:vAlign w:val="center"/>
            <w:hideMark/>
          </w:tcPr>
          <w:p w14:paraId="4F3BB4F1" w14:textId="77777777" w:rsidR="00917C30" w:rsidRPr="005A687A" w:rsidRDefault="00917C30" w:rsidP="009E55FB">
            <w:pPr>
              <w:jc w:val="center"/>
              <w:rPr>
                <w:b/>
                <w:sz w:val="16"/>
                <w:szCs w:val="16"/>
                <w:lang w:eastAsia="en-IN"/>
              </w:rPr>
            </w:pPr>
            <w:r w:rsidRPr="005A687A">
              <w:rPr>
                <w:b/>
                <w:sz w:val="16"/>
                <w:szCs w:val="16"/>
                <w:lang w:eastAsia="en-IN"/>
              </w:rPr>
              <w:t>Deviation</w:t>
            </w:r>
          </w:p>
        </w:tc>
        <w:tc>
          <w:tcPr>
            <w:tcW w:w="1242" w:type="dxa"/>
            <w:tcBorders>
              <w:top w:val="double" w:sz="4" w:space="0" w:color="auto"/>
              <w:bottom w:val="double" w:sz="4" w:space="0" w:color="auto"/>
            </w:tcBorders>
            <w:shd w:val="clear" w:color="auto" w:fill="D9D9D9" w:themeFill="background1" w:themeFillShade="D9"/>
            <w:vAlign w:val="center"/>
            <w:hideMark/>
          </w:tcPr>
          <w:p w14:paraId="40995938" w14:textId="77777777" w:rsidR="00917C30" w:rsidRPr="005A687A" w:rsidRDefault="00917C30" w:rsidP="009E55FB">
            <w:pPr>
              <w:jc w:val="center"/>
              <w:rPr>
                <w:b/>
                <w:sz w:val="16"/>
                <w:szCs w:val="16"/>
                <w:lang w:eastAsia="en-IN"/>
              </w:rPr>
            </w:pPr>
            <w:r w:rsidRPr="005A687A">
              <w:rPr>
                <w:b/>
                <w:sz w:val="16"/>
                <w:szCs w:val="16"/>
                <w:lang w:eastAsia="en-IN"/>
              </w:rPr>
              <w:t>Absolute deviation</w:t>
            </w:r>
          </w:p>
        </w:tc>
        <w:tc>
          <w:tcPr>
            <w:tcW w:w="1242" w:type="dxa"/>
            <w:vMerge/>
            <w:tcBorders>
              <w:bottom w:val="double" w:sz="4" w:space="0" w:color="auto"/>
            </w:tcBorders>
            <w:shd w:val="clear" w:color="auto" w:fill="D9D9D9" w:themeFill="background1" w:themeFillShade="D9"/>
            <w:noWrap/>
            <w:vAlign w:val="center"/>
            <w:hideMark/>
          </w:tcPr>
          <w:p w14:paraId="560080C0" w14:textId="77777777" w:rsidR="00917C30" w:rsidRPr="003567C3" w:rsidRDefault="00917C30" w:rsidP="009E55FB">
            <w:pPr>
              <w:jc w:val="center"/>
              <w:rPr>
                <w:b/>
                <w:i/>
                <w:sz w:val="16"/>
                <w:szCs w:val="16"/>
                <w:lang w:eastAsia="en-IN"/>
              </w:rPr>
            </w:pPr>
          </w:p>
        </w:tc>
      </w:tr>
      <w:tr w:rsidR="00917C30" w:rsidRPr="005A497D" w14:paraId="36ED5DD4" w14:textId="77777777" w:rsidTr="009E55FB">
        <w:trPr>
          <w:trHeight w:val="283"/>
        </w:trPr>
        <w:tc>
          <w:tcPr>
            <w:tcW w:w="1996" w:type="dxa"/>
            <w:tcBorders>
              <w:top w:val="double" w:sz="4" w:space="0" w:color="auto"/>
            </w:tcBorders>
            <w:shd w:val="clear" w:color="auto" w:fill="auto"/>
            <w:noWrap/>
            <w:vAlign w:val="center"/>
            <w:hideMark/>
          </w:tcPr>
          <w:p w14:paraId="0C590EAD" w14:textId="77777777" w:rsidR="00917C30" w:rsidRPr="005A497D" w:rsidRDefault="00917C30" w:rsidP="009E55FB">
            <w:pPr>
              <w:rPr>
                <w:sz w:val="16"/>
                <w:szCs w:val="16"/>
                <w:lang w:eastAsia="en-IN"/>
              </w:rPr>
            </w:pPr>
            <w:r>
              <w:rPr>
                <w:sz w:val="16"/>
                <w:szCs w:val="16"/>
                <w:lang w:eastAsia="en-IN"/>
              </w:rPr>
              <w:t>Maintenance and other operating expenses</w:t>
            </w:r>
          </w:p>
        </w:tc>
        <w:tc>
          <w:tcPr>
            <w:tcW w:w="1241" w:type="dxa"/>
            <w:tcBorders>
              <w:top w:val="double" w:sz="4" w:space="0" w:color="auto"/>
            </w:tcBorders>
            <w:shd w:val="clear" w:color="auto" w:fill="auto"/>
            <w:noWrap/>
            <w:vAlign w:val="bottom"/>
            <w:hideMark/>
          </w:tcPr>
          <w:p w14:paraId="4F94C1B6" w14:textId="7DD1A776" w:rsidR="00917C30" w:rsidRPr="00D16C2B" w:rsidRDefault="00917C30" w:rsidP="000D0E8D">
            <w:pPr>
              <w:jc w:val="center"/>
              <w:rPr>
                <w:sz w:val="18"/>
                <w:szCs w:val="16"/>
                <w:lang w:eastAsia="en-IN"/>
              </w:rPr>
            </w:pPr>
            <w:r>
              <w:rPr>
                <w:sz w:val="18"/>
                <w:szCs w:val="18"/>
              </w:rPr>
              <w:t>703.89</w:t>
            </w:r>
          </w:p>
        </w:tc>
        <w:tc>
          <w:tcPr>
            <w:tcW w:w="1242" w:type="dxa"/>
            <w:tcBorders>
              <w:top w:val="double" w:sz="4" w:space="0" w:color="auto"/>
            </w:tcBorders>
            <w:shd w:val="clear" w:color="auto" w:fill="auto"/>
            <w:noWrap/>
            <w:vAlign w:val="bottom"/>
            <w:hideMark/>
          </w:tcPr>
          <w:p w14:paraId="18D84C2B" w14:textId="2F49C886" w:rsidR="00917C30" w:rsidRPr="00D16C2B" w:rsidRDefault="00917C30" w:rsidP="000D0E8D">
            <w:pPr>
              <w:jc w:val="center"/>
              <w:rPr>
                <w:sz w:val="18"/>
                <w:szCs w:val="16"/>
                <w:lang w:eastAsia="en-IN"/>
              </w:rPr>
            </w:pPr>
            <w:r>
              <w:rPr>
                <w:sz w:val="18"/>
                <w:szCs w:val="18"/>
              </w:rPr>
              <w:t>622.53</w:t>
            </w:r>
          </w:p>
        </w:tc>
        <w:tc>
          <w:tcPr>
            <w:tcW w:w="1242" w:type="dxa"/>
            <w:tcBorders>
              <w:top w:val="double" w:sz="4" w:space="0" w:color="auto"/>
            </w:tcBorders>
            <w:shd w:val="clear" w:color="auto" w:fill="auto"/>
            <w:noWrap/>
            <w:vAlign w:val="bottom"/>
            <w:hideMark/>
          </w:tcPr>
          <w:p w14:paraId="3CEEDA6C" w14:textId="2A32474D" w:rsidR="00917C30" w:rsidRPr="00D16C2B" w:rsidRDefault="00917C30" w:rsidP="00F14985">
            <w:pPr>
              <w:jc w:val="center"/>
              <w:rPr>
                <w:sz w:val="18"/>
                <w:szCs w:val="16"/>
                <w:lang w:eastAsia="en-IN"/>
              </w:rPr>
            </w:pPr>
            <w:r>
              <w:rPr>
                <w:sz w:val="18"/>
                <w:szCs w:val="18"/>
              </w:rPr>
              <w:t>594.10</w:t>
            </w:r>
          </w:p>
        </w:tc>
        <w:tc>
          <w:tcPr>
            <w:tcW w:w="1242" w:type="dxa"/>
            <w:tcBorders>
              <w:top w:val="double" w:sz="4" w:space="0" w:color="auto"/>
            </w:tcBorders>
            <w:shd w:val="clear" w:color="auto" w:fill="auto"/>
            <w:noWrap/>
            <w:vAlign w:val="bottom"/>
            <w:hideMark/>
          </w:tcPr>
          <w:p w14:paraId="323E420B" w14:textId="6B126007" w:rsidR="00917C30" w:rsidRPr="00D16C2B" w:rsidRDefault="00917C30" w:rsidP="00F14985">
            <w:pPr>
              <w:jc w:val="center"/>
              <w:rPr>
                <w:sz w:val="18"/>
                <w:szCs w:val="16"/>
                <w:lang w:eastAsia="en-IN"/>
              </w:rPr>
            </w:pPr>
            <w:r>
              <w:rPr>
                <w:sz w:val="18"/>
                <w:szCs w:val="18"/>
              </w:rPr>
              <w:t>28.4</w:t>
            </w:r>
            <w:r w:rsidR="00F14985">
              <w:rPr>
                <w:sz w:val="18"/>
                <w:szCs w:val="18"/>
              </w:rPr>
              <w:t>3</w:t>
            </w:r>
          </w:p>
        </w:tc>
        <w:tc>
          <w:tcPr>
            <w:tcW w:w="1242" w:type="dxa"/>
            <w:tcBorders>
              <w:top w:val="double" w:sz="4" w:space="0" w:color="auto"/>
            </w:tcBorders>
            <w:shd w:val="clear" w:color="auto" w:fill="auto"/>
            <w:noWrap/>
            <w:vAlign w:val="bottom"/>
            <w:hideMark/>
          </w:tcPr>
          <w:p w14:paraId="19786D8D" w14:textId="65B947F9" w:rsidR="00917C30" w:rsidRPr="00D16C2B" w:rsidRDefault="00917C30" w:rsidP="00EF0B20">
            <w:pPr>
              <w:jc w:val="center"/>
              <w:rPr>
                <w:sz w:val="18"/>
                <w:szCs w:val="16"/>
                <w:lang w:eastAsia="en-IN"/>
              </w:rPr>
            </w:pPr>
            <w:r>
              <w:rPr>
                <w:sz w:val="18"/>
                <w:szCs w:val="18"/>
              </w:rPr>
              <w:t>2</w:t>
            </w:r>
            <w:r w:rsidR="00EF0B20">
              <w:rPr>
                <w:sz w:val="18"/>
                <w:szCs w:val="18"/>
              </w:rPr>
              <w:t>8.43</w:t>
            </w:r>
          </w:p>
        </w:tc>
        <w:tc>
          <w:tcPr>
            <w:tcW w:w="1242" w:type="dxa"/>
            <w:tcBorders>
              <w:top w:val="double" w:sz="4" w:space="0" w:color="auto"/>
            </w:tcBorders>
            <w:shd w:val="clear" w:color="auto" w:fill="auto"/>
            <w:noWrap/>
            <w:vAlign w:val="bottom"/>
            <w:hideMark/>
          </w:tcPr>
          <w:p w14:paraId="3C0F6DA0" w14:textId="06099ED3" w:rsidR="00917C30" w:rsidRPr="00D16C2B" w:rsidRDefault="00917C30" w:rsidP="00EF0B20">
            <w:pPr>
              <w:jc w:val="center"/>
              <w:rPr>
                <w:sz w:val="18"/>
                <w:szCs w:val="16"/>
                <w:lang w:eastAsia="en-IN"/>
              </w:rPr>
            </w:pPr>
            <w:r>
              <w:rPr>
                <w:sz w:val="18"/>
              </w:rPr>
              <w:t>4.</w:t>
            </w:r>
            <w:r w:rsidR="00EF0B20">
              <w:rPr>
                <w:sz w:val="18"/>
              </w:rPr>
              <w:t>7</w:t>
            </w:r>
            <w:r>
              <w:rPr>
                <w:sz w:val="18"/>
              </w:rPr>
              <w:t>8</w:t>
            </w:r>
          </w:p>
        </w:tc>
      </w:tr>
      <w:tr w:rsidR="00917C30" w:rsidRPr="005A497D" w14:paraId="5EDE609A" w14:textId="77777777" w:rsidTr="009E55FB">
        <w:trPr>
          <w:trHeight w:val="283"/>
        </w:trPr>
        <w:tc>
          <w:tcPr>
            <w:tcW w:w="1996" w:type="dxa"/>
            <w:shd w:val="clear" w:color="auto" w:fill="auto"/>
            <w:noWrap/>
            <w:vAlign w:val="center"/>
            <w:hideMark/>
          </w:tcPr>
          <w:p w14:paraId="4B356B87" w14:textId="77777777" w:rsidR="00917C30" w:rsidRPr="005A497D" w:rsidRDefault="00917C30" w:rsidP="009E55FB">
            <w:pPr>
              <w:rPr>
                <w:sz w:val="16"/>
                <w:szCs w:val="16"/>
                <w:lang w:eastAsia="en-IN"/>
              </w:rPr>
            </w:pPr>
            <w:r w:rsidRPr="005A497D">
              <w:rPr>
                <w:sz w:val="16"/>
                <w:szCs w:val="16"/>
                <w:lang w:eastAsia="en-IN"/>
              </w:rPr>
              <w:t>Capital Outlays</w:t>
            </w:r>
          </w:p>
        </w:tc>
        <w:tc>
          <w:tcPr>
            <w:tcW w:w="1241" w:type="dxa"/>
            <w:shd w:val="clear" w:color="auto" w:fill="auto"/>
            <w:noWrap/>
            <w:vAlign w:val="bottom"/>
            <w:hideMark/>
          </w:tcPr>
          <w:p w14:paraId="5B6AE7E4" w14:textId="295A28DF" w:rsidR="00917C30" w:rsidRPr="00D16C2B" w:rsidRDefault="00917C30" w:rsidP="000D0E8D">
            <w:pPr>
              <w:jc w:val="center"/>
              <w:rPr>
                <w:sz w:val="18"/>
                <w:szCs w:val="16"/>
                <w:lang w:eastAsia="en-IN"/>
              </w:rPr>
            </w:pPr>
            <w:r>
              <w:rPr>
                <w:sz w:val="18"/>
                <w:szCs w:val="18"/>
              </w:rPr>
              <w:t>510.45</w:t>
            </w:r>
          </w:p>
        </w:tc>
        <w:tc>
          <w:tcPr>
            <w:tcW w:w="1242" w:type="dxa"/>
            <w:shd w:val="clear" w:color="auto" w:fill="auto"/>
            <w:noWrap/>
            <w:vAlign w:val="bottom"/>
            <w:hideMark/>
          </w:tcPr>
          <w:p w14:paraId="2F4F0B78" w14:textId="367CEEDA" w:rsidR="00917C30" w:rsidRPr="00D16C2B" w:rsidRDefault="00917C30" w:rsidP="000D0E8D">
            <w:pPr>
              <w:jc w:val="center"/>
              <w:rPr>
                <w:sz w:val="18"/>
                <w:szCs w:val="16"/>
                <w:lang w:eastAsia="en-IN"/>
              </w:rPr>
            </w:pPr>
            <w:r>
              <w:rPr>
                <w:sz w:val="18"/>
                <w:szCs w:val="18"/>
              </w:rPr>
              <w:t>304.35</w:t>
            </w:r>
          </w:p>
        </w:tc>
        <w:tc>
          <w:tcPr>
            <w:tcW w:w="1242" w:type="dxa"/>
            <w:shd w:val="clear" w:color="auto" w:fill="auto"/>
            <w:noWrap/>
            <w:vAlign w:val="bottom"/>
            <w:hideMark/>
          </w:tcPr>
          <w:p w14:paraId="0677B4D1" w14:textId="1117C134" w:rsidR="00917C30" w:rsidRPr="00D16C2B" w:rsidRDefault="00917C30" w:rsidP="00F14985">
            <w:pPr>
              <w:jc w:val="center"/>
              <w:rPr>
                <w:sz w:val="18"/>
                <w:szCs w:val="16"/>
                <w:lang w:eastAsia="en-IN"/>
              </w:rPr>
            </w:pPr>
            <w:r>
              <w:rPr>
                <w:sz w:val="18"/>
                <w:szCs w:val="18"/>
              </w:rPr>
              <w:t>430.8</w:t>
            </w:r>
            <w:r w:rsidR="00F14985">
              <w:rPr>
                <w:sz w:val="18"/>
                <w:szCs w:val="18"/>
              </w:rPr>
              <w:t>4</w:t>
            </w:r>
          </w:p>
        </w:tc>
        <w:tc>
          <w:tcPr>
            <w:tcW w:w="1242" w:type="dxa"/>
            <w:shd w:val="clear" w:color="auto" w:fill="auto"/>
            <w:noWrap/>
            <w:vAlign w:val="bottom"/>
            <w:hideMark/>
          </w:tcPr>
          <w:p w14:paraId="39606E93" w14:textId="77777777" w:rsidR="00917C30" w:rsidRPr="00D16C2B" w:rsidRDefault="00917C30" w:rsidP="005612A8">
            <w:pPr>
              <w:jc w:val="center"/>
              <w:rPr>
                <w:sz w:val="18"/>
                <w:szCs w:val="16"/>
                <w:lang w:eastAsia="en-IN"/>
              </w:rPr>
            </w:pPr>
            <w:r>
              <w:rPr>
                <w:sz w:val="18"/>
                <w:szCs w:val="18"/>
              </w:rPr>
              <w:t>(126.49)</w:t>
            </w:r>
          </w:p>
        </w:tc>
        <w:tc>
          <w:tcPr>
            <w:tcW w:w="1242" w:type="dxa"/>
            <w:shd w:val="clear" w:color="auto" w:fill="auto"/>
            <w:noWrap/>
            <w:vAlign w:val="bottom"/>
            <w:hideMark/>
          </w:tcPr>
          <w:p w14:paraId="437EBD2B" w14:textId="77777777" w:rsidR="00917C30" w:rsidRPr="00D16C2B" w:rsidRDefault="00917C30" w:rsidP="0064009B">
            <w:pPr>
              <w:jc w:val="center"/>
              <w:rPr>
                <w:sz w:val="18"/>
                <w:szCs w:val="16"/>
                <w:lang w:eastAsia="en-IN"/>
              </w:rPr>
            </w:pPr>
            <w:r>
              <w:rPr>
                <w:sz w:val="18"/>
                <w:szCs w:val="18"/>
              </w:rPr>
              <w:t>126.49</w:t>
            </w:r>
          </w:p>
        </w:tc>
        <w:tc>
          <w:tcPr>
            <w:tcW w:w="1242" w:type="dxa"/>
            <w:shd w:val="clear" w:color="auto" w:fill="auto"/>
            <w:noWrap/>
            <w:vAlign w:val="bottom"/>
            <w:hideMark/>
          </w:tcPr>
          <w:p w14:paraId="702BE433" w14:textId="24012943" w:rsidR="00917C30" w:rsidRPr="00D16C2B" w:rsidRDefault="00EF0B20" w:rsidP="00581BD2">
            <w:pPr>
              <w:jc w:val="center"/>
              <w:rPr>
                <w:sz w:val="18"/>
                <w:szCs w:val="16"/>
                <w:lang w:eastAsia="en-IN"/>
              </w:rPr>
            </w:pPr>
            <w:r>
              <w:rPr>
                <w:sz w:val="18"/>
              </w:rPr>
              <w:t>29.36</w:t>
            </w:r>
          </w:p>
        </w:tc>
      </w:tr>
      <w:tr w:rsidR="00917C30" w:rsidRPr="005A497D" w14:paraId="120C1C0E" w14:textId="77777777" w:rsidTr="009E55FB">
        <w:trPr>
          <w:trHeight w:val="283"/>
        </w:trPr>
        <w:tc>
          <w:tcPr>
            <w:tcW w:w="1996" w:type="dxa"/>
            <w:shd w:val="clear" w:color="auto" w:fill="auto"/>
            <w:noWrap/>
            <w:vAlign w:val="center"/>
            <w:hideMark/>
          </w:tcPr>
          <w:p w14:paraId="142CD954" w14:textId="77777777" w:rsidR="00917C30" w:rsidRPr="005A497D" w:rsidRDefault="00917C30" w:rsidP="009E55FB">
            <w:pPr>
              <w:rPr>
                <w:sz w:val="16"/>
                <w:szCs w:val="16"/>
                <w:lang w:eastAsia="en-IN"/>
              </w:rPr>
            </w:pPr>
            <w:r>
              <w:rPr>
                <w:sz w:val="16"/>
                <w:szCs w:val="16"/>
                <w:lang w:eastAsia="en-IN"/>
              </w:rPr>
              <w:t>Personnel</w:t>
            </w:r>
            <w:r w:rsidRPr="005A497D">
              <w:rPr>
                <w:sz w:val="16"/>
                <w:szCs w:val="16"/>
                <w:lang w:eastAsia="en-IN"/>
              </w:rPr>
              <w:t xml:space="preserve"> Services</w:t>
            </w:r>
          </w:p>
        </w:tc>
        <w:tc>
          <w:tcPr>
            <w:tcW w:w="1241" w:type="dxa"/>
            <w:shd w:val="clear" w:color="auto" w:fill="auto"/>
            <w:noWrap/>
            <w:vAlign w:val="bottom"/>
            <w:hideMark/>
          </w:tcPr>
          <w:p w14:paraId="179A15C7" w14:textId="53926064" w:rsidR="00917C30" w:rsidRPr="00D16C2B" w:rsidRDefault="00917C30" w:rsidP="000D0E8D">
            <w:pPr>
              <w:jc w:val="center"/>
              <w:rPr>
                <w:sz w:val="18"/>
                <w:szCs w:val="16"/>
                <w:lang w:eastAsia="en-IN"/>
              </w:rPr>
            </w:pPr>
            <w:r>
              <w:rPr>
                <w:sz w:val="18"/>
                <w:szCs w:val="18"/>
              </w:rPr>
              <w:t>599.65</w:t>
            </w:r>
          </w:p>
        </w:tc>
        <w:tc>
          <w:tcPr>
            <w:tcW w:w="1242" w:type="dxa"/>
            <w:shd w:val="clear" w:color="auto" w:fill="auto"/>
            <w:noWrap/>
            <w:vAlign w:val="bottom"/>
            <w:hideMark/>
          </w:tcPr>
          <w:p w14:paraId="0D4237DB" w14:textId="64C72108" w:rsidR="00917C30" w:rsidRPr="00D16C2B" w:rsidRDefault="00917C30" w:rsidP="000D0E8D">
            <w:pPr>
              <w:jc w:val="center"/>
              <w:rPr>
                <w:sz w:val="18"/>
                <w:szCs w:val="16"/>
                <w:lang w:eastAsia="en-IN"/>
              </w:rPr>
            </w:pPr>
            <w:r>
              <w:rPr>
                <w:sz w:val="18"/>
                <w:szCs w:val="18"/>
              </w:rPr>
              <w:t>556.17</w:t>
            </w:r>
          </w:p>
        </w:tc>
        <w:tc>
          <w:tcPr>
            <w:tcW w:w="1242" w:type="dxa"/>
            <w:shd w:val="clear" w:color="auto" w:fill="auto"/>
            <w:noWrap/>
            <w:vAlign w:val="bottom"/>
            <w:hideMark/>
          </w:tcPr>
          <w:p w14:paraId="406587C1" w14:textId="77777777" w:rsidR="00917C30" w:rsidRPr="00D16C2B" w:rsidRDefault="00917C30" w:rsidP="00F14985">
            <w:pPr>
              <w:jc w:val="center"/>
              <w:rPr>
                <w:sz w:val="18"/>
                <w:szCs w:val="16"/>
                <w:lang w:eastAsia="en-IN"/>
              </w:rPr>
            </w:pPr>
            <w:r>
              <w:rPr>
                <w:sz w:val="18"/>
                <w:szCs w:val="18"/>
              </w:rPr>
              <w:t>506.12</w:t>
            </w:r>
          </w:p>
        </w:tc>
        <w:tc>
          <w:tcPr>
            <w:tcW w:w="1242" w:type="dxa"/>
            <w:shd w:val="clear" w:color="auto" w:fill="auto"/>
            <w:noWrap/>
            <w:vAlign w:val="bottom"/>
            <w:hideMark/>
          </w:tcPr>
          <w:p w14:paraId="1215BDA0" w14:textId="77777777" w:rsidR="00917C30" w:rsidRPr="00D16C2B" w:rsidRDefault="00917C30" w:rsidP="005612A8">
            <w:pPr>
              <w:jc w:val="center"/>
              <w:rPr>
                <w:sz w:val="18"/>
                <w:szCs w:val="16"/>
                <w:lang w:eastAsia="en-IN"/>
              </w:rPr>
            </w:pPr>
            <w:r>
              <w:rPr>
                <w:sz w:val="18"/>
                <w:szCs w:val="18"/>
              </w:rPr>
              <w:t>50.05</w:t>
            </w:r>
          </w:p>
        </w:tc>
        <w:tc>
          <w:tcPr>
            <w:tcW w:w="1242" w:type="dxa"/>
            <w:shd w:val="clear" w:color="auto" w:fill="auto"/>
            <w:noWrap/>
            <w:vAlign w:val="bottom"/>
            <w:hideMark/>
          </w:tcPr>
          <w:p w14:paraId="671853AD" w14:textId="77777777" w:rsidR="00917C30" w:rsidRPr="00D16C2B" w:rsidRDefault="00917C30" w:rsidP="0064009B">
            <w:pPr>
              <w:jc w:val="center"/>
              <w:rPr>
                <w:sz w:val="18"/>
                <w:szCs w:val="16"/>
                <w:lang w:eastAsia="en-IN"/>
              </w:rPr>
            </w:pPr>
            <w:r>
              <w:rPr>
                <w:sz w:val="18"/>
                <w:szCs w:val="18"/>
              </w:rPr>
              <w:t>50.05</w:t>
            </w:r>
          </w:p>
        </w:tc>
        <w:tc>
          <w:tcPr>
            <w:tcW w:w="1242" w:type="dxa"/>
            <w:shd w:val="clear" w:color="auto" w:fill="auto"/>
            <w:noWrap/>
            <w:vAlign w:val="bottom"/>
            <w:hideMark/>
          </w:tcPr>
          <w:p w14:paraId="2B4F08AA" w14:textId="12CAB836" w:rsidR="00917C30" w:rsidRPr="00D16C2B" w:rsidRDefault="00917C30" w:rsidP="00581BD2">
            <w:pPr>
              <w:jc w:val="center"/>
              <w:rPr>
                <w:sz w:val="18"/>
                <w:szCs w:val="16"/>
                <w:lang w:eastAsia="en-IN"/>
              </w:rPr>
            </w:pPr>
            <w:r>
              <w:rPr>
                <w:sz w:val="18"/>
              </w:rPr>
              <w:t>9.</w:t>
            </w:r>
            <w:r w:rsidR="00EF0B20">
              <w:rPr>
                <w:sz w:val="18"/>
              </w:rPr>
              <w:t>8</w:t>
            </w:r>
            <w:r>
              <w:rPr>
                <w:sz w:val="18"/>
              </w:rPr>
              <w:t>9</w:t>
            </w:r>
          </w:p>
        </w:tc>
      </w:tr>
      <w:tr w:rsidR="00917C30" w:rsidRPr="005A497D" w14:paraId="36B6D8A7" w14:textId="77777777" w:rsidTr="009E55FB">
        <w:trPr>
          <w:trHeight w:val="283"/>
        </w:trPr>
        <w:tc>
          <w:tcPr>
            <w:tcW w:w="1996" w:type="dxa"/>
            <w:shd w:val="clear" w:color="auto" w:fill="auto"/>
            <w:noWrap/>
            <w:vAlign w:val="center"/>
            <w:hideMark/>
          </w:tcPr>
          <w:p w14:paraId="759D04B2" w14:textId="77777777" w:rsidR="00917C30" w:rsidRPr="005A497D" w:rsidRDefault="00917C30" w:rsidP="009E55FB">
            <w:pPr>
              <w:rPr>
                <w:sz w:val="16"/>
                <w:szCs w:val="16"/>
                <w:lang w:eastAsia="en-IN"/>
              </w:rPr>
            </w:pPr>
            <w:r w:rsidRPr="005A497D">
              <w:rPr>
                <w:sz w:val="16"/>
                <w:szCs w:val="16"/>
                <w:lang w:eastAsia="en-IN"/>
              </w:rPr>
              <w:t>Financial expenses</w:t>
            </w:r>
          </w:p>
        </w:tc>
        <w:tc>
          <w:tcPr>
            <w:tcW w:w="1241" w:type="dxa"/>
            <w:shd w:val="clear" w:color="auto" w:fill="auto"/>
            <w:noWrap/>
            <w:vAlign w:val="bottom"/>
            <w:hideMark/>
          </w:tcPr>
          <w:p w14:paraId="23CA2909" w14:textId="464B276B" w:rsidR="00917C30" w:rsidRPr="00D16C2B" w:rsidRDefault="00917C30" w:rsidP="00F14985">
            <w:pPr>
              <w:jc w:val="center"/>
              <w:rPr>
                <w:sz w:val="18"/>
                <w:szCs w:val="16"/>
                <w:lang w:eastAsia="en-IN"/>
              </w:rPr>
            </w:pPr>
            <w:r>
              <w:rPr>
                <w:sz w:val="18"/>
                <w:szCs w:val="18"/>
              </w:rPr>
              <w:t>307.83</w:t>
            </w:r>
          </w:p>
        </w:tc>
        <w:tc>
          <w:tcPr>
            <w:tcW w:w="1242" w:type="dxa"/>
            <w:shd w:val="clear" w:color="auto" w:fill="auto"/>
            <w:noWrap/>
            <w:vAlign w:val="bottom"/>
            <w:hideMark/>
          </w:tcPr>
          <w:p w14:paraId="1D95083A" w14:textId="4C3402D8" w:rsidR="00917C30" w:rsidRPr="00D16C2B" w:rsidRDefault="00917C30" w:rsidP="00F14985">
            <w:pPr>
              <w:jc w:val="center"/>
              <w:rPr>
                <w:sz w:val="18"/>
                <w:szCs w:val="16"/>
                <w:lang w:eastAsia="en-IN"/>
              </w:rPr>
            </w:pPr>
            <w:r>
              <w:rPr>
                <w:sz w:val="18"/>
                <w:szCs w:val="18"/>
              </w:rPr>
              <w:t>307.83</w:t>
            </w:r>
          </w:p>
        </w:tc>
        <w:tc>
          <w:tcPr>
            <w:tcW w:w="1242" w:type="dxa"/>
            <w:shd w:val="clear" w:color="auto" w:fill="auto"/>
            <w:noWrap/>
            <w:vAlign w:val="bottom"/>
            <w:hideMark/>
          </w:tcPr>
          <w:p w14:paraId="79695742" w14:textId="6F89C0A5" w:rsidR="00917C30" w:rsidRPr="00D16C2B" w:rsidRDefault="00917C30" w:rsidP="00F14985">
            <w:pPr>
              <w:jc w:val="center"/>
              <w:rPr>
                <w:sz w:val="18"/>
                <w:szCs w:val="16"/>
                <w:lang w:eastAsia="en-IN"/>
              </w:rPr>
            </w:pPr>
            <w:r>
              <w:rPr>
                <w:sz w:val="18"/>
                <w:szCs w:val="18"/>
              </w:rPr>
              <w:t>259.8</w:t>
            </w:r>
            <w:r w:rsidR="00F14985">
              <w:rPr>
                <w:sz w:val="18"/>
                <w:szCs w:val="18"/>
              </w:rPr>
              <w:t>2</w:t>
            </w:r>
          </w:p>
        </w:tc>
        <w:tc>
          <w:tcPr>
            <w:tcW w:w="1242" w:type="dxa"/>
            <w:shd w:val="clear" w:color="auto" w:fill="auto"/>
            <w:noWrap/>
            <w:vAlign w:val="bottom"/>
            <w:hideMark/>
          </w:tcPr>
          <w:p w14:paraId="59457609" w14:textId="77777777" w:rsidR="00917C30" w:rsidRPr="00D16C2B" w:rsidRDefault="00917C30" w:rsidP="005612A8">
            <w:pPr>
              <w:jc w:val="center"/>
              <w:rPr>
                <w:sz w:val="18"/>
                <w:szCs w:val="16"/>
                <w:lang w:eastAsia="en-IN"/>
              </w:rPr>
            </w:pPr>
            <w:r>
              <w:rPr>
                <w:sz w:val="18"/>
                <w:szCs w:val="18"/>
              </w:rPr>
              <w:t>48.01</w:t>
            </w:r>
          </w:p>
        </w:tc>
        <w:tc>
          <w:tcPr>
            <w:tcW w:w="1242" w:type="dxa"/>
            <w:shd w:val="clear" w:color="auto" w:fill="auto"/>
            <w:noWrap/>
            <w:vAlign w:val="bottom"/>
            <w:hideMark/>
          </w:tcPr>
          <w:p w14:paraId="58CE293C" w14:textId="77777777" w:rsidR="00917C30" w:rsidRPr="00D16C2B" w:rsidRDefault="00917C30" w:rsidP="0064009B">
            <w:pPr>
              <w:jc w:val="center"/>
              <w:rPr>
                <w:sz w:val="18"/>
                <w:szCs w:val="16"/>
                <w:lang w:eastAsia="en-IN"/>
              </w:rPr>
            </w:pPr>
            <w:r>
              <w:rPr>
                <w:sz w:val="18"/>
                <w:szCs w:val="18"/>
              </w:rPr>
              <w:t>48.01</w:t>
            </w:r>
          </w:p>
        </w:tc>
        <w:tc>
          <w:tcPr>
            <w:tcW w:w="1242" w:type="dxa"/>
            <w:shd w:val="clear" w:color="auto" w:fill="auto"/>
            <w:noWrap/>
            <w:vAlign w:val="bottom"/>
            <w:hideMark/>
          </w:tcPr>
          <w:p w14:paraId="7810C733" w14:textId="4A08BEF3" w:rsidR="00917C30" w:rsidRPr="00D16C2B" w:rsidRDefault="00917C30" w:rsidP="00581BD2">
            <w:pPr>
              <w:jc w:val="center"/>
              <w:rPr>
                <w:sz w:val="18"/>
                <w:szCs w:val="16"/>
                <w:lang w:eastAsia="en-IN"/>
              </w:rPr>
            </w:pPr>
            <w:r>
              <w:rPr>
                <w:sz w:val="18"/>
              </w:rPr>
              <w:t>18.</w:t>
            </w:r>
            <w:r w:rsidR="00EF0B20">
              <w:rPr>
                <w:sz w:val="18"/>
              </w:rPr>
              <w:t>48</w:t>
            </w:r>
          </w:p>
        </w:tc>
      </w:tr>
      <w:tr w:rsidR="00917C30" w:rsidRPr="005A497D" w14:paraId="29AB8439" w14:textId="77777777" w:rsidTr="009E55FB">
        <w:trPr>
          <w:trHeight w:val="283"/>
        </w:trPr>
        <w:tc>
          <w:tcPr>
            <w:tcW w:w="1996" w:type="dxa"/>
            <w:shd w:val="clear" w:color="auto" w:fill="auto"/>
            <w:noWrap/>
            <w:vAlign w:val="center"/>
            <w:hideMark/>
          </w:tcPr>
          <w:p w14:paraId="1FA25284" w14:textId="77777777" w:rsidR="00917C30" w:rsidRPr="005A497D" w:rsidRDefault="00917C30" w:rsidP="009E55FB">
            <w:pPr>
              <w:rPr>
                <w:b/>
                <w:bCs/>
                <w:sz w:val="16"/>
                <w:szCs w:val="16"/>
                <w:lang w:eastAsia="en-IN"/>
              </w:rPr>
            </w:pPr>
            <w:r w:rsidRPr="005A497D">
              <w:rPr>
                <w:b/>
                <w:bCs/>
                <w:sz w:val="16"/>
                <w:szCs w:val="16"/>
                <w:lang w:eastAsia="en-IN"/>
              </w:rPr>
              <w:t>Total expenditure</w:t>
            </w:r>
          </w:p>
        </w:tc>
        <w:tc>
          <w:tcPr>
            <w:tcW w:w="1241" w:type="dxa"/>
            <w:shd w:val="clear" w:color="auto" w:fill="auto"/>
            <w:noWrap/>
            <w:vAlign w:val="bottom"/>
            <w:hideMark/>
          </w:tcPr>
          <w:p w14:paraId="31444F3F" w14:textId="0A5A1DA1" w:rsidR="00917C30" w:rsidRPr="00D16C2B" w:rsidRDefault="00F14985" w:rsidP="009E55FB">
            <w:pPr>
              <w:jc w:val="center"/>
              <w:rPr>
                <w:b/>
                <w:color w:val="000000"/>
                <w:sz w:val="18"/>
                <w:szCs w:val="18"/>
                <w:lang w:eastAsia="en-IN"/>
              </w:rPr>
            </w:pPr>
            <w:r>
              <w:rPr>
                <w:b/>
                <w:bCs/>
                <w:sz w:val="18"/>
                <w:szCs w:val="18"/>
              </w:rPr>
              <w:t>2,121.82</w:t>
            </w:r>
            <w:r w:rsidR="00917C30">
              <w:rPr>
                <w:b/>
                <w:bCs/>
                <w:sz w:val="18"/>
                <w:szCs w:val="18"/>
              </w:rPr>
              <w:t xml:space="preserve"> </w:t>
            </w:r>
          </w:p>
        </w:tc>
        <w:tc>
          <w:tcPr>
            <w:tcW w:w="1242" w:type="dxa"/>
            <w:shd w:val="clear" w:color="auto" w:fill="auto"/>
            <w:noWrap/>
            <w:vAlign w:val="bottom"/>
            <w:hideMark/>
          </w:tcPr>
          <w:p w14:paraId="24A0EDB1" w14:textId="3AC35941" w:rsidR="00917C30" w:rsidRPr="00D16C2B" w:rsidRDefault="00F14985" w:rsidP="009E55FB">
            <w:pPr>
              <w:jc w:val="center"/>
              <w:rPr>
                <w:b/>
                <w:color w:val="000000"/>
                <w:sz w:val="18"/>
                <w:szCs w:val="18"/>
                <w:lang w:eastAsia="en-IN"/>
              </w:rPr>
            </w:pPr>
            <w:r>
              <w:rPr>
                <w:b/>
                <w:bCs/>
                <w:sz w:val="18"/>
                <w:szCs w:val="18"/>
              </w:rPr>
              <w:t>1,790.88</w:t>
            </w:r>
            <w:r w:rsidR="00917C30">
              <w:rPr>
                <w:b/>
                <w:bCs/>
                <w:sz w:val="18"/>
                <w:szCs w:val="18"/>
              </w:rPr>
              <w:t xml:space="preserve"> </w:t>
            </w:r>
          </w:p>
        </w:tc>
        <w:tc>
          <w:tcPr>
            <w:tcW w:w="1242" w:type="dxa"/>
            <w:shd w:val="clear" w:color="auto" w:fill="auto"/>
            <w:noWrap/>
            <w:vAlign w:val="bottom"/>
            <w:hideMark/>
          </w:tcPr>
          <w:p w14:paraId="4CCB75EB" w14:textId="182AE51A" w:rsidR="00917C30" w:rsidRPr="00D16C2B" w:rsidRDefault="00F14985" w:rsidP="009E55FB">
            <w:pPr>
              <w:jc w:val="center"/>
              <w:rPr>
                <w:b/>
                <w:sz w:val="18"/>
                <w:szCs w:val="18"/>
                <w:lang w:eastAsia="en-IN"/>
              </w:rPr>
            </w:pPr>
            <w:r>
              <w:rPr>
                <w:b/>
                <w:bCs/>
                <w:sz w:val="18"/>
                <w:szCs w:val="18"/>
              </w:rPr>
              <w:t>1,790.88</w:t>
            </w:r>
            <w:r w:rsidR="00917C30">
              <w:rPr>
                <w:b/>
                <w:bCs/>
                <w:sz w:val="18"/>
                <w:szCs w:val="18"/>
              </w:rPr>
              <w:t xml:space="preserve"> </w:t>
            </w:r>
          </w:p>
        </w:tc>
        <w:tc>
          <w:tcPr>
            <w:tcW w:w="1242" w:type="dxa"/>
            <w:shd w:val="clear" w:color="auto" w:fill="auto"/>
            <w:noWrap/>
            <w:vAlign w:val="bottom"/>
            <w:hideMark/>
          </w:tcPr>
          <w:p w14:paraId="34779150" w14:textId="32D98BC1" w:rsidR="00917C30" w:rsidRPr="00D16C2B" w:rsidRDefault="00EF0B20" w:rsidP="009E55FB">
            <w:pPr>
              <w:jc w:val="center"/>
              <w:rPr>
                <w:b/>
                <w:sz w:val="18"/>
                <w:szCs w:val="18"/>
                <w:lang w:eastAsia="en-IN"/>
              </w:rPr>
            </w:pPr>
            <w:r>
              <w:rPr>
                <w:b/>
                <w:bCs/>
                <w:sz w:val="18"/>
                <w:szCs w:val="18"/>
              </w:rPr>
              <w:t>-</w:t>
            </w:r>
          </w:p>
        </w:tc>
        <w:tc>
          <w:tcPr>
            <w:tcW w:w="1242" w:type="dxa"/>
            <w:shd w:val="clear" w:color="auto" w:fill="auto"/>
            <w:noWrap/>
            <w:vAlign w:val="bottom"/>
            <w:hideMark/>
          </w:tcPr>
          <w:p w14:paraId="6A0E74D7" w14:textId="10CFE682" w:rsidR="00917C30" w:rsidRPr="00D16C2B" w:rsidRDefault="00EF0B20" w:rsidP="009E55FB">
            <w:pPr>
              <w:jc w:val="center"/>
              <w:rPr>
                <w:b/>
                <w:sz w:val="18"/>
                <w:szCs w:val="18"/>
                <w:lang w:eastAsia="en-IN"/>
              </w:rPr>
            </w:pPr>
            <w:r>
              <w:rPr>
                <w:b/>
                <w:bCs/>
                <w:sz w:val="18"/>
                <w:szCs w:val="18"/>
              </w:rPr>
              <w:t>252.98</w:t>
            </w:r>
            <w:r w:rsidR="00917C30">
              <w:rPr>
                <w:b/>
                <w:bCs/>
                <w:sz w:val="18"/>
                <w:szCs w:val="18"/>
              </w:rPr>
              <w:t xml:space="preserve"> </w:t>
            </w:r>
          </w:p>
        </w:tc>
        <w:tc>
          <w:tcPr>
            <w:tcW w:w="1242" w:type="dxa"/>
            <w:shd w:val="clear" w:color="auto" w:fill="auto"/>
            <w:noWrap/>
            <w:vAlign w:val="center"/>
            <w:hideMark/>
          </w:tcPr>
          <w:p w14:paraId="47A54096" w14:textId="77777777" w:rsidR="00917C30" w:rsidRPr="005A497D" w:rsidRDefault="00917C30" w:rsidP="009E55FB">
            <w:pPr>
              <w:jc w:val="center"/>
              <w:rPr>
                <w:b/>
                <w:sz w:val="16"/>
                <w:szCs w:val="16"/>
                <w:lang w:eastAsia="en-IN"/>
              </w:rPr>
            </w:pPr>
          </w:p>
        </w:tc>
      </w:tr>
      <w:tr w:rsidR="00917C30" w:rsidRPr="005A497D" w14:paraId="2B612DAB" w14:textId="77777777" w:rsidTr="009E55FB">
        <w:trPr>
          <w:trHeight w:val="283"/>
        </w:trPr>
        <w:tc>
          <w:tcPr>
            <w:tcW w:w="1996" w:type="dxa"/>
            <w:shd w:val="clear" w:color="auto" w:fill="auto"/>
            <w:noWrap/>
            <w:vAlign w:val="center"/>
            <w:hideMark/>
          </w:tcPr>
          <w:p w14:paraId="33FC4E5B" w14:textId="77777777" w:rsidR="00917C30" w:rsidRPr="005A497D" w:rsidRDefault="00917C30" w:rsidP="009E55FB">
            <w:pPr>
              <w:rPr>
                <w:b/>
                <w:bCs/>
                <w:i/>
                <w:sz w:val="16"/>
                <w:szCs w:val="16"/>
                <w:lang w:eastAsia="en-IN"/>
              </w:rPr>
            </w:pPr>
            <w:r w:rsidRPr="005A497D">
              <w:rPr>
                <w:b/>
                <w:i/>
                <w:sz w:val="16"/>
                <w:szCs w:val="16"/>
                <w:lang w:eastAsia="en-IN"/>
              </w:rPr>
              <w:t>Composition Variance</w:t>
            </w:r>
          </w:p>
        </w:tc>
        <w:tc>
          <w:tcPr>
            <w:tcW w:w="7451" w:type="dxa"/>
            <w:gridSpan w:val="6"/>
            <w:shd w:val="clear" w:color="auto" w:fill="auto"/>
            <w:noWrap/>
            <w:vAlign w:val="center"/>
            <w:hideMark/>
          </w:tcPr>
          <w:p w14:paraId="7156D61E" w14:textId="77777777" w:rsidR="00917C30" w:rsidRPr="00D16C2B" w:rsidRDefault="00917C30" w:rsidP="009E55FB">
            <w:pPr>
              <w:jc w:val="center"/>
              <w:rPr>
                <w:b/>
                <w:i/>
                <w:sz w:val="18"/>
                <w:szCs w:val="16"/>
                <w:lang w:eastAsia="en-IN"/>
              </w:rPr>
            </w:pPr>
            <w:r>
              <w:rPr>
                <w:b/>
                <w:i/>
                <w:sz w:val="18"/>
                <w:szCs w:val="20"/>
              </w:rPr>
              <w:t>14.13%</w:t>
            </w:r>
          </w:p>
        </w:tc>
      </w:tr>
    </w:tbl>
    <w:p w14:paraId="255A5F51" w14:textId="77777777" w:rsidR="007D69FC" w:rsidRPr="005A497D" w:rsidRDefault="007D69FC" w:rsidP="009A012D">
      <w:pPr>
        <w:autoSpaceDE w:val="0"/>
        <w:autoSpaceDN w:val="0"/>
        <w:adjustRightInd w:val="0"/>
        <w:contextualSpacing/>
        <w:jc w:val="both"/>
      </w:pPr>
    </w:p>
    <w:p w14:paraId="17076299" w14:textId="67F313A7" w:rsidR="000907A7" w:rsidRDefault="000907A7" w:rsidP="000907A7">
      <w:pPr>
        <w:pStyle w:val="PEFATable"/>
        <w:spacing w:after="40"/>
        <w:jc w:val="both"/>
        <w:rPr>
          <w:sz w:val="24"/>
          <w:szCs w:val="24"/>
        </w:rPr>
      </w:pPr>
      <w:bookmarkStart w:id="442" w:name="_Toc454889272"/>
      <w:r w:rsidRPr="005A497D">
        <w:rPr>
          <w:sz w:val="24"/>
          <w:szCs w:val="24"/>
        </w:rPr>
        <w:t xml:space="preserve">Table </w:t>
      </w:r>
      <w:r w:rsidR="009A6E2C">
        <w:rPr>
          <w:sz w:val="24"/>
          <w:szCs w:val="24"/>
        </w:rPr>
        <w:t>A</w:t>
      </w:r>
      <w:r w:rsidR="0027211D">
        <w:rPr>
          <w:sz w:val="24"/>
          <w:szCs w:val="24"/>
        </w:rPr>
        <w:t>4</w:t>
      </w:r>
      <w:r w:rsidRPr="005A497D">
        <w:rPr>
          <w:sz w:val="24"/>
          <w:szCs w:val="24"/>
        </w:rPr>
        <w:t>.6: Data for PI-2</w:t>
      </w:r>
      <w:r w:rsidR="005A687A">
        <w:rPr>
          <w:sz w:val="24"/>
          <w:szCs w:val="24"/>
        </w:rPr>
        <w:t>.2</w:t>
      </w:r>
      <w:r w:rsidRPr="005A497D">
        <w:rPr>
          <w:sz w:val="24"/>
          <w:szCs w:val="24"/>
        </w:rPr>
        <w:t>, 2013</w:t>
      </w:r>
      <w:bookmarkEnd w:id="442"/>
    </w:p>
    <w:p w14:paraId="0AA55DF4" w14:textId="77777777" w:rsidR="009C0F17" w:rsidRPr="005A497D" w:rsidRDefault="009C0F17" w:rsidP="000907A7">
      <w:pPr>
        <w:pStyle w:val="PEFATable"/>
        <w:spacing w:after="40"/>
        <w:jc w:val="both"/>
      </w:pPr>
    </w:p>
    <w:tbl>
      <w:tblPr>
        <w:tblW w:w="9447" w:type="dxa"/>
        <w:tblInd w:w="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96"/>
        <w:gridCol w:w="1241"/>
        <w:gridCol w:w="1242"/>
        <w:gridCol w:w="1242"/>
        <w:gridCol w:w="1242"/>
        <w:gridCol w:w="1242"/>
        <w:gridCol w:w="1242"/>
      </w:tblGrid>
      <w:tr w:rsidR="00917C30" w:rsidRPr="003567C3" w14:paraId="37794B16" w14:textId="77777777" w:rsidTr="009E55FB">
        <w:trPr>
          <w:trHeight w:val="144"/>
          <w:tblHeader/>
        </w:trPr>
        <w:tc>
          <w:tcPr>
            <w:tcW w:w="1996" w:type="dxa"/>
            <w:vMerge w:val="restart"/>
            <w:tcBorders>
              <w:top w:val="double" w:sz="4" w:space="0" w:color="auto"/>
            </w:tcBorders>
            <w:shd w:val="clear" w:color="auto" w:fill="D9D9D9" w:themeFill="background1" w:themeFillShade="D9"/>
            <w:noWrap/>
            <w:vAlign w:val="center"/>
          </w:tcPr>
          <w:p w14:paraId="5270952D" w14:textId="77777777" w:rsidR="00917C30" w:rsidRPr="005A687A" w:rsidRDefault="00917C30" w:rsidP="009E55FB">
            <w:pPr>
              <w:jc w:val="center"/>
              <w:rPr>
                <w:b/>
                <w:sz w:val="16"/>
                <w:szCs w:val="16"/>
                <w:lang w:eastAsia="en-IN"/>
              </w:rPr>
            </w:pPr>
            <w:r w:rsidRPr="005A687A">
              <w:rPr>
                <w:b/>
                <w:sz w:val="16"/>
                <w:szCs w:val="16"/>
                <w:lang w:eastAsia="en-IN"/>
              </w:rPr>
              <w:t>Economic head</w:t>
            </w:r>
          </w:p>
        </w:tc>
        <w:tc>
          <w:tcPr>
            <w:tcW w:w="6209" w:type="dxa"/>
            <w:gridSpan w:val="5"/>
            <w:tcBorders>
              <w:top w:val="double" w:sz="4" w:space="0" w:color="auto"/>
              <w:bottom w:val="double" w:sz="4" w:space="0" w:color="auto"/>
            </w:tcBorders>
            <w:shd w:val="clear" w:color="auto" w:fill="D9D9D9" w:themeFill="background1" w:themeFillShade="D9"/>
            <w:noWrap/>
            <w:vAlign w:val="center"/>
          </w:tcPr>
          <w:p w14:paraId="4417C5DA" w14:textId="77777777" w:rsidR="00917C30" w:rsidRPr="003567C3" w:rsidRDefault="00917C30" w:rsidP="009E55FB">
            <w:pPr>
              <w:jc w:val="center"/>
              <w:rPr>
                <w:b/>
                <w:i/>
                <w:sz w:val="16"/>
                <w:szCs w:val="16"/>
                <w:lang w:eastAsia="en-IN"/>
              </w:rPr>
            </w:pPr>
            <w:r w:rsidRPr="009C0F17">
              <w:rPr>
                <w:b/>
                <w:i/>
                <w:sz w:val="16"/>
                <w:szCs w:val="16"/>
                <w:lang w:eastAsia="en-IN"/>
              </w:rPr>
              <w:t xml:space="preserve">(PhP </w:t>
            </w:r>
            <w:r>
              <w:rPr>
                <w:b/>
                <w:i/>
                <w:sz w:val="16"/>
                <w:szCs w:val="16"/>
                <w:lang w:eastAsia="en-IN"/>
              </w:rPr>
              <w:t>billions</w:t>
            </w:r>
            <w:r w:rsidRPr="009C0F17">
              <w:rPr>
                <w:b/>
                <w:i/>
                <w:sz w:val="16"/>
                <w:szCs w:val="16"/>
                <w:lang w:eastAsia="en-IN"/>
              </w:rPr>
              <w:t>)</w:t>
            </w:r>
          </w:p>
        </w:tc>
        <w:tc>
          <w:tcPr>
            <w:tcW w:w="1242" w:type="dxa"/>
            <w:vMerge w:val="restart"/>
            <w:tcBorders>
              <w:top w:val="double" w:sz="4" w:space="0" w:color="auto"/>
            </w:tcBorders>
            <w:shd w:val="clear" w:color="auto" w:fill="D9D9D9" w:themeFill="background1" w:themeFillShade="D9"/>
            <w:noWrap/>
            <w:vAlign w:val="center"/>
          </w:tcPr>
          <w:p w14:paraId="5F0E0240" w14:textId="77777777" w:rsidR="00917C30" w:rsidRPr="005A687A" w:rsidRDefault="00917C30" w:rsidP="009E55FB">
            <w:pPr>
              <w:jc w:val="center"/>
              <w:rPr>
                <w:b/>
                <w:sz w:val="16"/>
                <w:szCs w:val="16"/>
                <w:lang w:eastAsia="en-IN"/>
              </w:rPr>
            </w:pPr>
            <w:r w:rsidRPr="005A687A">
              <w:rPr>
                <w:b/>
                <w:sz w:val="16"/>
                <w:szCs w:val="16"/>
                <w:lang w:eastAsia="en-IN"/>
              </w:rPr>
              <w:t>%</w:t>
            </w:r>
          </w:p>
        </w:tc>
      </w:tr>
      <w:tr w:rsidR="00917C30" w:rsidRPr="003567C3" w14:paraId="748C918F" w14:textId="77777777" w:rsidTr="009E55FB">
        <w:trPr>
          <w:trHeight w:val="454"/>
          <w:tblHeader/>
        </w:trPr>
        <w:tc>
          <w:tcPr>
            <w:tcW w:w="1996" w:type="dxa"/>
            <w:vMerge/>
            <w:tcBorders>
              <w:bottom w:val="double" w:sz="4" w:space="0" w:color="auto"/>
            </w:tcBorders>
            <w:shd w:val="clear" w:color="auto" w:fill="D9D9D9" w:themeFill="background1" w:themeFillShade="D9"/>
            <w:noWrap/>
            <w:vAlign w:val="center"/>
            <w:hideMark/>
          </w:tcPr>
          <w:p w14:paraId="43424BCE" w14:textId="77777777" w:rsidR="00917C30" w:rsidRPr="003567C3" w:rsidRDefault="00917C30" w:rsidP="009E55FB">
            <w:pPr>
              <w:jc w:val="center"/>
              <w:rPr>
                <w:b/>
                <w:i/>
                <w:sz w:val="16"/>
                <w:szCs w:val="16"/>
                <w:lang w:eastAsia="en-IN"/>
              </w:rPr>
            </w:pPr>
          </w:p>
        </w:tc>
        <w:tc>
          <w:tcPr>
            <w:tcW w:w="1241" w:type="dxa"/>
            <w:tcBorders>
              <w:top w:val="double" w:sz="4" w:space="0" w:color="auto"/>
              <w:bottom w:val="double" w:sz="4" w:space="0" w:color="auto"/>
            </w:tcBorders>
            <w:shd w:val="clear" w:color="auto" w:fill="D9D9D9" w:themeFill="background1" w:themeFillShade="D9"/>
            <w:noWrap/>
            <w:vAlign w:val="center"/>
            <w:hideMark/>
          </w:tcPr>
          <w:p w14:paraId="6162FC3E" w14:textId="77777777" w:rsidR="00917C30" w:rsidRPr="005A687A" w:rsidRDefault="00917C30" w:rsidP="009E55FB">
            <w:pPr>
              <w:jc w:val="center"/>
              <w:rPr>
                <w:b/>
                <w:bCs/>
                <w:sz w:val="16"/>
                <w:szCs w:val="16"/>
                <w:lang w:eastAsia="en-IN"/>
              </w:rPr>
            </w:pPr>
            <w:r w:rsidRPr="005A687A">
              <w:rPr>
                <w:b/>
                <w:bCs/>
                <w:sz w:val="16"/>
                <w:szCs w:val="16"/>
                <w:lang w:eastAsia="en-IN"/>
              </w:rPr>
              <w:t>Budget</w:t>
            </w:r>
          </w:p>
        </w:tc>
        <w:tc>
          <w:tcPr>
            <w:tcW w:w="1242" w:type="dxa"/>
            <w:tcBorders>
              <w:top w:val="double" w:sz="4" w:space="0" w:color="auto"/>
              <w:bottom w:val="double" w:sz="4" w:space="0" w:color="auto"/>
            </w:tcBorders>
            <w:shd w:val="clear" w:color="auto" w:fill="D9D9D9" w:themeFill="background1" w:themeFillShade="D9"/>
            <w:noWrap/>
            <w:vAlign w:val="center"/>
            <w:hideMark/>
          </w:tcPr>
          <w:p w14:paraId="2D73D1A2" w14:textId="77777777" w:rsidR="00917C30" w:rsidRPr="005A687A" w:rsidRDefault="00917C30" w:rsidP="009E55FB">
            <w:pPr>
              <w:jc w:val="center"/>
              <w:rPr>
                <w:b/>
                <w:bCs/>
                <w:sz w:val="16"/>
                <w:szCs w:val="16"/>
                <w:lang w:eastAsia="en-IN"/>
              </w:rPr>
            </w:pPr>
            <w:r w:rsidRPr="005A687A">
              <w:rPr>
                <w:b/>
                <w:bCs/>
                <w:sz w:val="16"/>
                <w:szCs w:val="16"/>
                <w:lang w:eastAsia="en-IN"/>
              </w:rPr>
              <w:t>Actual</w:t>
            </w:r>
          </w:p>
        </w:tc>
        <w:tc>
          <w:tcPr>
            <w:tcW w:w="1242" w:type="dxa"/>
            <w:tcBorders>
              <w:top w:val="double" w:sz="4" w:space="0" w:color="auto"/>
              <w:bottom w:val="double" w:sz="4" w:space="0" w:color="auto"/>
            </w:tcBorders>
            <w:shd w:val="clear" w:color="auto" w:fill="D9D9D9" w:themeFill="background1" w:themeFillShade="D9"/>
            <w:vAlign w:val="center"/>
            <w:hideMark/>
          </w:tcPr>
          <w:p w14:paraId="4F3DF809" w14:textId="77777777" w:rsidR="00917C30" w:rsidRPr="005A687A" w:rsidRDefault="00917C30" w:rsidP="009E55FB">
            <w:pPr>
              <w:jc w:val="center"/>
              <w:rPr>
                <w:b/>
                <w:sz w:val="16"/>
                <w:szCs w:val="16"/>
                <w:lang w:eastAsia="en-IN"/>
              </w:rPr>
            </w:pPr>
            <w:r w:rsidRPr="005A687A">
              <w:rPr>
                <w:b/>
                <w:sz w:val="16"/>
                <w:szCs w:val="16"/>
                <w:lang w:eastAsia="en-IN"/>
              </w:rPr>
              <w:t>Adjusted budget</w:t>
            </w:r>
          </w:p>
        </w:tc>
        <w:tc>
          <w:tcPr>
            <w:tcW w:w="1242" w:type="dxa"/>
            <w:tcBorders>
              <w:top w:val="double" w:sz="4" w:space="0" w:color="auto"/>
              <w:bottom w:val="double" w:sz="4" w:space="0" w:color="auto"/>
            </w:tcBorders>
            <w:shd w:val="clear" w:color="auto" w:fill="D9D9D9" w:themeFill="background1" w:themeFillShade="D9"/>
            <w:vAlign w:val="center"/>
            <w:hideMark/>
          </w:tcPr>
          <w:p w14:paraId="1761565A" w14:textId="77777777" w:rsidR="00917C30" w:rsidRPr="005A687A" w:rsidRDefault="00917C30" w:rsidP="009E55FB">
            <w:pPr>
              <w:jc w:val="center"/>
              <w:rPr>
                <w:b/>
                <w:sz w:val="16"/>
                <w:szCs w:val="16"/>
                <w:lang w:eastAsia="en-IN"/>
              </w:rPr>
            </w:pPr>
            <w:r w:rsidRPr="005A687A">
              <w:rPr>
                <w:b/>
                <w:sz w:val="16"/>
                <w:szCs w:val="16"/>
                <w:lang w:eastAsia="en-IN"/>
              </w:rPr>
              <w:t>Deviation</w:t>
            </w:r>
          </w:p>
        </w:tc>
        <w:tc>
          <w:tcPr>
            <w:tcW w:w="1242" w:type="dxa"/>
            <w:tcBorders>
              <w:top w:val="double" w:sz="4" w:space="0" w:color="auto"/>
              <w:bottom w:val="double" w:sz="4" w:space="0" w:color="auto"/>
            </w:tcBorders>
            <w:shd w:val="clear" w:color="auto" w:fill="D9D9D9" w:themeFill="background1" w:themeFillShade="D9"/>
            <w:vAlign w:val="center"/>
            <w:hideMark/>
          </w:tcPr>
          <w:p w14:paraId="0C3A6F73" w14:textId="77777777" w:rsidR="00917C30" w:rsidRPr="005A687A" w:rsidRDefault="00917C30" w:rsidP="009E55FB">
            <w:pPr>
              <w:jc w:val="center"/>
              <w:rPr>
                <w:b/>
                <w:sz w:val="16"/>
                <w:szCs w:val="16"/>
                <w:lang w:eastAsia="en-IN"/>
              </w:rPr>
            </w:pPr>
            <w:r w:rsidRPr="005A687A">
              <w:rPr>
                <w:b/>
                <w:sz w:val="16"/>
                <w:szCs w:val="16"/>
                <w:lang w:eastAsia="en-IN"/>
              </w:rPr>
              <w:t>Absolute deviation</w:t>
            </w:r>
          </w:p>
        </w:tc>
        <w:tc>
          <w:tcPr>
            <w:tcW w:w="1242" w:type="dxa"/>
            <w:vMerge/>
            <w:tcBorders>
              <w:bottom w:val="double" w:sz="4" w:space="0" w:color="auto"/>
            </w:tcBorders>
            <w:shd w:val="clear" w:color="auto" w:fill="D9D9D9" w:themeFill="background1" w:themeFillShade="D9"/>
            <w:noWrap/>
            <w:vAlign w:val="center"/>
            <w:hideMark/>
          </w:tcPr>
          <w:p w14:paraId="38D23D75" w14:textId="77777777" w:rsidR="00917C30" w:rsidRPr="003567C3" w:rsidRDefault="00917C30" w:rsidP="009E55FB">
            <w:pPr>
              <w:jc w:val="center"/>
              <w:rPr>
                <w:b/>
                <w:i/>
                <w:sz w:val="16"/>
                <w:szCs w:val="16"/>
                <w:lang w:eastAsia="en-IN"/>
              </w:rPr>
            </w:pPr>
          </w:p>
        </w:tc>
      </w:tr>
      <w:tr w:rsidR="00917C30" w:rsidRPr="005A497D" w14:paraId="4E183858" w14:textId="77777777" w:rsidTr="009E55FB">
        <w:trPr>
          <w:trHeight w:val="283"/>
        </w:trPr>
        <w:tc>
          <w:tcPr>
            <w:tcW w:w="1996" w:type="dxa"/>
            <w:tcBorders>
              <w:top w:val="double" w:sz="4" w:space="0" w:color="auto"/>
            </w:tcBorders>
            <w:shd w:val="clear" w:color="auto" w:fill="auto"/>
            <w:noWrap/>
            <w:vAlign w:val="center"/>
            <w:hideMark/>
          </w:tcPr>
          <w:p w14:paraId="4FB915E8" w14:textId="77777777" w:rsidR="00917C30" w:rsidRPr="005A497D" w:rsidRDefault="00917C30" w:rsidP="009E55FB">
            <w:pPr>
              <w:rPr>
                <w:sz w:val="16"/>
                <w:szCs w:val="16"/>
                <w:lang w:eastAsia="en-IN"/>
              </w:rPr>
            </w:pPr>
            <w:r>
              <w:rPr>
                <w:sz w:val="16"/>
                <w:szCs w:val="16"/>
                <w:lang w:eastAsia="en-IN"/>
              </w:rPr>
              <w:t>Maintenance and other operating expenses</w:t>
            </w:r>
          </w:p>
        </w:tc>
        <w:tc>
          <w:tcPr>
            <w:tcW w:w="1241" w:type="dxa"/>
            <w:tcBorders>
              <w:top w:val="double" w:sz="4" w:space="0" w:color="auto"/>
            </w:tcBorders>
            <w:shd w:val="clear" w:color="auto" w:fill="auto"/>
            <w:noWrap/>
            <w:vAlign w:val="bottom"/>
            <w:hideMark/>
          </w:tcPr>
          <w:p w14:paraId="0A8A41F9" w14:textId="77777777" w:rsidR="00917C30" w:rsidRPr="00D16C2B" w:rsidRDefault="00917C30" w:rsidP="009E55FB">
            <w:pPr>
              <w:jc w:val="center"/>
              <w:rPr>
                <w:sz w:val="18"/>
                <w:szCs w:val="16"/>
              </w:rPr>
            </w:pPr>
            <w:r>
              <w:rPr>
                <w:sz w:val="18"/>
                <w:szCs w:val="18"/>
              </w:rPr>
              <w:t xml:space="preserve">             813.35 </w:t>
            </w:r>
          </w:p>
        </w:tc>
        <w:tc>
          <w:tcPr>
            <w:tcW w:w="1242" w:type="dxa"/>
            <w:tcBorders>
              <w:top w:val="double" w:sz="4" w:space="0" w:color="auto"/>
            </w:tcBorders>
            <w:shd w:val="clear" w:color="auto" w:fill="auto"/>
            <w:noWrap/>
            <w:vAlign w:val="bottom"/>
            <w:hideMark/>
          </w:tcPr>
          <w:p w14:paraId="75119504" w14:textId="77777777" w:rsidR="00917C30" w:rsidRPr="00D16C2B" w:rsidRDefault="00917C30" w:rsidP="009E55FB">
            <w:pPr>
              <w:jc w:val="center"/>
              <w:rPr>
                <w:sz w:val="18"/>
                <w:szCs w:val="16"/>
              </w:rPr>
            </w:pPr>
            <w:r>
              <w:rPr>
                <w:sz w:val="18"/>
                <w:szCs w:val="18"/>
              </w:rPr>
              <w:t xml:space="preserve">             703.11 </w:t>
            </w:r>
          </w:p>
        </w:tc>
        <w:tc>
          <w:tcPr>
            <w:tcW w:w="1242" w:type="dxa"/>
            <w:tcBorders>
              <w:top w:val="double" w:sz="4" w:space="0" w:color="auto"/>
            </w:tcBorders>
            <w:shd w:val="clear" w:color="auto" w:fill="auto"/>
            <w:noWrap/>
            <w:vAlign w:val="bottom"/>
            <w:hideMark/>
          </w:tcPr>
          <w:p w14:paraId="3E8EB70F" w14:textId="77777777" w:rsidR="00917C30" w:rsidRPr="00D16C2B" w:rsidRDefault="00917C30" w:rsidP="009E55FB">
            <w:pPr>
              <w:jc w:val="center"/>
              <w:rPr>
                <w:sz w:val="18"/>
                <w:szCs w:val="16"/>
              </w:rPr>
            </w:pPr>
            <w:r>
              <w:rPr>
                <w:sz w:val="18"/>
                <w:szCs w:val="18"/>
              </w:rPr>
              <w:t xml:space="preserve">             685.48 </w:t>
            </w:r>
          </w:p>
        </w:tc>
        <w:tc>
          <w:tcPr>
            <w:tcW w:w="1242" w:type="dxa"/>
            <w:tcBorders>
              <w:top w:val="double" w:sz="4" w:space="0" w:color="auto"/>
            </w:tcBorders>
            <w:shd w:val="clear" w:color="auto" w:fill="auto"/>
            <w:noWrap/>
            <w:vAlign w:val="bottom"/>
            <w:hideMark/>
          </w:tcPr>
          <w:p w14:paraId="041196FD" w14:textId="17B05F16" w:rsidR="00917C30" w:rsidRPr="00D16C2B" w:rsidRDefault="00917C30" w:rsidP="009E55FB">
            <w:pPr>
              <w:jc w:val="center"/>
              <w:rPr>
                <w:sz w:val="18"/>
                <w:szCs w:val="16"/>
              </w:rPr>
            </w:pPr>
            <w:r>
              <w:rPr>
                <w:sz w:val="18"/>
                <w:szCs w:val="18"/>
              </w:rPr>
              <w:t xml:space="preserve">17.63 </w:t>
            </w:r>
          </w:p>
        </w:tc>
        <w:tc>
          <w:tcPr>
            <w:tcW w:w="1242" w:type="dxa"/>
            <w:tcBorders>
              <w:top w:val="double" w:sz="4" w:space="0" w:color="auto"/>
            </w:tcBorders>
            <w:shd w:val="clear" w:color="auto" w:fill="auto"/>
            <w:noWrap/>
            <w:vAlign w:val="bottom"/>
            <w:hideMark/>
          </w:tcPr>
          <w:p w14:paraId="31DA27E6" w14:textId="6D4B55B2" w:rsidR="00917C30" w:rsidRPr="00D16C2B" w:rsidRDefault="00917C30" w:rsidP="009E55FB">
            <w:pPr>
              <w:jc w:val="center"/>
              <w:rPr>
                <w:sz w:val="18"/>
                <w:szCs w:val="16"/>
              </w:rPr>
            </w:pPr>
            <w:r>
              <w:rPr>
                <w:sz w:val="18"/>
                <w:szCs w:val="18"/>
              </w:rPr>
              <w:t xml:space="preserve">17.63 </w:t>
            </w:r>
          </w:p>
        </w:tc>
        <w:tc>
          <w:tcPr>
            <w:tcW w:w="1242" w:type="dxa"/>
            <w:tcBorders>
              <w:top w:val="double" w:sz="4" w:space="0" w:color="auto"/>
            </w:tcBorders>
            <w:shd w:val="clear" w:color="auto" w:fill="auto"/>
            <w:noWrap/>
            <w:vAlign w:val="bottom"/>
            <w:hideMark/>
          </w:tcPr>
          <w:p w14:paraId="1939810B" w14:textId="4E4DE6CC" w:rsidR="00917C30" w:rsidRPr="00D16C2B" w:rsidRDefault="00336D5B" w:rsidP="009E55FB">
            <w:pPr>
              <w:jc w:val="center"/>
              <w:rPr>
                <w:sz w:val="18"/>
                <w:szCs w:val="16"/>
              </w:rPr>
            </w:pPr>
            <w:r>
              <w:rPr>
                <w:sz w:val="18"/>
              </w:rPr>
              <w:t>2.57</w:t>
            </w:r>
          </w:p>
        </w:tc>
      </w:tr>
      <w:tr w:rsidR="00917C30" w:rsidRPr="005A497D" w14:paraId="715E8F77" w14:textId="77777777" w:rsidTr="009E55FB">
        <w:trPr>
          <w:trHeight w:val="283"/>
        </w:trPr>
        <w:tc>
          <w:tcPr>
            <w:tcW w:w="1996" w:type="dxa"/>
            <w:shd w:val="clear" w:color="auto" w:fill="auto"/>
            <w:noWrap/>
            <w:vAlign w:val="center"/>
            <w:hideMark/>
          </w:tcPr>
          <w:p w14:paraId="12366E66" w14:textId="77777777" w:rsidR="00917C30" w:rsidRPr="005A497D" w:rsidRDefault="00917C30" w:rsidP="009E55FB">
            <w:pPr>
              <w:rPr>
                <w:sz w:val="16"/>
                <w:szCs w:val="16"/>
                <w:lang w:eastAsia="en-IN"/>
              </w:rPr>
            </w:pPr>
            <w:r w:rsidRPr="005A497D">
              <w:rPr>
                <w:sz w:val="16"/>
                <w:szCs w:val="16"/>
                <w:lang w:eastAsia="en-IN"/>
              </w:rPr>
              <w:t>Capital Outlays</w:t>
            </w:r>
          </w:p>
        </w:tc>
        <w:tc>
          <w:tcPr>
            <w:tcW w:w="1241" w:type="dxa"/>
            <w:shd w:val="clear" w:color="auto" w:fill="auto"/>
            <w:noWrap/>
            <w:vAlign w:val="bottom"/>
            <w:hideMark/>
          </w:tcPr>
          <w:p w14:paraId="4D35FE25" w14:textId="77777777" w:rsidR="00917C30" w:rsidRPr="00D16C2B" w:rsidRDefault="00917C30" w:rsidP="009E55FB">
            <w:pPr>
              <w:jc w:val="center"/>
              <w:rPr>
                <w:sz w:val="18"/>
                <w:szCs w:val="16"/>
              </w:rPr>
            </w:pPr>
            <w:r>
              <w:rPr>
                <w:sz w:val="18"/>
                <w:szCs w:val="18"/>
              </w:rPr>
              <w:t xml:space="preserve">             587.00 </w:t>
            </w:r>
          </w:p>
        </w:tc>
        <w:tc>
          <w:tcPr>
            <w:tcW w:w="1242" w:type="dxa"/>
            <w:shd w:val="clear" w:color="auto" w:fill="auto"/>
            <w:noWrap/>
            <w:vAlign w:val="bottom"/>
            <w:hideMark/>
          </w:tcPr>
          <w:p w14:paraId="2B63A909" w14:textId="77777777" w:rsidR="00917C30" w:rsidRPr="00D16C2B" w:rsidRDefault="00917C30" w:rsidP="009E55FB">
            <w:pPr>
              <w:jc w:val="center"/>
              <w:rPr>
                <w:sz w:val="18"/>
                <w:szCs w:val="16"/>
              </w:rPr>
            </w:pPr>
            <w:r>
              <w:rPr>
                <w:sz w:val="18"/>
                <w:szCs w:val="18"/>
              </w:rPr>
              <w:t xml:space="preserve">             348.29 </w:t>
            </w:r>
          </w:p>
        </w:tc>
        <w:tc>
          <w:tcPr>
            <w:tcW w:w="1242" w:type="dxa"/>
            <w:shd w:val="clear" w:color="auto" w:fill="auto"/>
            <w:noWrap/>
            <w:vAlign w:val="bottom"/>
            <w:hideMark/>
          </w:tcPr>
          <w:p w14:paraId="29587EB6" w14:textId="77777777" w:rsidR="00917C30" w:rsidRPr="00D16C2B" w:rsidRDefault="00917C30" w:rsidP="009E55FB">
            <w:pPr>
              <w:jc w:val="center"/>
              <w:rPr>
                <w:sz w:val="18"/>
                <w:szCs w:val="16"/>
              </w:rPr>
            </w:pPr>
            <w:r>
              <w:rPr>
                <w:sz w:val="18"/>
                <w:szCs w:val="18"/>
              </w:rPr>
              <w:t xml:space="preserve">             494.71 </w:t>
            </w:r>
          </w:p>
        </w:tc>
        <w:tc>
          <w:tcPr>
            <w:tcW w:w="1242" w:type="dxa"/>
            <w:shd w:val="clear" w:color="auto" w:fill="auto"/>
            <w:noWrap/>
            <w:vAlign w:val="bottom"/>
            <w:hideMark/>
          </w:tcPr>
          <w:p w14:paraId="4301C7AF" w14:textId="643C8829" w:rsidR="00917C30" w:rsidRPr="00D16C2B" w:rsidRDefault="00917C30" w:rsidP="009E55FB">
            <w:pPr>
              <w:jc w:val="center"/>
              <w:rPr>
                <w:sz w:val="18"/>
                <w:szCs w:val="16"/>
              </w:rPr>
            </w:pPr>
            <w:r>
              <w:rPr>
                <w:sz w:val="18"/>
                <w:szCs w:val="18"/>
              </w:rPr>
              <w:t>(146.42)</w:t>
            </w:r>
          </w:p>
        </w:tc>
        <w:tc>
          <w:tcPr>
            <w:tcW w:w="1242" w:type="dxa"/>
            <w:shd w:val="clear" w:color="auto" w:fill="auto"/>
            <w:noWrap/>
            <w:vAlign w:val="bottom"/>
            <w:hideMark/>
          </w:tcPr>
          <w:p w14:paraId="36566DED" w14:textId="202736C9" w:rsidR="00917C30" w:rsidRPr="00D16C2B" w:rsidRDefault="00917C30" w:rsidP="009E55FB">
            <w:pPr>
              <w:jc w:val="center"/>
              <w:rPr>
                <w:sz w:val="18"/>
                <w:szCs w:val="16"/>
              </w:rPr>
            </w:pPr>
            <w:r>
              <w:rPr>
                <w:sz w:val="18"/>
                <w:szCs w:val="18"/>
              </w:rPr>
              <w:t xml:space="preserve">146.42 </w:t>
            </w:r>
          </w:p>
        </w:tc>
        <w:tc>
          <w:tcPr>
            <w:tcW w:w="1242" w:type="dxa"/>
            <w:shd w:val="clear" w:color="auto" w:fill="auto"/>
            <w:noWrap/>
            <w:vAlign w:val="bottom"/>
            <w:hideMark/>
          </w:tcPr>
          <w:p w14:paraId="2CC3DF69" w14:textId="25742B87" w:rsidR="00917C30" w:rsidRPr="00D16C2B" w:rsidRDefault="00917C30" w:rsidP="009E55FB">
            <w:pPr>
              <w:jc w:val="center"/>
              <w:rPr>
                <w:sz w:val="18"/>
                <w:szCs w:val="16"/>
              </w:rPr>
            </w:pPr>
            <w:r>
              <w:rPr>
                <w:sz w:val="18"/>
              </w:rPr>
              <w:t>29.6</w:t>
            </w:r>
            <w:r w:rsidR="00336D5B">
              <w:rPr>
                <w:sz w:val="18"/>
              </w:rPr>
              <w:t>0</w:t>
            </w:r>
          </w:p>
        </w:tc>
      </w:tr>
      <w:tr w:rsidR="00917C30" w:rsidRPr="005A497D" w14:paraId="24385ABE" w14:textId="77777777" w:rsidTr="009E55FB">
        <w:trPr>
          <w:trHeight w:val="283"/>
        </w:trPr>
        <w:tc>
          <w:tcPr>
            <w:tcW w:w="1996" w:type="dxa"/>
            <w:shd w:val="clear" w:color="auto" w:fill="auto"/>
            <w:noWrap/>
            <w:vAlign w:val="center"/>
            <w:hideMark/>
          </w:tcPr>
          <w:p w14:paraId="53B2BDA4" w14:textId="77777777" w:rsidR="00917C30" w:rsidRPr="005A497D" w:rsidRDefault="00917C30" w:rsidP="009E55FB">
            <w:pPr>
              <w:rPr>
                <w:sz w:val="16"/>
                <w:szCs w:val="16"/>
                <w:lang w:eastAsia="en-IN"/>
              </w:rPr>
            </w:pPr>
            <w:r>
              <w:rPr>
                <w:sz w:val="16"/>
                <w:szCs w:val="16"/>
                <w:lang w:eastAsia="en-IN"/>
              </w:rPr>
              <w:t>Personnel</w:t>
            </w:r>
            <w:r w:rsidRPr="005A497D">
              <w:rPr>
                <w:sz w:val="16"/>
                <w:szCs w:val="16"/>
                <w:lang w:eastAsia="en-IN"/>
              </w:rPr>
              <w:t xml:space="preserve"> Services</w:t>
            </w:r>
          </w:p>
        </w:tc>
        <w:tc>
          <w:tcPr>
            <w:tcW w:w="1241" w:type="dxa"/>
            <w:shd w:val="clear" w:color="auto" w:fill="auto"/>
            <w:noWrap/>
            <w:vAlign w:val="bottom"/>
            <w:hideMark/>
          </w:tcPr>
          <w:p w14:paraId="0B222EB3" w14:textId="77777777" w:rsidR="00917C30" w:rsidRPr="00D16C2B" w:rsidRDefault="00917C30" w:rsidP="009E55FB">
            <w:pPr>
              <w:jc w:val="center"/>
              <w:rPr>
                <w:sz w:val="18"/>
                <w:szCs w:val="16"/>
              </w:rPr>
            </w:pPr>
            <w:r>
              <w:rPr>
                <w:sz w:val="18"/>
                <w:szCs w:val="18"/>
              </w:rPr>
              <w:t xml:space="preserve">             621.01 </w:t>
            </w:r>
          </w:p>
        </w:tc>
        <w:tc>
          <w:tcPr>
            <w:tcW w:w="1242" w:type="dxa"/>
            <w:shd w:val="clear" w:color="auto" w:fill="auto"/>
            <w:noWrap/>
            <w:vAlign w:val="bottom"/>
            <w:hideMark/>
          </w:tcPr>
          <w:p w14:paraId="39662EA4" w14:textId="77777777" w:rsidR="00917C30" w:rsidRPr="00D16C2B" w:rsidRDefault="00917C30" w:rsidP="009E55FB">
            <w:pPr>
              <w:jc w:val="center"/>
              <w:rPr>
                <w:sz w:val="18"/>
                <w:szCs w:val="16"/>
              </w:rPr>
            </w:pPr>
            <w:r>
              <w:rPr>
                <w:sz w:val="18"/>
                <w:szCs w:val="18"/>
              </w:rPr>
              <w:t xml:space="preserve">             611.04 </w:t>
            </w:r>
          </w:p>
        </w:tc>
        <w:tc>
          <w:tcPr>
            <w:tcW w:w="1242" w:type="dxa"/>
            <w:shd w:val="clear" w:color="auto" w:fill="auto"/>
            <w:noWrap/>
            <w:vAlign w:val="bottom"/>
            <w:hideMark/>
          </w:tcPr>
          <w:p w14:paraId="20182A76" w14:textId="77777777" w:rsidR="00917C30" w:rsidRPr="00D16C2B" w:rsidRDefault="00917C30" w:rsidP="009E55FB">
            <w:pPr>
              <w:jc w:val="center"/>
              <w:rPr>
                <w:sz w:val="18"/>
                <w:szCs w:val="16"/>
              </w:rPr>
            </w:pPr>
            <w:r>
              <w:rPr>
                <w:sz w:val="18"/>
                <w:szCs w:val="18"/>
              </w:rPr>
              <w:t xml:space="preserve">             523.38 </w:t>
            </w:r>
          </w:p>
        </w:tc>
        <w:tc>
          <w:tcPr>
            <w:tcW w:w="1242" w:type="dxa"/>
            <w:shd w:val="clear" w:color="auto" w:fill="auto"/>
            <w:noWrap/>
            <w:vAlign w:val="bottom"/>
            <w:hideMark/>
          </w:tcPr>
          <w:p w14:paraId="5A21C563" w14:textId="1EECDD9B" w:rsidR="00917C30" w:rsidRPr="00D16C2B" w:rsidRDefault="00917C30" w:rsidP="009E55FB">
            <w:pPr>
              <w:jc w:val="center"/>
              <w:rPr>
                <w:sz w:val="18"/>
                <w:szCs w:val="16"/>
              </w:rPr>
            </w:pPr>
            <w:r>
              <w:rPr>
                <w:sz w:val="18"/>
                <w:szCs w:val="18"/>
              </w:rPr>
              <w:t xml:space="preserve">87.66 </w:t>
            </w:r>
          </w:p>
        </w:tc>
        <w:tc>
          <w:tcPr>
            <w:tcW w:w="1242" w:type="dxa"/>
            <w:shd w:val="clear" w:color="auto" w:fill="auto"/>
            <w:noWrap/>
            <w:vAlign w:val="bottom"/>
            <w:hideMark/>
          </w:tcPr>
          <w:p w14:paraId="5C9E3C9B" w14:textId="521E0515" w:rsidR="00917C30" w:rsidRPr="00D16C2B" w:rsidRDefault="00917C30" w:rsidP="009E55FB">
            <w:pPr>
              <w:jc w:val="center"/>
              <w:rPr>
                <w:sz w:val="18"/>
                <w:szCs w:val="16"/>
              </w:rPr>
            </w:pPr>
            <w:r>
              <w:rPr>
                <w:sz w:val="18"/>
                <w:szCs w:val="18"/>
              </w:rPr>
              <w:t xml:space="preserve">87.66 </w:t>
            </w:r>
          </w:p>
        </w:tc>
        <w:tc>
          <w:tcPr>
            <w:tcW w:w="1242" w:type="dxa"/>
            <w:shd w:val="clear" w:color="auto" w:fill="auto"/>
            <w:noWrap/>
            <w:vAlign w:val="bottom"/>
            <w:hideMark/>
          </w:tcPr>
          <w:p w14:paraId="3D87F7C0" w14:textId="1D9BF8AD" w:rsidR="00917C30" w:rsidRPr="00D16C2B" w:rsidRDefault="00917C30" w:rsidP="009E55FB">
            <w:pPr>
              <w:jc w:val="center"/>
              <w:rPr>
                <w:sz w:val="18"/>
                <w:szCs w:val="16"/>
              </w:rPr>
            </w:pPr>
            <w:r>
              <w:rPr>
                <w:sz w:val="18"/>
              </w:rPr>
              <w:t>16.7</w:t>
            </w:r>
            <w:r w:rsidR="00336D5B">
              <w:rPr>
                <w:sz w:val="18"/>
              </w:rPr>
              <w:t>5</w:t>
            </w:r>
          </w:p>
        </w:tc>
      </w:tr>
      <w:tr w:rsidR="00917C30" w:rsidRPr="005A497D" w14:paraId="3A23F0FC" w14:textId="77777777" w:rsidTr="009E55FB">
        <w:trPr>
          <w:trHeight w:val="283"/>
        </w:trPr>
        <w:tc>
          <w:tcPr>
            <w:tcW w:w="1996" w:type="dxa"/>
            <w:shd w:val="clear" w:color="auto" w:fill="auto"/>
            <w:noWrap/>
            <w:vAlign w:val="center"/>
            <w:hideMark/>
          </w:tcPr>
          <w:p w14:paraId="20FDE445" w14:textId="77777777" w:rsidR="00917C30" w:rsidRPr="005A497D" w:rsidRDefault="00917C30" w:rsidP="009E55FB">
            <w:pPr>
              <w:rPr>
                <w:sz w:val="16"/>
                <w:szCs w:val="16"/>
                <w:lang w:eastAsia="en-IN"/>
              </w:rPr>
            </w:pPr>
            <w:r w:rsidRPr="005A497D">
              <w:rPr>
                <w:sz w:val="16"/>
                <w:szCs w:val="16"/>
                <w:lang w:eastAsia="en-IN"/>
              </w:rPr>
              <w:t>Financial expenses</w:t>
            </w:r>
          </w:p>
        </w:tc>
        <w:tc>
          <w:tcPr>
            <w:tcW w:w="1241" w:type="dxa"/>
            <w:shd w:val="clear" w:color="auto" w:fill="auto"/>
            <w:noWrap/>
            <w:vAlign w:val="bottom"/>
            <w:hideMark/>
          </w:tcPr>
          <w:p w14:paraId="472AFC37" w14:textId="77777777" w:rsidR="00917C30" w:rsidRPr="00D16C2B" w:rsidRDefault="00917C30" w:rsidP="009E55FB">
            <w:pPr>
              <w:jc w:val="center"/>
              <w:rPr>
                <w:sz w:val="18"/>
                <w:szCs w:val="16"/>
              </w:rPr>
            </w:pPr>
            <w:r>
              <w:rPr>
                <w:sz w:val="18"/>
                <w:szCs w:val="18"/>
              </w:rPr>
              <w:t xml:space="preserve">             333.90 </w:t>
            </w:r>
          </w:p>
        </w:tc>
        <w:tc>
          <w:tcPr>
            <w:tcW w:w="1242" w:type="dxa"/>
            <w:shd w:val="clear" w:color="auto" w:fill="auto"/>
            <w:noWrap/>
            <w:vAlign w:val="bottom"/>
            <w:hideMark/>
          </w:tcPr>
          <w:p w14:paraId="571A98F4" w14:textId="77777777" w:rsidR="00917C30" w:rsidRPr="00D16C2B" w:rsidRDefault="00917C30" w:rsidP="009E55FB">
            <w:pPr>
              <w:jc w:val="center"/>
              <w:rPr>
                <w:sz w:val="18"/>
                <w:szCs w:val="16"/>
              </w:rPr>
            </w:pPr>
            <w:r>
              <w:rPr>
                <w:sz w:val="18"/>
                <w:szCs w:val="18"/>
              </w:rPr>
              <w:t xml:space="preserve">             322.54 </w:t>
            </w:r>
          </w:p>
        </w:tc>
        <w:tc>
          <w:tcPr>
            <w:tcW w:w="1242" w:type="dxa"/>
            <w:shd w:val="clear" w:color="auto" w:fill="auto"/>
            <w:noWrap/>
            <w:vAlign w:val="bottom"/>
            <w:hideMark/>
          </w:tcPr>
          <w:p w14:paraId="326AB3B7" w14:textId="77777777" w:rsidR="00917C30" w:rsidRPr="00D16C2B" w:rsidRDefault="00917C30" w:rsidP="009E55FB">
            <w:pPr>
              <w:jc w:val="center"/>
              <w:rPr>
                <w:sz w:val="18"/>
                <w:szCs w:val="16"/>
              </w:rPr>
            </w:pPr>
            <w:r>
              <w:rPr>
                <w:sz w:val="18"/>
                <w:szCs w:val="18"/>
              </w:rPr>
              <w:t xml:space="preserve">             281.41 </w:t>
            </w:r>
          </w:p>
        </w:tc>
        <w:tc>
          <w:tcPr>
            <w:tcW w:w="1242" w:type="dxa"/>
            <w:shd w:val="clear" w:color="auto" w:fill="auto"/>
            <w:noWrap/>
            <w:vAlign w:val="bottom"/>
            <w:hideMark/>
          </w:tcPr>
          <w:p w14:paraId="427D3C9C" w14:textId="2AE01051" w:rsidR="00917C30" w:rsidRPr="00D16C2B" w:rsidRDefault="00917C30" w:rsidP="009E55FB">
            <w:pPr>
              <w:jc w:val="center"/>
              <w:rPr>
                <w:sz w:val="18"/>
                <w:szCs w:val="16"/>
              </w:rPr>
            </w:pPr>
            <w:r>
              <w:rPr>
                <w:sz w:val="18"/>
                <w:szCs w:val="18"/>
              </w:rPr>
              <w:t xml:space="preserve">41.13 </w:t>
            </w:r>
          </w:p>
        </w:tc>
        <w:tc>
          <w:tcPr>
            <w:tcW w:w="1242" w:type="dxa"/>
            <w:shd w:val="clear" w:color="auto" w:fill="auto"/>
            <w:noWrap/>
            <w:vAlign w:val="bottom"/>
            <w:hideMark/>
          </w:tcPr>
          <w:p w14:paraId="598B114D" w14:textId="0C649878" w:rsidR="00917C30" w:rsidRPr="00D16C2B" w:rsidRDefault="00917C30" w:rsidP="009E55FB">
            <w:pPr>
              <w:jc w:val="center"/>
              <w:rPr>
                <w:sz w:val="18"/>
                <w:szCs w:val="16"/>
              </w:rPr>
            </w:pPr>
            <w:r>
              <w:rPr>
                <w:sz w:val="18"/>
                <w:szCs w:val="18"/>
              </w:rPr>
              <w:t xml:space="preserve">41.13 </w:t>
            </w:r>
          </w:p>
        </w:tc>
        <w:tc>
          <w:tcPr>
            <w:tcW w:w="1242" w:type="dxa"/>
            <w:shd w:val="clear" w:color="auto" w:fill="auto"/>
            <w:noWrap/>
            <w:vAlign w:val="bottom"/>
            <w:hideMark/>
          </w:tcPr>
          <w:p w14:paraId="47238EA3" w14:textId="039FD327" w:rsidR="00917C30" w:rsidRPr="00D16C2B" w:rsidRDefault="00917C30" w:rsidP="009E55FB">
            <w:pPr>
              <w:jc w:val="center"/>
              <w:rPr>
                <w:sz w:val="18"/>
                <w:szCs w:val="16"/>
              </w:rPr>
            </w:pPr>
            <w:r>
              <w:rPr>
                <w:sz w:val="18"/>
              </w:rPr>
              <w:t>14.6</w:t>
            </w:r>
            <w:r w:rsidR="00336D5B">
              <w:rPr>
                <w:sz w:val="18"/>
              </w:rPr>
              <w:t>2</w:t>
            </w:r>
          </w:p>
        </w:tc>
      </w:tr>
      <w:tr w:rsidR="00917C30" w:rsidRPr="005A497D" w14:paraId="1D816074" w14:textId="77777777" w:rsidTr="009E55FB">
        <w:trPr>
          <w:trHeight w:val="283"/>
        </w:trPr>
        <w:tc>
          <w:tcPr>
            <w:tcW w:w="1996" w:type="dxa"/>
            <w:shd w:val="clear" w:color="auto" w:fill="auto"/>
            <w:noWrap/>
            <w:vAlign w:val="center"/>
            <w:hideMark/>
          </w:tcPr>
          <w:p w14:paraId="0FE0D15C" w14:textId="77777777" w:rsidR="00917C30" w:rsidRPr="005A497D" w:rsidRDefault="00917C30" w:rsidP="009E55FB">
            <w:pPr>
              <w:rPr>
                <w:b/>
                <w:bCs/>
                <w:sz w:val="16"/>
                <w:szCs w:val="16"/>
                <w:lang w:eastAsia="en-IN"/>
              </w:rPr>
            </w:pPr>
            <w:r w:rsidRPr="005A497D">
              <w:rPr>
                <w:b/>
                <w:bCs/>
                <w:sz w:val="16"/>
                <w:szCs w:val="16"/>
                <w:lang w:eastAsia="en-IN"/>
              </w:rPr>
              <w:t>Total expenditure</w:t>
            </w:r>
          </w:p>
        </w:tc>
        <w:tc>
          <w:tcPr>
            <w:tcW w:w="1241" w:type="dxa"/>
            <w:shd w:val="clear" w:color="auto" w:fill="auto"/>
            <w:noWrap/>
            <w:vAlign w:val="bottom"/>
          </w:tcPr>
          <w:p w14:paraId="3ECC79C8" w14:textId="77777777" w:rsidR="00917C30" w:rsidRPr="00D16C2B" w:rsidRDefault="00917C30" w:rsidP="009E55FB">
            <w:pPr>
              <w:jc w:val="center"/>
              <w:rPr>
                <w:b/>
                <w:color w:val="000000"/>
                <w:sz w:val="18"/>
                <w:szCs w:val="16"/>
              </w:rPr>
            </w:pPr>
            <w:r>
              <w:rPr>
                <w:b/>
                <w:bCs/>
                <w:sz w:val="18"/>
                <w:szCs w:val="18"/>
              </w:rPr>
              <w:t xml:space="preserve">          2,355.26 </w:t>
            </w:r>
          </w:p>
        </w:tc>
        <w:tc>
          <w:tcPr>
            <w:tcW w:w="1242" w:type="dxa"/>
            <w:shd w:val="clear" w:color="auto" w:fill="auto"/>
            <w:noWrap/>
            <w:vAlign w:val="bottom"/>
          </w:tcPr>
          <w:p w14:paraId="4568D2CF" w14:textId="77777777" w:rsidR="00917C30" w:rsidRPr="00D16C2B" w:rsidRDefault="00917C30" w:rsidP="009E55FB">
            <w:pPr>
              <w:jc w:val="center"/>
              <w:rPr>
                <w:b/>
                <w:color w:val="000000"/>
                <w:sz w:val="18"/>
                <w:szCs w:val="16"/>
              </w:rPr>
            </w:pPr>
            <w:r>
              <w:rPr>
                <w:b/>
                <w:bCs/>
                <w:sz w:val="18"/>
                <w:szCs w:val="18"/>
              </w:rPr>
              <w:t xml:space="preserve">          1,984.98 </w:t>
            </w:r>
          </w:p>
        </w:tc>
        <w:tc>
          <w:tcPr>
            <w:tcW w:w="1242" w:type="dxa"/>
            <w:shd w:val="clear" w:color="auto" w:fill="auto"/>
            <w:noWrap/>
            <w:vAlign w:val="bottom"/>
          </w:tcPr>
          <w:p w14:paraId="616C3147" w14:textId="77777777" w:rsidR="00917C30" w:rsidRPr="00D16C2B" w:rsidRDefault="00917C30" w:rsidP="009E55FB">
            <w:pPr>
              <w:jc w:val="center"/>
              <w:rPr>
                <w:b/>
                <w:sz w:val="18"/>
                <w:szCs w:val="16"/>
              </w:rPr>
            </w:pPr>
            <w:r>
              <w:rPr>
                <w:b/>
                <w:bCs/>
                <w:sz w:val="18"/>
                <w:szCs w:val="18"/>
              </w:rPr>
              <w:t xml:space="preserve">          1,984.98 </w:t>
            </w:r>
          </w:p>
        </w:tc>
        <w:tc>
          <w:tcPr>
            <w:tcW w:w="1242" w:type="dxa"/>
            <w:shd w:val="clear" w:color="auto" w:fill="auto"/>
            <w:noWrap/>
            <w:vAlign w:val="bottom"/>
          </w:tcPr>
          <w:p w14:paraId="0EAB6815" w14:textId="6C18CBFF" w:rsidR="00917C30" w:rsidRPr="00D16C2B" w:rsidRDefault="00336D5B" w:rsidP="009E55FB">
            <w:pPr>
              <w:jc w:val="center"/>
              <w:rPr>
                <w:b/>
                <w:sz w:val="18"/>
                <w:szCs w:val="16"/>
              </w:rPr>
            </w:pPr>
            <w:r>
              <w:rPr>
                <w:b/>
                <w:sz w:val="18"/>
                <w:szCs w:val="16"/>
              </w:rPr>
              <w:t>-</w:t>
            </w:r>
          </w:p>
        </w:tc>
        <w:tc>
          <w:tcPr>
            <w:tcW w:w="1242" w:type="dxa"/>
            <w:shd w:val="clear" w:color="auto" w:fill="auto"/>
            <w:noWrap/>
            <w:vAlign w:val="bottom"/>
          </w:tcPr>
          <w:p w14:paraId="60C4A7B2" w14:textId="54317F26" w:rsidR="00917C30" w:rsidRPr="00D16C2B" w:rsidRDefault="00917C30" w:rsidP="009E55FB">
            <w:pPr>
              <w:jc w:val="center"/>
              <w:rPr>
                <w:b/>
                <w:sz w:val="18"/>
                <w:szCs w:val="16"/>
              </w:rPr>
            </w:pPr>
            <w:r>
              <w:rPr>
                <w:b/>
                <w:bCs/>
                <w:sz w:val="18"/>
                <w:szCs w:val="18"/>
              </w:rPr>
              <w:t xml:space="preserve">292.84 </w:t>
            </w:r>
          </w:p>
        </w:tc>
        <w:tc>
          <w:tcPr>
            <w:tcW w:w="1242" w:type="dxa"/>
            <w:shd w:val="clear" w:color="auto" w:fill="auto"/>
            <w:noWrap/>
            <w:vAlign w:val="center"/>
            <w:hideMark/>
          </w:tcPr>
          <w:p w14:paraId="73624F19" w14:textId="77777777" w:rsidR="00917C30" w:rsidRPr="005A497D" w:rsidRDefault="00917C30" w:rsidP="009E55FB">
            <w:pPr>
              <w:jc w:val="right"/>
              <w:rPr>
                <w:sz w:val="16"/>
                <w:szCs w:val="16"/>
              </w:rPr>
            </w:pPr>
            <w:r w:rsidRPr="005A497D">
              <w:rPr>
                <w:sz w:val="16"/>
                <w:szCs w:val="16"/>
              </w:rPr>
              <w:t> </w:t>
            </w:r>
          </w:p>
        </w:tc>
      </w:tr>
      <w:tr w:rsidR="00917C30" w:rsidRPr="005A497D" w14:paraId="067C58A9" w14:textId="77777777" w:rsidTr="009E55FB">
        <w:trPr>
          <w:trHeight w:val="283"/>
        </w:trPr>
        <w:tc>
          <w:tcPr>
            <w:tcW w:w="1996" w:type="dxa"/>
            <w:shd w:val="clear" w:color="auto" w:fill="auto"/>
            <w:noWrap/>
            <w:vAlign w:val="center"/>
            <w:hideMark/>
          </w:tcPr>
          <w:p w14:paraId="075E0B0D" w14:textId="77777777" w:rsidR="00917C30" w:rsidRPr="005A497D" w:rsidRDefault="00917C30" w:rsidP="009E55FB">
            <w:pPr>
              <w:rPr>
                <w:b/>
                <w:bCs/>
                <w:i/>
                <w:sz w:val="16"/>
                <w:szCs w:val="16"/>
                <w:lang w:eastAsia="en-IN"/>
              </w:rPr>
            </w:pPr>
            <w:r w:rsidRPr="005A497D">
              <w:rPr>
                <w:b/>
                <w:i/>
                <w:sz w:val="16"/>
                <w:szCs w:val="16"/>
                <w:lang w:eastAsia="en-IN"/>
              </w:rPr>
              <w:t>Composition Variance</w:t>
            </w:r>
          </w:p>
        </w:tc>
        <w:tc>
          <w:tcPr>
            <w:tcW w:w="7451" w:type="dxa"/>
            <w:gridSpan w:val="6"/>
            <w:shd w:val="clear" w:color="auto" w:fill="auto"/>
            <w:noWrap/>
            <w:vAlign w:val="center"/>
            <w:hideMark/>
          </w:tcPr>
          <w:p w14:paraId="3DDA9B15" w14:textId="77777777" w:rsidR="00917C30" w:rsidRPr="00D16C2B" w:rsidRDefault="00917C30" w:rsidP="009E55FB">
            <w:pPr>
              <w:jc w:val="center"/>
              <w:rPr>
                <w:b/>
                <w:i/>
                <w:sz w:val="18"/>
                <w:szCs w:val="16"/>
              </w:rPr>
            </w:pPr>
            <w:r>
              <w:rPr>
                <w:b/>
                <w:i/>
                <w:sz w:val="18"/>
                <w:szCs w:val="20"/>
              </w:rPr>
              <w:t>14.75%</w:t>
            </w:r>
          </w:p>
        </w:tc>
      </w:tr>
    </w:tbl>
    <w:p w14:paraId="75D2E09E" w14:textId="77777777" w:rsidR="000907A7" w:rsidRPr="005A497D" w:rsidRDefault="000907A7" w:rsidP="000907A7">
      <w:pPr>
        <w:autoSpaceDE w:val="0"/>
        <w:autoSpaceDN w:val="0"/>
        <w:adjustRightInd w:val="0"/>
        <w:contextualSpacing/>
        <w:jc w:val="both"/>
      </w:pPr>
    </w:p>
    <w:p w14:paraId="2270F3D8" w14:textId="77777777" w:rsidR="009C0F17" w:rsidRDefault="009C0F17" w:rsidP="000907A7">
      <w:pPr>
        <w:pStyle w:val="PEFATable"/>
        <w:spacing w:after="40"/>
        <w:jc w:val="both"/>
        <w:rPr>
          <w:sz w:val="24"/>
          <w:szCs w:val="24"/>
        </w:rPr>
      </w:pPr>
    </w:p>
    <w:p w14:paraId="62477D0F" w14:textId="77777777" w:rsidR="009C0F17" w:rsidRDefault="009C0F17" w:rsidP="000907A7">
      <w:pPr>
        <w:pStyle w:val="PEFATable"/>
        <w:spacing w:after="40"/>
        <w:jc w:val="both"/>
        <w:rPr>
          <w:sz w:val="24"/>
          <w:szCs w:val="24"/>
        </w:rPr>
      </w:pPr>
    </w:p>
    <w:p w14:paraId="6B958F40" w14:textId="77777777" w:rsidR="009C0F17" w:rsidRDefault="009C0F17" w:rsidP="000907A7">
      <w:pPr>
        <w:pStyle w:val="PEFATable"/>
        <w:spacing w:after="40"/>
        <w:jc w:val="both"/>
        <w:rPr>
          <w:sz w:val="24"/>
          <w:szCs w:val="24"/>
        </w:rPr>
      </w:pPr>
    </w:p>
    <w:p w14:paraId="63A56C2E" w14:textId="77777777" w:rsidR="009C0F17" w:rsidRDefault="009C0F17" w:rsidP="000907A7">
      <w:pPr>
        <w:pStyle w:val="PEFATable"/>
        <w:spacing w:after="40"/>
        <w:jc w:val="both"/>
        <w:rPr>
          <w:sz w:val="24"/>
          <w:szCs w:val="24"/>
        </w:rPr>
      </w:pPr>
    </w:p>
    <w:p w14:paraId="5C340A22" w14:textId="77777777" w:rsidR="009C0F17" w:rsidRDefault="009C0F17" w:rsidP="000907A7">
      <w:pPr>
        <w:pStyle w:val="PEFATable"/>
        <w:spacing w:after="40"/>
        <w:jc w:val="both"/>
        <w:rPr>
          <w:sz w:val="24"/>
          <w:szCs w:val="24"/>
        </w:rPr>
      </w:pPr>
    </w:p>
    <w:p w14:paraId="5375A9FE" w14:textId="77777777" w:rsidR="009C0F17" w:rsidRDefault="009C0F17" w:rsidP="000907A7">
      <w:pPr>
        <w:pStyle w:val="PEFATable"/>
        <w:spacing w:after="40"/>
        <w:jc w:val="both"/>
        <w:rPr>
          <w:sz w:val="24"/>
          <w:szCs w:val="24"/>
        </w:rPr>
      </w:pPr>
    </w:p>
    <w:p w14:paraId="640767D6" w14:textId="77777777" w:rsidR="009C0F17" w:rsidRDefault="009C0F17" w:rsidP="000907A7">
      <w:pPr>
        <w:pStyle w:val="PEFATable"/>
        <w:spacing w:after="40"/>
        <w:jc w:val="both"/>
        <w:rPr>
          <w:sz w:val="24"/>
          <w:szCs w:val="24"/>
        </w:rPr>
      </w:pPr>
    </w:p>
    <w:p w14:paraId="0B277288" w14:textId="77777777" w:rsidR="009C0F17" w:rsidRDefault="009C0F17" w:rsidP="000907A7">
      <w:pPr>
        <w:pStyle w:val="PEFATable"/>
        <w:spacing w:after="40"/>
        <w:jc w:val="both"/>
        <w:rPr>
          <w:sz w:val="24"/>
          <w:szCs w:val="24"/>
        </w:rPr>
      </w:pPr>
    </w:p>
    <w:p w14:paraId="2D315A04" w14:textId="77777777" w:rsidR="00A710D5" w:rsidRDefault="00A710D5" w:rsidP="000907A7">
      <w:pPr>
        <w:pStyle w:val="PEFATable"/>
        <w:spacing w:after="40"/>
        <w:jc w:val="both"/>
        <w:rPr>
          <w:sz w:val="24"/>
          <w:szCs w:val="24"/>
        </w:rPr>
      </w:pPr>
    </w:p>
    <w:p w14:paraId="59570DD7" w14:textId="77777777" w:rsidR="00A710D5" w:rsidRDefault="00A710D5" w:rsidP="000907A7">
      <w:pPr>
        <w:pStyle w:val="PEFATable"/>
        <w:spacing w:after="40"/>
        <w:jc w:val="both"/>
        <w:rPr>
          <w:sz w:val="24"/>
          <w:szCs w:val="24"/>
        </w:rPr>
      </w:pPr>
    </w:p>
    <w:p w14:paraId="7BBAC865" w14:textId="77777777" w:rsidR="00A710D5" w:rsidRDefault="00A710D5" w:rsidP="000907A7">
      <w:pPr>
        <w:pStyle w:val="PEFATable"/>
        <w:spacing w:after="40"/>
        <w:jc w:val="both"/>
        <w:rPr>
          <w:sz w:val="24"/>
          <w:szCs w:val="24"/>
        </w:rPr>
      </w:pPr>
    </w:p>
    <w:p w14:paraId="47A6BBFC" w14:textId="77777777" w:rsidR="00A710D5" w:rsidRDefault="00A710D5" w:rsidP="000907A7">
      <w:pPr>
        <w:pStyle w:val="PEFATable"/>
        <w:spacing w:after="40"/>
        <w:jc w:val="both"/>
        <w:rPr>
          <w:sz w:val="24"/>
          <w:szCs w:val="24"/>
        </w:rPr>
      </w:pPr>
    </w:p>
    <w:p w14:paraId="360008CE" w14:textId="7345D464" w:rsidR="000907A7" w:rsidRDefault="000907A7" w:rsidP="000907A7">
      <w:pPr>
        <w:pStyle w:val="PEFATable"/>
        <w:spacing w:after="40"/>
        <w:jc w:val="both"/>
        <w:rPr>
          <w:sz w:val="24"/>
          <w:szCs w:val="24"/>
        </w:rPr>
      </w:pPr>
      <w:bookmarkStart w:id="443" w:name="_Toc454889273"/>
      <w:r w:rsidRPr="005A497D">
        <w:rPr>
          <w:sz w:val="24"/>
          <w:szCs w:val="24"/>
        </w:rPr>
        <w:t xml:space="preserve">Table </w:t>
      </w:r>
      <w:r w:rsidR="009A6E2C">
        <w:rPr>
          <w:sz w:val="24"/>
          <w:szCs w:val="24"/>
        </w:rPr>
        <w:t>A</w:t>
      </w:r>
      <w:r w:rsidR="0027211D">
        <w:rPr>
          <w:sz w:val="24"/>
          <w:szCs w:val="24"/>
        </w:rPr>
        <w:t>4</w:t>
      </w:r>
      <w:r w:rsidRPr="005A497D">
        <w:rPr>
          <w:sz w:val="24"/>
          <w:szCs w:val="24"/>
        </w:rPr>
        <w:t>.7: Data for PI-2</w:t>
      </w:r>
      <w:r w:rsidR="005A687A">
        <w:rPr>
          <w:sz w:val="24"/>
          <w:szCs w:val="24"/>
        </w:rPr>
        <w:t>.2</w:t>
      </w:r>
      <w:r w:rsidRPr="005A497D">
        <w:rPr>
          <w:sz w:val="24"/>
          <w:szCs w:val="24"/>
        </w:rPr>
        <w:t>, 2014</w:t>
      </w:r>
      <w:bookmarkEnd w:id="443"/>
    </w:p>
    <w:p w14:paraId="051219B5" w14:textId="77777777" w:rsidR="009C0F17" w:rsidRPr="005A497D" w:rsidRDefault="009C0F17" w:rsidP="000907A7">
      <w:pPr>
        <w:pStyle w:val="PEFATable"/>
        <w:spacing w:after="40"/>
        <w:jc w:val="both"/>
      </w:pPr>
    </w:p>
    <w:tbl>
      <w:tblPr>
        <w:tblW w:w="9447" w:type="dxa"/>
        <w:tblInd w:w="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96"/>
        <w:gridCol w:w="1241"/>
        <w:gridCol w:w="1242"/>
        <w:gridCol w:w="1242"/>
        <w:gridCol w:w="1242"/>
        <w:gridCol w:w="1242"/>
        <w:gridCol w:w="1242"/>
      </w:tblGrid>
      <w:tr w:rsidR="00917C30" w:rsidRPr="003567C3" w14:paraId="075D0117" w14:textId="77777777" w:rsidTr="009E55FB">
        <w:trPr>
          <w:trHeight w:val="144"/>
          <w:tblHeader/>
        </w:trPr>
        <w:tc>
          <w:tcPr>
            <w:tcW w:w="1996" w:type="dxa"/>
            <w:vMerge w:val="restart"/>
            <w:tcBorders>
              <w:top w:val="double" w:sz="4" w:space="0" w:color="auto"/>
            </w:tcBorders>
            <w:shd w:val="clear" w:color="auto" w:fill="D9D9D9" w:themeFill="background1" w:themeFillShade="D9"/>
            <w:noWrap/>
            <w:vAlign w:val="center"/>
          </w:tcPr>
          <w:p w14:paraId="7F97A59F" w14:textId="77777777" w:rsidR="00917C30" w:rsidRPr="005A687A" w:rsidRDefault="00917C30" w:rsidP="009E55FB">
            <w:pPr>
              <w:jc w:val="center"/>
              <w:rPr>
                <w:b/>
                <w:sz w:val="16"/>
                <w:szCs w:val="16"/>
                <w:lang w:eastAsia="en-IN"/>
              </w:rPr>
            </w:pPr>
            <w:r w:rsidRPr="005A687A">
              <w:rPr>
                <w:b/>
                <w:sz w:val="16"/>
                <w:szCs w:val="16"/>
                <w:lang w:eastAsia="en-IN"/>
              </w:rPr>
              <w:t>Economic head</w:t>
            </w:r>
          </w:p>
        </w:tc>
        <w:tc>
          <w:tcPr>
            <w:tcW w:w="6209" w:type="dxa"/>
            <w:gridSpan w:val="5"/>
            <w:tcBorders>
              <w:top w:val="double" w:sz="4" w:space="0" w:color="auto"/>
              <w:bottom w:val="double" w:sz="4" w:space="0" w:color="auto"/>
            </w:tcBorders>
            <w:shd w:val="clear" w:color="auto" w:fill="D9D9D9" w:themeFill="background1" w:themeFillShade="D9"/>
            <w:noWrap/>
            <w:vAlign w:val="center"/>
          </w:tcPr>
          <w:p w14:paraId="77B9C423" w14:textId="77777777" w:rsidR="00917C30" w:rsidRPr="005A687A" w:rsidRDefault="00917C30" w:rsidP="009E55FB">
            <w:pPr>
              <w:jc w:val="center"/>
              <w:rPr>
                <w:b/>
                <w:i/>
                <w:sz w:val="16"/>
                <w:szCs w:val="16"/>
                <w:lang w:eastAsia="en-IN"/>
              </w:rPr>
            </w:pPr>
            <w:r w:rsidRPr="005A687A">
              <w:rPr>
                <w:b/>
                <w:i/>
                <w:sz w:val="16"/>
                <w:szCs w:val="16"/>
                <w:lang w:eastAsia="en-IN"/>
              </w:rPr>
              <w:t>(PhP billions)</w:t>
            </w:r>
          </w:p>
        </w:tc>
        <w:tc>
          <w:tcPr>
            <w:tcW w:w="1242" w:type="dxa"/>
            <w:vMerge w:val="restart"/>
            <w:tcBorders>
              <w:top w:val="double" w:sz="4" w:space="0" w:color="auto"/>
            </w:tcBorders>
            <w:shd w:val="clear" w:color="auto" w:fill="D9D9D9" w:themeFill="background1" w:themeFillShade="D9"/>
            <w:noWrap/>
            <w:vAlign w:val="center"/>
          </w:tcPr>
          <w:p w14:paraId="2CA66AD4" w14:textId="77777777" w:rsidR="00917C30" w:rsidRPr="005A687A" w:rsidRDefault="00917C30" w:rsidP="009E55FB">
            <w:pPr>
              <w:jc w:val="center"/>
              <w:rPr>
                <w:b/>
                <w:sz w:val="16"/>
                <w:szCs w:val="16"/>
                <w:lang w:eastAsia="en-IN"/>
              </w:rPr>
            </w:pPr>
            <w:r w:rsidRPr="005A687A">
              <w:rPr>
                <w:b/>
                <w:sz w:val="16"/>
                <w:szCs w:val="16"/>
                <w:lang w:eastAsia="en-IN"/>
              </w:rPr>
              <w:t>%</w:t>
            </w:r>
          </w:p>
        </w:tc>
      </w:tr>
      <w:tr w:rsidR="00917C30" w:rsidRPr="003567C3" w14:paraId="3A9B9BE0" w14:textId="77777777" w:rsidTr="009E55FB">
        <w:trPr>
          <w:trHeight w:val="454"/>
          <w:tblHeader/>
        </w:trPr>
        <w:tc>
          <w:tcPr>
            <w:tcW w:w="1996" w:type="dxa"/>
            <w:vMerge/>
            <w:tcBorders>
              <w:bottom w:val="double" w:sz="4" w:space="0" w:color="auto"/>
            </w:tcBorders>
            <w:shd w:val="clear" w:color="auto" w:fill="D9D9D9" w:themeFill="background1" w:themeFillShade="D9"/>
            <w:noWrap/>
            <w:vAlign w:val="center"/>
            <w:hideMark/>
          </w:tcPr>
          <w:p w14:paraId="15FF7A11" w14:textId="77777777" w:rsidR="00917C30" w:rsidRPr="005A687A" w:rsidRDefault="00917C30" w:rsidP="009E55FB">
            <w:pPr>
              <w:jc w:val="center"/>
              <w:rPr>
                <w:b/>
                <w:sz w:val="16"/>
                <w:szCs w:val="16"/>
                <w:lang w:eastAsia="en-IN"/>
              </w:rPr>
            </w:pPr>
          </w:p>
        </w:tc>
        <w:tc>
          <w:tcPr>
            <w:tcW w:w="1241" w:type="dxa"/>
            <w:tcBorders>
              <w:top w:val="double" w:sz="4" w:space="0" w:color="auto"/>
              <w:bottom w:val="double" w:sz="4" w:space="0" w:color="auto"/>
            </w:tcBorders>
            <w:shd w:val="clear" w:color="auto" w:fill="D9D9D9" w:themeFill="background1" w:themeFillShade="D9"/>
            <w:noWrap/>
            <w:vAlign w:val="center"/>
            <w:hideMark/>
          </w:tcPr>
          <w:p w14:paraId="04FAA630" w14:textId="77777777" w:rsidR="00917C30" w:rsidRPr="005A687A" w:rsidRDefault="00917C30" w:rsidP="009E55FB">
            <w:pPr>
              <w:jc w:val="center"/>
              <w:rPr>
                <w:b/>
                <w:bCs/>
                <w:sz w:val="16"/>
                <w:szCs w:val="16"/>
                <w:lang w:eastAsia="en-IN"/>
              </w:rPr>
            </w:pPr>
            <w:r w:rsidRPr="005A687A">
              <w:rPr>
                <w:b/>
                <w:bCs/>
                <w:sz w:val="16"/>
                <w:szCs w:val="16"/>
                <w:lang w:eastAsia="en-IN"/>
              </w:rPr>
              <w:t>Budget</w:t>
            </w:r>
          </w:p>
        </w:tc>
        <w:tc>
          <w:tcPr>
            <w:tcW w:w="1242" w:type="dxa"/>
            <w:tcBorders>
              <w:top w:val="double" w:sz="4" w:space="0" w:color="auto"/>
              <w:bottom w:val="double" w:sz="4" w:space="0" w:color="auto"/>
            </w:tcBorders>
            <w:shd w:val="clear" w:color="auto" w:fill="D9D9D9" w:themeFill="background1" w:themeFillShade="D9"/>
            <w:noWrap/>
            <w:vAlign w:val="center"/>
            <w:hideMark/>
          </w:tcPr>
          <w:p w14:paraId="1EC621E8" w14:textId="77777777" w:rsidR="00917C30" w:rsidRPr="005A687A" w:rsidRDefault="00917C30" w:rsidP="009E55FB">
            <w:pPr>
              <w:jc w:val="center"/>
              <w:rPr>
                <w:b/>
                <w:bCs/>
                <w:sz w:val="16"/>
                <w:szCs w:val="16"/>
                <w:lang w:eastAsia="en-IN"/>
              </w:rPr>
            </w:pPr>
            <w:r w:rsidRPr="005A687A">
              <w:rPr>
                <w:b/>
                <w:bCs/>
                <w:sz w:val="16"/>
                <w:szCs w:val="16"/>
                <w:lang w:eastAsia="en-IN"/>
              </w:rPr>
              <w:t xml:space="preserve">Actual </w:t>
            </w:r>
          </w:p>
        </w:tc>
        <w:tc>
          <w:tcPr>
            <w:tcW w:w="1242" w:type="dxa"/>
            <w:tcBorders>
              <w:top w:val="double" w:sz="4" w:space="0" w:color="auto"/>
              <w:bottom w:val="double" w:sz="4" w:space="0" w:color="auto"/>
            </w:tcBorders>
            <w:shd w:val="clear" w:color="auto" w:fill="D9D9D9" w:themeFill="background1" w:themeFillShade="D9"/>
            <w:vAlign w:val="center"/>
            <w:hideMark/>
          </w:tcPr>
          <w:p w14:paraId="320F8A0A" w14:textId="77777777" w:rsidR="00917C30" w:rsidRPr="005A687A" w:rsidRDefault="00917C30" w:rsidP="009E55FB">
            <w:pPr>
              <w:jc w:val="center"/>
              <w:rPr>
                <w:b/>
                <w:sz w:val="16"/>
                <w:szCs w:val="16"/>
                <w:lang w:eastAsia="en-IN"/>
              </w:rPr>
            </w:pPr>
            <w:r w:rsidRPr="005A687A">
              <w:rPr>
                <w:b/>
                <w:sz w:val="16"/>
                <w:szCs w:val="16"/>
                <w:lang w:eastAsia="en-IN"/>
              </w:rPr>
              <w:t>Adjusted budget</w:t>
            </w:r>
          </w:p>
        </w:tc>
        <w:tc>
          <w:tcPr>
            <w:tcW w:w="1242" w:type="dxa"/>
            <w:tcBorders>
              <w:top w:val="double" w:sz="4" w:space="0" w:color="auto"/>
              <w:bottom w:val="double" w:sz="4" w:space="0" w:color="auto"/>
            </w:tcBorders>
            <w:shd w:val="clear" w:color="auto" w:fill="D9D9D9" w:themeFill="background1" w:themeFillShade="D9"/>
            <w:vAlign w:val="center"/>
            <w:hideMark/>
          </w:tcPr>
          <w:p w14:paraId="192F636C" w14:textId="77777777" w:rsidR="00917C30" w:rsidRPr="005A687A" w:rsidRDefault="00917C30" w:rsidP="009E55FB">
            <w:pPr>
              <w:jc w:val="center"/>
              <w:rPr>
                <w:b/>
                <w:sz w:val="16"/>
                <w:szCs w:val="16"/>
                <w:lang w:eastAsia="en-IN"/>
              </w:rPr>
            </w:pPr>
            <w:r w:rsidRPr="005A687A">
              <w:rPr>
                <w:b/>
                <w:sz w:val="16"/>
                <w:szCs w:val="16"/>
                <w:lang w:eastAsia="en-IN"/>
              </w:rPr>
              <w:t>Deviation</w:t>
            </w:r>
          </w:p>
        </w:tc>
        <w:tc>
          <w:tcPr>
            <w:tcW w:w="1242" w:type="dxa"/>
            <w:tcBorders>
              <w:top w:val="double" w:sz="4" w:space="0" w:color="auto"/>
              <w:bottom w:val="double" w:sz="4" w:space="0" w:color="auto"/>
            </w:tcBorders>
            <w:shd w:val="clear" w:color="auto" w:fill="D9D9D9" w:themeFill="background1" w:themeFillShade="D9"/>
            <w:vAlign w:val="center"/>
            <w:hideMark/>
          </w:tcPr>
          <w:p w14:paraId="4A05EC24" w14:textId="77777777" w:rsidR="00917C30" w:rsidRPr="005A687A" w:rsidRDefault="00917C30" w:rsidP="009E55FB">
            <w:pPr>
              <w:jc w:val="center"/>
              <w:rPr>
                <w:b/>
                <w:sz w:val="16"/>
                <w:szCs w:val="16"/>
                <w:lang w:eastAsia="en-IN"/>
              </w:rPr>
            </w:pPr>
            <w:r w:rsidRPr="005A687A">
              <w:rPr>
                <w:b/>
                <w:sz w:val="16"/>
                <w:szCs w:val="16"/>
                <w:lang w:eastAsia="en-IN"/>
              </w:rPr>
              <w:t>Absolute deviation</w:t>
            </w:r>
          </w:p>
        </w:tc>
        <w:tc>
          <w:tcPr>
            <w:tcW w:w="1242" w:type="dxa"/>
            <w:vMerge/>
            <w:tcBorders>
              <w:bottom w:val="double" w:sz="4" w:space="0" w:color="auto"/>
            </w:tcBorders>
            <w:shd w:val="clear" w:color="auto" w:fill="D9D9D9" w:themeFill="background1" w:themeFillShade="D9"/>
            <w:noWrap/>
            <w:vAlign w:val="center"/>
            <w:hideMark/>
          </w:tcPr>
          <w:p w14:paraId="60410CF9" w14:textId="77777777" w:rsidR="00917C30" w:rsidRPr="003567C3" w:rsidRDefault="00917C30" w:rsidP="009E55FB">
            <w:pPr>
              <w:jc w:val="center"/>
              <w:rPr>
                <w:b/>
                <w:i/>
                <w:sz w:val="16"/>
                <w:szCs w:val="16"/>
                <w:lang w:eastAsia="en-IN"/>
              </w:rPr>
            </w:pPr>
          </w:p>
        </w:tc>
      </w:tr>
      <w:tr w:rsidR="00917C30" w:rsidRPr="005A497D" w14:paraId="187F22E8" w14:textId="77777777" w:rsidTr="009E55FB">
        <w:trPr>
          <w:trHeight w:val="283"/>
        </w:trPr>
        <w:tc>
          <w:tcPr>
            <w:tcW w:w="1996" w:type="dxa"/>
            <w:tcBorders>
              <w:top w:val="double" w:sz="4" w:space="0" w:color="auto"/>
            </w:tcBorders>
            <w:shd w:val="clear" w:color="auto" w:fill="auto"/>
            <w:noWrap/>
            <w:vAlign w:val="center"/>
            <w:hideMark/>
          </w:tcPr>
          <w:p w14:paraId="7EB7BE08" w14:textId="77777777" w:rsidR="00917C30" w:rsidRPr="005A497D" w:rsidRDefault="00917C30" w:rsidP="009E55FB">
            <w:pPr>
              <w:rPr>
                <w:sz w:val="16"/>
                <w:szCs w:val="16"/>
                <w:lang w:eastAsia="en-IN"/>
              </w:rPr>
            </w:pPr>
            <w:r>
              <w:rPr>
                <w:sz w:val="16"/>
                <w:szCs w:val="16"/>
                <w:lang w:eastAsia="en-IN"/>
              </w:rPr>
              <w:t>Maintenance and other operating expenses</w:t>
            </w:r>
          </w:p>
        </w:tc>
        <w:tc>
          <w:tcPr>
            <w:tcW w:w="1241" w:type="dxa"/>
            <w:tcBorders>
              <w:top w:val="double" w:sz="4" w:space="0" w:color="auto"/>
            </w:tcBorders>
            <w:shd w:val="clear" w:color="auto" w:fill="auto"/>
            <w:noWrap/>
            <w:vAlign w:val="bottom"/>
          </w:tcPr>
          <w:p w14:paraId="6A023B0E" w14:textId="77777777" w:rsidR="00917C30" w:rsidRPr="00D16C2B" w:rsidRDefault="00917C30" w:rsidP="009E55FB">
            <w:pPr>
              <w:jc w:val="center"/>
              <w:rPr>
                <w:sz w:val="18"/>
                <w:szCs w:val="16"/>
              </w:rPr>
            </w:pPr>
            <w:r>
              <w:rPr>
                <w:sz w:val="18"/>
                <w:szCs w:val="18"/>
              </w:rPr>
              <w:t xml:space="preserve">             886.30 </w:t>
            </w:r>
          </w:p>
        </w:tc>
        <w:tc>
          <w:tcPr>
            <w:tcW w:w="1242" w:type="dxa"/>
            <w:tcBorders>
              <w:top w:val="double" w:sz="4" w:space="0" w:color="auto"/>
            </w:tcBorders>
            <w:shd w:val="clear" w:color="auto" w:fill="auto"/>
            <w:noWrap/>
            <w:vAlign w:val="bottom"/>
          </w:tcPr>
          <w:p w14:paraId="72A0758E" w14:textId="77777777" w:rsidR="00917C30" w:rsidRPr="00D16C2B" w:rsidRDefault="00917C30" w:rsidP="009E55FB">
            <w:pPr>
              <w:jc w:val="center"/>
              <w:rPr>
                <w:sz w:val="18"/>
                <w:szCs w:val="16"/>
              </w:rPr>
            </w:pPr>
            <w:r>
              <w:rPr>
                <w:sz w:val="18"/>
                <w:szCs w:val="18"/>
              </w:rPr>
              <w:t xml:space="preserve">             735.27 </w:t>
            </w:r>
          </w:p>
        </w:tc>
        <w:tc>
          <w:tcPr>
            <w:tcW w:w="1242" w:type="dxa"/>
            <w:tcBorders>
              <w:top w:val="double" w:sz="4" w:space="0" w:color="auto"/>
            </w:tcBorders>
            <w:shd w:val="clear" w:color="auto" w:fill="auto"/>
            <w:noWrap/>
            <w:vAlign w:val="bottom"/>
          </w:tcPr>
          <w:p w14:paraId="10CAB0E4" w14:textId="77777777" w:rsidR="00917C30" w:rsidRPr="00D16C2B" w:rsidRDefault="00917C30" w:rsidP="009E55FB">
            <w:pPr>
              <w:jc w:val="center"/>
              <w:rPr>
                <w:sz w:val="18"/>
                <w:szCs w:val="16"/>
              </w:rPr>
            </w:pPr>
            <w:r>
              <w:rPr>
                <w:sz w:val="18"/>
                <w:szCs w:val="18"/>
              </w:rPr>
              <w:t xml:space="preserve">             673.30 </w:t>
            </w:r>
          </w:p>
        </w:tc>
        <w:tc>
          <w:tcPr>
            <w:tcW w:w="1242" w:type="dxa"/>
            <w:tcBorders>
              <w:top w:val="double" w:sz="4" w:space="0" w:color="auto"/>
            </w:tcBorders>
            <w:shd w:val="clear" w:color="auto" w:fill="auto"/>
            <w:noWrap/>
            <w:vAlign w:val="bottom"/>
          </w:tcPr>
          <w:p w14:paraId="4AF0C84F" w14:textId="1DF8C356" w:rsidR="00917C30" w:rsidRPr="00D16C2B" w:rsidRDefault="00917C30" w:rsidP="009E55FB">
            <w:pPr>
              <w:jc w:val="center"/>
              <w:rPr>
                <w:sz w:val="18"/>
                <w:szCs w:val="16"/>
              </w:rPr>
            </w:pPr>
            <w:r>
              <w:rPr>
                <w:sz w:val="18"/>
                <w:szCs w:val="18"/>
              </w:rPr>
              <w:t xml:space="preserve">61.97 </w:t>
            </w:r>
          </w:p>
        </w:tc>
        <w:tc>
          <w:tcPr>
            <w:tcW w:w="1242" w:type="dxa"/>
            <w:tcBorders>
              <w:top w:val="double" w:sz="4" w:space="0" w:color="auto"/>
            </w:tcBorders>
            <w:shd w:val="clear" w:color="auto" w:fill="auto"/>
            <w:noWrap/>
            <w:vAlign w:val="bottom"/>
          </w:tcPr>
          <w:p w14:paraId="1241625B" w14:textId="62AF0673" w:rsidR="00917C30" w:rsidRPr="00D16C2B" w:rsidRDefault="00917C30" w:rsidP="009E55FB">
            <w:pPr>
              <w:jc w:val="center"/>
              <w:rPr>
                <w:sz w:val="18"/>
                <w:szCs w:val="16"/>
              </w:rPr>
            </w:pPr>
            <w:r>
              <w:rPr>
                <w:sz w:val="18"/>
                <w:szCs w:val="18"/>
              </w:rPr>
              <w:t xml:space="preserve">61.97 </w:t>
            </w:r>
          </w:p>
        </w:tc>
        <w:tc>
          <w:tcPr>
            <w:tcW w:w="1242" w:type="dxa"/>
            <w:tcBorders>
              <w:top w:val="double" w:sz="4" w:space="0" w:color="auto"/>
            </w:tcBorders>
            <w:shd w:val="clear" w:color="auto" w:fill="auto"/>
            <w:noWrap/>
            <w:vAlign w:val="bottom"/>
          </w:tcPr>
          <w:p w14:paraId="716706DC" w14:textId="7518F2A7" w:rsidR="00917C30" w:rsidRPr="00D16C2B" w:rsidRDefault="00336D5B" w:rsidP="009E55FB">
            <w:pPr>
              <w:jc w:val="center"/>
              <w:rPr>
                <w:sz w:val="18"/>
                <w:szCs w:val="16"/>
              </w:rPr>
            </w:pPr>
            <w:r>
              <w:rPr>
                <w:sz w:val="18"/>
              </w:rPr>
              <w:t>9.20</w:t>
            </w:r>
          </w:p>
        </w:tc>
      </w:tr>
      <w:tr w:rsidR="00917C30" w:rsidRPr="005A497D" w14:paraId="2E52FCC3" w14:textId="77777777" w:rsidTr="009E55FB">
        <w:trPr>
          <w:trHeight w:val="283"/>
        </w:trPr>
        <w:tc>
          <w:tcPr>
            <w:tcW w:w="1996" w:type="dxa"/>
            <w:shd w:val="clear" w:color="auto" w:fill="auto"/>
            <w:noWrap/>
            <w:vAlign w:val="center"/>
            <w:hideMark/>
          </w:tcPr>
          <w:p w14:paraId="606AD0DB" w14:textId="77777777" w:rsidR="00917C30" w:rsidRPr="005A497D" w:rsidRDefault="00917C30" w:rsidP="009E55FB">
            <w:pPr>
              <w:rPr>
                <w:sz w:val="16"/>
                <w:szCs w:val="16"/>
                <w:lang w:eastAsia="en-IN"/>
              </w:rPr>
            </w:pPr>
            <w:r w:rsidRPr="005A497D">
              <w:rPr>
                <w:sz w:val="16"/>
                <w:szCs w:val="16"/>
                <w:lang w:eastAsia="en-IN"/>
              </w:rPr>
              <w:t>Capital Outlays</w:t>
            </w:r>
          </w:p>
        </w:tc>
        <w:tc>
          <w:tcPr>
            <w:tcW w:w="1241" w:type="dxa"/>
            <w:shd w:val="clear" w:color="auto" w:fill="auto"/>
            <w:noWrap/>
            <w:vAlign w:val="bottom"/>
          </w:tcPr>
          <w:p w14:paraId="7CDB52B2" w14:textId="77777777" w:rsidR="00917C30" w:rsidRPr="00D16C2B" w:rsidRDefault="00917C30" w:rsidP="009E55FB">
            <w:pPr>
              <w:jc w:val="center"/>
              <w:rPr>
                <w:sz w:val="18"/>
                <w:szCs w:val="16"/>
              </w:rPr>
            </w:pPr>
            <w:r>
              <w:rPr>
                <w:sz w:val="18"/>
                <w:szCs w:val="18"/>
              </w:rPr>
              <w:t xml:space="preserve">             687.73 </w:t>
            </w:r>
          </w:p>
        </w:tc>
        <w:tc>
          <w:tcPr>
            <w:tcW w:w="1242" w:type="dxa"/>
            <w:shd w:val="clear" w:color="auto" w:fill="auto"/>
            <w:noWrap/>
            <w:vAlign w:val="bottom"/>
          </w:tcPr>
          <w:p w14:paraId="05008183" w14:textId="77777777" w:rsidR="00917C30" w:rsidRPr="00D16C2B" w:rsidRDefault="00917C30" w:rsidP="009E55FB">
            <w:pPr>
              <w:jc w:val="center"/>
              <w:rPr>
                <w:sz w:val="18"/>
                <w:szCs w:val="16"/>
              </w:rPr>
            </w:pPr>
            <w:r>
              <w:rPr>
                <w:sz w:val="18"/>
                <w:szCs w:val="18"/>
              </w:rPr>
              <w:t xml:space="preserve">             272.99 </w:t>
            </w:r>
          </w:p>
        </w:tc>
        <w:tc>
          <w:tcPr>
            <w:tcW w:w="1242" w:type="dxa"/>
            <w:shd w:val="clear" w:color="auto" w:fill="auto"/>
            <w:noWrap/>
            <w:vAlign w:val="bottom"/>
          </w:tcPr>
          <w:p w14:paraId="7F752207" w14:textId="77777777" w:rsidR="00917C30" w:rsidRPr="00D16C2B" w:rsidRDefault="00917C30" w:rsidP="009E55FB">
            <w:pPr>
              <w:jc w:val="center"/>
              <w:rPr>
                <w:sz w:val="18"/>
                <w:szCs w:val="16"/>
              </w:rPr>
            </w:pPr>
            <w:r>
              <w:rPr>
                <w:sz w:val="18"/>
                <w:szCs w:val="18"/>
              </w:rPr>
              <w:t xml:space="preserve">             522.45 </w:t>
            </w:r>
          </w:p>
        </w:tc>
        <w:tc>
          <w:tcPr>
            <w:tcW w:w="1242" w:type="dxa"/>
            <w:shd w:val="clear" w:color="auto" w:fill="auto"/>
            <w:noWrap/>
            <w:vAlign w:val="bottom"/>
          </w:tcPr>
          <w:p w14:paraId="4BA76386" w14:textId="6B6A76DB" w:rsidR="00917C30" w:rsidRPr="00D16C2B" w:rsidRDefault="00917C30" w:rsidP="009E55FB">
            <w:pPr>
              <w:jc w:val="center"/>
              <w:rPr>
                <w:sz w:val="18"/>
                <w:szCs w:val="16"/>
              </w:rPr>
            </w:pPr>
            <w:r>
              <w:rPr>
                <w:sz w:val="18"/>
                <w:szCs w:val="18"/>
              </w:rPr>
              <w:t>(249.46)</w:t>
            </w:r>
          </w:p>
        </w:tc>
        <w:tc>
          <w:tcPr>
            <w:tcW w:w="1242" w:type="dxa"/>
            <w:shd w:val="clear" w:color="auto" w:fill="auto"/>
            <w:noWrap/>
            <w:vAlign w:val="bottom"/>
          </w:tcPr>
          <w:p w14:paraId="6FA1E49E" w14:textId="445DBA7A" w:rsidR="00917C30" w:rsidRPr="00D16C2B" w:rsidRDefault="00917C30" w:rsidP="009E55FB">
            <w:pPr>
              <w:jc w:val="center"/>
              <w:rPr>
                <w:sz w:val="18"/>
                <w:szCs w:val="16"/>
              </w:rPr>
            </w:pPr>
            <w:r>
              <w:rPr>
                <w:sz w:val="18"/>
                <w:szCs w:val="18"/>
              </w:rPr>
              <w:t xml:space="preserve">249.46 </w:t>
            </w:r>
          </w:p>
        </w:tc>
        <w:tc>
          <w:tcPr>
            <w:tcW w:w="1242" w:type="dxa"/>
            <w:shd w:val="clear" w:color="auto" w:fill="auto"/>
            <w:noWrap/>
            <w:vAlign w:val="bottom"/>
          </w:tcPr>
          <w:p w14:paraId="30CC728B" w14:textId="035CA664" w:rsidR="00917C30" w:rsidRPr="00D16C2B" w:rsidRDefault="00336D5B" w:rsidP="009E55FB">
            <w:pPr>
              <w:jc w:val="center"/>
              <w:rPr>
                <w:sz w:val="18"/>
                <w:szCs w:val="16"/>
              </w:rPr>
            </w:pPr>
            <w:r>
              <w:rPr>
                <w:sz w:val="18"/>
              </w:rPr>
              <w:t>47.75</w:t>
            </w:r>
          </w:p>
        </w:tc>
      </w:tr>
      <w:tr w:rsidR="00917C30" w:rsidRPr="005A497D" w14:paraId="45A2496B" w14:textId="77777777" w:rsidTr="009E55FB">
        <w:trPr>
          <w:trHeight w:val="283"/>
        </w:trPr>
        <w:tc>
          <w:tcPr>
            <w:tcW w:w="1996" w:type="dxa"/>
            <w:shd w:val="clear" w:color="auto" w:fill="auto"/>
            <w:noWrap/>
            <w:vAlign w:val="center"/>
            <w:hideMark/>
          </w:tcPr>
          <w:p w14:paraId="40B79C82" w14:textId="77777777" w:rsidR="00917C30" w:rsidRPr="005A497D" w:rsidRDefault="00917C30" w:rsidP="009E55FB">
            <w:pPr>
              <w:rPr>
                <w:sz w:val="16"/>
                <w:szCs w:val="16"/>
                <w:lang w:eastAsia="en-IN"/>
              </w:rPr>
            </w:pPr>
            <w:r>
              <w:rPr>
                <w:sz w:val="16"/>
                <w:szCs w:val="16"/>
                <w:lang w:eastAsia="en-IN"/>
              </w:rPr>
              <w:t>Personnel</w:t>
            </w:r>
            <w:r w:rsidRPr="005A497D">
              <w:rPr>
                <w:sz w:val="16"/>
                <w:szCs w:val="16"/>
                <w:lang w:eastAsia="en-IN"/>
              </w:rPr>
              <w:t xml:space="preserve"> Services</w:t>
            </w:r>
          </w:p>
        </w:tc>
        <w:tc>
          <w:tcPr>
            <w:tcW w:w="1241" w:type="dxa"/>
            <w:shd w:val="clear" w:color="auto" w:fill="auto"/>
            <w:noWrap/>
            <w:vAlign w:val="bottom"/>
          </w:tcPr>
          <w:p w14:paraId="5EFBEEA2" w14:textId="77777777" w:rsidR="00917C30" w:rsidRPr="00D16C2B" w:rsidRDefault="00917C30" w:rsidP="009E55FB">
            <w:pPr>
              <w:jc w:val="center"/>
              <w:rPr>
                <w:sz w:val="18"/>
                <w:szCs w:val="16"/>
              </w:rPr>
            </w:pPr>
            <w:r>
              <w:rPr>
                <w:sz w:val="18"/>
                <w:szCs w:val="18"/>
              </w:rPr>
              <w:t xml:space="preserve">             658.11 </w:t>
            </w:r>
          </w:p>
        </w:tc>
        <w:tc>
          <w:tcPr>
            <w:tcW w:w="1242" w:type="dxa"/>
            <w:shd w:val="clear" w:color="auto" w:fill="auto"/>
            <w:noWrap/>
            <w:vAlign w:val="bottom"/>
          </w:tcPr>
          <w:p w14:paraId="01FE9AAA" w14:textId="77777777" w:rsidR="00917C30" w:rsidRPr="00D16C2B" w:rsidRDefault="00917C30" w:rsidP="009E55FB">
            <w:pPr>
              <w:jc w:val="center"/>
              <w:rPr>
                <w:sz w:val="18"/>
                <w:szCs w:val="16"/>
              </w:rPr>
            </w:pPr>
            <w:r>
              <w:rPr>
                <w:sz w:val="18"/>
                <w:szCs w:val="18"/>
              </w:rPr>
              <w:t xml:space="preserve">             634.80 </w:t>
            </w:r>
          </w:p>
        </w:tc>
        <w:tc>
          <w:tcPr>
            <w:tcW w:w="1242" w:type="dxa"/>
            <w:shd w:val="clear" w:color="auto" w:fill="auto"/>
            <w:noWrap/>
            <w:vAlign w:val="bottom"/>
          </w:tcPr>
          <w:p w14:paraId="1F802F1F" w14:textId="77777777" w:rsidR="00917C30" w:rsidRPr="00D16C2B" w:rsidRDefault="00917C30" w:rsidP="009E55FB">
            <w:pPr>
              <w:jc w:val="center"/>
              <w:rPr>
                <w:sz w:val="18"/>
                <w:szCs w:val="16"/>
              </w:rPr>
            </w:pPr>
            <w:r>
              <w:rPr>
                <w:sz w:val="18"/>
                <w:szCs w:val="18"/>
              </w:rPr>
              <w:t xml:space="preserve">             499.95 </w:t>
            </w:r>
          </w:p>
        </w:tc>
        <w:tc>
          <w:tcPr>
            <w:tcW w:w="1242" w:type="dxa"/>
            <w:shd w:val="clear" w:color="auto" w:fill="auto"/>
            <w:noWrap/>
            <w:vAlign w:val="bottom"/>
          </w:tcPr>
          <w:p w14:paraId="139C770F" w14:textId="6E252242" w:rsidR="00917C30" w:rsidRPr="00D16C2B" w:rsidRDefault="00917C30" w:rsidP="009E55FB">
            <w:pPr>
              <w:jc w:val="center"/>
              <w:rPr>
                <w:sz w:val="18"/>
                <w:szCs w:val="16"/>
              </w:rPr>
            </w:pPr>
            <w:r>
              <w:rPr>
                <w:sz w:val="18"/>
                <w:szCs w:val="18"/>
              </w:rPr>
              <w:t xml:space="preserve">134.85 </w:t>
            </w:r>
          </w:p>
        </w:tc>
        <w:tc>
          <w:tcPr>
            <w:tcW w:w="1242" w:type="dxa"/>
            <w:shd w:val="clear" w:color="auto" w:fill="auto"/>
            <w:noWrap/>
            <w:vAlign w:val="bottom"/>
          </w:tcPr>
          <w:p w14:paraId="749026CE" w14:textId="6BC8DA0E" w:rsidR="00917C30" w:rsidRPr="00D16C2B" w:rsidRDefault="00917C30" w:rsidP="009E55FB">
            <w:pPr>
              <w:jc w:val="center"/>
              <w:rPr>
                <w:sz w:val="18"/>
                <w:szCs w:val="16"/>
              </w:rPr>
            </w:pPr>
            <w:r>
              <w:rPr>
                <w:sz w:val="18"/>
                <w:szCs w:val="18"/>
              </w:rPr>
              <w:t xml:space="preserve">134.85 </w:t>
            </w:r>
          </w:p>
        </w:tc>
        <w:tc>
          <w:tcPr>
            <w:tcW w:w="1242" w:type="dxa"/>
            <w:shd w:val="clear" w:color="auto" w:fill="auto"/>
            <w:noWrap/>
            <w:vAlign w:val="bottom"/>
          </w:tcPr>
          <w:p w14:paraId="592D9B0E" w14:textId="3A09C2FC" w:rsidR="00917C30" w:rsidRPr="00D16C2B" w:rsidRDefault="00917C30" w:rsidP="00336D5B">
            <w:pPr>
              <w:jc w:val="center"/>
              <w:rPr>
                <w:sz w:val="18"/>
                <w:szCs w:val="16"/>
              </w:rPr>
            </w:pPr>
            <w:r>
              <w:rPr>
                <w:sz w:val="18"/>
              </w:rPr>
              <w:t>2</w:t>
            </w:r>
            <w:r w:rsidR="00336D5B">
              <w:rPr>
                <w:sz w:val="18"/>
              </w:rPr>
              <w:t>6</w:t>
            </w:r>
            <w:r>
              <w:rPr>
                <w:sz w:val="18"/>
              </w:rPr>
              <w:t>.</w:t>
            </w:r>
            <w:r w:rsidR="00336D5B">
              <w:rPr>
                <w:sz w:val="18"/>
              </w:rPr>
              <w:t>97</w:t>
            </w:r>
          </w:p>
        </w:tc>
      </w:tr>
      <w:tr w:rsidR="00917C30" w:rsidRPr="005A497D" w14:paraId="0BCB392C" w14:textId="77777777" w:rsidTr="009E55FB">
        <w:trPr>
          <w:trHeight w:val="283"/>
        </w:trPr>
        <w:tc>
          <w:tcPr>
            <w:tcW w:w="1996" w:type="dxa"/>
            <w:shd w:val="clear" w:color="auto" w:fill="auto"/>
            <w:noWrap/>
            <w:vAlign w:val="center"/>
            <w:hideMark/>
          </w:tcPr>
          <w:p w14:paraId="7DE765D5" w14:textId="77777777" w:rsidR="00917C30" w:rsidRPr="005A497D" w:rsidRDefault="00917C30" w:rsidP="009E55FB">
            <w:pPr>
              <w:rPr>
                <w:sz w:val="16"/>
                <w:szCs w:val="16"/>
                <w:lang w:eastAsia="en-IN"/>
              </w:rPr>
            </w:pPr>
            <w:r w:rsidRPr="005A497D">
              <w:rPr>
                <w:sz w:val="16"/>
                <w:szCs w:val="16"/>
                <w:lang w:eastAsia="en-IN"/>
              </w:rPr>
              <w:t>Financial expenses</w:t>
            </w:r>
          </w:p>
        </w:tc>
        <w:tc>
          <w:tcPr>
            <w:tcW w:w="1241" w:type="dxa"/>
            <w:shd w:val="clear" w:color="auto" w:fill="auto"/>
            <w:noWrap/>
            <w:vAlign w:val="bottom"/>
          </w:tcPr>
          <w:p w14:paraId="313AA606" w14:textId="77777777" w:rsidR="00917C30" w:rsidRPr="00D16C2B" w:rsidRDefault="00917C30" w:rsidP="009E55FB">
            <w:pPr>
              <w:jc w:val="center"/>
              <w:rPr>
                <w:sz w:val="18"/>
                <w:szCs w:val="16"/>
              </w:rPr>
            </w:pPr>
            <w:r>
              <w:rPr>
                <w:sz w:val="18"/>
                <w:szCs w:val="18"/>
              </w:rPr>
              <w:t xml:space="preserve">             354.11 </w:t>
            </w:r>
          </w:p>
        </w:tc>
        <w:tc>
          <w:tcPr>
            <w:tcW w:w="1242" w:type="dxa"/>
            <w:shd w:val="clear" w:color="auto" w:fill="auto"/>
            <w:noWrap/>
            <w:vAlign w:val="bottom"/>
          </w:tcPr>
          <w:p w14:paraId="32000195" w14:textId="77777777" w:rsidR="00917C30" w:rsidRPr="00D16C2B" w:rsidRDefault="00917C30" w:rsidP="009E55FB">
            <w:pPr>
              <w:jc w:val="center"/>
              <w:rPr>
                <w:sz w:val="18"/>
                <w:szCs w:val="16"/>
              </w:rPr>
            </w:pPr>
            <w:r>
              <w:rPr>
                <w:sz w:val="18"/>
                <w:szCs w:val="18"/>
              </w:rPr>
              <w:t xml:space="preserve">             321.65 </w:t>
            </w:r>
          </w:p>
        </w:tc>
        <w:tc>
          <w:tcPr>
            <w:tcW w:w="1242" w:type="dxa"/>
            <w:shd w:val="clear" w:color="auto" w:fill="auto"/>
            <w:noWrap/>
            <w:vAlign w:val="bottom"/>
          </w:tcPr>
          <w:p w14:paraId="45497CF5" w14:textId="77777777" w:rsidR="00917C30" w:rsidRPr="00D16C2B" w:rsidRDefault="00917C30" w:rsidP="009E55FB">
            <w:pPr>
              <w:jc w:val="center"/>
              <w:rPr>
                <w:sz w:val="18"/>
                <w:szCs w:val="16"/>
              </w:rPr>
            </w:pPr>
            <w:r>
              <w:rPr>
                <w:sz w:val="18"/>
                <w:szCs w:val="18"/>
              </w:rPr>
              <w:t xml:space="preserve">             269.01 </w:t>
            </w:r>
          </w:p>
        </w:tc>
        <w:tc>
          <w:tcPr>
            <w:tcW w:w="1242" w:type="dxa"/>
            <w:shd w:val="clear" w:color="auto" w:fill="auto"/>
            <w:noWrap/>
            <w:vAlign w:val="bottom"/>
          </w:tcPr>
          <w:p w14:paraId="2F4B95F3" w14:textId="7C3FDE40" w:rsidR="00917C30" w:rsidRPr="00D16C2B" w:rsidRDefault="00917C30" w:rsidP="009E55FB">
            <w:pPr>
              <w:jc w:val="center"/>
              <w:rPr>
                <w:sz w:val="18"/>
                <w:szCs w:val="16"/>
              </w:rPr>
            </w:pPr>
            <w:r>
              <w:rPr>
                <w:sz w:val="18"/>
                <w:szCs w:val="18"/>
              </w:rPr>
              <w:t xml:space="preserve">52.64 </w:t>
            </w:r>
          </w:p>
        </w:tc>
        <w:tc>
          <w:tcPr>
            <w:tcW w:w="1242" w:type="dxa"/>
            <w:shd w:val="clear" w:color="auto" w:fill="auto"/>
            <w:noWrap/>
            <w:vAlign w:val="bottom"/>
          </w:tcPr>
          <w:p w14:paraId="01C4680B" w14:textId="2D016BBC" w:rsidR="00917C30" w:rsidRPr="00D16C2B" w:rsidRDefault="00917C30" w:rsidP="009E55FB">
            <w:pPr>
              <w:jc w:val="center"/>
              <w:rPr>
                <w:sz w:val="18"/>
                <w:szCs w:val="16"/>
              </w:rPr>
            </w:pPr>
            <w:r>
              <w:rPr>
                <w:sz w:val="18"/>
                <w:szCs w:val="18"/>
              </w:rPr>
              <w:t xml:space="preserve">52.64 </w:t>
            </w:r>
          </w:p>
        </w:tc>
        <w:tc>
          <w:tcPr>
            <w:tcW w:w="1242" w:type="dxa"/>
            <w:shd w:val="clear" w:color="auto" w:fill="auto"/>
            <w:noWrap/>
            <w:vAlign w:val="bottom"/>
          </w:tcPr>
          <w:p w14:paraId="66D81C86" w14:textId="0214BB86" w:rsidR="00917C30" w:rsidRPr="00D16C2B" w:rsidRDefault="00336D5B" w:rsidP="009E55FB">
            <w:pPr>
              <w:jc w:val="center"/>
              <w:rPr>
                <w:sz w:val="18"/>
                <w:szCs w:val="16"/>
              </w:rPr>
            </w:pPr>
            <w:r>
              <w:rPr>
                <w:sz w:val="18"/>
              </w:rPr>
              <w:t>19.57</w:t>
            </w:r>
          </w:p>
        </w:tc>
      </w:tr>
      <w:tr w:rsidR="00917C30" w:rsidRPr="005A497D" w14:paraId="7A9B2CC5" w14:textId="77777777" w:rsidTr="009E55FB">
        <w:trPr>
          <w:trHeight w:val="283"/>
        </w:trPr>
        <w:tc>
          <w:tcPr>
            <w:tcW w:w="1996" w:type="dxa"/>
            <w:shd w:val="clear" w:color="auto" w:fill="auto"/>
            <w:noWrap/>
            <w:vAlign w:val="center"/>
            <w:hideMark/>
          </w:tcPr>
          <w:p w14:paraId="0E5CF41A" w14:textId="77777777" w:rsidR="00917C30" w:rsidRPr="005A497D" w:rsidRDefault="00917C30" w:rsidP="009E55FB">
            <w:pPr>
              <w:rPr>
                <w:b/>
                <w:bCs/>
                <w:sz w:val="16"/>
                <w:szCs w:val="16"/>
                <w:lang w:eastAsia="en-IN"/>
              </w:rPr>
            </w:pPr>
            <w:r w:rsidRPr="005A497D">
              <w:rPr>
                <w:b/>
                <w:bCs/>
                <w:sz w:val="16"/>
                <w:szCs w:val="16"/>
                <w:lang w:eastAsia="en-IN"/>
              </w:rPr>
              <w:t>Total expenditure</w:t>
            </w:r>
          </w:p>
        </w:tc>
        <w:tc>
          <w:tcPr>
            <w:tcW w:w="1241" w:type="dxa"/>
            <w:shd w:val="clear" w:color="auto" w:fill="auto"/>
            <w:noWrap/>
            <w:vAlign w:val="bottom"/>
          </w:tcPr>
          <w:p w14:paraId="1F0D35E1" w14:textId="77777777" w:rsidR="00917C30" w:rsidRPr="00D16C2B" w:rsidRDefault="00917C30" w:rsidP="009E55FB">
            <w:pPr>
              <w:jc w:val="center"/>
              <w:rPr>
                <w:color w:val="000000"/>
                <w:sz w:val="18"/>
                <w:szCs w:val="18"/>
              </w:rPr>
            </w:pPr>
            <w:r>
              <w:rPr>
                <w:b/>
                <w:bCs/>
                <w:sz w:val="18"/>
                <w:szCs w:val="18"/>
              </w:rPr>
              <w:t xml:space="preserve">          2,586.25 </w:t>
            </w:r>
          </w:p>
        </w:tc>
        <w:tc>
          <w:tcPr>
            <w:tcW w:w="1242" w:type="dxa"/>
            <w:shd w:val="clear" w:color="auto" w:fill="auto"/>
            <w:noWrap/>
            <w:vAlign w:val="bottom"/>
          </w:tcPr>
          <w:p w14:paraId="58D8C790" w14:textId="49C1E28A" w:rsidR="00917C30" w:rsidRPr="00D16C2B" w:rsidRDefault="00336D5B" w:rsidP="009E55FB">
            <w:pPr>
              <w:jc w:val="center"/>
              <w:rPr>
                <w:color w:val="000000"/>
                <w:sz w:val="18"/>
                <w:szCs w:val="18"/>
              </w:rPr>
            </w:pPr>
            <w:r>
              <w:rPr>
                <w:b/>
                <w:bCs/>
                <w:sz w:val="18"/>
                <w:szCs w:val="18"/>
              </w:rPr>
              <w:t xml:space="preserve">          1,964.71</w:t>
            </w:r>
            <w:r w:rsidR="00917C30">
              <w:rPr>
                <w:b/>
                <w:bCs/>
                <w:sz w:val="18"/>
                <w:szCs w:val="18"/>
              </w:rPr>
              <w:t xml:space="preserve"> </w:t>
            </w:r>
          </w:p>
        </w:tc>
        <w:tc>
          <w:tcPr>
            <w:tcW w:w="1242" w:type="dxa"/>
            <w:shd w:val="clear" w:color="auto" w:fill="auto"/>
            <w:noWrap/>
            <w:vAlign w:val="bottom"/>
          </w:tcPr>
          <w:p w14:paraId="0F6CBC74" w14:textId="1DBD8544" w:rsidR="00917C30" w:rsidRPr="00D16C2B" w:rsidRDefault="00336D5B" w:rsidP="009E55FB">
            <w:pPr>
              <w:jc w:val="center"/>
              <w:rPr>
                <w:sz w:val="18"/>
                <w:szCs w:val="18"/>
              </w:rPr>
            </w:pPr>
            <w:r>
              <w:rPr>
                <w:b/>
                <w:bCs/>
                <w:sz w:val="18"/>
                <w:szCs w:val="18"/>
              </w:rPr>
              <w:t xml:space="preserve">          1,964.71</w:t>
            </w:r>
            <w:r w:rsidR="00917C30">
              <w:rPr>
                <w:b/>
                <w:bCs/>
                <w:sz w:val="18"/>
                <w:szCs w:val="18"/>
              </w:rPr>
              <w:t xml:space="preserve"> </w:t>
            </w:r>
          </w:p>
        </w:tc>
        <w:tc>
          <w:tcPr>
            <w:tcW w:w="1242" w:type="dxa"/>
            <w:shd w:val="clear" w:color="auto" w:fill="auto"/>
            <w:noWrap/>
            <w:vAlign w:val="bottom"/>
          </w:tcPr>
          <w:p w14:paraId="59865926" w14:textId="70BDABBC" w:rsidR="00917C30" w:rsidRPr="00D16C2B" w:rsidRDefault="00336D5B" w:rsidP="009E55FB">
            <w:pPr>
              <w:jc w:val="center"/>
              <w:rPr>
                <w:sz w:val="18"/>
                <w:szCs w:val="18"/>
              </w:rPr>
            </w:pPr>
            <w:r>
              <w:rPr>
                <w:b/>
                <w:bCs/>
                <w:sz w:val="18"/>
                <w:szCs w:val="18"/>
              </w:rPr>
              <w:t>-</w:t>
            </w:r>
            <w:r w:rsidR="00917C30">
              <w:rPr>
                <w:b/>
                <w:bCs/>
                <w:sz w:val="18"/>
                <w:szCs w:val="18"/>
              </w:rPr>
              <w:t xml:space="preserve"> </w:t>
            </w:r>
          </w:p>
        </w:tc>
        <w:tc>
          <w:tcPr>
            <w:tcW w:w="1242" w:type="dxa"/>
            <w:shd w:val="clear" w:color="auto" w:fill="auto"/>
            <w:noWrap/>
            <w:vAlign w:val="bottom"/>
          </w:tcPr>
          <w:p w14:paraId="1216EAB0" w14:textId="0BE35249" w:rsidR="00917C30" w:rsidRPr="00D16C2B" w:rsidRDefault="00917C30" w:rsidP="009E55FB">
            <w:pPr>
              <w:jc w:val="center"/>
              <w:rPr>
                <w:sz w:val="18"/>
                <w:szCs w:val="18"/>
              </w:rPr>
            </w:pPr>
            <w:r>
              <w:rPr>
                <w:b/>
                <w:bCs/>
                <w:sz w:val="18"/>
                <w:szCs w:val="18"/>
              </w:rPr>
              <w:t xml:space="preserve">498.92 </w:t>
            </w:r>
          </w:p>
        </w:tc>
        <w:tc>
          <w:tcPr>
            <w:tcW w:w="1242" w:type="dxa"/>
            <w:shd w:val="clear" w:color="auto" w:fill="auto"/>
            <w:noWrap/>
            <w:vAlign w:val="center"/>
          </w:tcPr>
          <w:p w14:paraId="14361A49" w14:textId="77777777" w:rsidR="00917C30" w:rsidRPr="005A497D" w:rsidRDefault="00917C30" w:rsidP="009E55FB">
            <w:pPr>
              <w:jc w:val="right"/>
              <w:rPr>
                <w:sz w:val="16"/>
                <w:szCs w:val="16"/>
              </w:rPr>
            </w:pPr>
          </w:p>
        </w:tc>
      </w:tr>
      <w:tr w:rsidR="00917C30" w:rsidRPr="005A497D" w14:paraId="6435DEF6" w14:textId="77777777" w:rsidTr="009E55FB">
        <w:trPr>
          <w:trHeight w:val="283"/>
        </w:trPr>
        <w:tc>
          <w:tcPr>
            <w:tcW w:w="1996" w:type="dxa"/>
            <w:shd w:val="clear" w:color="auto" w:fill="auto"/>
            <w:noWrap/>
            <w:vAlign w:val="center"/>
            <w:hideMark/>
          </w:tcPr>
          <w:p w14:paraId="2E1181FF" w14:textId="77777777" w:rsidR="00917C30" w:rsidRPr="005A497D" w:rsidRDefault="00917C30" w:rsidP="009E55FB">
            <w:pPr>
              <w:rPr>
                <w:b/>
                <w:bCs/>
                <w:i/>
                <w:sz w:val="16"/>
                <w:szCs w:val="16"/>
                <w:lang w:eastAsia="en-IN"/>
              </w:rPr>
            </w:pPr>
            <w:r w:rsidRPr="005A497D">
              <w:rPr>
                <w:b/>
                <w:i/>
                <w:sz w:val="16"/>
                <w:szCs w:val="16"/>
                <w:lang w:eastAsia="en-IN"/>
              </w:rPr>
              <w:t>Composition Variance</w:t>
            </w:r>
          </w:p>
        </w:tc>
        <w:tc>
          <w:tcPr>
            <w:tcW w:w="7451" w:type="dxa"/>
            <w:gridSpan w:val="6"/>
            <w:shd w:val="clear" w:color="auto" w:fill="auto"/>
            <w:noWrap/>
            <w:vAlign w:val="center"/>
          </w:tcPr>
          <w:p w14:paraId="70B4D3FF" w14:textId="77777777" w:rsidR="00917C30" w:rsidRPr="00D16C2B" w:rsidRDefault="00917C30" w:rsidP="009E55FB">
            <w:pPr>
              <w:jc w:val="center"/>
              <w:rPr>
                <w:b/>
                <w:i/>
                <w:sz w:val="18"/>
                <w:szCs w:val="16"/>
              </w:rPr>
            </w:pPr>
            <w:r>
              <w:rPr>
                <w:b/>
                <w:i/>
                <w:sz w:val="18"/>
                <w:szCs w:val="20"/>
              </w:rPr>
              <w:t>25.39%</w:t>
            </w:r>
          </w:p>
        </w:tc>
      </w:tr>
    </w:tbl>
    <w:p w14:paraId="4708612E" w14:textId="77777777" w:rsidR="000907A7" w:rsidRPr="005A497D" w:rsidRDefault="000907A7" w:rsidP="000907A7">
      <w:pPr>
        <w:autoSpaceDE w:val="0"/>
        <w:autoSpaceDN w:val="0"/>
        <w:adjustRightInd w:val="0"/>
        <w:contextualSpacing/>
        <w:jc w:val="both"/>
      </w:pPr>
    </w:p>
    <w:p w14:paraId="2784F57C" w14:textId="58F201A7" w:rsidR="0047635C" w:rsidRDefault="0047635C" w:rsidP="0047635C">
      <w:pPr>
        <w:pStyle w:val="PEFATable"/>
        <w:spacing w:after="40"/>
        <w:jc w:val="both"/>
        <w:rPr>
          <w:sz w:val="24"/>
          <w:szCs w:val="24"/>
        </w:rPr>
      </w:pPr>
      <w:bookmarkStart w:id="444" w:name="_Toc454889274"/>
      <w:r w:rsidRPr="005A497D">
        <w:rPr>
          <w:sz w:val="24"/>
          <w:szCs w:val="24"/>
        </w:rPr>
        <w:t xml:space="preserve">Table </w:t>
      </w:r>
      <w:r w:rsidR="009A6E2C">
        <w:rPr>
          <w:sz w:val="24"/>
          <w:szCs w:val="24"/>
        </w:rPr>
        <w:t>A</w:t>
      </w:r>
      <w:r w:rsidR="0027211D">
        <w:rPr>
          <w:sz w:val="24"/>
          <w:szCs w:val="24"/>
        </w:rPr>
        <w:t>4</w:t>
      </w:r>
      <w:r w:rsidRPr="005A497D">
        <w:rPr>
          <w:sz w:val="24"/>
          <w:szCs w:val="24"/>
        </w:rPr>
        <w:t>.8: Results Matrix for PI-2</w:t>
      </w:r>
      <w:r w:rsidR="005A687A">
        <w:rPr>
          <w:sz w:val="24"/>
          <w:szCs w:val="24"/>
        </w:rPr>
        <w:t>.2</w:t>
      </w:r>
      <w:bookmarkEnd w:id="444"/>
    </w:p>
    <w:p w14:paraId="63923D22" w14:textId="77777777" w:rsidR="005A687A" w:rsidRPr="005A497D" w:rsidRDefault="005A687A" w:rsidP="0047635C">
      <w:pPr>
        <w:pStyle w:val="PEFATable"/>
        <w:spacing w:after="40"/>
        <w:jc w:val="both"/>
      </w:pPr>
    </w:p>
    <w:tbl>
      <w:tblPr>
        <w:tblW w:w="947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1"/>
        <w:gridCol w:w="6378"/>
      </w:tblGrid>
      <w:tr w:rsidR="00917C30" w:rsidRPr="003567C3" w14:paraId="6C827836" w14:textId="77777777" w:rsidTr="00917C30">
        <w:trPr>
          <w:trHeight w:val="397"/>
        </w:trPr>
        <w:tc>
          <w:tcPr>
            <w:tcW w:w="1854" w:type="dxa"/>
            <w:tcBorders>
              <w:top w:val="double" w:sz="4" w:space="0" w:color="auto"/>
              <w:left w:val="double" w:sz="4" w:space="0" w:color="auto"/>
              <w:bottom w:val="double" w:sz="4" w:space="0" w:color="auto"/>
            </w:tcBorders>
            <w:shd w:val="clear" w:color="auto" w:fill="D9D9D9" w:themeFill="background1" w:themeFillShade="D9"/>
            <w:noWrap/>
            <w:vAlign w:val="center"/>
            <w:hideMark/>
          </w:tcPr>
          <w:p w14:paraId="7BF1B82D" w14:textId="77777777" w:rsidR="00917C30" w:rsidRPr="005A687A" w:rsidRDefault="00917C30" w:rsidP="009E55FB">
            <w:pPr>
              <w:jc w:val="center"/>
              <w:rPr>
                <w:b/>
                <w:sz w:val="20"/>
                <w:szCs w:val="18"/>
                <w:lang w:eastAsia="en-IN"/>
              </w:rPr>
            </w:pPr>
            <w:r w:rsidRPr="005A687A">
              <w:rPr>
                <w:b/>
                <w:sz w:val="20"/>
                <w:szCs w:val="18"/>
                <w:lang w:eastAsia="en-IN"/>
              </w:rPr>
              <w:t>Year</w:t>
            </w:r>
          </w:p>
        </w:tc>
        <w:tc>
          <w:tcPr>
            <w:tcW w:w="3813" w:type="dxa"/>
            <w:tcBorders>
              <w:top w:val="double" w:sz="4" w:space="0" w:color="auto"/>
              <w:bottom w:val="double" w:sz="4" w:space="0" w:color="auto"/>
              <w:right w:val="double" w:sz="4" w:space="0" w:color="auto"/>
            </w:tcBorders>
            <w:shd w:val="clear" w:color="auto" w:fill="D9D9D9" w:themeFill="background1" w:themeFillShade="D9"/>
            <w:noWrap/>
            <w:vAlign w:val="center"/>
            <w:hideMark/>
          </w:tcPr>
          <w:p w14:paraId="0333925C" w14:textId="77777777" w:rsidR="00917C30" w:rsidRPr="005A687A" w:rsidRDefault="00917C30" w:rsidP="009E55FB">
            <w:pPr>
              <w:ind w:left="227" w:right="227"/>
              <w:jc w:val="center"/>
              <w:rPr>
                <w:b/>
                <w:sz w:val="20"/>
                <w:szCs w:val="18"/>
                <w:lang w:eastAsia="en-IN"/>
              </w:rPr>
            </w:pPr>
            <w:r w:rsidRPr="005A687A">
              <w:rPr>
                <w:b/>
                <w:sz w:val="20"/>
                <w:szCs w:val="18"/>
                <w:lang w:eastAsia="en-IN"/>
              </w:rPr>
              <w:t>Composition variance</w:t>
            </w:r>
          </w:p>
        </w:tc>
      </w:tr>
      <w:tr w:rsidR="00917C30" w:rsidRPr="005A497D" w14:paraId="62B77E84" w14:textId="77777777" w:rsidTr="00917C30">
        <w:trPr>
          <w:trHeight w:val="283"/>
        </w:trPr>
        <w:tc>
          <w:tcPr>
            <w:tcW w:w="1854" w:type="dxa"/>
            <w:tcBorders>
              <w:top w:val="double" w:sz="4" w:space="0" w:color="auto"/>
              <w:left w:val="double" w:sz="4" w:space="0" w:color="auto"/>
            </w:tcBorders>
            <w:shd w:val="clear" w:color="auto" w:fill="auto"/>
            <w:noWrap/>
            <w:vAlign w:val="center"/>
            <w:hideMark/>
          </w:tcPr>
          <w:p w14:paraId="644A9093" w14:textId="77777777" w:rsidR="00917C30" w:rsidRPr="00D16C2B" w:rsidRDefault="00917C30" w:rsidP="009E55FB">
            <w:pPr>
              <w:jc w:val="center"/>
              <w:rPr>
                <w:sz w:val="20"/>
                <w:szCs w:val="18"/>
                <w:lang w:eastAsia="en-IN"/>
              </w:rPr>
            </w:pPr>
            <w:r w:rsidRPr="00D16C2B">
              <w:rPr>
                <w:sz w:val="20"/>
                <w:szCs w:val="18"/>
                <w:lang w:eastAsia="en-IN"/>
              </w:rPr>
              <w:t>2012</w:t>
            </w:r>
          </w:p>
        </w:tc>
        <w:tc>
          <w:tcPr>
            <w:tcW w:w="3813" w:type="dxa"/>
            <w:tcBorders>
              <w:top w:val="double" w:sz="4" w:space="0" w:color="auto"/>
              <w:right w:val="double" w:sz="4" w:space="0" w:color="auto"/>
            </w:tcBorders>
            <w:shd w:val="clear" w:color="auto" w:fill="auto"/>
            <w:noWrap/>
            <w:vAlign w:val="center"/>
            <w:hideMark/>
          </w:tcPr>
          <w:p w14:paraId="1B9949F8" w14:textId="77777777" w:rsidR="00917C30" w:rsidRPr="00D16C2B" w:rsidRDefault="00917C30" w:rsidP="009E55FB">
            <w:pPr>
              <w:jc w:val="center"/>
              <w:rPr>
                <w:sz w:val="20"/>
                <w:szCs w:val="16"/>
                <w:lang w:eastAsia="en-IN"/>
              </w:rPr>
            </w:pPr>
            <w:r>
              <w:rPr>
                <w:sz w:val="20"/>
                <w:szCs w:val="20"/>
              </w:rPr>
              <w:t>14.13%</w:t>
            </w:r>
          </w:p>
        </w:tc>
      </w:tr>
      <w:tr w:rsidR="00917C30" w:rsidRPr="005A497D" w14:paraId="6D4B1415" w14:textId="77777777" w:rsidTr="00917C30">
        <w:trPr>
          <w:trHeight w:val="283"/>
        </w:trPr>
        <w:tc>
          <w:tcPr>
            <w:tcW w:w="1854" w:type="dxa"/>
            <w:tcBorders>
              <w:left w:val="double" w:sz="4" w:space="0" w:color="auto"/>
            </w:tcBorders>
            <w:shd w:val="clear" w:color="auto" w:fill="auto"/>
            <w:noWrap/>
            <w:vAlign w:val="center"/>
            <w:hideMark/>
          </w:tcPr>
          <w:p w14:paraId="347D7C79" w14:textId="77777777" w:rsidR="00917C30" w:rsidRPr="00D16C2B" w:rsidRDefault="00917C30" w:rsidP="009E55FB">
            <w:pPr>
              <w:jc w:val="center"/>
              <w:rPr>
                <w:sz w:val="20"/>
                <w:szCs w:val="18"/>
                <w:lang w:eastAsia="en-IN"/>
              </w:rPr>
            </w:pPr>
            <w:r w:rsidRPr="00D16C2B">
              <w:rPr>
                <w:sz w:val="20"/>
                <w:szCs w:val="18"/>
                <w:lang w:eastAsia="en-IN"/>
              </w:rPr>
              <w:t>2013</w:t>
            </w:r>
          </w:p>
        </w:tc>
        <w:tc>
          <w:tcPr>
            <w:tcW w:w="3813" w:type="dxa"/>
            <w:tcBorders>
              <w:right w:val="double" w:sz="4" w:space="0" w:color="auto"/>
            </w:tcBorders>
            <w:shd w:val="clear" w:color="auto" w:fill="auto"/>
            <w:noWrap/>
            <w:vAlign w:val="center"/>
            <w:hideMark/>
          </w:tcPr>
          <w:p w14:paraId="4D1D04B9" w14:textId="77777777" w:rsidR="00917C30" w:rsidRPr="00D16C2B" w:rsidRDefault="00917C30" w:rsidP="009E55FB">
            <w:pPr>
              <w:jc w:val="center"/>
              <w:rPr>
                <w:sz w:val="20"/>
                <w:szCs w:val="16"/>
                <w:lang w:eastAsia="en-IN"/>
              </w:rPr>
            </w:pPr>
            <w:r>
              <w:rPr>
                <w:sz w:val="20"/>
                <w:szCs w:val="20"/>
              </w:rPr>
              <w:t>14.75%</w:t>
            </w:r>
          </w:p>
        </w:tc>
      </w:tr>
      <w:tr w:rsidR="00917C30" w:rsidRPr="005A497D" w14:paraId="32E84231" w14:textId="77777777" w:rsidTr="00917C30">
        <w:trPr>
          <w:trHeight w:val="283"/>
        </w:trPr>
        <w:tc>
          <w:tcPr>
            <w:tcW w:w="1854" w:type="dxa"/>
            <w:tcBorders>
              <w:left w:val="double" w:sz="4" w:space="0" w:color="auto"/>
              <w:bottom w:val="double" w:sz="4" w:space="0" w:color="auto"/>
            </w:tcBorders>
            <w:shd w:val="clear" w:color="auto" w:fill="auto"/>
            <w:noWrap/>
            <w:vAlign w:val="center"/>
            <w:hideMark/>
          </w:tcPr>
          <w:p w14:paraId="744E5287" w14:textId="77777777" w:rsidR="00917C30" w:rsidRPr="00D16C2B" w:rsidRDefault="00917C30" w:rsidP="009E55FB">
            <w:pPr>
              <w:jc w:val="center"/>
              <w:rPr>
                <w:sz w:val="20"/>
                <w:szCs w:val="18"/>
                <w:lang w:eastAsia="en-IN"/>
              </w:rPr>
            </w:pPr>
            <w:r w:rsidRPr="00D16C2B">
              <w:rPr>
                <w:sz w:val="20"/>
                <w:szCs w:val="18"/>
                <w:lang w:eastAsia="en-IN"/>
              </w:rPr>
              <w:t>2014</w:t>
            </w:r>
          </w:p>
        </w:tc>
        <w:tc>
          <w:tcPr>
            <w:tcW w:w="3813" w:type="dxa"/>
            <w:tcBorders>
              <w:bottom w:val="double" w:sz="4" w:space="0" w:color="auto"/>
              <w:right w:val="double" w:sz="4" w:space="0" w:color="auto"/>
            </w:tcBorders>
            <w:shd w:val="clear" w:color="auto" w:fill="auto"/>
            <w:noWrap/>
            <w:vAlign w:val="center"/>
            <w:hideMark/>
          </w:tcPr>
          <w:p w14:paraId="7BC0EA45" w14:textId="77777777" w:rsidR="00917C30" w:rsidRPr="00D16C2B" w:rsidRDefault="00917C30" w:rsidP="009E55FB">
            <w:pPr>
              <w:jc w:val="center"/>
              <w:rPr>
                <w:sz w:val="20"/>
                <w:szCs w:val="16"/>
                <w:lang w:eastAsia="en-IN"/>
              </w:rPr>
            </w:pPr>
            <w:r>
              <w:rPr>
                <w:sz w:val="20"/>
                <w:szCs w:val="20"/>
              </w:rPr>
              <w:t>25.39%</w:t>
            </w:r>
          </w:p>
        </w:tc>
      </w:tr>
    </w:tbl>
    <w:p w14:paraId="497707B1" w14:textId="77777777" w:rsidR="0047635C" w:rsidRPr="005A497D" w:rsidRDefault="0047635C" w:rsidP="0047635C">
      <w:pPr>
        <w:autoSpaceDE w:val="0"/>
        <w:autoSpaceDN w:val="0"/>
        <w:adjustRightInd w:val="0"/>
        <w:contextualSpacing/>
        <w:jc w:val="both"/>
      </w:pPr>
    </w:p>
    <w:p w14:paraId="766EE30B" w14:textId="4BAF90E3" w:rsidR="00E95B45" w:rsidRDefault="00E95B45" w:rsidP="00E95B45">
      <w:pPr>
        <w:pStyle w:val="PEFATable"/>
        <w:spacing w:after="40"/>
        <w:jc w:val="both"/>
        <w:rPr>
          <w:sz w:val="24"/>
          <w:szCs w:val="24"/>
        </w:rPr>
      </w:pPr>
      <w:bookmarkStart w:id="445" w:name="_Toc454889275"/>
      <w:r w:rsidRPr="005A497D">
        <w:rPr>
          <w:sz w:val="24"/>
          <w:szCs w:val="24"/>
        </w:rPr>
        <w:t xml:space="preserve">Table </w:t>
      </w:r>
      <w:r w:rsidR="009A6E2C">
        <w:rPr>
          <w:sz w:val="24"/>
          <w:szCs w:val="24"/>
        </w:rPr>
        <w:t>A</w:t>
      </w:r>
      <w:r w:rsidR="0027211D">
        <w:rPr>
          <w:sz w:val="24"/>
          <w:szCs w:val="24"/>
        </w:rPr>
        <w:t>4</w:t>
      </w:r>
      <w:r w:rsidRPr="005A497D">
        <w:rPr>
          <w:sz w:val="24"/>
          <w:szCs w:val="24"/>
        </w:rPr>
        <w:t>.9: Data for PI-3, 2012</w:t>
      </w:r>
      <w:bookmarkEnd w:id="445"/>
    </w:p>
    <w:p w14:paraId="1B9CA5D2" w14:textId="77777777" w:rsidR="005A687A" w:rsidRPr="005A497D" w:rsidRDefault="005A687A" w:rsidP="00E95B45">
      <w:pPr>
        <w:pStyle w:val="PEFATable"/>
        <w:spacing w:after="40"/>
        <w:jc w:val="both"/>
      </w:pPr>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015"/>
        <w:gridCol w:w="1016"/>
        <w:gridCol w:w="1016"/>
        <w:gridCol w:w="1016"/>
        <w:gridCol w:w="1016"/>
        <w:gridCol w:w="1016"/>
      </w:tblGrid>
      <w:tr w:rsidR="006232F7" w:rsidRPr="003567C3" w14:paraId="393E1DE4" w14:textId="77777777" w:rsidTr="006232F7">
        <w:trPr>
          <w:trHeight w:val="144"/>
          <w:tblHeader/>
        </w:trPr>
        <w:tc>
          <w:tcPr>
            <w:tcW w:w="3272" w:type="dxa"/>
            <w:vMerge w:val="restart"/>
            <w:tcBorders>
              <w:top w:val="double" w:sz="4" w:space="0" w:color="auto"/>
              <w:left w:val="double" w:sz="4" w:space="0" w:color="auto"/>
            </w:tcBorders>
            <w:shd w:val="clear" w:color="auto" w:fill="D9D9D9" w:themeFill="background1" w:themeFillShade="D9"/>
            <w:noWrap/>
            <w:vAlign w:val="center"/>
          </w:tcPr>
          <w:p w14:paraId="793931BE" w14:textId="431B9D46" w:rsidR="006232F7" w:rsidRPr="005A687A" w:rsidRDefault="006232F7" w:rsidP="006232F7">
            <w:pPr>
              <w:jc w:val="center"/>
              <w:rPr>
                <w:b/>
                <w:sz w:val="16"/>
                <w:szCs w:val="16"/>
                <w:lang w:eastAsia="en-IN"/>
              </w:rPr>
            </w:pPr>
            <w:r w:rsidRPr="005A687A">
              <w:rPr>
                <w:b/>
                <w:sz w:val="16"/>
                <w:szCs w:val="16"/>
                <w:lang w:eastAsia="en-IN"/>
              </w:rPr>
              <w:t>Economic head</w:t>
            </w:r>
          </w:p>
        </w:tc>
        <w:tc>
          <w:tcPr>
            <w:tcW w:w="5079" w:type="dxa"/>
            <w:gridSpan w:val="5"/>
            <w:tcBorders>
              <w:top w:val="double" w:sz="4" w:space="0" w:color="auto"/>
              <w:bottom w:val="double" w:sz="4" w:space="0" w:color="auto"/>
            </w:tcBorders>
            <w:shd w:val="clear" w:color="auto" w:fill="D9D9D9" w:themeFill="background1" w:themeFillShade="D9"/>
            <w:noWrap/>
            <w:vAlign w:val="center"/>
          </w:tcPr>
          <w:p w14:paraId="0E6E531F" w14:textId="70B24E93" w:rsidR="006232F7" w:rsidRPr="005A687A" w:rsidRDefault="00AD1D03" w:rsidP="009C0F17">
            <w:pPr>
              <w:jc w:val="center"/>
              <w:rPr>
                <w:b/>
                <w:i/>
                <w:sz w:val="16"/>
                <w:szCs w:val="16"/>
                <w:lang w:eastAsia="en-IN"/>
              </w:rPr>
            </w:pPr>
            <w:r w:rsidRPr="005A687A">
              <w:rPr>
                <w:b/>
                <w:i/>
                <w:sz w:val="16"/>
                <w:szCs w:val="16"/>
                <w:lang w:eastAsia="en-IN"/>
              </w:rPr>
              <w:t>(</w:t>
            </w:r>
            <w:r w:rsidR="006232F7" w:rsidRPr="005A687A">
              <w:rPr>
                <w:b/>
                <w:i/>
                <w:sz w:val="16"/>
                <w:szCs w:val="16"/>
                <w:lang w:eastAsia="en-IN"/>
              </w:rPr>
              <w:t xml:space="preserve">PhP </w:t>
            </w:r>
            <w:r w:rsidR="009C0F17" w:rsidRPr="005A687A">
              <w:rPr>
                <w:b/>
                <w:i/>
                <w:sz w:val="16"/>
                <w:szCs w:val="16"/>
                <w:lang w:eastAsia="en-IN"/>
              </w:rPr>
              <w:t>millions</w:t>
            </w:r>
            <w:r w:rsidRPr="005A687A">
              <w:rPr>
                <w:b/>
                <w:i/>
                <w:sz w:val="16"/>
                <w:szCs w:val="16"/>
                <w:lang w:eastAsia="en-IN"/>
              </w:rPr>
              <w:t>)</w:t>
            </w:r>
          </w:p>
        </w:tc>
        <w:tc>
          <w:tcPr>
            <w:tcW w:w="1016" w:type="dxa"/>
            <w:vMerge w:val="restart"/>
            <w:tcBorders>
              <w:top w:val="double" w:sz="4" w:space="0" w:color="auto"/>
              <w:right w:val="double" w:sz="4" w:space="0" w:color="auto"/>
            </w:tcBorders>
            <w:shd w:val="clear" w:color="auto" w:fill="D9D9D9" w:themeFill="background1" w:themeFillShade="D9"/>
            <w:noWrap/>
            <w:vAlign w:val="center"/>
          </w:tcPr>
          <w:p w14:paraId="39778535" w14:textId="7B7B99E9" w:rsidR="006232F7" w:rsidRPr="005A687A" w:rsidRDefault="006232F7" w:rsidP="00A54D30">
            <w:pPr>
              <w:jc w:val="center"/>
              <w:rPr>
                <w:b/>
                <w:sz w:val="16"/>
                <w:szCs w:val="16"/>
                <w:lang w:eastAsia="en-IN"/>
              </w:rPr>
            </w:pPr>
            <w:r w:rsidRPr="005A687A">
              <w:rPr>
                <w:b/>
                <w:sz w:val="16"/>
                <w:szCs w:val="16"/>
                <w:lang w:eastAsia="en-IN"/>
              </w:rPr>
              <w:t>%</w:t>
            </w:r>
          </w:p>
        </w:tc>
      </w:tr>
      <w:tr w:rsidR="006232F7" w:rsidRPr="003567C3" w14:paraId="4AAF9435" w14:textId="77777777" w:rsidTr="006232F7">
        <w:trPr>
          <w:trHeight w:val="510"/>
          <w:tblHeader/>
        </w:trPr>
        <w:tc>
          <w:tcPr>
            <w:tcW w:w="3272" w:type="dxa"/>
            <w:vMerge/>
            <w:tcBorders>
              <w:left w:val="double" w:sz="4" w:space="0" w:color="auto"/>
              <w:bottom w:val="double" w:sz="4" w:space="0" w:color="auto"/>
            </w:tcBorders>
            <w:shd w:val="clear" w:color="auto" w:fill="D9D9D9" w:themeFill="background1" w:themeFillShade="D9"/>
            <w:noWrap/>
            <w:vAlign w:val="center"/>
            <w:hideMark/>
          </w:tcPr>
          <w:p w14:paraId="170923B8" w14:textId="572BF214" w:rsidR="006232F7" w:rsidRPr="005A687A" w:rsidRDefault="006232F7" w:rsidP="00A54D30">
            <w:pPr>
              <w:jc w:val="center"/>
              <w:rPr>
                <w:b/>
                <w:sz w:val="16"/>
                <w:szCs w:val="16"/>
                <w:lang w:eastAsia="en-IN"/>
              </w:rPr>
            </w:pPr>
          </w:p>
        </w:tc>
        <w:tc>
          <w:tcPr>
            <w:tcW w:w="1015" w:type="dxa"/>
            <w:tcBorders>
              <w:top w:val="double" w:sz="4" w:space="0" w:color="auto"/>
              <w:bottom w:val="double" w:sz="4" w:space="0" w:color="auto"/>
            </w:tcBorders>
            <w:shd w:val="clear" w:color="auto" w:fill="D9D9D9" w:themeFill="background1" w:themeFillShade="D9"/>
            <w:noWrap/>
            <w:vAlign w:val="center"/>
            <w:hideMark/>
          </w:tcPr>
          <w:p w14:paraId="54AC1419" w14:textId="77777777" w:rsidR="006232F7" w:rsidRPr="005A687A" w:rsidRDefault="006232F7" w:rsidP="00A54D30">
            <w:pPr>
              <w:jc w:val="center"/>
              <w:rPr>
                <w:b/>
                <w:bCs/>
                <w:sz w:val="16"/>
                <w:szCs w:val="16"/>
                <w:lang w:eastAsia="en-IN"/>
              </w:rPr>
            </w:pPr>
            <w:r w:rsidRPr="005A687A">
              <w:rPr>
                <w:b/>
                <w:bCs/>
                <w:sz w:val="16"/>
                <w:szCs w:val="16"/>
                <w:lang w:eastAsia="en-IN"/>
              </w:rPr>
              <w:t>Budget</w:t>
            </w:r>
          </w:p>
        </w:tc>
        <w:tc>
          <w:tcPr>
            <w:tcW w:w="1016" w:type="dxa"/>
            <w:tcBorders>
              <w:top w:val="double" w:sz="4" w:space="0" w:color="auto"/>
              <w:bottom w:val="double" w:sz="4" w:space="0" w:color="auto"/>
            </w:tcBorders>
            <w:shd w:val="clear" w:color="auto" w:fill="D9D9D9" w:themeFill="background1" w:themeFillShade="D9"/>
            <w:noWrap/>
            <w:vAlign w:val="center"/>
            <w:hideMark/>
          </w:tcPr>
          <w:p w14:paraId="688BDD25" w14:textId="77777777" w:rsidR="006232F7" w:rsidRPr="005A687A" w:rsidRDefault="006232F7" w:rsidP="00A54D30">
            <w:pPr>
              <w:jc w:val="center"/>
              <w:rPr>
                <w:b/>
                <w:bCs/>
                <w:sz w:val="16"/>
                <w:szCs w:val="16"/>
                <w:lang w:eastAsia="en-IN"/>
              </w:rPr>
            </w:pPr>
            <w:r w:rsidRPr="005A687A">
              <w:rPr>
                <w:b/>
                <w:bCs/>
                <w:sz w:val="16"/>
                <w:szCs w:val="16"/>
                <w:lang w:eastAsia="en-IN"/>
              </w:rPr>
              <w:t>Actual</w:t>
            </w:r>
          </w:p>
        </w:tc>
        <w:tc>
          <w:tcPr>
            <w:tcW w:w="1016" w:type="dxa"/>
            <w:tcBorders>
              <w:top w:val="double" w:sz="4" w:space="0" w:color="auto"/>
              <w:bottom w:val="double" w:sz="4" w:space="0" w:color="auto"/>
            </w:tcBorders>
            <w:shd w:val="clear" w:color="auto" w:fill="D9D9D9" w:themeFill="background1" w:themeFillShade="D9"/>
            <w:vAlign w:val="center"/>
            <w:hideMark/>
          </w:tcPr>
          <w:p w14:paraId="58AFBB04" w14:textId="427C39FF" w:rsidR="006232F7" w:rsidRPr="005A687A" w:rsidRDefault="006232F7" w:rsidP="006232F7">
            <w:pPr>
              <w:jc w:val="center"/>
              <w:rPr>
                <w:b/>
                <w:sz w:val="16"/>
                <w:szCs w:val="16"/>
                <w:lang w:eastAsia="en-IN"/>
              </w:rPr>
            </w:pPr>
            <w:r w:rsidRPr="005A687A">
              <w:rPr>
                <w:b/>
                <w:sz w:val="16"/>
                <w:szCs w:val="16"/>
                <w:lang w:eastAsia="en-IN"/>
              </w:rPr>
              <w:t>Adjusted budget</w:t>
            </w:r>
          </w:p>
        </w:tc>
        <w:tc>
          <w:tcPr>
            <w:tcW w:w="1016" w:type="dxa"/>
            <w:tcBorders>
              <w:top w:val="double" w:sz="4" w:space="0" w:color="auto"/>
              <w:bottom w:val="double" w:sz="4" w:space="0" w:color="auto"/>
            </w:tcBorders>
            <w:shd w:val="clear" w:color="auto" w:fill="D9D9D9" w:themeFill="background1" w:themeFillShade="D9"/>
            <w:vAlign w:val="center"/>
            <w:hideMark/>
          </w:tcPr>
          <w:p w14:paraId="68A67BD7" w14:textId="77777777" w:rsidR="006232F7" w:rsidRPr="005A687A" w:rsidRDefault="006232F7" w:rsidP="00A54D30">
            <w:pPr>
              <w:jc w:val="center"/>
              <w:rPr>
                <w:b/>
                <w:sz w:val="16"/>
                <w:szCs w:val="16"/>
                <w:lang w:eastAsia="en-IN"/>
              </w:rPr>
            </w:pPr>
            <w:r w:rsidRPr="005A687A">
              <w:rPr>
                <w:b/>
                <w:sz w:val="16"/>
                <w:szCs w:val="16"/>
                <w:lang w:eastAsia="en-IN"/>
              </w:rPr>
              <w:t>Deviation</w:t>
            </w:r>
          </w:p>
        </w:tc>
        <w:tc>
          <w:tcPr>
            <w:tcW w:w="1016" w:type="dxa"/>
            <w:tcBorders>
              <w:top w:val="double" w:sz="4" w:space="0" w:color="auto"/>
              <w:bottom w:val="double" w:sz="4" w:space="0" w:color="auto"/>
            </w:tcBorders>
            <w:shd w:val="clear" w:color="auto" w:fill="D9D9D9" w:themeFill="background1" w:themeFillShade="D9"/>
            <w:vAlign w:val="center"/>
            <w:hideMark/>
          </w:tcPr>
          <w:p w14:paraId="55E9DCD1" w14:textId="04306DE6" w:rsidR="006232F7" w:rsidRPr="005A687A" w:rsidRDefault="006232F7" w:rsidP="006232F7">
            <w:pPr>
              <w:jc w:val="center"/>
              <w:rPr>
                <w:b/>
                <w:sz w:val="16"/>
                <w:szCs w:val="16"/>
                <w:lang w:eastAsia="en-IN"/>
              </w:rPr>
            </w:pPr>
            <w:r w:rsidRPr="005A687A">
              <w:rPr>
                <w:b/>
                <w:sz w:val="16"/>
                <w:szCs w:val="16"/>
                <w:lang w:eastAsia="en-IN"/>
              </w:rPr>
              <w:t>Absolute deviation</w:t>
            </w:r>
          </w:p>
        </w:tc>
        <w:tc>
          <w:tcPr>
            <w:tcW w:w="1016" w:type="dxa"/>
            <w:vMerge/>
            <w:tcBorders>
              <w:bottom w:val="double" w:sz="4" w:space="0" w:color="auto"/>
              <w:right w:val="double" w:sz="4" w:space="0" w:color="auto"/>
            </w:tcBorders>
            <w:shd w:val="clear" w:color="auto" w:fill="D9D9D9" w:themeFill="background1" w:themeFillShade="D9"/>
            <w:noWrap/>
            <w:vAlign w:val="center"/>
            <w:hideMark/>
          </w:tcPr>
          <w:p w14:paraId="07C9257B" w14:textId="6817FE17" w:rsidR="006232F7" w:rsidRPr="003567C3" w:rsidRDefault="006232F7" w:rsidP="00A54D30">
            <w:pPr>
              <w:jc w:val="center"/>
              <w:rPr>
                <w:b/>
                <w:i/>
                <w:sz w:val="16"/>
                <w:szCs w:val="16"/>
                <w:lang w:eastAsia="en-IN"/>
              </w:rPr>
            </w:pPr>
          </w:p>
        </w:tc>
      </w:tr>
      <w:tr w:rsidR="00C4237C" w:rsidRPr="005A497D" w14:paraId="39C52789" w14:textId="77777777" w:rsidTr="00C4237C">
        <w:trPr>
          <w:trHeight w:val="288"/>
        </w:trPr>
        <w:tc>
          <w:tcPr>
            <w:tcW w:w="9367" w:type="dxa"/>
            <w:gridSpan w:val="7"/>
            <w:tcBorders>
              <w:top w:val="double" w:sz="4" w:space="0" w:color="auto"/>
              <w:left w:val="double" w:sz="4" w:space="0" w:color="auto"/>
              <w:right w:val="double" w:sz="4" w:space="0" w:color="auto"/>
            </w:tcBorders>
            <w:shd w:val="clear" w:color="auto" w:fill="auto"/>
            <w:noWrap/>
            <w:vAlign w:val="center"/>
            <w:hideMark/>
          </w:tcPr>
          <w:p w14:paraId="4CD59BC1" w14:textId="71577236" w:rsidR="00C4237C" w:rsidRPr="005A497D" w:rsidRDefault="00C4237C" w:rsidP="00C4237C">
            <w:pPr>
              <w:rPr>
                <w:b/>
                <w:sz w:val="16"/>
                <w:szCs w:val="16"/>
              </w:rPr>
            </w:pPr>
            <w:r w:rsidRPr="005A497D">
              <w:rPr>
                <w:b/>
                <w:sz w:val="16"/>
                <w:szCs w:val="16"/>
              </w:rPr>
              <w:t>T</w:t>
            </w:r>
            <w:r w:rsidR="00A54D30" w:rsidRPr="005A497D">
              <w:rPr>
                <w:b/>
                <w:sz w:val="16"/>
                <w:szCs w:val="16"/>
              </w:rPr>
              <w:t>ax R</w:t>
            </w:r>
            <w:r w:rsidRPr="005A497D">
              <w:rPr>
                <w:b/>
                <w:sz w:val="16"/>
                <w:szCs w:val="16"/>
              </w:rPr>
              <w:t>evenue</w:t>
            </w:r>
          </w:p>
        </w:tc>
      </w:tr>
      <w:tr w:rsidR="009C0F17" w:rsidRPr="005A497D" w14:paraId="580A43AB" w14:textId="77777777" w:rsidTr="009C0F17">
        <w:trPr>
          <w:trHeight w:val="288"/>
        </w:trPr>
        <w:tc>
          <w:tcPr>
            <w:tcW w:w="3272" w:type="dxa"/>
            <w:tcBorders>
              <w:top w:val="single" w:sz="4" w:space="0" w:color="auto"/>
              <w:left w:val="double" w:sz="4" w:space="0" w:color="auto"/>
            </w:tcBorders>
            <w:shd w:val="clear" w:color="auto" w:fill="auto"/>
            <w:noWrap/>
            <w:vAlign w:val="center"/>
            <w:hideMark/>
          </w:tcPr>
          <w:p w14:paraId="5B8A863D" w14:textId="07B3EF9B" w:rsidR="009C0F17" w:rsidRPr="005A497D" w:rsidRDefault="009C0F17" w:rsidP="009C0F17">
            <w:pPr>
              <w:rPr>
                <w:sz w:val="16"/>
                <w:szCs w:val="16"/>
              </w:rPr>
            </w:pPr>
            <w:r w:rsidRPr="005A497D">
              <w:rPr>
                <w:sz w:val="16"/>
                <w:szCs w:val="16"/>
              </w:rPr>
              <w:t>Taxes on income</w:t>
            </w:r>
            <w:r>
              <w:rPr>
                <w:sz w:val="16"/>
                <w:szCs w:val="16"/>
              </w:rPr>
              <w:t xml:space="preserve"> and</w:t>
            </w:r>
            <w:r w:rsidRPr="005A497D">
              <w:rPr>
                <w:sz w:val="16"/>
                <w:szCs w:val="16"/>
              </w:rPr>
              <w:t xml:space="preserve"> profits</w:t>
            </w:r>
          </w:p>
        </w:tc>
        <w:tc>
          <w:tcPr>
            <w:tcW w:w="1015" w:type="dxa"/>
            <w:tcBorders>
              <w:top w:val="single" w:sz="4" w:space="0" w:color="auto"/>
            </w:tcBorders>
            <w:shd w:val="clear" w:color="auto" w:fill="auto"/>
            <w:noWrap/>
            <w:vAlign w:val="bottom"/>
            <w:hideMark/>
          </w:tcPr>
          <w:p w14:paraId="6C4CB956" w14:textId="4D869ECF" w:rsidR="009C0F17" w:rsidRPr="005A497D" w:rsidRDefault="009C0F17" w:rsidP="009C0F17">
            <w:pPr>
              <w:jc w:val="right"/>
              <w:rPr>
                <w:sz w:val="16"/>
                <w:szCs w:val="16"/>
              </w:rPr>
            </w:pPr>
            <w:r>
              <w:rPr>
                <w:sz w:val="16"/>
                <w:szCs w:val="16"/>
              </w:rPr>
              <w:t>670,977</w:t>
            </w:r>
          </w:p>
        </w:tc>
        <w:tc>
          <w:tcPr>
            <w:tcW w:w="1016" w:type="dxa"/>
            <w:tcBorders>
              <w:top w:val="single" w:sz="4" w:space="0" w:color="auto"/>
            </w:tcBorders>
            <w:shd w:val="clear" w:color="auto" w:fill="auto"/>
            <w:noWrap/>
            <w:vAlign w:val="bottom"/>
            <w:hideMark/>
          </w:tcPr>
          <w:p w14:paraId="566EF6A7" w14:textId="21A3F478" w:rsidR="009C0F17" w:rsidRPr="005A497D" w:rsidRDefault="009C0F17" w:rsidP="009C0F17">
            <w:pPr>
              <w:jc w:val="right"/>
              <w:rPr>
                <w:sz w:val="16"/>
                <w:szCs w:val="16"/>
              </w:rPr>
            </w:pPr>
            <w:r>
              <w:rPr>
                <w:sz w:val="16"/>
                <w:szCs w:val="16"/>
              </w:rPr>
              <w:t>642,515</w:t>
            </w:r>
          </w:p>
        </w:tc>
        <w:tc>
          <w:tcPr>
            <w:tcW w:w="1016" w:type="dxa"/>
            <w:tcBorders>
              <w:top w:val="single" w:sz="4" w:space="0" w:color="auto"/>
            </w:tcBorders>
            <w:shd w:val="clear" w:color="auto" w:fill="auto"/>
            <w:noWrap/>
            <w:vAlign w:val="bottom"/>
            <w:hideMark/>
          </w:tcPr>
          <w:p w14:paraId="79F93969" w14:textId="06E4EA7F" w:rsidR="009C0F17" w:rsidRPr="005A497D" w:rsidRDefault="009C0F17" w:rsidP="009C0F17">
            <w:pPr>
              <w:jc w:val="right"/>
              <w:rPr>
                <w:sz w:val="16"/>
                <w:szCs w:val="16"/>
              </w:rPr>
            </w:pPr>
            <w:r>
              <w:rPr>
                <w:sz w:val="16"/>
                <w:szCs w:val="16"/>
              </w:rPr>
              <w:t xml:space="preserve">                659,932 </w:t>
            </w:r>
          </w:p>
        </w:tc>
        <w:tc>
          <w:tcPr>
            <w:tcW w:w="1016" w:type="dxa"/>
            <w:tcBorders>
              <w:top w:val="single" w:sz="4" w:space="0" w:color="auto"/>
            </w:tcBorders>
            <w:shd w:val="clear" w:color="auto" w:fill="auto"/>
            <w:noWrap/>
            <w:vAlign w:val="bottom"/>
            <w:hideMark/>
          </w:tcPr>
          <w:p w14:paraId="691C5BB1" w14:textId="42C57A7A" w:rsidR="009C0F17" w:rsidRPr="005A497D" w:rsidRDefault="009C0F17" w:rsidP="00AD0C41">
            <w:pPr>
              <w:jc w:val="right"/>
              <w:rPr>
                <w:sz w:val="16"/>
                <w:szCs w:val="16"/>
              </w:rPr>
            </w:pPr>
            <w:r>
              <w:rPr>
                <w:sz w:val="16"/>
                <w:szCs w:val="16"/>
              </w:rPr>
              <w:t>(17,41</w:t>
            </w:r>
            <w:r w:rsidR="00AD0C41">
              <w:rPr>
                <w:sz w:val="16"/>
                <w:szCs w:val="16"/>
              </w:rPr>
              <w:t>7</w:t>
            </w:r>
            <w:r>
              <w:rPr>
                <w:sz w:val="16"/>
                <w:szCs w:val="16"/>
              </w:rPr>
              <w:t>)</w:t>
            </w:r>
          </w:p>
        </w:tc>
        <w:tc>
          <w:tcPr>
            <w:tcW w:w="1016" w:type="dxa"/>
            <w:tcBorders>
              <w:top w:val="single" w:sz="4" w:space="0" w:color="auto"/>
            </w:tcBorders>
            <w:shd w:val="clear" w:color="auto" w:fill="auto"/>
            <w:noWrap/>
            <w:vAlign w:val="bottom"/>
            <w:hideMark/>
          </w:tcPr>
          <w:p w14:paraId="7FF67A86" w14:textId="2CF873B6" w:rsidR="009C0F17" w:rsidRPr="005A497D" w:rsidRDefault="009C0F17" w:rsidP="00AD0C41">
            <w:pPr>
              <w:jc w:val="right"/>
              <w:rPr>
                <w:sz w:val="16"/>
                <w:szCs w:val="16"/>
              </w:rPr>
            </w:pPr>
            <w:r>
              <w:rPr>
                <w:sz w:val="16"/>
                <w:szCs w:val="16"/>
              </w:rPr>
              <w:t>17,41</w:t>
            </w:r>
            <w:r w:rsidR="00AD0C41">
              <w:rPr>
                <w:sz w:val="16"/>
                <w:szCs w:val="16"/>
              </w:rPr>
              <w:t>7</w:t>
            </w:r>
            <w:r>
              <w:rPr>
                <w:sz w:val="16"/>
                <w:szCs w:val="16"/>
              </w:rPr>
              <w:t xml:space="preserve"> </w:t>
            </w:r>
          </w:p>
        </w:tc>
        <w:tc>
          <w:tcPr>
            <w:tcW w:w="1016" w:type="dxa"/>
            <w:tcBorders>
              <w:top w:val="single" w:sz="4" w:space="0" w:color="auto"/>
              <w:right w:val="double" w:sz="4" w:space="0" w:color="auto"/>
            </w:tcBorders>
            <w:shd w:val="clear" w:color="auto" w:fill="auto"/>
            <w:noWrap/>
            <w:vAlign w:val="bottom"/>
            <w:hideMark/>
          </w:tcPr>
          <w:p w14:paraId="2DC77618" w14:textId="76F5716D" w:rsidR="009C0F17" w:rsidRPr="005A497D" w:rsidRDefault="009C0F17" w:rsidP="009C0F17">
            <w:pPr>
              <w:jc w:val="right"/>
              <w:rPr>
                <w:sz w:val="16"/>
                <w:szCs w:val="16"/>
              </w:rPr>
            </w:pPr>
            <w:r>
              <w:rPr>
                <w:sz w:val="16"/>
                <w:szCs w:val="16"/>
              </w:rPr>
              <w:t>2.6%</w:t>
            </w:r>
          </w:p>
        </w:tc>
      </w:tr>
      <w:tr w:rsidR="009C0F17" w:rsidRPr="005A497D" w14:paraId="674F1E67" w14:textId="77777777" w:rsidTr="009C0F17">
        <w:trPr>
          <w:trHeight w:val="288"/>
        </w:trPr>
        <w:tc>
          <w:tcPr>
            <w:tcW w:w="3272" w:type="dxa"/>
            <w:tcBorders>
              <w:left w:val="double" w:sz="4" w:space="0" w:color="auto"/>
            </w:tcBorders>
            <w:shd w:val="clear" w:color="auto" w:fill="auto"/>
            <w:noWrap/>
            <w:vAlign w:val="center"/>
            <w:hideMark/>
          </w:tcPr>
          <w:p w14:paraId="75A15860" w14:textId="77777777" w:rsidR="009C0F17" w:rsidRPr="005A497D" w:rsidRDefault="009C0F17" w:rsidP="009C0F17">
            <w:pPr>
              <w:rPr>
                <w:sz w:val="16"/>
                <w:szCs w:val="16"/>
              </w:rPr>
            </w:pPr>
            <w:r w:rsidRPr="005A497D">
              <w:rPr>
                <w:sz w:val="16"/>
                <w:szCs w:val="16"/>
              </w:rPr>
              <w:t>Taxes on property</w:t>
            </w:r>
          </w:p>
        </w:tc>
        <w:tc>
          <w:tcPr>
            <w:tcW w:w="1015" w:type="dxa"/>
            <w:shd w:val="clear" w:color="auto" w:fill="auto"/>
            <w:noWrap/>
            <w:vAlign w:val="bottom"/>
            <w:hideMark/>
          </w:tcPr>
          <w:p w14:paraId="49C83F94" w14:textId="1EDE032F" w:rsidR="009C0F17" w:rsidRPr="005A497D" w:rsidRDefault="009C0F17" w:rsidP="009C0F17">
            <w:pPr>
              <w:jc w:val="right"/>
              <w:rPr>
                <w:sz w:val="16"/>
                <w:szCs w:val="16"/>
              </w:rPr>
            </w:pPr>
            <w:r>
              <w:rPr>
                <w:sz w:val="16"/>
                <w:szCs w:val="16"/>
              </w:rPr>
              <w:t>2,794</w:t>
            </w:r>
          </w:p>
        </w:tc>
        <w:tc>
          <w:tcPr>
            <w:tcW w:w="1016" w:type="dxa"/>
            <w:shd w:val="clear" w:color="auto" w:fill="auto"/>
            <w:noWrap/>
            <w:vAlign w:val="bottom"/>
            <w:hideMark/>
          </w:tcPr>
          <w:p w14:paraId="223BEF67" w14:textId="422E86B4" w:rsidR="009C0F17" w:rsidRPr="005A497D" w:rsidRDefault="009C0F17" w:rsidP="009C0F17">
            <w:pPr>
              <w:jc w:val="right"/>
              <w:rPr>
                <w:sz w:val="16"/>
                <w:szCs w:val="16"/>
              </w:rPr>
            </w:pPr>
            <w:r>
              <w:rPr>
                <w:sz w:val="16"/>
                <w:szCs w:val="16"/>
              </w:rPr>
              <w:t>3,615</w:t>
            </w:r>
          </w:p>
        </w:tc>
        <w:tc>
          <w:tcPr>
            <w:tcW w:w="1016" w:type="dxa"/>
            <w:shd w:val="clear" w:color="auto" w:fill="auto"/>
            <w:noWrap/>
            <w:vAlign w:val="bottom"/>
            <w:hideMark/>
          </w:tcPr>
          <w:p w14:paraId="705C05B3" w14:textId="2B82840A" w:rsidR="009C0F17" w:rsidRPr="005A497D" w:rsidRDefault="009C0F17" w:rsidP="009C0F17">
            <w:pPr>
              <w:jc w:val="right"/>
              <w:rPr>
                <w:sz w:val="16"/>
                <w:szCs w:val="16"/>
              </w:rPr>
            </w:pPr>
            <w:r>
              <w:rPr>
                <w:sz w:val="16"/>
                <w:szCs w:val="16"/>
              </w:rPr>
              <w:t xml:space="preserve">                    2,748 </w:t>
            </w:r>
          </w:p>
        </w:tc>
        <w:tc>
          <w:tcPr>
            <w:tcW w:w="1016" w:type="dxa"/>
            <w:shd w:val="clear" w:color="auto" w:fill="auto"/>
            <w:noWrap/>
            <w:vAlign w:val="bottom"/>
            <w:hideMark/>
          </w:tcPr>
          <w:p w14:paraId="1553A894" w14:textId="527BDB57" w:rsidR="009C0F17" w:rsidRPr="005A497D" w:rsidRDefault="009C0F17" w:rsidP="00AD0C41">
            <w:pPr>
              <w:jc w:val="right"/>
              <w:rPr>
                <w:sz w:val="16"/>
                <w:szCs w:val="16"/>
              </w:rPr>
            </w:pPr>
            <w:r>
              <w:rPr>
                <w:sz w:val="16"/>
                <w:szCs w:val="16"/>
              </w:rPr>
              <w:t xml:space="preserve">867 </w:t>
            </w:r>
          </w:p>
        </w:tc>
        <w:tc>
          <w:tcPr>
            <w:tcW w:w="1016" w:type="dxa"/>
            <w:shd w:val="clear" w:color="auto" w:fill="auto"/>
            <w:noWrap/>
            <w:vAlign w:val="bottom"/>
            <w:hideMark/>
          </w:tcPr>
          <w:p w14:paraId="4576F5AE" w14:textId="749A8AB8" w:rsidR="009C0F17" w:rsidRPr="005A497D" w:rsidRDefault="009C0F17" w:rsidP="00AD0C41">
            <w:pPr>
              <w:jc w:val="right"/>
              <w:rPr>
                <w:sz w:val="16"/>
                <w:szCs w:val="16"/>
              </w:rPr>
            </w:pPr>
            <w:r>
              <w:rPr>
                <w:sz w:val="16"/>
                <w:szCs w:val="16"/>
              </w:rPr>
              <w:t xml:space="preserve">867 </w:t>
            </w:r>
          </w:p>
        </w:tc>
        <w:tc>
          <w:tcPr>
            <w:tcW w:w="1016" w:type="dxa"/>
            <w:tcBorders>
              <w:right w:val="double" w:sz="4" w:space="0" w:color="auto"/>
            </w:tcBorders>
            <w:shd w:val="clear" w:color="auto" w:fill="auto"/>
            <w:noWrap/>
            <w:vAlign w:val="bottom"/>
            <w:hideMark/>
          </w:tcPr>
          <w:p w14:paraId="7FBBEBB9" w14:textId="1630CB05" w:rsidR="009C0F17" w:rsidRPr="005A497D" w:rsidRDefault="009C0F17" w:rsidP="009C0F17">
            <w:pPr>
              <w:jc w:val="right"/>
              <w:rPr>
                <w:sz w:val="16"/>
                <w:szCs w:val="16"/>
              </w:rPr>
            </w:pPr>
            <w:r>
              <w:rPr>
                <w:sz w:val="16"/>
                <w:szCs w:val="16"/>
              </w:rPr>
              <w:t>31.5%</w:t>
            </w:r>
          </w:p>
        </w:tc>
      </w:tr>
      <w:tr w:rsidR="009C0F17" w:rsidRPr="005A497D" w14:paraId="2D437CF9" w14:textId="77777777" w:rsidTr="009C0F17">
        <w:trPr>
          <w:trHeight w:val="288"/>
        </w:trPr>
        <w:tc>
          <w:tcPr>
            <w:tcW w:w="3272" w:type="dxa"/>
            <w:tcBorders>
              <w:left w:val="double" w:sz="4" w:space="0" w:color="auto"/>
            </w:tcBorders>
            <w:shd w:val="clear" w:color="auto" w:fill="auto"/>
            <w:noWrap/>
            <w:vAlign w:val="center"/>
            <w:hideMark/>
          </w:tcPr>
          <w:p w14:paraId="614E3B8B" w14:textId="77777777" w:rsidR="009C0F17" w:rsidRPr="005A497D" w:rsidRDefault="009C0F17" w:rsidP="009C0F17">
            <w:pPr>
              <w:rPr>
                <w:sz w:val="16"/>
                <w:szCs w:val="16"/>
              </w:rPr>
            </w:pPr>
            <w:r w:rsidRPr="005A497D">
              <w:rPr>
                <w:sz w:val="16"/>
                <w:szCs w:val="16"/>
              </w:rPr>
              <w:t>Taxes on goods and services</w:t>
            </w:r>
          </w:p>
        </w:tc>
        <w:tc>
          <w:tcPr>
            <w:tcW w:w="1015" w:type="dxa"/>
            <w:shd w:val="clear" w:color="auto" w:fill="auto"/>
            <w:noWrap/>
            <w:vAlign w:val="bottom"/>
            <w:hideMark/>
          </w:tcPr>
          <w:p w14:paraId="114F3371" w14:textId="54C83E17" w:rsidR="009C0F17" w:rsidRPr="005A497D" w:rsidRDefault="009C0F17" w:rsidP="009C0F17">
            <w:pPr>
              <w:jc w:val="right"/>
              <w:rPr>
                <w:sz w:val="16"/>
                <w:szCs w:val="16"/>
              </w:rPr>
            </w:pPr>
            <w:r>
              <w:rPr>
                <w:sz w:val="16"/>
                <w:szCs w:val="16"/>
              </w:rPr>
              <w:t>406,583</w:t>
            </w:r>
          </w:p>
        </w:tc>
        <w:tc>
          <w:tcPr>
            <w:tcW w:w="1016" w:type="dxa"/>
            <w:shd w:val="clear" w:color="auto" w:fill="auto"/>
            <w:noWrap/>
            <w:vAlign w:val="bottom"/>
            <w:hideMark/>
          </w:tcPr>
          <w:p w14:paraId="267537C4" w14:textId="05EA46F5" w:rsidR="009C0F17" w:rsidRPr="005A497D" w:rsidRDefault="009C0F17" w:rsidP="009C0F17">
            <w:pPr>
              <w:jc w:val="right"/>
              <w:rPr>
                <w:sz w:val="16"/>
                <w:szCs w:val="16"/>
              </w:rPr>
            </w:pPr>
            <w:r>
              <w:rPr>
                <w:sz w:val="16"/>
                <w:szCs w:val="16"/>
              </w:rPr>
              <w:t>425,078</w:t>
            </w:r>
          </w:p>
        </w:tc>
        <w:tc>
          <w:tcPr>
            <w:tcW w:w="1016" w:type="dxa"/>
            <w:shd w:val="clear" w:color="auto" w:fill="auto"/>
            <w:noWrap/>
            <w:vAlign w:val="bottom"/>
            <w:hideMark/>
          </w:tcPr>
          <w:p w14:paraId="79E91924" w14:textId="282E242F" w:rsidR="009C0F17" w:rsidRPr="005A497D" w:rsidRDefault="009C0F17" w:rsidP="009C0F17">
            <w:pPr>
              <w:jc w:val="right"/>
              <w:rPr>
                <w:sz w:val="16"/>
                <w:szCs w:val="16"/>
              </w:rPr>
            </w:pPr>
            <w:r>
              <w:rPr>
                <w:sz w:val="16"/>
                <w:szCs w:val="16"/>
              </w:rPr>
              <w:t xml:space="preserve">                399,890 </w:t>
            </w:r>
          </w:p>
        </w:tc>
        <w:tc>
          <w:tcPr>
            <w:tcW w:w="1016" w:type="dxa"/>
            <w:shd w:val="clear" w:color="auto" w:fill="auto"/>
            <w:noWrap/>
            <w:vAlign w:val="bottom"/>
            <w:hideMark/>
          </w:tcPr>
          <w:p w14:paraId="7E766A18" w14:textId="67C8A72F" w:rsidR="009C0F17" w:rsidRPr="005A497D" w:rsidRDefault="009C0F17" w:rsidP="00AD0C41">
            <w:pPr>
              <w:jc w:val="right"/>
              <w:rPr>
                <w:sz w:val="16"/>
                <w:szCs w:val="16"/>
              </w:rPr>
            </w:pPr>
            <w:r>
              <w:rPr>
                <w:sz w:val="16"/>
                <w:szCs w:val="16"/>
              </w:rPr>
              <w:t>25,18</w:t>
            </w:r>
            <w:r w:rsidR="00AD0C41">
              <w:rPr>
                <w:sz w:val="16"/>
                <w:szCs w:val="16"/>
              </w:rPr>
              <w:t>8</w:t>
            </w:r>
            <w:r>
              <w:rPr>
                <w:sz w:val="16"/>
                <w:szCs w:val="16"/>
              </w:rPr>
              <w:t xml:space="preserve"> </w:t>
            </w:r>
          </w:p>
        </w:tc>
        <w:tc>
          <w:tcPr>
            <w:tcW w:w="1016" w:type="dxa"/>
            <w:shd w:val="clear" w:color="auto" w:fill="auto"/>
            <w:noWrap/>
            <w:vAlign w:val="bottom"/>
            <w:hideMark/>
          </w:tcPr>
          <w:p w14:paraId="1FD109D7" w14:textId="17C2971C" w:rsidR="009C0F17" w:rsidRPr="005A497D" w:rsidRDefault="009C0F17" w:rsidP="00AD0C41">
            <w:pPr>
              <w:jc w:val="right"/>
              <w:rPr>
                <w:sz w:val="16"/>
                <w:szCs w:val="16"/>
              </w:rPr>
            </w:pPr>
            <w:r>
              <w:rPr>
                <w:sz w:val="16"/>
                <w:szCs w:val="16"/>
              </w:rPr>
              <w:t>25,18</w:t>
            </w:r>
            <w:r w:rsidR="00AD0C41">
              <w:rPr>
                <w:sz w:val="16"/>
                <w:szCs w:val="16"/>
              </w:rPr>
              <w:t>8</w:t>
            </w:r>
            <w:r>
              <w:rPr>
                <w:sz w:val="16"/>
                <w:szCs w:val="16"/>
              </w:rPr>
              <w:t xml:space="preserve"> </w:t>
            </w:r>
          </w:p>
        </w:tc>
        <w:tc>
          <w:tcPr>
            <w:tcW w:w="1016" w:type="dxa"/>
            <w:tcBorders>
              <w:right w:val="double" w:sz="4" w:space="0" w:color="auto"/>
            </w:tcBorders>
            <w:shd w:val="clear" w:color="auto" w:fill="auto"/>
            <w:noWrap/>
            <w:vAlign w:val="bottom"/>
            <w:hideMark/>
          </w:tcPr>
          <w:p w14:paraId="31733EF8" w14:textId="3C53043E" w:rsidR="009C0F17" w:rsidRPr="005A497D" w:rsidRDefault="009C0F17" w:rsidP="009C0F17">
            <w:pPr>
              <w:jc w:val="right"/>
              <w:rPr>
                <w:sz w:val="16"/>
                <w:szCs w:val="16"/>
              </w:rPr>
            </w:pPr>
            <w:r>
              <w:rPr>
                <w:sz w:val="16"/>
                <w:szCs w:val="16"/>
              </w:rPr>
              <w:t>6.3%</w:t>
            </w:r>
          </w:p>
        </w:tc>
      </w:tr>
      <w:tr w:rsidR="009C0F17" w:rsidRPr="005A497D" w14:paraId="5035E0B5" w14:textId="77777777" w:rsidTr="009C0F17">
        <w:trPr>
          <w:trHeight w:val="288"/>
        </w:trPr>
        <w:tc>
          <w:tcPr>
            <w:tcW w:w="3272" w:type="dxa"/>
            <w:tcBorders>
              <w:left w:val="double" w:sz="4" w:space="0" w:color="auto"/>
            </w:tcBorders>
            <w:shd w:val="clear" w:color="auto" w:fill="auto"/>
            <w:noWrap/>
            <w:vAlign w:val="center"/>
            <w:hideMark/>
          </w:tcPr>
          <w:p w14:paraId="111E1DDF" w14:textId="0E06E5C0" w:rsidR="009C0F17" w:rsidRPr="005A497D" w:rsidRDefault="009C0F17" w:rsidP="009C0F17">
            <w:pPr>
              <w:rPr>
                <w:sz w:val="16"/>
                <w:szCs w:val="16"/>
              </w:rPr>
            </w:pPr>
            <w:r>
              <w:rPr>
                <w:sz w:val="16"/>
                <w:szCs w:val="16"/>
              </w:rPr>
              <w:t>Taxes on im</w:t>
            </w:r>
            <w:r w:rsidRPr="005A497D">
              <w:rPr>
                <w:sz w:val="16"/>
                <w:szCs w:val="16"/>
              </w:rPr>
              <w:t>ports</w:t>
            </w:r>
          </w:p>
        </w:tc>
        <w:tc>
          <w:tcPr>
            <w:tcW w:w="1015" w:type="dxa"/>
            <w:shd w:val="clear" w:color="auto" w:fill="auto"/>
            <w:noWrap/>
            <w:vAlign w:val="bottom"/>
            <w:hideMark/>
          </w:tcPr>
          <w:p w14:paraId="4B6CBD71" w14:textId="5D134B4D" w:rsidR="009C0F17" w:rsidRPr="005A497D" w:rsidRDefault="009C0F17" w:rsidP="009C0F17">
            <w:pPr>
              <w:jc w:val="right"/>
              <w:rPr>
                <w:sz w:val="16"/>
                <w:szCs w:val="16"/>
              </w:rPr>
            </w:pPr>
            <w:r>
              <w:rPr>
                <w:sz w:val="16"/>
                <w:szCs w:val="16"/>
              </w:rPr>
              <w:t>347,073</w:t>
            </w:r>
          </w:p>
        </w:tc>
        <w:tc>
          <w:tcPr>
            <w:tcW w:w="1016" w:type="dxa"/>
            <w:shd w:val="clear" w:color="auto" w:fill="auto"/>
            <w:noWrap/>
            <w:vAlign w:val="bottom"/>
            <w:hideMark/>
          </w:tcPr>
          <w:p w14:paraId="25AC7231" w14:textId="5DEAA16F" w:rsidR="009C0F17" w:rsidRPr="005A497D" w:rsidRDefault="009C0F17" w:rsidP="009C0F17">
            <w:pPr>
              <w:jc w:val="right"/>
              <w:rPr>
                <w:sz w:val="16"/>
                <w:szCs w:val="16"/>
              </w:rPr>
            </w:pPr>
            <w:r>
              <w:rPr>
                <w:sz w:val="16"/>
                <w:szCs w:val="16"/>
              </w:rPr>
              <w:t>289,866</w:t>
            </w:r>
          </w:p>
        </w:tc>
        <w:tc>
          <w:tcPr>
            <w:tcW w:w="1016" w:type="dxa"/>
            <w:shd w:val="clear" w:color="auto" w:fill="auto"/>
            <w:noWrap/>
            <w:vAlign w:val="bottom"/>
            <w:hideMark/>
          </w:tcPr>
          <w:p w14:paraId="63A588FB" w14:textId="6C013E03" w:rsidR="009C0F17" w:rsidRPr="005A497D" w:rsidRDefault="009C0F17" w:rsidP="009C0F17">
            <w:pPr>
              <w:jc w:val="right"/>
              <w:rPr>
                <w:sz w:val="16"/>
                <w:szCs w:val="16"/>
              </w:rPr>
            </w:pPr>
            <w:r>
              <w:rPr>
                <w:sz w:val="16"/>
                <w:szCs w:val="16"/>
              </w:rPr>
              <w:t xml:space="preserve">                341,360 </w:t>
            </w:r>
          </w:p>
        </w:tc>
        <w:tc>
          <w:tcPr>
            <w:tcW w:w="1016" w:type="dxa"/>
            <w:shd w:val="clear" w:color="auto" w:fill="auto"/>
            <w:noWrap/>
            <w:vAlign w:val="bottom"/>
            <w:hideMark/>
          </w:tcPr>
          <w:p w14:paraId="6084F473" w14:textId="6DD5031A" w:rsidR="009C0F17" w:rsidRPr="005A497D" w:rsidRDefault="009C0F17" w:rsidP="00AD0C41">
            <w:pPr>
              <w:jc w:val="right"/>
              <w:rPr>
                <w:sz w:val="16"/>
                <w:szCs w:val="16"/>
              </w:rPr>
            </w:pPr>
            <w:r>
              <w:rPr>
                <w:sz w:val="16"/>
                <w:szCs w:val="16"/>
              </w:rPr>
              <w:t>(51,49</w:t>
            </w:r>
            <w:r w:rsidR="00AD0C41">
              <w:rPr>
                <w:sz w:val="16"/>
                <w:szCs w:val="16"/>
              </w:rPr>
              <w:t>4</w:t>
            </w:r>
            <w:r>
              <w:rPr>
                <w:sz w:val="16"/>
                <w:szCs w:val="16"/>
              </w:rPr>
              <w:t>)</w:t>
            </w:r>
          </w:p>
        </w:tc>
        <w:tc>
          <w:tcPr>
            <w:tcW w:w="1016" w:type="dxa"/>
            <w:shd w:val="clear" w:color="auto" w:fill="auto"/>
            <w:noWrap/>
            <w:vAlign w:val="bottom"/>
            <w:hideMark/>
          </w:tcPr>
          <w:p w14:paraId="67A2D5DD" w14:textId="1FE4EEA3" w:rsidR="009C0F17" w:rsidRPr="005A497D" w:rsidRDefault="009C0F17" w:rsidP="00AD0C41">
            <w:pPr>
              <w:jc w:val="right"/>
              <w:rPr>
                <w:sz w:val="16"/>
                <w:szCs w:val="16"/>
              </w:rPr>
            </w:pPr>
            <w:r>
              <w:rPr>
                <w:sz w:val="16"/>
                <w:szCs w:val="16"/>
              </w:rPr>
              <w:t>51,49</w:t>
            </w:r>
            <w:r w:rsidR="00AD0C41">
              <w:rPr>
                <w:sz w:val="16"/>
                <w:szCs w:val="16"/>
              </w:rPr>
              <w:t>4</w:t>
            </w:r>
            <w:r>
              <w:rPr>
                <w:sz w:val="16"/>
                <w:szCs w:val="16"/>
              </w:rPr>
              <w:t xml:space="preserve"> </w:t>
            </w:r>
          </w:p>
        </w:tc>
        <w:tc>
          <w:tcPr>
            <w:tcW w:w="1016" w:type="dxa"/>
            <w:tcBorders>
              <w:right w:val="double" w:sz="4" w:space="0" w:color="auto"/>
            </w:tcBorders>
            <w:shd w:val="clear" w:color="auto" w:fill="auto"/>
            <w:noWrap/>
            <w:vAlign w:val="bottom"/>
            <w:hideMark/>
          </w:tcPr>
          <w:p w14:paraId="6CF36350" w14:textId="2B227161" w:rsidR="009C0F17" w:rsidRPr="005A497D" w:rsidRDefault="009C0F17" w:rsidP="009C0F17">
            <w:pPr>
              <w:jc w:val="right"/>
              <w:rPr>
                <w:sz w:val="16"/>
                <w:szCs w:val="16"/>
              </w:rPr>
            </w:pPr>
            <w:r>
              <w:rPr>
                <w:sz w:val="16"/>
                <w:szCs w:val="16"/>
              </w:rPr>
              <w:t>15.1%</w:t>
            </w:r>
          </w:p>
        </w:tc>
      </w:tr>
      <w:tr w:rsidR="009C0F17" w:rsidRPr="005A497D" w14:paraId="0A8A6BED" w14:textId="77777777" w:rsidTr="00A54D30">
        <w:trPr>
          <w:trHeight w:val="288"/>
        </w:trPr>
        <w:tc>
          <w:tcPr>
            <w:tcW w:w="9367" w:type="dxa"/>
            <w:gridSpan w:val="7"/>
            <w:tcBorders>
              <w:left w:val="double" w:sz="4" w:space="0" w:color="auto"/>
              <w:right w:val="double" w:sz="4" w:space="0" w:color="auto"/>
            </w:tcBorders>
            <w:shd w:val="clear" w:color="auto" w:fill="auto"/>
            <w:noWrap/>
            <w:vAlign w:val="center"/>
            <w:hideMark/>
          </w:tcPr>
          <w:p w14:paraId="2E7646E4" w14:textId="77777777" w:rsidR="009C0F17" w:rsidRPr="005A497D" w:rsidRDefault="009C0F17" w:rsidP="009C0F17">
            <w:pPr>
              <w:rPr>
                <w:b/>
                <w:sz w:val="16"/>
                <w:szCs w:val="16"/>
              </w:rPr>
            </w:pPr>
            <w:r w:rsidRPr="005A497D">
              <w:rPr>
                <w:b/>
                <w:sz w:val="16"/>
                <w:szCs w:val="16"/>
              </w:rPr>
              <w:t>Grants</w:t>
            </w:r>
          </w:p>
        </w:tc>
      </w:tr>
      <w:tr w:rsidR="009C0F17" w:rsidRPr="005A497D" w14:paraId="03874269" w14:textId="77777777" w:rsidTr="0050571A">
        <w:trPr>
          <w:trHeight w:val="288"/>
        </w:trPr>
        <w:tc>
          <w:tcPr>
            <w:tcW w:w="3272" w:type="dxa"/>
            <w:tcBorders>
              <w:left w:val="double" w:sz="4" w:space="0" w:color="auto"/>
            </w:tcBorders>
            <w:shd w:val="clear" w:color="auto" w:fill="auto"/>
            <w:noWrap/>
            <w:vAlign w:val="center"/>
            <w:hideMark/>
          </w:tcPr>
          <w:p w14:paraId="309BFA72" w14:textId="77777777" w:rsidR="009C0F17" w:rsidRPr="005A497D" w:rsidRDefault="009C0F17" w:rsidP="009C0F17">
            <w:pPr>
              <w:rPr>
                <w:sz w:val="16"/>
                <w:szCs w:val="16"/>
              </w:rPr>
            </w:pPr>
            <w:r w:rsidRPr="005A497D">
              <w:rPr>
                <w:sz w:val="16"/>
                <w:szCs w:val="16"/>
              </w:rPr>
              <w:t>Grants from international organizations</w:t>
            </w:r>
          </w:p>
        </w:tc>
        <w:tc>
          <w:tcPr>
            <w:tcW w:w="1015" w:type="dxa"/>
            <w:shd w:val="clear" w:color="auto" w:fill="auto"/>
            <w:noWrap/>
            <w:vAlign w:val="center"/>
            <w:hideMark/>
          </w:tcPr>
          <w:p w14:paraId="6AE3C67F" w14:textId="2CA3B629" w:rsidR="009C0F17" w:rsidRPr="005A497D" w:rsidRDefault="00336D5B" w:rsidP="009C0F17">
            <w:pPr>
              <w:jc w:val="right"/>
              <w:rPr>
                <w:sz w:val="16"/>
                <w:szCs w:val="16"/>
              </w:rPr>
            </w:pPr>
            <w:r>
              <w:rPr>
                <w:sz w:val="16"/>
                <w:szCs w:val="16"/>
              </w:rPr>
              <w:t>-</w:t>
            </w:r>
          </w:p>
        </w:tc>
        <w:tc>
          <w:tcPr>
            <w:tcW w:w="1016" w:type="dxa"/>
            <w:shd w:val="clear" w:color="auto" w:fill="auto"/>
            <w:noWrap/>
            <w:vAlign w:val="center"/>
            <w:hideMark/>
          </w:tcPr>
          <w:p w14:paraId="3F42E33C" w14:textId="3654A714" w:rsidR="009C0F17" w:rsidRPr="005A497D" w:rsidRDefault="009C0F17" w:rsidP="009C0F17">
            <w:pPr>
              <w:jc w:val="right"/>
              <w:rPr>
                <w:sz w:val="16"/>
                <w:szCs w:val="16"/>
              </w:rPr>
            </w:pPr>
            <w:r w:rsidRPr="005A497D">
              <w:rPr>
                <w:sz w:val="16"/>
                <w:szCs w:val="16"/>
              </w:rPr>
              <w:t>99</w:t>
            </w:r>
          </w:p>
        </w:tc>
        <w:tc>
          <w:tcPr>
            <w:tcW w:w="1016" w:type="dxa"/>
            <w:shd w:val="clear" w:color="auto" w:fill="auto"/>
            <w:noWrap/>
            <w:vAlign w:val="center"/>
            <w:hideMark/>
          </w:tcPr>
          <w:p w14:paraId="04143A42" w14:textId="1F901FA8"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170BB811" w14:textId="771B44EC" w:rsidR="009C0F17" w:rsidRPr="005A497D" w:rsidRDefault="009C0F17" w:rsidP="00AD0C41">
            <w:pPr>
              <w:jc w:val="right"/>
              <w:rPr>
                <w:sz w:val="16"/>
                <w:szCs w:val="16"/>
              </w:rPr>
            </w:pPr>
            <w:r w:rsidRPr="005A497D">
              <w:rPr>
                <w:sz w:val="16"/>
                <w:szCs w:val="16"/>
              </w:rPr>
              <w:t>99</w:t>
            </w:r>
          </w:p>
        </w:tc>
        <w:tc>
          <w:tcPr>
            <w:tcW w:w="1016" w:type="dxa"/>
            <w:shd w:val="clear" w:color="auto" w:fill="auto"/>
            <w:noWrap/>
            <w:vAlign w:val="center"/>
            <w:hideMark/>
          </w:tcPr>
          <w:p w14:paraId="37A11F98" w14:textId="6C300A37" w:rsidR="009C0F17" w:rsidRPr="005A497D" w:rsidRDefault="009C0F17" w:rsidP="00AD0C41">
            <w:pPr>
              <w:jc w:val="right"/>
              <w:rPr>
                <w:sz w:val="16"/>
                <w:szCs w:val="16"/>
              </w:rPr>
            </w:pPr>
            <w:r w:rsidRPr="005A497D">
              <w:rPr>
                <w:sz w:val="16"/>
                <w:szCs w:val="16"/>
              </w:rPr>
              <w:t>99</w:t>
            </w:r>
          </w:p>
        </w:tc>
        <w:tc>
          <w:tcPr>
            <w:tcW w:w="1016" w:type="dxa"/>
            <w:tcBorders>
              <w:right w:val="double" w:sz="4" w:space="0" w:color="auto"/>
            </w:tcBorders>
            <w:shd w:val="clear" w:color="auto" w:fill="auto"/>
            <w:noWrap/>
            <w:vAlign w:val="center"/>
            <w:hideMark/>
          </w:tcPr>
          <w:p w14:paraId="3B45E5A2" w14:textId="3F41ED60" w:rsidR="009C0F17" w:rsidRPr="005A497D" w:rsidRDefault="009C0F17" w:rsidP="009C0F17">
            <w:pPr>
              <w:jc w:val="right"/>
              <w:rPr>
                <w:sz w:val="16"/>
                <w:szCs w:val="16"/>
              </w:rPr>
            </w:pPr>
          </w:p>
        </w:tc>
      </w:tr>
      <w:tr w:rsidR="009C0F17" w:rsidRPr="005A497D" w14:paraId="06FAA0E5" w14:textId="77777777" w:rsidTr="0050571A">
        <w:trPr>
          <w:trHeight w:val="288"/>
        </w:trPr>
        <w:tc>
          <w:tcPr>
            <w:tcW w:w="3272" w:type="dxa"/>
            <w:tcBorders>
              <w:left w:val="double" w:sz="4" w:space="0" w:color="auto"/>
            </w:tcBorders>
            <w:shd w:val="clear" w:color="auto" w:fill="auto"/>
            <w:noWrap/>
            <w:vAlign w:val="center"/>
            <w:hideMark/>
          </w:tcPr>
          <w:p w14:paraId="770B5F5A" w14:textId="77777777" w:rsidR="009C0F17" w:rsidRPr="005A497D" w:rsidRDefault="009C0F17" w:rsidP="009C0F17">
            <w:pPr>
              <w:rPr>
                <w:sz w:val="16"/>
                <w:szCs w:val="16"/>
              </w:rPr>
            </w:pPr>
            <w:r w:rsidRPr="005A497D">
              <w:rPr>
                <w:sz w:val="16"/>
                <w:szCs w:val="16"/>
              </w:rPr>
              <w:t>Grants from other government units</w:t>
            </w:r>
          </w:p>
        </w:tc>
        <w:tc>
          <w:tcPr>
            <w:tcW w:w="1015" w:type="dxa"/>
            <w:shd w:val="clear" w:color="auto" w:fill="auto"/>
            <w:noWrap/>
            <w:vAlign w:val="center"/>
            <w:hideMark/>
          </w:tcPr>
          <w:p w14:paraId="0A55FC28" w14:textId="77777777" w:rsidR="009C0F17" w:rsidRPr="005A497D" w:rsidRDefault="009C0F17" w:rsidP="009C0F17">
            <w:pPr>
              <w:jc w:val="right"/>
              <w:rPr>
                <w:sz w:val="16"/>
                <w:szCs w:val="16"/>
              </w:rPr>
            </w:pPr>
          </w:p>
        </w:tc>
        <w:tc>
          <w:tcPr>
            <w:tcW w:w="1016" w:type="dxa"/>
            <w:shd w:val="clear" w:color="auto" w:fill="auto"/>
            <w:noWrap/>
            <w:vAlign w:val="center"/>
            <w:hideMark/>
          </w:tcPr>
          <w:p w14:paraId="1FB732C5" w14:textId="77777777" w:rsidR="009C0F17" w:rsidRPr="005A497D" w:rsidRDefault="009C0F17" w:rsidP="009C0F17">
            <w:pPr>
              <w:jc w:val="right"/>
              <w:rPr>
                <w:sz w:val="16"/>
                <w:szCs w:val="16"/>
              </w:rPr>
            </w:pPr>
          </w:p>
        </w:tc>
        <w:tc>
          <w:tcPr>
            <w:tcW w:w="1016" w:type="dxa"/>
            <w:shd w:val="clear" w:color="auto" w:fill="auto"/>
            <w:noWrap/>
            <w:vAlign w:val="center"/>
            <w:hideMark/>
          </w:tcPr>
          <w:p w14:paraId="522377CC" w14:textId="0A04E32F"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35B7AAD8" w14:textId="788C37A5"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62220339" w14:textId="363FB046" w:rsidR="009C0F17" w:rsidRPr="005A497D" w:rsidRDefault="00AD0C41" w:rsidP="009C0F17">
            <w:pPr>
              <w:jc w:val="right"/>
              <w:rPr>
                <w:sz w:val="16"/>
                <w:szCs w:val="16"/>
              </w:rPr>
            </w:pPr>
            <w:r>
              <w:rPr>
                <w:sz w:val="16"/>
                <w:szCs w:val="16"/>
              </w:rPr>
              <w:t>-</w:t>
            </w:r>
          </w:p>
        </w:tc>
        <w:tc>
          <w:tcPr>
            <w:tcW w:w="1016" w:type="dxa"/>
            <w:tcBorders>
              <w:right w:val="double" w:sz="4" w:space="0" w:color="auto"/>
            </w:tcBorders>
            <w:shd w:val="clear" w:color="auto" w:fill="auto"/>
            <w:noWrap/>
            <w:vAlign w:val="center"/>
            <w:hideMark/>
          </w:tcPr>
          <w:p w14:paraId="4DE28AFB" w14:textId="2513F4EE" w:rsidR="009C0F17" w:rsidRPr="005A497D" w:rsidRDefault="009C0F17" w:rsidP="009C0F17">
            <w:pPr>
              <w:jc w:val="right"/>
              <w:rPr>
                <w:sz w:val="16"/>
                <w:szCs w:val="16"/>
              </w:rPr>
            </w:pPr>
          </w:p>
        </w:tc>
      </w:tr>
      <w:tr w:rsidR="009C0F17" w:rsidRPr="005A497D" w14:paraId="57EB8F1A" w14:textId="7DDD17F6" w:rsidTr="00C4237C">
        <w:trPr>
          <w:trHeight w:val="288"/>
        </w:trPr>
        <w:tc>
          <w:tcPr>
            <w:tcW w:w="9367" w:type="dxa"/>
            <w:gridSpan w:val="7"/>
            <w:tcBorders>
              <w:left w:val="double" w:sz="4" w:space="0" w:color="auto"/>
              <w:right w:val="double" w:sz="4" w:space="0" w:color="auto"/>
            </w:tcBorders>
            <w:shd w:val="clear" w:color="auto" w:fill="auto"/>
            <w:noWrap/>
            <w:vAlign w:val="center"/>
            <w:hideMark/>
          </w:tcPr>
          <w:p w14:paraId="57FB1F45" w14:textId="22965F92" w:rsidR="009C0F17" w:rsidRPr="005A497D" w:rsidRDefault="009C0F17" w:rsidP="009C0F17">
            <w:pPr>
              <w:rPr>
                <w:b/>
                <w:sz w:val="16"/>
                <w:szCs w:val="16"/>
              </w:rPr>
            </w:pPr>
            <w:r w:rsidRPr="005A497D">
              <w:rPr>
                <w:b/>
                <w:sz w:val="16"/>
                <w:szCs w:val="16"/>
              </w:rPr>
              <w:t>Other Revenues</w:t>
            </w:r>
          </w:p>
        </w:tc>
      </w:tr>
      <w:tr w:rsidR="009C0F17" w:rsidRPr="005A497D" w14:paraId="1632F8B1" w14:textId="77777777" w:rsidTr="009C0F17">
        <w:trPr>
          <w:trHeight w:val="288"/>
        </w:trPr>
        <w:tc>
          <w:tcPr>
            <w:tcW w:w="3272" w:type="dxa"/>
            <w:tcBorders>
              <w:left w:val="double" w:sz="4" w:space="0" w:color="auto"/>
            </w:tcBorders>
            <w:shd w:val="clear" w:color="auto" w:fill="auto"/>
            <w:noWrap/>
            <w:vAlign w:val="center"/>
            <w:hideMark/>
          </w:tcPr>
          <w:p w14:paraId="16623B2F" w14:textId="77777777" w:rsidR="009C0F17" w:rsidRPr="005A497D" w:rsidRDefault="009C0F17" w:rsidP="009C0F17">
            <w:pPr>
              <w:rPr>
                <w:sz w:val="16"/>
                <w:szCs w:val="16"/>
              </w:rPr>
            </w:pPr>
            <w:r w:rsidRPr="005A497D">
              <w:rPr>
                <w:sz w:val="16"/>
                <w:szCs w:val="16"/>
              </w:rPr>
              <w:t>Premiums, fees, and claims related to nonlife insurance and standardized guarantee schemes</w:t>
            </w:r>
          </w:p>
        </w:tc>
        <w:tc>
          <w:tcPr>
            <w:tcW w:w="1015" w:type="dxa"/>
            <w:shd w:val="clear" w:color="auto" w:fill="auto"/>
            <w:noWrap/>
            <w:vAlign w:val="bottom"/>
            <w:hideMark/>
          </w:tcPr>
          <w:p w14:paraId="5185448D" w14:textId="49EF87DF" w:rsidR="009C0F17" w:rsidRPr="005A497D" w:rsidRDefault="009C0F17" w:rsidP="009C0F17">
            <w:pPr>
              <w:jc w:val="right"/>
              <w:rPr>
                <w:sz w:val="16"/>
                <w:szCs w:val="16"/>
              </w:rPr>
            </w:pPr>
            <w:r>
              <w:rPr>
                <w:sz w:val="16"/>
                <w:szCs w:val="16"/>
              </w:rPr>
              <w:t xml:space="preserve">                69,446 </w:t>
            </w:r>
          </w:p>
        </w:tc>
        <w:tc>
          <w:tcPr>
            <w:tcW w:w="1016" w:type="dxa"/>
            <w:shd w:val="clear" w:color="auto" w:fill="auto"/>
            <w:noWrap/>
            <w:vAlign w:val="bottom"/>
            <w:hideMark/>
          </w:tcPr>
          <w:p w14:paraId="00A3C432" w14:textId="784E5327" w:rsidR="009C0F17" w:rsidRPr="005A497D" w:rsidRDefault="009C0F17" w:rsidP="009C0F17">
            <w:pPr>
              <w:jc w:val="right"/>
              <w:rPr>
                <w:sz w:val="16"/>
                <w:szCs w:val="16"/>
              </w:rPr>
            </w:pPr>
            <w:r>
              <w:rPr>
                <w:sz w:val="16"/>
                <w:szCs w:val="16"/>
              </w:rPr>
              <w:t xml:space="preserve">                81,332 </w:t>
            </w:r>
          </w:p>
        </w:tc>
        <w:tc>
          <w:tcPr>
            <w:tcW w:w="1016" w:type="dxa"/>
            <w:shd w:val="clear" w:color="auto" w:fill="auto"/>
            <w:noWrap/>
            <w:vAlign w:val="bottom"/>
            <w:hideMark/>
          </w:tcPr>
          <w:p w14:paraId="25AA6604" w14:textId="445A46AB" w:rsidR="009C0F17" w:rsidRPr="005A497D" w:rsidRDefault="009C0F17" w:rsidP="00AD0C41">
            <w:pPr>
              <w:jc w:val="right"/>
              <w:rPr>
                <w:sz w:val="16"/>
                <w:szCs w:val="16"/>
              </w:rPr>
            </w:pPr>
            <w:r>
              <w:rPr>
                <w:sz w:val="16"/>
                <w:szCs w:val="16"/>
              </w:rPr>
              <w:t xml:space="preserve">               68,30</w:t>
            </w:r>
            <w:r w:rsidR="00AD0C41">
              <w:rPr>
                <w:sz w:val="16"/>
                <w:szCs w:val="16"/>
              </w:rPr>
              <w:t>3</w:t>
            </w:r>
            <w:r>
              <w:rPr>
                <w:sz w:val="16"/>
                <w:szCs w:val="16"/>
              </w:rPr>
              <w:t xml:space="preserve"> </w:t>
            </w:r>
          </w:p>
        </w:tc>
        <w:tc>
          <w:tcPr>
            <w:tcW w:w="1016" w:type="dxa"/>
            <w:shd w:val="clear" w:color="auto" w:fill="auto"/>
            <w:noWrap/>
            <w:vAlign w:val="bottom"/>
            <w:hideMark/>
          </w:tcPr>
          <w:p w14:paraId="1518759C" w14:textId="5655F4C6" w:rsidR="009C0F17" w:rsidRPr="005A497D" w:rsidRDefault="009C0F17" w:rsidP="008F413F">
            <w:pPr>
              <w:jc w:val="right"/>
              <w:rPr>
                <w:sz w:val="16"/>
                <w:szCs w:val="16"/>
              </w:rPr>
            </w:pPr>
            <w:r>
              <w:rPr>
                <w:sz w:val="16"/>
                <w:szCs w:val="16"/>
              </w:rPr>
              <w:t>13,029</w:t>
            </w:r>
          </w:p>
        </w:tc>
        <w:tc>
          <w:tcPr>
            <w:tcW w:w="1016" w:type="dxa"/>
            <w:shd w:val="clear" w:color="auto" w:fill="auto"/>
            <w:noWrap/>
            <w:vAlign w:val="bottom"/>
            <w:hideMark/>
          </w:tcPr>
          <w:p w14:paraId="66648B98" w14:textId="4B5286AE" w:rsidR="009C0F17" w:rsidRPr="005A497D" w:rsidRDefault="009C0F17" w:rsidP="009C0F17">
            <w:pPr>
              <w:jc w:val="right"/>
              <w:rPr>
                <w:sz w:val="16"/>
                <w:szCs w:val="16"/>
              </w:rPr>
            </w:pPr>
            <w:r>
              <w:rPr>
                <w:sz w:val="16"/>
                <w:szCs w:val="16"/>
              </w:rPr>
              <w:t>13,029</w:t>
            </w:r>
          </w:p>
        </w:tc>
        <w:tc>
          <w:tcPr>
            <w:tcW w:w="1016" w:type="dxa"/>
            <w:tcBorders>
              <w:right w:val="double" w:sz="4" w:space="0" w:color="auto"/>
            </w:tcBorders>
            <w:shd w:val="clear" w:color="auto" w:fill="auto"/>
            <w:noWrap/>
            <w:vAlign w:val="bottom"/>
            <w:hideMark/>
          </w:tcPr>
          <w:p w14:paraId="3A4C24F7" w14:textId="4A8FEE18" w:rsidR="009C0F17" w:rsidRPr="005A497D" w:rsidRDefault="009C0F17" w:rsidP="009C0F17">
            <w:pPr>
              <w:jc w:val="right"/>
              <w:rPr>
                <w:sz w:val="16"/>
                <w:szCs w:val="16"/>
              </w:rPr>
            </w:pPr>
            <w:r>
              <w:rPr>
                <w:sz w:val="16"/>
                <w:szCs w:val="16"/>
              </w:rPr>
              <w:t>19.1%</w:t>
            </w:r>
          </w:p>
        </w:tc>
      </w:tr>
      <w:tr w:rsidR="009C0F17" w:rsidRPr="005A497D" w14:paraId="1423280B" w14:textId="77777777" w:rsidTr="009C0F17">
        <w:trPr>
          <w:trHeight w:val="288"/>
        </w:trPr>
        <w:tc>
          <w:tcPr>
            <w:tcW w:w="3272" w:type="dxa"/>
            <w:tcBorders>
              <w:left w:val="double" w:sz="4" w:space="0" w:color="auto"/>
            </w:tcBorders>
            <w:shd w:val="clear" w:color="auto" w:fill="auto"/>
            <w:noWrap/>
            <w:vAlign w:val="center"/>
            <w:hideMark/>
          </w:tcPr>
          <w:p w14:paraId="3C7B536D" w14:textId="77777777" w:rsidR="009C0F17" w:rsidRPr="005A497D" w:rsidRDefault="009C0F17" w:rsidP="009C0F17">
            <w:pPr>
              <w:rPr>
                <w:sz w:val="16"/>
                <w:szCs w:val="16"/>
              </w:rPr>
            </w:pPr>
            <w:r w:rsidRPr="005A497D">
              <w:rPr>
                <w:sz w:val="16"/>
                <w:szCs w:val="16"/>
              </w:rPr>
              <w:t>Sum of rest</w:t>
            </w:r>
          </w:p>
        </w:tc>
        <w:tc>
          <w:tcPr>
            <w:tcW w:w="1015" w:type="dxa"/>
            <w:shd w:val="clear" w:color="auto" w:fill="auto"/>
            <w:noWrap/>
            <w:vAlign w:val="bottom"/>
            <w:hideMark/>
          </w:tcPr>
          <w:p w14:paraId="623C4E1E" w14:textId="3E5B432B" w:rsidR="009C0F17" w:rsidRPr="005A497D" w:rsidRDefault="009C0F17" w:rsidP="009C0F17">
            <w:pPr>
              <w:jc w:val="right"/>
              <w:rPr>
                <w:sz w:val="16"/>
                <w:szCs w:val="16"/>
              </w:rPr>
            </w:pPr>
            <w:r>
              <w:rPr>
                <w:sz w:val="16"/>
                <w:szCs w:val="16"/>
              </w:rPr>
              <w:t xml:space="preserve">                63,750 </w:t>
            </w:r>
          </w:p>
        </w:tc>
        <w:tc>
          <w:tcPr>
            <w:tcW w:w="1016" w:type="dxa"/>
            <w:shd w:val="clear" w:color="auto" w:fill="auto"/>
            <w:noWrap/>
            <w:vAlign w:val="bottom"/>
            <w:hideMark/>
          </w:tcPr>
          <w:p w14:paraId="3E8DC6B7" w14:textId="20A0C335" w:rsidR="009C0F17" w:rsidRPr="005A497D" w:rsidRDefault="009C0F17" w:rsidP="009C0F17">
            <w:pPr>
              <w:jc w:val="right"/>
              <w:rPr>
                <w:sz w:val="16"/>
                <w:szCs w:val="16"/>
              </w:rPr>
            </w:pPr>
            <w:r>
              <w:rPr>
                <w:sz w:val="16"/>
                <w:szCs w:val="16"/>
              </w:rPr>
              <w:t xml:space="preserve">                92,428 </w:t>
            </w:r>
          </w:p>
        </w:tc>
        <w:tc>
          <w:tcPr>
            <w:tcW w:w="1016" w:type="dxa"/>
            <w:shd w:val="clear" w:color="auto" w:fill="auto"/>
            <w:noWrap/>
            <w:vAlign w:val="bottom"/>
            <w:hideMark/>
          </w:tcPr>
          <w:p w14:paraId="600D30F2" w14:textId="3A9C23ED" w:rsidR="009C0F17" w:rsidRPr="005A497D" w:rsidRDefault="009C0F17" w:rsidP="009C0F17">
            <w:pPr>
              <w:jc w:val="right"/>
              <w:rPr>
                <w:sz w:val="16"/>
                <w:szCs w:val="16"/>
              </w:rPr>
            </w:pPr>
            <w:r>
              <w:rPr>
                <w:sz w:val="16"/>
                <w:szCs w:val="16"/>
              </w:rPr>
              <w:t xml:space="preserve">               62,700 </w:t>
            </w:r>
          </w:p>
        </w:tc>
        <w:tc>
          <w:tcPr>
            <w:tcW w:w="1016" w:type="dxa"/>
            <w:shd w:val="clear" w:color="auto" w:fill="auto"/>
            <w:noWrap/>
            <w:vAlign w:val="bottom"/>
            <w:hideMark/>
          </w:tcPr>
          <w:p w14:paraId="751BA547" w14:textId="131B0654" w:rsidR="009C0F17" w:rsidRPr="005A497D" w:rsidRDefault="009C0F17" w:rsidP="008F413F">
            <w:pPr>
              <w:jc w:val="right"/>
              <w:rPr>
                <w:sz w:val="16"/>
                <w:szCs w:val="16"/>
              </w:rPr>
            </w:pPr>
            <w:r>
              <w:rPr>
                <w:sz w:val="16"/>
                <w:szCs w:val="16"/>
              </w:rPr>
              <w:t>29,72</w:t>
            </w:r>
            <w:r w:rsidR="008F413F">
              <w:rPr>
                <w:sz w:val="16"/>
                <w:szCs w:val="16"/>
              </w:rPr>
              <w:t>8</w:t>
            </w:r>
          </w:p>
        </w:tc>
        <w:tc>
          <w:tcPr>
            <w:tcW w:w="1016" w:type="dxa"/>
            <w:shd w:val="clear" w:color="auto" w:fill="auto"/>
            <w:noWrap/>
            <w:vAlign w:val="bottom"/>
            <w:hideMark/>
          </w:tcPr>
          <w:p w14:paraId="40A08E2D" w14:textId="0ECE8615" w:rsidR="009C0F17" w:rsidRPr="005A497D" w:rsidRDefault="009C0F17" w:rsidP="008F413F">
            <w:pPr>
              <w:jc w:val="right"/>
              <w:rPr>
                <w:sz w:val="16"/>
                <w:szCs w:val="16"/>
              </w:rPr>
            </w:pPr>
            <w:r>
              <w:rPr>
                <w:sz w:val="16"/>
                <w:szCs w:val="16"/>
              </w:rPr>
              <w:t>29,72</w:t>
            </w:r>
            <w:r w:rsidR="008F413F">
              <w:rPr>
                <w:sz w:val="16"/>
                <w:szCs w:val="16"/>
              </w:rPr>
              <w:t>8</w:t>
            </w:r>
          </w:p>
        </w:tc>
        <w:tc>
          <w:tcPr>
            <w:tcW w:w="1016" w:type="dxa"/>
            <w:tcBorders>
              <w:right w:val="double" w:sz="4" w:space="0" w:color="auto"/>
            </w:tcBorders>
            <w:shd w:val="clear" w:color="auto" w:fill="auto"/>
            <w:noWrap/>
            <w:vAlign w:val="bottom"/>
            <w:hideMark/>
          </w:tcPr>
          <w:p w14:paraId="6A7B3813" w14:textId="6DF80838" w:rsidR="009C0F17" w:rsidRPr="005A497D" w:rsidRDefault="009C0F17" w:rsidP="009C0F17">
            <w:pPr>
              <w:jc w:val="right"/>
              <w:rPr>
                <w:sz w:val="16"/>
                <w:szCs w:val="16"/>
              </w:rPr>
            </w:pPr>
            <w:r>
              <w:rPr>
                <w:sz w:val="16"/>
                <w:szCs w:val="16"/>
              </w:rPr>
              <w:t>47.4%</w:t>
            </w:r>
          </w:p>
        </w:tc>
      </w:tr>
      <w:tr w:rsidR="009C0F17" w:rsidRPr="005A497D" w14:paraId="1D15D0DF" w14:textId="77777777" w:rsidTr="009C0F17">
        <w:trPr>
          <w:trHeight w:val="279"/>
        </w:trPr>
        <w:tc>
          <w:tcPr>
            <w:tcW w:w="3272" w:type="dxa"/>
            <w:tcBorders>
              <w:left w:val="double" w:sz="4" w:space="0" w:color="auto"/>
              <w:bottom w:val="double" w:sz="4" w:space="0" w:color="auto"/>
            </w:tcBorders>
            <w:shd w:val="clear" w:color="auto" w:fill="auto"/>
            <w:noWrap/>
            <w:vAlign w:val="center"/>
            <w:hideMark/>
          </w:tcPr>
          <w:p w14:paraId="23C3DA22" w14:textId="77777777" w:rsidR="009C0F17" w:rsidRPr="005A497D" w:rsidRDefault="009C0F17" w:rsidP="009C0F17">
            <w:pPr>
              <w:rPr>
                <w:b/>
                <w:sz w:val="16"/>
                <w:szCs w:val="16"/>
                <w:lang w:eastAsia="en-IN"/>
              </w:rPr>
            </w:pPr>
            <w:r w:rsidRPr="005A497D">
              <w:rPr>
                <w:b/>
                <w:sz w:val="16"/>
                <w:szCs w:val="16"/>
                <w:lang w:eastAsia="en-IN"/>
              </w:rPr>
              <w:t>Total Revenue</w:t>
            </w:r>
          </w:p>
        </w:tc>
        <w:tc>
          <w:tcPr>
            <w:tcW w:w="1015" w:type="dxa"/>
            <w:tcBorders>
              <w:bottom w:val="double" w:sz="4" w:space="0" w:color="auto"/>
              <w:right w:val="single" w:sz="4" w:space="0" w:color="auto"/>
            </w:tcBorders>
            <w:shd w:val="clear" w:color="auto" w:fill="auto"/>
            <w:noWrap/>
            <w:vAlign w:val="bottom"/>
            <w:hideMark/>
          </w:tcPr>
          <w:p w14:paraId="2B93FD4E" w14:textId="0B2656E4" w:rsidR="009C0F17" w:rsidRPr="005A497D" w:rsidRDefault="009C0F17" w:rsidP="009C0F17">
            <w:pPr>
              <w:jc w:val="right"/>
              <w:rPr>
                <w:b/>
                <w:sz w:val="16"/>
                <w:szCs w:val="16"/>
              </w:rPr>
            </w:pPr>
            <w:r w:rsidRPr="00A43BCB">
              <w:rPr>
                <w:b/>
                <w:sz w:val="16"/>
                <w:szCs w:val="16"/>
              </w:rPr>
              <w:t xml:space="preserve">           1,560,623 </w:t>
            </w:r>
          </w:p>
        </w:tc>
        <w:tc>
          <w:tcPr>
            <w:tcW w:w="1016" w:type="dxa"/>
            <w:tcBorders>
              <w:left w:val="single" w:sz="4" w:space="0" w:color="auto"/>
              <w:bottom w:val="double" w:sz="4" w:space="0" w:color="auto"/>
              <w:right w:val="single" w:sz="4" w:space="0" w:color="auto"/>
            </w:tcBorders>
            <w:shd w:val="clear" w:color="auto" w:fill="auto"/>
            <w:vAlign w:val="bottom"/>
          </w:tcPr>
          <w:p w14:paraId="67696097" w14:textId="282953D4" w:rsidR="009C0F17" w:rsidRPr="005A497D" w:rsidRDefault="009C0F17" w:rsidP="009C0F17">
            <w:pPr>
              <w:jc w:val="right"/>
              <w:rPr>
                <w:b/>
                <w:sz w:val="16"/>
                <w:szCs w:val="16"/>
              </w:rPr>
            </w:pPr>
            <w:r w:rsidRPr="00A43BCB">
              <w:rPr>
                <w:b/>
                <w:sz w:val="16"/>
                <w:szCs w:val="16"/>
              </w:rPr>
              <w:t xml:space="preserve">           1,534,933 </w:t>
            </w:r>
          </w:p>
        </w:tc>
        <w:tc>
          <w:tcPr>
            <w:tcW w:w="1016" w:type="dxa"/>
            <w:tcBorders>
              <w:left w:val="single" w:sz="4" w:space="0" w:color="auto"/>
              <w:bottom w:val="double" w:sz="4" w:space="0" w:color="auto"/>
              <w:right w:val="single" w:sz="4" w:space="0" w:color="auto"/>
            </w:tcBorders>
            <w:shd w:val="clear" w:color="auto" w:fill="auto"/>
            <w:vAlign w:val="bottom"/>
          </w:tcPr>
          <w:p w14:paraId="50AB7717" w14:textId="23FA84A2" w:rsidR="009C0F17" w:rsidRPr="005A497D" w:rsidRDefault="009C0F17" w:rsidP="009C0F17">
            <w:pPr>
              <w:jc w:val="right"/>
              <w:rPr>
                <w:b/>
                <w:sz w:val="16"/>
                <w:szCs w:val="16"/>
              </w:rPr>
            </w:pPr>
            <w:r w:rsidRPr="00A43BCB">
              <w:rPr>
                <w:b/>
                <w:sz w:val="16"/>
                <w:szCs w:val="16"/>
              </w:rPr>
              <w:t xml:space="preserve">          1,534,933 </w:t>
            </w:r>
          </w:p>
        </w:tc>
        <w:tc>
          <w:tcPr>
            <w:tcW w:w="1016" w:type="dxa"/>
            <w:tcBorders>
              <w:left w:val="single" w:sz="4" w:space="0" w:color="auto"/>
              <w:bottom w:val="double" w:sz="4" w:space="0" w:color="auto"/>
              <w:right w:val="single" w:sz="4" w:space="0" w:color="auto"/>
            </w:tcBorders>
            <w:shd w:val="clear" w:color="auto" w:fill="auto"/>
            <w:vAlign w:val="bottom"/>
          </w:tcPr>
          <w:p w14:paraId="5D049F52" w14:textId="5CBF0CBF" w:rsidR="009C0F17" w:rsidRPr="005A497D" w:rsidRDefault="00AD0C41" w:rsidP="009C0F17">
            <w:pPr>
              <w:jc w:val="right"/>
              <w:rPr>
                <w:b/>
                <w:sz w:val="16"/>
                <w:szCs w:val="16"/>
              </w:rPr>
            </w:pPr>
            <w:r>
              <w:rPr>
                <w:b/>
                <w:sz w:val="16"/>
                <w:szCs w:val="16"/>
              </w:rPr>
              <w:t>-</w:t>
            </w:r>
          </w:p>
        </w:tc>
        <w:tc>
          <w:tcPr>
            <w:tcW w:w="1016" w:type="dxa"/>
            <w:tcBorders>
              <w:left w:val="single" w:sz="4" w:space="0" w:color="auto"/>
              <w:bottom w:val="double" w:sz="4" w:space="0" w:color="auto"/>
              <w:right w:val="single" w:sz="4" w:space="0" w:color="auto"/>
            </w:tcBorders>
            <w:shd w:val="clear" w:color="auto" w:fill="auto"/>
            <w:vAlign w:val="bottom"/>
          </w:tcPr>
          <w:p w14:paraId="1560F132" w14:textId="2858E9AF" w:rsidR="009C0F17" w:rsidRPr="005A497D" w:rsidRDefault="009C0F17" w:rsidP="008F413F">
            <w:pPr>
              <w:jc w:val="right"/>
              <w:rPr>
                <w:b/>
                <w:sz w:val="16"/>
                <w:szCs w:val="16"/>
              </w:rPr>
            </w:pPr>
            <w:r w:rsidRPr="00A43BCB">
              <w:rPr>
                <w:b/>
                <w:sz w:val="16"/>
                <w:szCs w:val="16"/>
              </w:rPr>
              <w:t>137,82</w:t>
            </w:r>
            <w:r w:rsidR="008F413F">
              <w:rPr>
                <w:b/>
                <w:sz w:val="16"/>
                <w:szCs w:val="16"/>
              </w:rPr>
              <w:t>2</w:t>
            </w:r>
          </w:p>
        </w:tc>
        <w:tc>
          <w:tcPr>
            <w:tcW w:w="1016" w:type="dxa"/>
            <w:tcBorders>
              <w:left w:val="single" w:sz="4" w:space="0" w:color="auto"/>
              <w:bottom w:val="double" w:sz="4" w:space="0" w:color="auto"/>
              <w:right w:val="double" w:sz="4" w:space="0" w:color="auto"/>
            </w:tcBorders>
            <w:shd w:val="clear" w:color="auto" w:fill="auto"/>
            <w:vAlign w:val="center"/>
          </w:tcPr>
          <w:p w14:paraId="4311CDED" w14:textId="77777777" w:rsidR="009C0F17" w:rsidRPr="005A497D" w:rsidRDefault="009C0F17" w:rsidP="009C0F17">
            <w:pPr>
              <w:jc w:val="right"/>
              <w:rPr>
                <w:b/>
                <w:sz w:val="16"/>
                <w:szCs w:val="16"/>
              </w:rPr>
            </w:pPr>
          </w:p>
        </w:tc>
      </w:tr>
      <w:tr w:rsidR="009C0F17" w:rsidRPr="005A497D" w14:paraId="54308DDD" w14:textId="77777777" w:rsidTr="00A77FAA">
        <w:trPr>
          <w:trHeight w:val="264"/>
        </w:trPr>
        <w:tc>
          <w:tcPr>
            <w:tcW w:w="3272" w:type="dxa"/>
            <w:tcBorders>
              <w:top w:val="double" w:sz="4" w:space="0" w:color="auto"/>
              <w:left w:val="double" w:sz="4" w:space="0" w:color="auto"/>
            </w:tcBorders>
            <w:shd w:val="clear" w:color="auto" w:fill="auto"/>
            <w:noWrap/>
            <w:vAlign w:val="center"/>
            <w:hideMark/>
          </w:tcPr>
          <w:p w14:paraId="68FAB155" w14:textId="77777777" w:rsidR="009C0F17" w:rsidRPr="005A497D" w:rsidRDefault="009C0F17" w:rsidP="009C0F17">
            <w:pPr>
              <w:rPr>
                <w:b/>
                <w:i/>
                <w:sz w:val="16"/>
                <w:szCs w:val="16"/>
                <w:lang w:eastAsia="en-IN"/>
              </w:rPr>
            </w:pPr>
            <w:r w:rsidRPr="005A497D">
              <w:rPr>
                <w:b/>
                <w:i/>
                <w:sz w:val="16"/>
                <w:szCs w:val="16"/>
                <w:lang w:eastAsia="en-IN"/>
              </w:rPr>
              <w:t>Overall variance</w:t>
            </w:r>
          </w:p>
        </w:tc>
        <w:tc>
          <w:tcPr>
            <w:tcW w:w="6095" w:type="dxa"/>
            <w:gridSpan w:val="6"/>
            <w:tcBorders>
              <w:top w:val="double" w:sz="4" w:space="0" w:color="auto"/>
              <w:right w:val="double" w:sz="4" w:space="0" w:color="auto"/>
            </w:tcBorders>
            <w:shd w:val="clear" w:color="auto" w:fill="auto"/>
            <w:noWrap/>
            <w:vAlign w:val="center"/>
            <w:hideMark/>
          </w:tcPr>
          <w:p w14:paraId="7471FE2A" w14:textId="2691855F" w:rsidR="009C0F17" w:rsidRPr="005A497D" w:rsidRDefault="009C0F17" w:rsidP="009C0F17">
            <w:pPr>
              <w:jc w:val="center"/>
              <w:rPr>
                <w:b/>
                <w:i/>
                <w:sz w:val="16"/>
                <w:szCs w:val="16"/>
              </w:rPr>
            </w:pPr>
            <w:r>
              <w:rPr>
                <w:b/>
                <w:i/>
                <w:sz w:val="16"/>
                <w:szCs w:val="16"/>
              </w:rPr>
              <w:t>98.4</w:t>
            </w:r>
            <w:r w:rsidRPr="005A497D">
              <w:rPr>
                <w:b/>
                <w:i/>
                <w:sz w:val="16"/>
                <w:szCs w:val="16"/>
              </w:rPr>
              <w:t>%</w:t>
            </w:r>
          </w:p>
        </w:tc>
      </w:tr>
      <w:tr w:rsidR="009C0F17" w:rsidRPr="005A497D" w14:paraId="28FDA310" w14:textId="77777777" w:rsidTr="00A77FAA">
        <w:trPr>
          <w:trHeight w:val="264"/>
        </w:trPr>
        <w:tc>
          <w:tcPr>
            <w:tcW w:w="3272" w:type="dxa"/>
            <w:tcBorders>
              <w:left w:val="double" w:sz="4" w:space="0" w:color="auto"/>
              <w:bottom w:val="double" w:sz="4" w:space="0" w:color="auto"/>
            </w:tcBorders>
            <w:shd w:val="clear" w:color="auto" w:fill="auto"/>
            <w:noWrap/>
            <w:vAlign w:val="center"/>
            <w:hideMark/>
          </w:tcPr>
          <w:p w14:paraId="65BF33D2" w14:textId="77777777" w:rsidR="009C0F17" w:rsidRPr="005A497D" w:rsidRDefault="009C0F17" w:rsidP="009C0F17">
            <w:pPr>
              <w:rPr>
                <w:b/>
                <w:i/>
                <w:sz w:val="16"/>
                <w:szCs w:val="16"/>
                <w:lang w:eastAsia="en-IN"/>
              </w:rPr>
            </w:pPr>
            <w:r w:rsidRPr="005A497D">
              <w:rPr>
                <w:b/>
                <w:i/>
                <w:sz w:val="16"/>
                <w:szCs w:val="16"/>
                <w:lang w:eastAsia="en-IN"/>
              </w:rPr>
              <w:t>Composition variance</w:t>
            </w:r>
          </w:p>
        </w:tc>
        <w:tc>
          <w:tcPr>
            <w:tcW w:w="6095" w:type="dxa"/>
            <w:gridSpan w:val="6"/>
            <w:tcBorders>
              <w:bottom w:val="double" w:sz="4" w:space="0" w:color="auto"/>
              <w:right w:val="double" w:sz="4" w:space="0" w:color="auto"/>
            </w:tcBorders>
            <w:shd w:val="clear" w:color="auto" w:fill="auto"/>
            <w:noWrap/>
            <w:vAlign w:val="center"/>
            <w:hideMark/>
          </w:tcPr>
          <w:p w14:paraId="7333E5A3" w14:textId="67802937" w:rsidR="009C0F17" w:rsidRPr="005A497D" w:rsidRDefault="009C0F17" w:rsidP="009C0F17">
            <w:pPr>
              <w:jc w:val="center"/>
              <w:rPr>
                <w:b/>
                <w:i/>
                <w:sz w:val="16"/>
                <w:szCs w:val="16"/>
              </w:rPr>
            </w:pPr>
            <w:r>
              <w:rPr>
                <w:b/>
                <w:i/>
                <w:sz w:val="16"/>
                <w:szCs w:val="16"/>
              </w:rPr>
              <w:t>9</w:t>
            </w:r>
            <w:r w:rsidRPr="005A497D">
              <w:rPr>
                <w:b/>
                <w:i/>
                <w:sz w:val="16"/>
                <w:szCs w:val="16"/>
              </w:rPr>
              <w:t>.0%</w:t>
            </w:r>
          </w:p>
        </w:tc>
      </w:tr>
    </w:tbl>
    <w:p w14:paraId="2565789A" w14:textId="77777777" w:rsidR="00E95B45" w:rsidRPr="005A497D" w:rsidRDefault="00E95B45" w:rsidP="00E95B45">
      <w:pPr>
        <w:autoSpaceDE w:val="0"/>
        <w:autoSpaceDN w:val="0"/>
        <w:adjustRightInd w:val="0"/>
        <w:contextualSpacing/>
        <w:jc w:val="both"/>
      </w:pPr>
    </w:p>
    <w:p w14:paraId="779D3DA1" w14:textId="2956223E" w:rsidR="00A54D30" w:rsidRDefault="00A54D30" w:rsidP="00A54D30">
      <w:pPr>
        <w:pStyle w:val="PEFATable"/>
        <w:spacing w:after="40"/>
        <w:jc w:val="both"/>
        <w:rPr>
          <w:sz w:val="24"/>
          <w:szCs w:val="24"/>
        </w:rPr>
      </w:pPr>
      <w:bookmarkStart w:id="446" w:name="_Toc454889276"/>
      <w:r w:rsidRPr="005A497D">
        <w:rPr>
          <w:sz w:val="24"/>
          <w:szCs w:val="24"/>
        </w:rPr>
        <w:t xml:space="preserve">Table </w:t>
      </w:r>
      <w:r w:rsidR="009A6E2C">
        <w:rPr>
          <w:sz w:val="24"/>
          <w:szCs w:val="24"/>
        </w:rPr>
        <w:t>A</w:t>
      </w:r>
      <w:r w:rsidR="0027211D">
        <w:rPr>
          <w:sz w:val="24"/>
          <w:szCs w:val="24"/>
        </w:rPr>
        <w:t>4</w:t>
      </w:r>
      <w:r w:rsidRPr="005A497D">
        <w:rPr>
          <w:sz w:val="24"/>
          <w:szCs w:val="24"/>
        </w:rPr>
        <w:t>.10: Data for PI-3, 2013</w:t>
      </w:r>
      <w:bookmarkEnd w:id="446"/>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015"/>
        <w:gridCol w:w="1016"/>
        <w:gridCol w:w="1016"/>
        <w:gridCol w:w="1016"/>
        <w:gridCol w:w="1016"/>
        <w:gridCol w:w="1016"/>
      </w:tblGrid>
      <w:tr w:rsidR="006232F7" w:rsidRPr="003567C3" w14:paraId="1543610E" w14:textId="77777777" w:rsidTr="006232F7">
        <w:trPr>
          <w:trHeight w:val="144"/>
          <w:tblHeader/>
        </w:trPr>
        <w:tc>
          <w:tcPr>
            <w:tcW w:w="3272" w:type="dxa"/>
            <w:vMerge w:val="restart"/>
            <w:tcBorders>
              <w:top w:val="double" w:sz="4" w:space="0" w:color="auto"/>
              <w:left w:val="double" w:sz="4" w:space="0" w:color="auto"/>
            </w:tcBorders>
            <w:shd w:val="clear" w:color="auto" w:fill="D9D9D9" w:themeFill="background1" w:themeFillShade="D9"/>
            <w:noWrap/>
            <w:vAlign w:val="center"/>
          </w:tcPr>
          <w:p w14:paraId="270B1039" w14:textId="1FC84C1A" w:rsidR="006232F7" w:rsidRPr="003B6382" w:rsidRDefault="006232F7" w:rsidP="006232F7">
            <w:pPr>
              <w:jc w:val="center"/>
              <w:rPr>
                <w:b/>
                <w:sz w:val="16"/>
                <w:szCs w:val="16"/>
                <w:lang w:eastAsia="en-IN"/>
              </w:rPr>
            </w:pPr>
            <w:r w:rsidRPr="003B6382">
              <w:rPr>
                <w:b/>
                <w:sz w:val="16"/>
                <w:szCs w:val="16"/>
                <w:lang w:eastAsia="en-IN"/>
              </w:rPr>
              <w:t>Economic head</w:t>
            </w:r>
          </w:p>
        </w:tc>
        <w:tc>
          <w:tcPr>
            <w:tcW w:w="5079" w:type="dxa"/>
            <w:gridSpan w:val="5"/>
            <w:tcBorders>
              <w:top w:val="double" w:sz="4" w:space="0" w:color="auto"/>
              <w:bottom w:val="double" w:sz="4" w:space="0" w:color="auto"/>
            </w:tcBorders>
            <w:shd w:val="clear" w:color="auto" w:fill="D9D9D9" w:themeFill="background1" w:themeFillShade="D9"/>
            <w:noWrap/>
            <w:vAlign w:val="center"/>
          </w:tcPr>
          <w:p w14:paraId="7F1B7FEF" w14:textId="566086E2" w:rsidR="006232F7" w:rsidRPr="003B6382" w:rsidRDefault="00AD1D03" w:rsidP="009C0F17">
            <w:pPr>
              <w:jc w:val="center"/>
              <w:rPr>
                <w:b/>
                <w:i/>
                <w:sz w:val="16"/>
                <w:szCs w:val="16"/>
                <w:lang w:eastAsia="en-IN"/>
              </w:rPr>
            </w:pPr>
            <w:r w:rsidRPr="003B6382">
              <w:rPr>
                <w:b/>
                <w:i/>
                <w:sz w:val="16"/>
                <w:szCs w:val="16"/>
                <w:lang w:eastAsia="en-IN"/>
              </w:rPr>
              <w:t>(</w:t>
            </w:r>
            <w:r w:rsidR="006232F7" w:rsidRPr="003B6382">
              <w:rPr>
                <w:b/>
                <w:i/>
                <w:sz w:val="16"/>
                <w:szCs w:val="16"/>
                <w:lang w:eastAsia="en-IN"/>
              </w:rPr>
              <w:t xml:space="preserve">PhP </w:t>
            </w:r>
            <w:r w:rsidR="009C0F17" w:rsidRPr="003B6382">
              <w:rPr>
                <w:b/>
                <w:i/>
                <w:sz w:val="16"/>
                <w:szCs w:val="16"/>
                <w:lang w:eastAsia="en-IN"/>
              </w:rPr>
              <w:t>millions</w:t>
            </w:r>
            <w:r w:rsidRPr="003B6382">
              <w:rPr>
                <w:b/>
                <w:i/>
                <w:sz w:val="16"/>
                <w:szCs w:val="16"/>
                <w:lang w:eastAsia="en-IN"/>
              </w:rPr>
              <w:t>)</w:t>
            </w:r>
          </w:p>
        </w:tc>
        <w:tc>
          <w:tcPr>
            <w:tcW w:w="1016" w:type="dxa"/>
            <w:vMerge w:val="restart"/>
            <w:tcBorders>
              <w:top w:val="double" w:sz="4" w:space="0" w:color="auto"/>
              <w:right w:val="double" w:sz="4" w:space="0" w:color="auto"/>
            </w:tcBorders>
            <w:shd w:val="clear" w:color="auto" w:fill="D9D9D9" w:themeFill="background1" w:themeFillShade="D9"/>
            <w:noWrap/>
            <w:vAlign w:val="center"/>
          </w:tcPr>
          <w:p w14:paraId="5D07F4B3" w14:textId="42F59C5A" w:rsidR="006232F7" w:rsidRPr="003B6382" w:rsidRDefault="006232F7" w:rsidP="00A54D30">
            <w:pPr>
              <w:jc w:val="center"/>
              <w:rPr>
                <w:b/>
                <w:sz w:val="16"/>
                <w:szCs w:val="16"/>
                <w:lang w:eastAsia="en-IN"/>
              </w:rPr>
            </w:pPr>
            <w:r w:rsidRPr="003B6382">
              <w:rPr>
                <w:b/>
                <w:sz w:val="16"/>
                <w:szCs w:val="16"/>
                <w:lang w:eastAsia="en-IN"/>
              </w:rPr>
              <w:t>%</w:t>
            </w:r>
          </w:p>
        </w:tc>
      </w:tr>
      <w:tr w:rsidR="006232F7" w:rsidRPr="003567C3" w14:paraId="6FFB44DB" w14:textId="77777777" w:rsidTr="00A710D5">
        <w:trPr>
          <w:trHeight w:val="357"/>
          <w:tblHeader/>
        </w:trPr>
        <w:tc>
          <w:tcPr>
            <w:tcW w:w="3272" w:type="dxa"/>
            <w:vMerge/>
            <w:tcBorders>
              <w:left w:val="double" w:sz="4" w:space="0" w:color="auto"/>
              <w:bottom w:val="double" w:sz="4" w:space="0" w:color="auto"/>
            </w:tcBorders>
            <w:shd w:val="clear" w:color="auto" w:fill="D9D9D9" w:themeFill="background1" w:themeFillShade="D9"/>
            <w:noWrap/>
            <w:vAlign w:val="center"/>
            <w:hideMark/>
          </w:tcPr>
          <w:p w14:paraId="66523D2D" w14:textId="6576B9F7" w:rsidR="006232F7" w:rsidRPr="003B6382" w:rsidRDefault="006232F7" w:rsidP="00A54D30">
            <w:pPr>
              <w:jc w:val="center"/>
              <w:rPr>
                <w:b/>
                <w:sz w:val="16"/>
                <w:szCs w:val="16"/>
                <w:lang w:eastAsia="en-IN"/>
              </w:rPr>
            </w:pPr>
          </w:p>
        </w:tc>
        <w:tc>
          <w:tcPr>
            <w:tcW w:w="1015" w:type="dxa"/>
            <w:tcBorders>
              <w:top w:val="double" w:sz="4" w:space="0" w:color="auto"/>
              <w:bottom w:val="double" w:sz="4" w:space="0" w:color="auto"/>
            </w:tcBorders>
            <w:shd w:val="clear" w:color="auto" w:fill="D9D9D9" w:themeFill="background1" w:themeFillShade="D9"/>
            <w:noWrap/>
            <w:vAlign w:val="center"/>
            <w:hideMark/>
          </w:tcPr>
          <w:p w14:paraId="7C01D291" w14:textId="77777777" w:rsidR="006232F7" w:rsidRPr="003B6382" w:rsidRDefault="006232F7" w:rsidP="00A54D30">
            <w:pPr>
              <w:jc w:val="center"/>
              <w:rPr>
                <w:b/>
                <w:bCs/>
                <w:sz w:val="16"/>
                <w:szCs w:val="16"/>
                <w:lang w:eastAsia="en-IN"/>
              </w:rPr>
            </w:pPr>
            <w:r w:rsidRPr="003B6382">
              <w:rPr>
                <w:b/>
                <w:bCs/>
                <w:sz w:val="16"/>
                <w:szCs w:val="16"/>
                <w:lang w:eastAsia="en-IN"/>
              </w:rPr>
              <w:t>Budget</w:t>
            </w:r>
          </w:p>
        </w:tc>
        <w:tc>
          <w:tcPr>
            <w:tcW w:w="1016" w:type="dxa"/>
            <w:tcBorders>
              <w:top w:val="double" w:sz="4" w:space="0" w:color="auto"/>
              <w:bottom w:val="double" w:sz="4" w:space="0" w:color="auto"/>
            </w:tcBorders>
            <w:shd w:val="clear" w:color="auto" w:fill="D9D9D9" w:themeFill="background1" w:themeFillShade="D9"/>
            <w:noWrap/>
            <w:vAlign w:val="center"/>
            <w:hideMark/>
          </w:tcPr>
          <w:p w14:paraId="6CF8021A" w14:textId="77777777" w:rsidR="006232F7" w:rsidRPr="003B6382" w:rsidRDefault="006232F7" w:rsidP="00A54D30">
            <w:pPr>
              <w:jc w:val="center"/>
              <w:rPr>
                <w:b/>
                <w:bCs/>
                <w:sz w:val="16"/>
                <w:szCs w:val="16"/>
                <w:lang w:eastAsia="en-IN"/>
              </w:rPr>
            </w:pPr>
            <w:r w:rsidRPr="003B6382">
              <w:rPr>
                <w:b/>
                <w:bCs/>
                <w:sz w:val="16"/>
                <w:szCs w:val="16"/>
                <w:lang w:eastAsia="en-IN"/>
              </w:rPr>
              <w:t>Actual</w:t>
            </w:r>
          </w:p>
        </w:tc>
        <w:tc>
          <w:tcPr>
            <w:tcW w:w="1016" w:type="dxa"/>
            <w:tcBorders>
              <w:top w:val="double" w:sz="4" w:space="0" w:color="auto"/>
              <w:bottom w:val="double" w:sz="4" w:space="0" w:color="auto"/>
            </w:tcBorders>
            <w:shd w:val="clear" w:color="auto" w:fill="D9D9D9" w:themeFill="background1" w:themeFillShade="D9"/>
            <w:vAlign w:val="center"/>
            <w:hideMark/>
          </w:tcPr>
          <w:p w14:paraId="0175A259" w14:textId="5805E49B" w:rsidR="006232F7" w:rsidRPr="003B6382" w:rsidRDefault="006232F7" w:rsidP="006232F7">
            <w:pPr>
              <w:jc w:val="center"/>
              <w:rPr>
                <w:b/>
                <w:sz w:val="16"/>
                <w:szCs w:val="16"/>
                <w:lang w:eastAsia="en-IN"/>
              </w:rPr>
            </w:pPr>
            <w:r w:rsidRPr="003B6382">
              <w:rPr>
                <w:b/>
                <w:sz w:val="16"/>
                <w:szCs w:val="16"/>
                <w:lang w:eastAsia="en-IN"/>
              </w:rPr>
              <w:t>Adjusted budget</w:t>
            </w:r>
          </w:p>
        </w:tc>
        <w:tc>
          <w:tcPr>
            <w:tcW w:w="1016" w:type="dxa"/>
            <w:tcBorders>
              <w:top w:val="double" w:sz="4" w:space="0" w:color="auto"/>
              <w:bottom w:val="double" w:sz="4" w:space="0" w:color="auto"/>
            </w:tcBorders>
            <w:shd w:val="clear" w:color="auto" w:fill="D9D9D9" w:themeFill="background1" w:themeFillShade="D9"/>
            <w:vAlign w:val="center"/>
            <w:hideMark/>
          </w:tcPr>
          <w:p w14:paraId="18E1F066" w14:textId="77777777" w:rsidR="006232F7" w:rsidRPr="003B6382" w:rsidRDefault="006232F7" w:rsidP="00A54D30">
            <w:pPr>
              <w:jc w:val="center"/>
              <w:rPr>
                <w:b/>
                <w:sz w:val="16"/>
                <w:szCs w:val="16"/>
                <w:lang w:eastAsia="en-IN"/>
              </w:rPr>
            </w:pPr>
            <w:r w:rsidRPr="003B6382">
              <w:rPr>
                <w:b/>
                <w:sz w:val="16"/>
                <w:szCs w:val="16"/>
                <w:lang w:eastAsia="en-IN"/>
              </w:rPr>
              <w:t>Deviation</w:t>
            </w:r>
          </w:p>
        </w:tc>
        <w:tc>
          <w:tcPr>
            <w:tcW w:w="1016" w:type="dxa"/>
            <w:tcBorders>
              <w:top w:val="double" w:sz="4" w:space="0" w:color="auto"/>
              <w:bottom w:val="double" w:sz="4" w:space="0" w:color="auto"/>
            </w:tcBorders>
            <w:shd w:val="clear" w:color="auto" w:fill="D9D9D9" w:themeFill="background1" w:themeFillShade="D9"/>
            <w:vAlign w:val="center"/>
            <w:hideMark/>
          </w:tcPr>
          <w:p w14:paraId="2ED03826" w14:textId="63FA2CE6" w:rsidR="006232F7" w:rsidRPr="003B6382" w:rsidRDefault="006232F7" w:rsidP="006232F7">
            <w:pPr>
              <w:jc w:val="center"/>
              <w:rPr>
                <w:b/>
                <w:sz w:val="16"/>
                <w:szCs w:val="16"/>
                <w:lang w:eastAsia="en-IN"/>
              </w:rPr>
            </w:pPr>
            <w:r w:rsidRPr="003B6382">
              <w:rPr>
                <w:b/>
                <w:sz w:val="16"/>
                <w:szCs w:val="16"/>
                <w:lang w:eastAsia="en-IN"/>
              </w:rPr>
              <w:t>Absolute deviation</w:t>
            </w:r>
          </w:p>
        </w:tc>
        <w:tc>
          <w:tcPr>
            <w:tcW w:w="1016" w:type="dxa"/>
            <w:vMerge/>
            <w:tcBorders>
              <w:bottom w:val="double" w:sz="4" w:space="0" w:color="auto"/>
              <w:right w:val="double" w:sz="4" w:space="0" w:color="auto"/>
            </w:tcBorders>
            <w:shd w:val="clear" w:color="auto" w:fill="D9D9D9" w:themeFill="background1" w:themeFillShade="D9"/>
            <w:noWrap/>
            <w:vAlign w:val="center"/>
            <w:hideMark/>
          </w:tcPr>
          <w:p w14:paraId="0506C68A" w14:textId="38662DBE" w:rsidR="006232F7" w:rsidRPr="003567C3" w:rsidRDefault="006232F7" w:rsidP="00A54D30">
            <w:pPr>
              <w:jc w:val="center"/>
              <w:rPr>
                <w:b/>
                <w:i/>
                <w:sz w:val="16"/>
                <w:szCs w:val="16"/>
                <w:lang w:eastAsia="en-IN"/>
              </w:rPr>
            </w:pPr>
          </w:p>
        </w:tc>
      </w:tr>
      <w:tr w:rsidR="00A54D30" w:rsidRPr="005A497D" w14:paraId="6CD7DF28" w14:textId="77777777" w:rsidTr="00A54D30">
        <w:trPr>
          <w:trHeight w:val="288"/>
        </w:trPr>
        <w:tc>
          <w:tcPr>
            <w:tcW w:w="9367" w:type="dxa"/>
            <w:gridSpan w:val="7"/>
            <w:tcBorders>
              <w:top w:val="double" w:sz="4" w:space="0" w:color="auto"/>
              <w:left w:val="double" w:sz="4" w:space="0" w:color="auto"/>
              <w:right w:val="double" w:sz="4" w:space="0" w:color="auto"/>
            </w:tcBorders>
            <w:shd w:val="clear" w:color="auto" w:fill="auto"/>
            <w:noWrap/>
            <w:vAlign w:val="center"/>
            <w:hideMark/>
          </w:tcPr>
          <w:p w14:paraId="158D67E8" w14:textId="7609A06F" w:rsidR="00A54D30" w:rsidRPr="005A497D" w:rsidRDefault="00A54D30" w:rsidP="00A54D30">
            <w:pPr>
              <w:rPr>
                <w:b/>
                <w:sz w:val="16"/>
                <w:szCs w:val="16"/>
              </w:rPr>
            </w:pPr>
            <w:r w:rsidRPr="005A497D">
              <w:rPr>
                <w:b/>
                <w:sz w:val="16"/>
                <w:szCs w:val="16"/>
              </w:rPr>
              <w:t>Tax Revenue</w:t>
            </w:r>
          </w:p>
        </w:tc>
      </w:tr>
      <w:tr w:rsidR="009C0F17" w:rsidRPr="005A497D" w14:paraId="51E28500" w14:textId="77777777" w:rsidTr="009C0F17">
        <w:trPr>
          <w:trHeight w:val="288"/>
        </w:trPr>
        <w:tc>
          <w:tcPr>
            <w:tcW w:w="3272" w:type="dxa"/>
            <w:tcBorders>
              <w:top w:val="single" w:sz="4" w:space="0" w:color="auto"/>
              <w:left w:val="double" w:sz="4" w:space="0" w:color="auto"/>
            </w:tcBorders>
            <w:shd w:val="clear" w:color="auto" w:fill="auto"/>
            <w:noWrap/>
            <w:vAlign w:val="center"/>
            <w:hideMark/>
          </w:tcPr>
          <w:p w14:paraId="3099045B" w14:textId="65C7787A" w:rsidR="009C0F17" w:rsidRPr="005A497D" w:rsidRDefault="009C0F17" w:rsidP="009C0F17">
            <w:pPr>
              <w:rPr>
                <w:sz w:val="16"/>
                <w:szCs w:val="16"/>
              </w:rPr>
            </w:pPr>
            <w:r w:rsidRPr="005A497D">
              <w:rPr>
                <w:sz w:val="16"/>
                <w:szCs w:val="16"/>
              </w:rPr>
              <w:t>Taxes on income</w:t>
            </w:r>
            <w:r>
              <w:rPr>
                <w:sz w:val="16"/>
                <w:szCs w:val="16"/>
              </w:rPr>
              <w:t xml:space="preserve"> and</w:t>
            </w:r>
            <w:r w:rsidRPr="005A497D">
              <w:rPr>
                <w:sz w:val="16"/>
                <w:szCs w:val="16"/>
              </w:rPr>
              <w:t xml:space="preserve"> profits</w:t>
            </w:r>
          </w:p>
        </w:tc>
        <w:tc>
          <w:tcPr>
            <w:tcW w:w="1015" w:type="dxa"/>
            <w:tcBorders>
              <w:top w:val="single" w:sz="4" w:space="0" w:color="auto"/>
            </w:tcBorders>
            <w:shd w:val="clear" w:color="auto" w:fill="auto"/>
            <w:noWrap/>
            <w:vAlign w:val="bottom"/>
            <w:hideMark/>
          </w:tcPr>
          <w:p w14:paraId="7948F697" w14:textId="69731912" w:rsidR="009C0F17" w:rsidRPr="005A497D" w:rsidRDefault="009C0F17" w:rsidP="009C0F17">
            <w:pPr>
              <w:jc w:val="right"/>
              <w:rPr>
                <w:sz w:val="16"/>
                <w:szCs w:val="16"/>
              </w:rPr>
            </w:pPr>
            <w:r>
              <w:rPr>
                <w:sz w:val="16"/>
                <w:szCs w:val="16"/>
              </w:rPr>
              <w:t xml:space="preserve">              759,186 </w:t>
            </w:r>
          </w:p>
        </w:tc>
        <w:tc>
          <w:tcPr>
            <w:tcW w:w="1016" w:type="dxa"/>
            <w:tcBorders>
              <w:top w:val="single" w:sz="4" w:space="0" w:color="auto"/>
            </w:tcBorders>
            <w:shd w:val="clear" w:color="auto" w:fill="auto"/>
            <w:noWrap/>
            <w:vAlign w:val="bottom"/>
            <w:hideMark/>
          </w:tcPr>
          <w:p w14:paraId="7F28EF65" w14:textId="2FB51A5A" w:rsidR="009C0F17" w:rsidRPr="005A497D" w:rsidRDefault="009C0F17" w:rsidP="009C0F17">
            <w:pPr>
              <w:jc w:val="right"/>
              <w:rPr>
                <w:sz w:val="16"/>
                <w:szCs w:val="16"/>
              </w:rPr>
            </w:pPr>
            <w:r>
              <w:rPr>
                <w:sz w:val="16"/>
                <w:szCs w:val="16"/>
              </w:rPr>
              <w:t xml:space="preserve">              718,210 </w:t>
            </w:r>
          </w:p>
        </w:tc>
        <w:tc>
          <w:tcPr>
            <w:tcW w:w="1016" w:type="dxa"/>
            <w:tcBorders>
              <w:top w:val="single" w:sz="4" w:space="0" w:color="auto"/>
            </w:tcBorders>
            <w:shd w:val="clear" w:color="auto" w:fill="auto"/>
            <w:noWrap/>
            <w:vAlign w:val="bottom"/>
            <w:hideMark/>
          </w:tcPr>
          <w:p w14:paraId="6074EF4C" w14:textId="6A5CB590" w:rsidR="009C0F17" w:rsidRPr="005A497D" w:rsidRDefault="009C0F17" w:rsidP="008F413F">
            <w:pPr>
              <w:jc w:val="right"/>
              <w:rPr>
                <w:sz w:val="16"/>
                <w:szCs w:val="16"/>
              </w:rPr>
            </w:pPr>
            <w:r>
              <w:rPr>
                <w:sz w:val="16"/>
                <w:szCs w:val="16"/>
              </w:rPr>
              <w:t xml:space="preserve">746,243 </w:t>
            </w:r>
          </w:p>
        </w:tc>
        <w:tc>
          <w:tcPr>
            <w:tcW w:w="1016" w:type="dxa"/>
            <w:tcBorders>
              <w:top w:val="single" w:sz="4" w:space="0" w:color="auto"/>
            </w:tcBorders>
            <w:shd w:val="clear" w:color="auto" w:fill="auto"/>
            <w:noWrap/>
            <w:vAlign w:val="bottom"/>
            <w:hideMark/>
          </w:tcPr>
          <w:p w14:paraId="010D2F53" w14:textId="01AE3D3E" w:rsidR="009C0F17" w:rsidRPr="005A497D" w:rsidRDefault="009C0F17" w:rsidP="00B22526">
            <w:pPr>
              <w:jc w:val="right"/>
              <w:rPr>
                <w:sz w:val="16"/>
                <w:szCs w:val="16"/>
              </w:rPr>
            </w:pPr>
            <w:r>
              <w:rPr>
                <w:sz w:val="16"/>
                <w:szCs w:val="16"/>
              </w:rPr>
              <w:t>(28,033)</w:t>
            </w:r>
          </w:p>
        </w:tc>
        <w:tc>
          <w:tcPr>
            <w:tcW w:w="1016" w:type="dxa"/>
            <w:tcBorders>
              <w:top w:val="single" w:sz="4" w:space="0" w:color="auto"/>
            </w:tcBorders>
            <w:shd w:val="clear" w:color="auto" w:fill="auto"/>
            <w:noWrap/>
            <w:vAlign w:val="bottom"/>
            <w:hideMark/>
          </w:tcPr>
          <w:p w14:paraId="71DD282A" w14:textId="14702488" w:rsidR="009C0F17" w:rsidRPr="005A497D" w:rsidRDefault="009C0F17" w:rsidP="00B22526">
            <w:pPr>
              <w:jc w:val="right"/>
              <w:rPr>
                <w:sz w:val="16"/>
                <w:szCs w:val="16"/>
              </w:rPr>
            </w:pPr>
            <w:r>
              <w:rPr>
                <w:sz w:val="16"/>
                <w:szCs w:val="16"/>
              </w:rPr>
              <w:t xml:space="preserve">28,033 </w:t>
            </w:r>
          </w:p>
        </w:tc>
        <w:tc>
          <w:tcPr>
            <w:tcW w:w="1016" w:type="dxa"/>
            <w:tcBorders>
              <w:top w:val="single" w:sz="4" w:space="0" w:color="auto"/>
              <w:right w:val="double" w:sz="4" w:space="0" w:color="auto"/>
            </w:tcBorders>
            <w:shd w:val="clear" w:color="auto" w:fill="auto"/>
            <w:noWrap/>
            <w:vAlign w:val="bottom"/>
            <w:hideMark/>
          </w:tcPr>
          <w:p w14:paraId="4C5AC91F" w14:textId="2C5B1C8D" w:rsidR="009C0F17" w:rsidRPr="005A497D" w:rsidRDefault="009C0F17" w:rsidP="009C0F17">
            <w:pPr>
              <w:jc w:val="right"/>
              <w:rPr>
                <w:sz w:val="16"/>
                <w:szCs w:val="16"/>
              </w:rPr>
            </w:pPr>
            <w:r>
              <w:rPr>
                <w:sz w:val="16"/>
                <w:szCs w:val="16"/>
              </w:rPr>
              <w:t>3.8%</w:t>
            </w:r>
          </w:p>
        </w:tc>
      </w:tr>
      <w:tr w:rsidR="009C0F17" w:rsidRPr="005A497D" w14:paraId="053FD8D5" w14:textId="77777777" w:rsidTr="009C0F17">
        <w:trPr>
          <w:trHeight w:val="288"/>
        </w:trPr>
        <w:tc>
          <w:tcPr>
            <w:tcW w:w="3272" w:type="dxa"/>
            <w:tcBorders>
              <w:left w:val="double" w:sz="4" w:space="0" w:color="auto"/>
            </w:tcBorders>
            <w:shd w:val="clear" w:color="auto" w:fill="auto"/>
            <w:noWrap/>
            <w:vAlign w:val="center"/>
            <w:hideMark/>
          </w:tcPr>
          <w:p w14:paraId="5F74EB6F" w14:textId="77777777" w:rsidR="009C0F17" w:rsidRPr="005A497D" w:rsidRDefault="009C0F17" w:rsidP="009C0F17">
            <w:pPr>
              <w:rPr>
                <w:sz w:val="16"/>
                <w:szCs w:val="16"/>
              </w:rPr>
            </w:pPr>
            <w:r w:rsidRPr="005A497D">
              <w:rPr>
                <w:sz w:val="16"/>
                <w:szCs w:val="16"/>
              </w:rPr>
              <w:t>Taxes on property</w:t>
            </w:r>
          </w:p>
        </w:tc>
        <w:tc>
          <w:tcPr>
            <w:tcW w:w="1015" w:type="dxa"/>
            <w:shd w:val="clear" w:color="auto" w:fill="auto"/>
            <w:noWrap/>
            <w:vAlign w:val="bottom"/>
            <w:hideMark/>
          </w:tcPr>
          <w:p w14:paraId="2378D7DE" w14:textId="13E6E292" w:rsidR="009C0F17" w:rsidRPr="005A497D" w:rsidRDefault="009C0F17" w:rsidP="009C0F17">
            <w:pPr>
              <w:jc w:val="right"/>
              <w:rPr>
                <w:sz w:val="16"/>
                <w:szCs w:val="16"/>
              </w:rPr>
            </w:pPr>
            <w:r>
              <w:rPr>
                <w:sz w:val="16"/>
                <w:szCs w:val="16"/>
              </w:rPr>
              <w:t xml:space="preserve">                  3,918 </w:t>
            </w:r>
          </w:p>
        </w:tc>
        <w:tc>
          <w:tcPr>
            <w:tcW w:w="1016" w:type="dxa"/>
            <w:shd w:val="clear" w:color="auto" w:fill="auto"/>
            <w:noWrap/>
            <w:vAlign w:val="bottom"/>
            <w:hideMark/>
          </w:tcPr>
          <w:p w14:paraId="6DFE319E" w14:textId="4B2BB6BD" w:rsidR="009C0F17" w:rsidRPr="005A497D" w:rsidRDefault="009C0F17" w:rsidP="009C0F17">
            <w:pPr>
              <w:jc w:val="right"/>
              <w:rPr>
                <w:sz w:val="16"/>
                <w:szCs w:val="16"/>
              </w:rPr>
            </w:pPr>
            <w:r>
              <w:rPr>
                <w:sz w:val="16"/>
                <w:szCs w:val="16"/>
              </w:rPr>
              <w:t xml:space="preserve">                  3,552 </w:t>
            </w:r>
          </w:p>
        </w:tc>
        <w:tc>
          <w:tcPr>
            <w:tcW w:w="1016" w:type="dxa"/>
            <w:shd w:val="clear" w:color="auto" w:fill="auto"/>
            <w:noWrap/>
            <w:vAlign w:val="bottom"/>
            <w:hideMark/>
          </w:tcPr>
          <w:p w14:paraId="4BC26FA9" w14:textId="2D3620F2" w:rsidR="009C0F17" w:rsidRPr="005A497D" w:rsidRDefault="009C0F17" w:rsidP="008F413F">
            <w:pPr>
              <w:jc w:val="right"/>
              <w:rPr>
                <w:sz w:val="16"/>
                <w:szCs w:val="16"/>
              </w:rPr>
            </w:pPr>
            <w:r>
              <w:rPr>
                <w:sz w:val="16"/>
                <w:szCs w:val="16"/>
              </w:rPr>
              <w:t xml:space="preserve">3,851 </w:t>
            </w:r>
          </w:p>
        </w:tc>
        <w:tc>
          <w:tcPr>
            <w:tcW w:w="1016" w:type="dxa"/>
            <w:shd w:val="clear" w:color="auto" w:fill="auto"/>
            <w:noWrap/>
            <w:vAlign w:val="bottom"/>
            <w:hideMark/>
          </w:tcPr>
          <w:p w14:paraId="7D428A92" w14:textId="109A9C7D" w:rsidR="009C0F17" w:rsidRPr="005A497D" w:rsidRDefault="009C0F17" w:rsidP="00B22526">
            <w:pPr>
              <w:jc w:val="right"/>
              <w:rPr>
                <w:sz w:val="16"/>
                <w:szCs w:val="16"/>
              </w:rPr>
            </w:pPr>
            <w:r>
              <w:rPr>
                <w:sz w:val="16"/>
                <w:szCs w:val="16"/>
              </w:rPr>
              <w:t>(299)</w:t>
            </w:r>
          </w:p>
        </w:tc>
        <w:tc>
          <w:tcPr>
            <w:tcW w:w="1016" w:type="dxa"/>
            <w:shd w:val="clear" w:color="auto" w:fill="auto"/>
            <w:noWrap/>
            <w:vAlign w:val="bottom"/>
            <w:hideMark/>
          </w:tcPr>
          <w:p w14:paraId="7CCAFD9E" w14:textId="16722035" w:rsidR="009C0F17" w:rsidRPr="005A497D" w:rsidRDefault="009C0F17" w:rsidP="00B22526">
            <w:pPr>
              <w:jc w:val="right"/>
              <w:rPr>
                <w:sz w:val="16"/>
                <w:szCs w:val="16"/>
              </w:rPr>
            </w:pPr>
            <w:r>
              <w:rPr>
                <w:sz w:val="16"/>
                <w:szCs w:val="16"/>
              </w:rPr>
              <w:t xml:space="preserve">299 </w:t>
            </w:r>
          </w:p>
        </w:tc>
        <w:tc>
          <w:tcPr>
            <w:tcW w:w="1016" w:type="dxa"/>
            <w:tcBorders>
              <w:right w:val="double" w:sz="4" w:space="0" w:color="auto"/>
            </w:tcBorders>
            <w:shd w:val="clear" w:color="auto" w:fill="auto"/>
            <w:noWrap/>
            <w:vAlign w:val="bottom"/>
            <w:hideMark/>
          </w:tcPr>
          <w:p w14:paraId="12709CE6" w14:textId="6CDAFCFB" w:rsidR="009C0F17" w:rsidRPr="005A497D" w:rsidRDefault="009C0F17" w:rsidP="009C0F17">
            <w:pPr>
              <w:jc w:val="right"/>
              <w:rPr>
                <w:sz w:val="16"/>
                <w:szCs w:val="16"/>
              </w:rPr>
            </w:pPr>
            <w:r>
              <w:rPr>
                <w:sz w:val="16"/>
                <w:szCs w:val="16"/>
              </w:rPr>
              <w:t>7.8%</w:t>
            </w:r>
          </w:p>
        </w:tc>
      </w:tr>
      <w:tr w:rsidR="009C0F17" w:rsidRPr="005A497D" w14:paraId="6383A583" w14:textId="77777777" w:rsidTr="009C0F17">
        <w:trPr>
          <w:trHeight w:val="288"/>
        </w:trPr>
        <w:tc>
          <w:tcPr>
            <w:tcW w:w="3272" w:type="dxa"/>
            <w:tcBorders>
              <w:left w:val="double" w:sz="4" w:space="0" w:color="auto"/>
            </w:tcBorders>
            <w:shd w:val="clear" w:color="auto" w:fill="auto"/>
            <w:noWrap/>
            <w:vAlign w:val="center"/>
            <w:hideMark/>
          </w:tcPr>
          <w:p w14:paraId="7D6E1C79" w14:textId="77777777" w:rsidR="009C0F17" w:rsidRPr="005A497D" w:rsidRDefault="009C0F17" w:rsidP="009C0F17">
            <w:pPr>
              <w:rPr>
                <w:sz w:val="16"/>
                <w:szCs w:val="16"/>
              </w:rPr>
            </w:pPr>
            <w:r w:rsidRPr="005A497D">
              <w:rPr>
                <w:sz w:val="16"/>
                <w:szCs w:val="16"/>
              </w:rPr>
              <w:t>Taxes on goods and services</w:t>
            </w:r>
          </w:p>
        </w:tc>
        <w:tc>
          <w:tcPr>
            <w:tcW w:w="1015" w:type="dxa"/>
            <w:shd w:val="clear" w:color="auto" w:fill="auto"/>
            <w:noWrap/>
            <w:vAlign w:val="bottom"/>
            <w:hideMark/>
          </w:tcPr>
          <w:p w14:paraId="04473789" w14:textId="23536022" w:rsidR="009C0F17" w:rsidRPr="005A497D" w:rsidRDefault="009C0F17" w:rsidP="009C0F17">
            <w:pPr>
              <w:jc w:val="right"/>
              <w:rPr>
                <w:sz w:val="16"/>
                <w:szCs w:val="16"/>
              </w:rPr>
            </w:pPr>
            <w:r>
              <w:rPr>
                <w:sz w:val="16"/>
                <w:szCs w:val="16"/>
              </w:rPr>
              <w:t xml:space="preserve">              504,765 </w:t>
            </w:r>
          </w:p>
        </w:tc>
        <w:tc>
          <w:tcPr>
            <w:tcW w:w="1016" w:type="dxa"/>
            <w:shd w:val="clear" w:color="auto" w:fill="auto"/>
            <w:noWrap/>
            <w:vAlign w:val="bottom"/>
            <w:hideMark/>
          </w:tcPr>
          <w:p w14:paraId="3B2A33B3" w14:textId="7F18D5D0" w:rsidR="009C0F17" w:rsidRPr="005A497D" w:rsidRDefault="009C0F17" w:rsidP="009C0F17">
            <w:pPr>
              <w:jc w:val="right"/>
              <w:rPr>
                <w:sz w:val="16"/>
                <w:szCs w:val="16"/>
              </w:rPr>
            </w:pPr>
            <w:r>
              <w:rPr>
                <w:sz w:val="16"/>
                <w:szCs w:val="16"/>
              </w:rPr>
              <w:t xml:space="preserve">              509,010 </w:t>
            </w:r>
          </w:p>
        </w:tc>
        <w:tc>
          <w:tcPr>
            <w:tcW w:w="1016" w:type="dxa"/>
            <w:shd w:val="clear" w:color="auto" w:fill="auto"/>
            <w:noWrap/>
            <w:vAlign w:val="bottom"/>
            <w:hideMark/>
          </w:tcPr>
          <w:p w14:paraId="5D0E24F4" w14:textId="334A5EF5" w:rsidR="009C0F17" w:rsidRPr="005A497D" w:rsidRDefault="009C0F17" w:rsidP="008F413F">
            <w:pPr>
              <w:jc w:val="right"/>
              <w:rPr>
                <w:sz w:val="16"/>
                <w:szCs w:val="16"/>
              </w:rPr>
            </w:pPr>
            <w:r>
              <w:rPr>
                <w:sz w:val="16"/>
                <w:szCs w:val="16"/>
              </w:rPr>
              <w:t>496,1</w:t>
            </w:r>
            <w:r w:rsidR="008F413F">
              <w:rPr>
                <w:sz w:val="16"/>
                <w:szCs w:val="16"/>
              </w:rPr>
              <w:t>60</w:t>
            </w:r>
            <w:r>
              <w:rPr>
                <w:sz w:val="16"/>
                <w:szCs w:val="16"/>
              </w:rPr>
              <w:t xml:space="preserve"> </w:t>
            </w:r>
          </w:p>
        </w:tc>
        <w:tc>
          <w:tcPr>
            <w:tcW w:w="1016" w:type="dxa"/>
            <w:shd w:val="clear" w:color="auto" w:fill="auto"/>
            <w:noWrap/>
            <w:vAlign w:val="bottom"/>
            <w:hideMark/>
          </w:tcPr>
          <w:p w14:paraId="02AC970F" w14:textId="47299E57" w:rsidR="009C0F17" w:rsidRPr="005A497D" w:rsidRDefault="009C0F17" w:rsidP="00B22526">
            <w:pPr>
              <w:jc w:val="right"/>
              <w:rPr>
                <w:sz w:val="16"/>
                <w:szCs w:val="16"/>
              </w:rPr>
            </w:pPr>
            <w:r>
              <w:rPr>
                <w:sz w:val="16"/>
                <w:szCs w:val="16"/>
              </w:rPr>
              <w:t xml:space="preserve">12,850 </w:t>
            </w:r>
          </w:p>
        </w:tc>
        <w:tc>
          <w:tcPr>
            <w:tcW w:w="1016" w:type="dxa"/>
            <w:shd w:val="clear" w:color="auto" w:fill="auto"/>
            <w:noWrap/>
            <w:vAlign w:val="bottom"/>
            <w:hideMark/>
          </w:tcPr>
          <w:p w14:paraId="322BDBF0" w14:textId="22AC586F" w:rsidR="009C0F17" w:rsidRPr="005A497D" w:rsidRDefault="009C0F17" w:rsidP="00B22526">
            <w:pPr>
              <w:jc w:val="right"/>
              <w:rPr>
                <w:sz w:val="16"/>
                <w:szCs w:val="16"/>
              </w:rPr>
            </w:pPr>
            <w:r>
              <w:rPr>
                <w:sz w:val="16"/>
                <w:szCs w:val="16"/>
              </w:rPr>
              <w:t xml:space="preserve">12,850 </w:t>
            </w:r>
          </w:p>
        </w:tc>
        <w:tc>
          <w:tcPr>
            <w:tcW w:w="1016" w:type="dxa"/>
            <w:tcBorders>
              <w:right w:val="double" w:sz="4" w:space="0" w:color="auto"/>
            </w:tcBorders>
            <w:shd w:val="clear" w:color="auto" w:fill="auto"/>
            <w:noWrap/>
            <w:vAlign w:val="bottom"/>
            <w:hideMark/>
          </w:tcPr>
          <w:p w14:paraId="57A15696" w14:textId="11CD91A0" w:rsidR="009C0F17" w:rsidRPr="005A497D" w:rsidRDefault="009C0F17" w:rsidP="009C0F17">
            <w:pPr>
              <w:jc w:val="right"/>
              <w:rPr>
                <w:sz w:val="16"/>
                <w:szCs w:val="16"/>
              </w:rPr>
            </w:pPr>
            <w:r>
              <w:rPr>
                <w:sz w:val="16"/>
                <w:szCs w:val="16"/>
              </w:rPr>
              <w:t>2.6%</w:t>
            </w:r>
          </w:p>
        </w:tc>
      </w:tr>
      <w:tr w:rsidR="009C0F17" w:rsidRPr="005A497D" w14:paraId="1200A055" w14:textId="77777777" w:rsidTr="009C0F17">
        <w:trPr>
          <w:trHeight w:val="288"/>
        </w:trPr>
        <w:tc>
          <w:tcPr>
            <w:tcW w:w="3272" w:type="dxa"/>
            <w:tcBorders>
              <w:left w:val="double" w:sz="4" w:space="0" w:color="auto"/>
            </w:tcBorders>
            <w:shd w:val="clear" w:color="auto" w:fill="auto"/>
            <w:noWrap/>
            <w:vAlign w:val="center"/>
            <w:hideMark/>
          </w:tcPr>
          <w:p w14:paraId="4C717771" w14:textId="4C020D47" w:rsidR="009C0F17" w:rsidRPr="005A497D" w:rsidRDefault="009C0F17" w:rsidP="009C0F17">
            <w:pPr>
              <w:rPr>
                <w:sz w:val="16"/>
                <w:szCs w:val="16"/>
              </w:rPr>
            </w:pPr>
            <w:r>
              <w:rPr>
                <w:sz w:val="16"/>
                <w:szCs w:val="16"/>
              </w:rPr>
              <w:t>Taxes on im</w:t>
            </w:r>
            <w:r w:rsidRPr="005A497D">
              <w:rPr>
                <w:sz w:val="16"/>
                <w:szCs w:val="16"/>
              </w:rPr>
              <w:t>ports</w:t>
            </w:r>
          </w:p>
        </w:tc>
        <w:tc>
          <w:tcPr>
            <w:tcW w:w="1015" w:type="dxa"/>
            <w:shd w:val="clear" w:color="auto" w:fill="auto"/>
            <w:noWrap/>
            <w:vAlign w:val="bottom"/>
            <w:hideMark/>
          </w:tcPr>
          <w:p w14:paraId="3800169F" w14:textId="58984099" w:rsidR="009C0F17" w:rsidRPr="005A497D" w:rsidRDefault="009C0F17" w:rsidP="009C0F17">
            <w:pPr>
              <w:jc w:val="right"/>
              <w:rPr>
                <w:sz w:val="16"/>
                <w:szCs w:val="16"/>
              </w:rPr>
            </w:pPr>
            <w:r>
              <w:rPr>
                <w:sz w:val="16"/>
                <w:szCs w:val="16"/>
              </w:rPr>
              <w:t xml:space="preserve">              340,000 </w:t>
            </w:r>
          </w:p>
        </w:tc>
        <w:tc>
          <w:tcPr>
            <w:tcW w:w="1016" w:type="dxa"/>
            <w:shd w:val="clear" w:color="auto" w:fill="auto"/>
            <w:noWrap/>
            <w:vAlign w:val="bottom"/>
            <w:hideMark/>
          </w:tcPr>
          <w:p w14:paraId="7670B32A" w14:textId="7CAD14B2" w:rsidR="009C0F17" w:rsidRPr="005A497D" w:rsidRDefault="009C0F17" w:rsidP="009C0F17">
            <w:pPr>
              <w:jc w:val="right"/>
              <w:rPr>
                <w:sz w:val="16"/>
                <w:szCs w:val="16"/>
              </w:rPr>
            </w:pPr>
            <w:r>
              <w:rPr>
                <w:sz w:val="16"/>
                <w:szCs w:val="16"/>
              </w:rPr>
              <w:t xml:space="preserve">              304,925 </w:t>
            </w:r>
          </w:p>
        </w:tc>
        <w:tc>
          <w:tcPr>
            <w:tcW w:w="1016" w:type="dxa"/>
            <w:shd w:val="clear" w:color="auto" w:fill="auto"/>
            <w:noWrap/>
            <w:vAlign w:val="bottom"/>
            <w:hideMark/>
          </w:tcPr>
          <w:p w14:paraId="5C96578E" w14:textId="48C95238" w:rsidR="009C0F17" w:rsidRPr="005A497D" w:rsidRDefault="009C0F17" w:rsidP="009C0F17">
            <w:pPr>
              <w:jc w:val="right"/>
              <w:rPr>
                <w:sz w:val="16"/>
                <w:szCs w:val="16"/>
              </w:rPr>
            </w:pPr>
            <w:r>
              <w:rPr>
                <w:sz w:val="16"/>
                <w:szCs w:val="16"/>
              </w:rPr>
              <w:t>334,20</w:t>
            </w:r>
            <w:r w:rsidR="005612A8">
              <w:rPr>
                <w:sz w:val="16"/>
                <w:szCs w:val="16"/>
              </w:rPr>
              <w:t>4</w:t>
            </w:r>
          </w:p>
        </w:tc>
        <w:tc>
          <w:tcPr>
            <w:tcW w:w="1016" w:type="dxa"/>
            <w:shd w:val="clear" w:color="auto" w:fill="auto"/>
            <w:noWrap/>
            <w:vAlign w:val="bottom"/>
            <w:hideMark/>
          </w:tcPr>
          <w:p w14:paraId="0EA9C1D3" w14:textId="6E641B83" w:rsidR="009C0F17" w:rsidRPr="005A497D" w:rsidRDefault="009C0F17" w:rsidP="00B22526">
            <w:pPr>
              <w:jc w:val="right"/>
              <w:rPr>
                <w:sz w:val="16"/>
                <w:szCs w:val="16"/>
              </w:rPr>
            </w:pPr>
            <w:r>
              <w:rPr>
                <w:sz w:val="16"/>
                <w:szCs w:val="16"/>
              </w:rPr>
              <w:t>(29,27</w:t>
            </w:r>
            <w:r w:rsidR="00B22526">
              <w:rPr>
                <w:sz w:val="16"/>
                <w:szCs w:val="16"/>
              </w:rPr>
              <w:t>9</w:t>
            </w:r>
            <w:r>
              <w:rPr>
                <w:sz w:val="16"/>
                <w:szCs w:val="16"/>
              </w:rPr>
              <w:t>)</w:t>
            </w:r>
          </w:p>
        </w:tc>
        <w:tc>
          <w:tcPr>
            <w:tcW w:w="1016" w:type="dxa"/>
            <w:shd w:val="clear" w:color="auto" w:fill="auto"/>
            <w:noWrap/>
            <w:vAlign w:val="bottom"/>
            <w:hideMark/>
          </w:tcPr>
          <w:p w14:paraId="217D69F6" w14:textId="11806362" w:rsidR="009C0F17" w:rsidRPr="005A497D" w:rsidRDefault="009C0F17" w:rsidP="00B22526">
            <w:pPr>
              <w:jc w:val="right"/>
              <w:rPr>
                <w:sz w:val="16"/>
                <w:szCs w:val="16"/>
              </w:rPr>
            </w:pPr>
            <w:r>
              <w:rPr>
                <w:sz w:val="16"/>
                <w:szCs w:val="16"/>
              </w:rPr>
              <w:t>29,27</w:t>
            </w:r>
            <w:r w:rsidR="00B22526">
              <w:rPr>
                <w:sz w:val="16"/>
                <w:szCs w:val="16"/>
              </w:rPr>
              <w:t>9</w:t>
            </w:r>
            <w:r>
              <w:rPr>
                <w:sz w:val="16"/>
                <w:szCs w:val="16"/>
              </w:rPr>
              <w:t xml:space="preserve"> </w:t>
            </w:r>
          </w:p>
        </w:tc>
        <w:tc>
          <w:tcPr>
            <w:tcW w:w="1016" w:type="dxa"/>
            <w:tcBorders>
              <w:right w:val="double" w:sz="4" w:space="0" w:color="auto"/>
            </w:tcBorders>
            <w:shd w:val="clear" w:color="auto" w:fill="auto"/>
            <w:noWrap/>
            <w:vAlign w:val="bottom"/>
            <w:hideMark/>
          </w:tcPr>
          <w:p w14:paraId="6356BF95" w14:textId="5C300F6B" w:rsidR="009C0F17" w:rsidRPr="005A497D" w:rsidRDefault="009C0F17" w:rsidP="009C0F17">
            <w:pPr>
              <w:jc w:val="right"/>
              <w:rPr>
                <w:sz w:val="16"/>
                <w:szCs w:val="16"/>
              </w:rPr>
            </w:pPr>
            <w:r>
              <w:rPr>
                <w:sz w:val="16"/>
                <w:szCs w:val="16"/>
              </w:rPr>
              <w:t>8.8%</w:t>
            </w:r>
          </w:p>
        </w:tc>
      </w:tr>
      <w:tr w:rsidR="009C0F17" w:rsidRPr="005A497D" w14:paraId="63BDAA12" w14:textId="77777777" w:rsidTr="00A54D30">
        <w:trPr>
          <w:trHeight w:val="288"/>
        </w:trPr>
        <w:tc>
          <w:tcPr>
            <w:tcW w:w="9367" w:type="dxa"/>
            <w:gridSpan w:val="7"/>
            <w:tcBorders>
              <w:left w:val="double" w:sz="4" w:space="0" w:color="auto"/>
              <w:right w:val="double" w:sz="4" w:space="0" w:color="auto"/>
            </w:tcBorders>
            <w:shd w:val="clear" w:color="auto" w:fill="auto"/>
            <w:noWrap/>
            <w:vAlign w:val="center"/>
            <w:hideMark/>
          </w:tcPr>
          <w:p w14:paraId="67C09FC1" w14:textId="77777777" w:rsidR="009C0F17" w:rsidRPr="005A497D" w:rsidRDefault="009C0F17" w:rsidP="009C0F17">
            <w:pPr>
              <w:rPr>
                <w:b/>
                <w:sz w:val="16"/>
                <w:szCs w:val="16"/>
              </w:rPr>
            </w:pPr>
            <w:r w:rsidRPr="005A497D">
              <w:rPr>
                <w:b/>
                <w:sz w:val="16"/>
                <w:szCs w:val="16"/>
              </w:rPr>
              <w:t>Grants</w:t>
            </w:r>
          </w:p>
        </w:tc>
      </w:tr>
      <w:tr w:rsidR="009C0F17" w:rsidRPr="005A497D" w14:paraId="1820E441" w14:textId="77777777" w:rsidTr="0050571A">
        <w:trPr>
          <w:trHeight w:val="288"/>
        </w:trPr>
        <w:tc>
          <w:tcPr>
            <w:tcW w:w="3272" w:type="dxa"/>
            <w:tcBorders>
              <w:left w:val="double" w:sz="4" w:space="0" w:color="auto"/>
            </w:tcBorders>
            <w:shd w:val="clear" w:color="auto" w:fill="auto"/>
            <w:noWrap/>
            <w:vAlign w:val="center"/>
            <w:hideMark/>
          </w:tcPr>
          <w:p w14:paraId="05712103" w14:textId="77777777" w:rsidR="009C0F17" w:rsidRPr="005A497D" w:rsidRDefault="009C0F17" w:rsidP="009C0F17">
            <w:pPr>
              <w:rPr>
                <w:sz w:val="16"/>
                <w:szCs w:val="16"/>
              </w:rPr>
            </w:pPr>
            <w:r w:rsidRPr="005A497D">
              <w:rPr>
                <w:sz w:val="16"/>
                <w:szCs w:val="16"/>
              </w:rPr>
              <w:t>Grants from international organizations</w:t>
            </w:r>
          </w:p>
        </w:tc>
        <w:tc>
          <w:tcPr>
            <w:tcW w:w="1015" w:type="dxa"/>
            <w:shd w:val="clear" w:color="auto" w:fill="auto"/>
            <w:noWrap/>
            <w:vAlign w:val="center"/>
            <w:hideMark/>
          </w:tcPr>
          <w:p w14:paraId="600C2CB5" w14:textId="05716492"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4E1BF392" w14:textId="23CF2CCA" w:rsidR="009C0F17" w:rsidRPr="005A497D" w:rsidRDefault="009C0F17" w:rsidP="009C0F17">
            <w:pPr>
              <w:jc w:val="right"/>
              <w:rPr>
                <w:sz w:val="16"/>
                <w:szCs w:val="16"/>
              </w:rPr>
            </w:pPr>
            <w:r w:rsidRPr="005A497D">
              <w:rPr>
                <w:sz w:val="16"/>
                <w:szCs w:val="16"/>
              </w:rPr>
              <w:t>321</w:t>
            </w:r>
          </w:p>
        </w:tc>
        <w:tc>
          <w:tcPr>
            <w:tcW w:w="1016" w:type="dxa"/>
            <w:shd w:val="clear" w:color="auto" w:fill="auto"/>
            <w:noWrap/>
            <w:vAlign w:val="center"/>
            <w:hideMark/>
          </w:tcPr>
          <w:p w14:paraId="215BFD62" w14:textId="6A2BF0D4"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61146E2B" w14:textId="32C2F345" w:rsidR="009C0F17" w:rsidRPr="005A497D" w:rsidRDefault="009C0F17" w:rsidP="009C0F17">
            <w:pPr>
              <w:jc w:val="right"/>
              <w:rPr>
                <w:sz w:val="16"/>
                <w:szCs w:val="16"/>
              </w:rPr>
            </w:pPr>
            <w:r w:rsidRPr="005A497D">
              <w:rPr>
                <w:sz w:val="16"/>
                <w:szCs w:val="16"/>
              </w:rPr>
              <w:t>321</w:t>
            </w:r>
          </w:p>
        </w:tc>
        <w:tc>
          <w:tcPr>
            <w:tcW w:w="1016" w:type="dxa"/>
            <w:shd w:val="clear" w:color="auto" w:fill="auto"/>
            <w:noWrap/>
            <w:vAlign w:val="center"/>
            <w:hideMark/>
          </w:tcPr>
          <w:p w14:paraId="67D35218" w14:textId="7BFB7A60" w:rsidR="009C0F17" w:rsidRPr="005A497D" w:rsidRDefault="009C0F17" w:rsidP="009C0F17">
            <w:pPr>
              <w:jc w:val="right"/>
              <w:rPr>
                <w:sz w:val="16"/>
                <w:szCs w:val="16"/>
              </w:rPr>
            </w:pPr>
            <w:r w:rsidRPr="005A497D">
              <w:rPr>
                <w:sz w:val="16"/>
                <w:szCs w:val="16"/>
              </w:rPr>
              <w:t>321</w:t>
            </w:r>
          </w:p>
        </w:tc>
        <w:tc>
          <w:tcPr>
            <w:tcW w:w="1016" w:type="dxa"/>
            <w:tcBorders>
              <w:right w:val="double" w:sz="4" w:space="0" w:color="auto"/>
            </w:tcBorders>
            <w:shd w:val="clear" w:color="auto" w:fill="auto"/>
            <w:noWrap/>
            <w:vAlign w:val="center"/>
            <w:hideMark/>
          </w:tcPr>
          <w:p w14:paraId="310140D4" w14:textId="0AF108ED" w:rsidR="009C0F17" w:rsidRPr="005A497D" w:rsidRDefault="009C0F17" w:rsidP="009C0F17">
            <w:pPr>
              <w:jc w:val="right"/>
              <w:rPr>
                <w:sz w:val="16"/>
                <w:szCs w:val="16"/>
              </w:rPr>
            </w:pPr>
          </w:p>
        </w:tc>
      </w:tr>
      <w:tr w:rsidR="009C0F17" w:rsidRPr="005A497D" w14:paraId="3003559A" w14:textId="77777777" w:rsidTr="0050571A">
        <w:trPr>
          <w:trHeight w:val="288"/>
        </w:trPr>
        <w:tc>
          <w:tcPr>
            <w:tcW w:w="3272" w:type="dxa"/>
            <w:tcBorders>
              <w:left w:val="double" w:sz="4" w:space="0" w:color="auto"/>
            </w:tcBorders>
            <w:shd w:val="clear" w:color="auto" w:fill="auto"/>
            <w:noWrap/>
            <w:vAlign w:val="center"/>
            <w:hideMark/>
          </w:tcPr>
          <w:p w14:paraId="40E13FEB" w14:textId="77777777" w:rsidR="009C0F17" w:rsidRPr="005A497D" w:rsidRDefault="009C0F17" w:rsidP="009C0F17">
            <w:pPr>
              <w:rPr>
                <w:sz w:val="16"/>
                <w:szCs w:val="16"/>
              </w:rPr>
            </w:pPr>
            <w:r w:rsidRPr="005A497D">
              <w:rPr>
                <w:sz w:val="16"/>
                <w:szCs w:val="16"/>
              </w:rPr>
              <w:t>Grants from other government units</w:t>
            </w:r>
          </w:p>
        </w:tc>
        <w:tc>
          <w:tcPr>
            <w:tcW w:w="1015" w:type="dxa"/>
            <w:shd w:val="clear" w:color="auto" w:fill="auto"/>
            <w:noWrap/>
            <w:vAlign w:val="center"/>
            <w:hideMark/>
          </w:tcPr>
          <w:p w14:paraId="1C5DFDF4" w14:textId="77777777" w:rsidR="009C0F17" w:rsidRPr="005A497D" w:rsidRDefault="009C0F17" w:rsidP="009C0F17">
            <w:pPr>
              <w:jc w:val="right"/>
              <w:rPr>
                <w:sz w:val="16"/>
                <w:szCs w:val="16"/>
              </w:rPr>
            </w:pPr>
          </w:p>
        </w:tc>
        <w:tc>
          <w:tcPr>
            <w:tcW w:w="1016" w:type="dxa"/>
            <w:shd w:val="clear" w:color="auto" w:fill="auto"/>
            <w:noWrap/>
            <w:vAlign w:val="center"/>
            <w:hideMark/>
          </w:tcPr>
          <w:p w14:paraId="5CE43C7A" w14:textId="77777777" w:rsidR="009C0F17" w:rsidRPr="005A497D" w:rsidRDefault="009C0F17" w:rsidP="009C0F17">
            <w:pPr>
              <w:jc w:val="right"/>
              <w:rPr>
                <w:sz w:val="16"/>
                <w:szCs w:val="16"/>
              </w:rPr>
            </w:pPr>
          </w:p>
        </w:tc>
        <w:tc>
          <w:tcPr>
            <w:tcW w:w="1016" w:type="dxa"/>
            <w:shd w:val="clear" w:color="auto" w:fill="auto"/>
            <w:noWrap/>
            <w:vAlign w:val="center"/>
            <w:hideMark/>
          </w:tcPr>
          <w:p w14:paraId="3AF0EF0F" w14:textId="7992ACAF"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480FEB04" w14:textId="0AF7A080"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25B7C6C1" w14:textId="58D509C4" w:rsidR="009C0F17" w:rsidRPr="005A497D" w:rsidRDefault="00AD0C41" w:rsidP="009C0F17">
            <w:pPr>
              <w:jc w:val="right"/>
              <w:rPr>
                <w:sz w:val="16"/>
                <w:szCs w:val="16"/>
              </w:rPr>
            </w:pPr>
            <w:r>
              <w:rPr>
                <w:sz w:val="16"/>
                <w:szCs w:val="16"/>
              </w:rPr>
              <w:t>-</w:t>
            </w:r>
          </w:p>
        </w:tc>
        <w:tc>
          <w:tcPr>
            <w:tcW w:w="1016" w:type="dxa"/>
            <w:tcBorders>
              <w:right w:val="double" w:sz="4" w:space="0" w:color="auto"/>
            </w:tcBorders>
            <w:shd w:val="clear" w:color="auto" w:fill="auto"/>
            <w:noWrap/>
            <w:vAlign w:val="center"/>
            <w:hideMark/>
          </w:tcPr>
          <w:p w14:paraId="1650ACD6" w14:textId="4B186584" w:rsidR="009C0F17" w:rsidRPr="005A497D" w:rsidRDefault="009C0F17" w:rsidP="009C0F17">
            <w:pPr>
              <w:jc w:val="right"/>
              <w:rPr>
                <w:sz w:val="16"/>
                <w:szCs w:val="16"/>
              </w:rPr>
            </w:pPr>
          </w:p>
        </w:tc>
      </w:tr>
      <w:tr w:rsidR="009C0F17" w:rsidRPr="005A497D" w14:paraId="5B219C1A" w14:textId="29EDC9A5" w:rsidTr="00A54D30">
        <w:trPr>
          <w:trHeight w:val="288"/>
        </w:trPr>
        <w:tc>
          <w:tcPr>
            <w:tcW w:w="9367" w:type="dxa"/>
            <w:gridSpan w:val="7"/>
            <w:tcBorders>
              <w:left w:val="double" w:sz="4" w:space="0" w:color="auto"/>
              <w:right w:val="double" w:sz="4" w:space="0" w:color="auto"/>
            </w:tcBorders>
            <w:shd w:val="clear" w:color="auto" w:fill="auto"/>
            <w:noWrap/>
            <w:vAlign w:val="center"/>
            <w:hideMark/>
          </w:tcPr>
          <w:p w14:paraId="0AF7AFD8" w14:textId="77D10D07" w:rsidR="009C0F17" w:rsidRPr="005A497D" w:rsidRDefault="009C0F17" w:rsidP="009C0F17">
            <w:pPr>
              <w:rPr>
                <w:b/>
                <w:sz w:val="16"/>
                <w:szCs w:val="16"/>
              </w:rPr>
            </w:pPr>
            <w:r w:rsidRPr="005A497D">
              <w:rPr>
                <w:b/>
                <w:sz w:val="16"/>
                <w:szCs w:val="16"/>
              </w:rPr>
              <w:t>Other Revenues</w:t>
            </w:r>
          </w:p>
        </w:tc>
      </w:tr>
      <w:tr w:rsidR="009C0F17" w:rsidRPr="005A497D" w14:paraId="38C41E39" w14:textId="77777777" w:rsidTr="009C0F17">
        <w:trPr>
          <w:trHeight w:val="288"/>
        </w:trPr>
        <w:tc>
          <w:tcPr>
            <w:tcW w:w="3272" w:type="dxa"/>
            <w:tcBorders>
              <w:left w:val="double" w:sz="4" w:space="0" w:color="auto"/>
            </w:tcBorders>
            <w:shd w:val="clear" w:color="auto" w:fill="auto"/>
            <w:noWrap/>
            <w:vAlign w:val="center"/>
            <w:hideMark/>
          </w:tcPr>
          <w:p w14:paraId="6EF71C25" w14:textId="77777777" w:rsidR="009C0F17" w:rsidRPr="005A497D" w:rsidRDefault="009C0F17" w:rsidP="009C0F17">
            <w:pPr>
              <w:rPr>
                <w:sz w:val="16"/>
                <w:szCs w:val="16"/>
              </w:rPr>
            </w:pPr>
            <w:r w:rsidRPr="005A497D">
              <w:rPr>
                <w:sz w:val="16"/>
                <w:szCs w:val="16"/>
              </w:rPr>
              <w:t>Premiums, fees, and claims related to nonlife insurance and standardized guarantee schemes</w:t>
            </w:r>
          </w:p>
        </w:tc>
        <w:tc>
          <w:tcPr>
            <w:tcW w:w="1015" w:type="dxa"/>
            <w:shd w:val="clear" w:color="auto" w:fill="auto"/>
            <w:noWrap/>
            <w:vAlign w:val="bottom"/>
            <w:hideMark/>
          </w:tcPr>
          <w:p w14:paraId="18FFBC97" w14:textId="1E36CB35" w:rsidR="009C0F17" w:rsidRPr="005A497D" w:rsidRDefault="009C0F17" w:rsidP="009C0F17">
            <w:pPr>
              <w:jc w:val="right"/>
              <w:rPr>
                <w:sz w:val="16"/>
                <w:szCs w:val="16"/>
              </w:rPr>
            </w:pPr>
            <w:r>
              <w:rPr>
                <w:sz w:val="16"/>
                <w:szCs w:val="16"/>
              </w:rPr>
              <w:t xml:space="preserve">                78,258 </w:t>
            </w:r>
          </w:p>
        </w:tc>
        <w:tc>
          <w:tcPr>
            <w:tcW w:w="1016" w:type="dxa"/>
            <w:shd w:val="clear" w:color="auto" w:fill="auto"/>
            <w:noWrap/>
            <w:vAlign w:val="bottom"/>
            <w:hideMark/>
          </w:tcPr>
          <w:p w14:paraId="25F2BE28" w14:textId="264BF2EE" w:rsidR="009C0F17" w:rsidRPr="005A497D" w:rsidRDefault="009C0F17" w:rsidP="009C0F17">
            <w:pPr>
              <w:jc w:val="right"/>
              <w:rPr>
                <w:sz w:val="16"/>
                <w:szCs w:val="16"/>
              </w:rPr>
            </w:pPr>
            <w:r>
              <w:rPr>
                <w:sz w:val="16"/>
                <w:szCs w:val="16"/>
              </w:rPr>
              <w:t xml:space="preserve">                30,541 </w:t>
            </w:r>
          </w:p>
        </w:tc>
        <w:tc>
          <w:tcPr>
            <w:tcW w:w="1016" w:type="dxa"/>
            <w:shd w:val="clear" w:color="auto" w:fill="auto"/>
            <w:noWrap/>
            <w:vAlign w:val="bottom"/>
            <w:hideMark/>
          </w:tcPr>
          <w:p w14:paraId="6C75BB14" w14:textId="7FE4980A" w:rsidR="009C0F17" w:rsidRPr="005A497D" w:rsidRDefault="009C0F17" w:rsidP="009C0F17">
            <w:pPr>
              <w:jc w:val="right"/>
              <w:rPr>
                <w:sz w:val="16"/>
                <w:szCs w:val="16"/>
              </w:rPr>
            </w:pPr>
            <w:r>
              <w:rPr>
                <w:sz w:val="16"/>
                <w:szCs w:val="16"/>
              </w:rPr>
              <w:t>76,92</w:t>
            </w:r>
            <w:r w:rsidR="005612A8">
              <w:rPr>
                <w:sz w:val="16"/>
                <w:szCs w:val="16"/>
              </w:rPr>
              <w:t>4</w:t>
            </w:r>
            <w:r>
              <w:rPr>
                <w:sz w:val="16"/>
                <w:szCs w:val="16"/>
              </w:rPr>
              <w:t xml:space="preserve"> </w:t>
            </w:r>
          </w:p>
        </w:tc>
        <w:tc>
          <w:tcPr>
            <w:tcW w:w="1016" w:type="dxa"/>
            <w:shd w:val="clear" w:color="auto" w:fill="auto"/>
            <w:noWrap/>
            <w:vAlign w:val="bottom"/>
            <w:hideMark/>
          </w:tcPr>
          <w:p w14:paraId="7B96D118" w14:textId="7FA9B0CA" w:rsidR="009C0F17" w:rsidRPr="005A497D" w:rsidRDefault="009C0F17" w:rsidP="00B22526">
            <w:pPr>
              <w:jc w:val="right"/>
              <w:rPr>
                <w:sz w:val="16"/>
                <w:szCs w:val="16"/>
              </w:rPr>
            </w:pPr>
            <w:r>
              <w:rPr>
                <w:sz w:val="16"/>
                <w:szCs w:val="16"/>
              </w:rPr>
              <w:t>(46,38</w:t>
            </w:r>
            <w:r w:rsidR="00B22526">
              <w:rPr>
                <w:sz w:val="16"/>
                <w:szCs w:val="16"/>
              </w:rPr>
              <w:t>3</w:t>
            </w:r>
            <w:r>
              <w:rPr>
                <w:sz w:val="16"/>
                <w:szCs w:val="16"/>
              </w:rPr>
              <w:t>)</w:t>
            </w:r>
          </w:p>
        </w:tc>
        <w:tc>
          <w:tcPr>
            <w:tcW w:w="1016" w:type="dxa"/>
            <w:shd w:val="clear" w:color="auto" w:fill="auto"/>
            <w:noWrap/>
            <w:vAlign w:val="bottom"/>
            <w:hideMark/>
          </w:tcPr>
          <w:p w14:paraId="63E07609" w14:textId="2BF02AA6" w:rsidR="009C0F17" w:rsidRPr="005A497D" w:rsidRDefault="009C0F17" w:rsidP="00B22526">
            <w:pPr>
              <w:jc w:val="right"/>
              <w:rPr>
                <w:sz w:val="16"/>
                <w:szCs w:val="16"/>
              </w:rPr>
            </w:pPr>
            <w:r>
              <w:rPr>
                <w:sz w:val="16"/>
                <w:szCs w:val="16"/>
              </w:rPr>
              <w:t>46,38</w:t>
            </w:r>
            <w:r w:rsidR="00B22526">
              <w:rPr>
                <w:sz w:val="16"/>
                <w:szCs w:val="16"/>
              </w:rPr>
              <w:t>3</w:t>
            </w:r>
            <w:r>
              <w:rPr>
                <w:sz w:val="16"/>
                <w:szCs w:val="16"/>
              </w:rPr>
              <w:t xml:space="preserve"> </w:t>
            </w:r>
          </w:p>
        </w:tc>
        <w:tc>
          <w:tcPr>
            <w:tcW w:w="1016" w:type="dxa"/>
            <w:tcBorders>
              <w:right w:val="double" w:sz="4" w:space="0" w:color="auto"/>
            </w:tcBorders>
            <w:shd w:val="clear" w:color="auto" w:fill="auto"/>
            <w:noWrap/>
            <w:vAlign w:val="bottom"/>
            <w:hideMark/>
          </w:tcPr>
          <w:p w14:paraId="351D1BE6" w14:textId="437B467C" w:rsidR="009C0F17" w:rsidRPr="005A497D" w:rsidRDefault="009C0F17" w:rsidP="009C0F17">
            <w:pPr>
              <w:jc w:val="right"/>
              <w:rPr>
                <w:sz w:val="16"/>
                <w:szCs w:val="16"/>
              </w:rPr>
            </w:pPr>
            <w:r>
              <w:rPr>
                <w:sz w:val="16"/>
                <w:szCs w:val="16"/>
              </w:rPr>
              <w:t>60.3%</w:t>
            </w:r>
          </w:p>
        </w:tc>
      </w:tr>
      <w:tr w:rsidR="009C0F17" w:rsidRPr="005A497D" w14:paraId="584F53E1" w14:textId="77777777" w:rsidTr="009C0F17">
        <w:trPr>
          <w:trHeight w:val="288"/>
        </w:trPr>
        <w:tc>
          <w:tcPr>
            <w:tcW w:w="3272" w:type="dxa"/>
            <w:tcBorders>
              <w:left w:val="double" w:sz="4" w:space="0" w:color="auto"/>
            </w:tcBorders>
            <w:shd w:val="clear" w:color="auto" w:fill="auto"/>
            <w:noWrap/>
            <w:vAlign w:val="center"/>
            <w:hideMark/>
          </w:tcPr>
          <w:p w14:paraId="56C8381D" w14:textId="77777777" w:rsidR="009C0F17" w:rsidRPr="005A497D" w:rsidRDefault="009C0F17" w:rsidP="009C0F17">
            <w:pPr>
              <w:rPr>
                <w:sz w:val="16"/>
                <w:szCs w:val="16"/>
              </w:rPr>
            </w:pPr>
            <w:r w:rsidRPr="005A497D">
              <w:rPr>
                <w:sz w:val="16"/>
                <w:szCs w:val="16"/>
              </w:rPr>
              <w:t>Sum of rest</w:t>
            </w:r>
          </w:p>
        </w:tc>
        <w:tc>
          <w:tcPr>
            <w:tcW w:w="1015" w:type="dxa"/>
            <w:shd w:val="clear" w:color="auto" w:fill="auto"/>
            <w:noWrap/>
            <w:vAlign w:val="bottom"/>
            <w:hideMark/>
          </w:tcPr>
          <w:p w14:paraId="5A1D8E58" w14:textId="573ACF96" w:rsidR="009C0F17" w:rsidRPr="005A497D" w:rsidRDefault="009C0F17" w:rsidP="009C0F17">
            <w:pPr>
              <w:jc w:val="right"/>
              <w:rPr>
                <w:sz w:val="16"/>
                <w:szCs w:val="16"/>
              </w:rPr>
            </w:pPr>
            <w:r>
              <w:rPr>
                <w:sz w:val="16"/>
                <w:szCs w:val="16"/>
              </w:rPr>
              <w:t xml:space="preserve">                59,729 </w:t>
            </w:r>
          </w:p>
        </w:tc>
        <w:tc>
          <w:tcPr>
            <w:tcW w:w="1016" w:type="dxa"/>
            <w:shd w:val="clear" w:color="auto" w:fill="auto"/>
            <w:noWrap/>
            <w:vAlign w:val="bottom"/>
            <w:hideMark/>
          </w:tcPr>
          <w:p w14:paraId="3AEAAFB1" w14:textId="0F580EB1" w:rsidR="009C0F17" w:rsidRPr="005A497D" w:rsidRDefault="009C0F17" w:rsidP="009C0F17">
            <w:pPr>
              <w:jc w:val="right"/>
              <w:rPr>
                <w:sz w:val="16"/>
                <w:szCs w:val="16"/>
              </w:rPr>
            </w:pPr>
            <w:r>
              <w:rPr>
                <w:sz w:val="16"/>
                <w:szCs w:val="16"/>
              </w:rPr>
              <w:t xml:space="preserve">              149,533 </w:t>
            </w:r>
          </w:p>
        </w:tc>
        <w:tc>
          <w:tcPr>
            <w:tcW w:w="1016" w:type="dxa"/>
            <w:shd w:val="clear" w:color="auto" w:fill="auto"/>
            <w:noWrap/>
            <w:vAlign w:val="bottom"/>
            <w:hideMark/>
          </w:tcPr>
          <w:p w14:paraId="5862FE74" w14:textId="37A0E01F" w:rsidR="009C0F17" w:rsidRPr="005A497D" w:rsidRDefault="009C0F17" w:rsidP="00B22526">
            <w:pPr>
              <w:jc w:val="right"/>
              <w:rPr>
                <w:sz w:val="16"/>
                <w:szCs w:val="16"/>
              </w:rPr>
            </w:pPr>
            <w:r>
              <w:rPr>
                <w:sz w:val="16"/>
                <w:szCs w:val="16"/>
              </w:rPr>
              <w:t xml:space="preserve">58,710 </w:t>
            </w:r>
          </w:p>
        </w:tc>
        <w:tc>
          <w:tcPr>
            <w:tcW w:w="1016" w:type="dxa"/>
            <w:shd w:val="clear" w:color="auto" w:fill="auto"/>
            <w:noWrap/>
            <w:vAlign w:val="bottom"/>
            <w:hideMark/>
          </w:tcPr>
          <w:p w14:paraId="68C88A38" w14:textId="31C2D97B" w:rsidR="009C0F17" w:rsidRPr="005A497D" w:rsidRDefault="009C0F17" w:rsidP="00B22526">
            <w:pPr>
              <w:jc w:val="right"/>
              <w:rPr>
                <w:sz w:val="16"/>
                <w:szCs w:val="16"/>
              </w:rPr>
            </w:pPr>
            <w:r>
              <w:rPr>
                <w:sz w:val="16"/>
                <w:szCs w:val="16"/>
              </w:rPr>
              <w:t xml:space="preserve">90,823 </w:t>
            </w:r>
          </w:p>
        </w:tc>
        <w:tc>
          <w:tcPr>
            <w:tcW w:w="1016" w:type="dxa"/>
            <w:shd w:val="clear" w:color="auto" w:fill="auto"/>
            <w:noWrap/>
            <w:vAlign w:val="bottom"/>
            <w:hideMark/>
          </w:tcPr>
          <w:p w14:paraId="706B7DA1" w14:textId="1B1E23D2" w:rsidR="009C0F17" w:rsidRPr="005A497D" w:rsidRDefault="009C0F17" w:rsidP="00B22526">
            <w:pPr>
              <w:jc w:val="right"/>
              <w:rPr>
                <w:sz w:val="16"/>
                <w:szCs w:val="16"/>
              </w:rPr>
            </w:pPr>
            <w:r>
              <w:rPr>
                <w:sz w:val="16"/>
                <w:szCs w:val="16"/>
              </w:rPr>
              <w:t xml:space="preserve">90,823 </w:t>
            </w:r>
          </w:p>
        </w:tc>
        <w:tc>
          <w:tcPr>
            <w:tcW w:w="1016" w:type="dxa"/>
            <w:tcBorders>
              <w:right w:val="double" w:sz="4" w:space="0" w:color="auto"/>
            </w:tcBorders>
            <w:shd w:val="clear" w:color="auto" w:fill="auto"/>
            <w:noWrap/>
            <w:vAlign w:val="bottom"/>
            <w:hideMark/>
          </w:tcPr>
          <w:p w14:paraId="66BF69EB" w14:textId="6F720368" w:rsidR="009C0F17" w:rsidRPr="005A497D" w:rsidRDefault="009C0F17" w:rsidP="009C0F17">
            <w:pPr>
              <w:jc w:val="right"/>
              <w:rPr>
                <w:sz w:val="16"/>
                <w:szCs w:val="16"/>
              </w:rPr>
            </w:pPr>
            <w:r>
              <w:rPr>
                <w:sz w:val="16"/>
                <w:szCs w:val="16"/>
              </w:rPr>
              <w:t>154.7%</w:t>
            </w:r>
          </w:p>
        </w:tc>
      </w:tr>
      <w:tr w:rsidR="009C0F17" w:rsidRPr="005A497D" w14:paraId="2879273C" w14:textId="77777777" w:rsidTr="009C0F17">
        <w:trPr>
          <w:trHeight w:val="279"/>
        </w:trPr>
        <w:tc>
          <w:tcPr>
            <w:tcW w:w="3272" w:type="dxa"/>
            <w:tcBorders>
              <w:left w:val="double" w:sz="4" w:space="0" w:color="auto"/>
              <w:bottom w:val="double" w:sz="4" w:space="0" w:color="auto"/>
            </w:tcBorders>
            <w:shd w:val="clear" w:color="auto" w:fill="auto"/>
            <w:noWrap/>
            <w:vAlign w:val="center"/>
            <w:hideMark/>
          </w:tcPr>
          <w:p w14:paraId="7651D413" w14:textId="77777777" w:rsidR="009C0F17" w:rsidRPr="005A497D" w:rsidRDefault="009C0F17" w:rsidP="009C0F17">
            <w:pPr>
              <w:rPr>
                <w:b/>
                <w:sz w:val="16"/>
                <w:szCs w:val="16"/>
                <w:lang w:eastAsia="en-IN"/>
              </w:rPr>
            </w:pPr>
            <w:r w:rsidRPr="005A497D">
              <w:rPr>
                <w:b/>
                <w:sz w:val="16"/>
                <w:szCs w:val="16"/>
                <w:lang w:eastAsia="en-IN"/>
              </w:rPr>
              <w:t>Total Revenue</w:t>
            </w:r>
          </w:p>
        </w:tc>
        <w:tc>
          <w:tcPr>
            <w:tcW w:w="1015" w:type="dxa"/>
            <w:tcBorders>
              <w:bottom w:val="double" w:sz="4" w:space="0" w:color="auto"/>
              <w:right w:val="single" w:sz="4" w:space="0" w:color="auto"/>
            </w:tcBorders>
            <w:shd w:val="clear" w:color="auto" w:fill="auto"/>
            <w:noWrap/>
            <w:vAlign w:val="bottom"/>
            <w:hideMark/>
          </w:tcPr>
          <w:p w14:paraId="3C41C7FA" w14:textId="1CC44D6B" w:rsidR="009C0F17" w:rsidRPr="005A497D" w:rsidRDefault="009C0F17" w:rsidP="009C0F17">
            <w:pPr>
              <w:jc w:val="right"/>
              <w:rPr>
                <w:b/>
                <w:sz w:val="16"/>
                <w:szCs w:val="16"/>
              </w:rPr>
            </w:pPr>
            <w:r w:rsidRPr="00A43BCB">
              <w:rPr>
                <w:b/>
                <w:sz w:val="16"/>
                <w:szCs w:val="16"/>
              </w:rPr>
              <w:t xml:space="preserve">           1,745,856 </w:t>
            </w:r>
          </w:p>
        </w:tc>
        <w:tc>
          <w:tcPr>
            <w:tcW w:w="1016" w:type="dxa"/>
            <w:tcBorders>
              <w:left w:val="single" w:sz="4" w:space="0" w:color="auto"/>
              <w:bottom w:val="double" w:sz="4" w:space="0" w:color="auto"/>
              <w:right w:val="single" w:sz="4" w:space="0" w:color="auto"/>
            </w:tcBorders>
            <w:shd w:val="clear" w:color="auto" w:fill="auto"/>
            <w:vAlign w:val="bottom"/>
          </w:tcPr>
          <w:p w14:paraId="42A18B07" w14:textId="2E1E4C7F" w:rsidR="009C0F17" w:rsidRPr="005A497D" w:rsidRDefault="009C0F17" w:rsidP="009C0F17">
            <w:pPr>
              <w:jc w:val="right"/>
              <w:rPr>
                <w:b/>
                <w:sz w:val="16"/>
                <w:szCs w:val="16"/>
              </w:rPr>
            </w:pPr>
            <w:r w:rsidRPr="00A43BCB">
              <w:rPr>
                <w:b/>
                <w:sz w:val="16"/>
                <w:szCs w:val="16"/>
              </w:rPr>
              <w:t xml:space="preserve">           1,716,092 </w:t>
            </w:r>
          </w:p>
        </w:tc>
        <w:tc>
          <w:tcPr>
            <w:tcW w:w="1016" w:type="dxa"/>
            <w:tcBorders>
              <w:left w:val="single" w:sz="4" w:space="0" w:color="auto"/>
              <w:bottom w:val="double" w:sz="4" w:space="0" w:color="auto"/>
              <w:right w:val="single" w:sz="4" w:space="0" w:color="auto"/>
            </w:tcBorders>
            <w:shd w:val="clear" w:color="auto" w:fill="auto"/>
            <w:vAlign w:val="bottom"/>
          </w:tcPr>
          <w:p w14:paraId="4A5F50C7" w14:textId="786ED8DC" w:rsidR="009C0F17" w:rsidRPr="005A497D" w:rsidRDefault="009C0F17" w:rsidP="009C0F17">
            <w:pPr>
              <w:jc w:val="right"/>
              <w:rPr>
                <w:b/>
                <w:sz w:val="16"/>
                <w:szCs w:val="16"/>
              </w:rPr>
            </w:pPr>
            <w:r w:rsidRPr="00A43BCB">
              <w:rPr>
                <w:b/>
                <w:sz w:val="16"/>
                <w:szCs w:val="16"/>
              </w:rPr>
              <w:t>1,716,092</w:t>
            </w:r>
          </w:p>
        </w:tc>
        <w:tc>
          <w:tcPr>
            <w:tcW w:w="1016" w:type="dxa"/>
            <w:tcBorders>
              <w:left w:val="single" w:sz="4" w:space="0" w:color="auto"/>
              <w:bottom w:val="double" w:sz="4" w:space="0" w:color="auto"/>
              <w:right w:val="single" w:sz="4" w:space="0" w:color="auto"/>
            </w:tcBorders>
            <w:shd w:val="clear" w:color="auto" w:fill="auto"/>
            <w:vAlign w:val="bottom"/>
          </w:tcPr>
          <w:p w14:paraId="45AAB5D7" w14:textId="6E50E47C" w:rsidR="009C0F17" w:rsidRPr="005A497D" w:rsidRDefault="00B22526" w:rsidP="00B22526">
            <w:pPr>
              <w:jc w:val="right"/>
              <w:rPr>
                <w:b/>
                <w:sz w:val="16"/>
                <w:szCs w:val="16"/>
              </w:rPr>
            </w:pPr>
            <w:r>
              <w:rPr>
                <w:b/>
                <w:sz w:val="16"/>
                <w:szCs w:val="16"/>
              </w:rPr>
              <w:t>-</w:t>
            </w:r>
          </w:p>
        </w:tc>
        <w:tc>
          <w:tcPr>
            <w:tcW w:w="1016" w:type="dxa"/>
            <w:tcBorders>
              <w:left w:val="single" w:sz="4" w:space="0" w:color="auto"/>
              <w:bottom w:val="double" w:sz="4" w:space="0" w:color="auto"/>
              <w:right w:val="single" w:sz="4" w:space="0" w:color="auto"/>
            </w:tcBorders>
            <w:shd w:val="clear" w:color="auto" w:fill="auto"/>
            <w:vAlign w:val="bottom"/>
          </w:tcPr>
          <w:p w14:paraId="410EC0E3" w14:textId="305A67E7" w:rsidR="009C0F17" w:rsidRPr="005A497D" w:rsidRDefault="009C0F17" w:rsidP="00B22526">
            <w:pPr>
              <w:jc w:val="right"/>
              <w:rPr>
                <w:b/>
                <w:sz w:val="16"/>
                <w:szCs w:val="16"/>
              </w:rPr>
            </w:pPr>
            <w:r w:rsidRPr="00A43BCB">
              <w:rPr>
                <w:b/>
                <w:sz w:val="16"/>
                <w:szCs w:val="16"/>
              </w:rPr>
              <w:t>207,98</w:t>
            </w:r>
            <w:r w:rsidR="00B22526">
              <w:rPr>
                <w:b/>
                <w:sz w:val="16"/>
                <w:szCs w:val="16"/>
              </w:rPr>
              <w:t>8</w:t>
            </w:r>
          </w:p>
        </w:tc>
        <w:tc>
          <w:tcPr>
            <w:tcW w:w="1016" w:type="dxa"/>
            <w:tcBorders>
              <w:left w:val="single" w:sz="4" w:space="0" w:color="auto"/>
              <w:bottom w:val="double" w:sz="4" w:space="0" w:color="auto"/>
              <w:right w:val="double" w:sz="4" w:space="0" w:color="auto"/>
            </w:tcBorders>
            <w:shd w:val="clear" w:color="auto" w:fill="auto"/>
            <w:vAlign w:val="center"/>
          </w:tcPr>
          <w:p w14:paraId="6E0A9EC0" w14:textId="77777777" w:rsidR="009C0F17" w:rsidRPr="005A497D" w:rsidRDefault="009C0F17" w:rsidP="009C0F17">
            <w:pPr>
              <w:jc w:val="right"/>
              <w:rPr>
                <w:b/>
                <w:sz w:val="16"/>
                <w:szCs w:val="16"/>
              </w:rPr>
            </w:pPr>
          </w:p>
        </w:tc>
      </w:tr>
      <w:tr w:rsidR="009C0F17" w:rsidRPr="005A497D" w14:paraId="2535FA98" w14:textId="77777777" w:rsidTr="00A77FAA">
        <w:trPr>
          <w:trHeight w:val="264"/>
        </w:trPr>
        <w:tc>
          <w:tcPr>
            <w:tcW w:w="3272" w:type="dxa"/>
            <w:tcBorders>
              <w:top w:val="double" w:sz="4" w:space="0" w:color="auto"/>
              <w:left w:val="double" w:sz="4" w:space="0" w:color="auto"/>
            </w:tcBorders>
            <w:shd w:val="clear" w:color="auto" w:fill="auto"/>
            <w:noWrap/>
            <w:vAlign w:val="center"/>
            <w:hideMark/>
          </w:tcPr>
          <w:p w14:paraId="4AE2E976" w14:textId="77777777" w:rsidR="009C0F17" w:rsidRPr="005A497D" w:rsidRDefault="009C0F17" w:rsidP="009C0F17">
            <w:pPr>
              <w:rPr>
                <w:b/>
                <w:i/>
                <w:sz w:val="16"/>
                <w:szCs w:val="16"/>
                <w:lang w:eastAsia="en-IN"/>
              </w:rPr>
            </w:pPr>
            <w:r w:rsidRPr="005A497D">
              <w:rPr>
                <w:b/>
                <w:i/>
                <w:sz w:val="16"/>
                <w:szCs w:val="16"/>
                <w:lang w:eastAsia="en-IN"/>
              </w:rPr>
              <w:t>Overall variance</w:t>
            </w:r>
          </w:p>
        </w:tc>
        <w:tc>
          <w:tcPr>
            <w:tcW w:w="6095" w:type="dxa"/>
            <w:gridSpan w:val="6"/>
            <w:tcBorders>
              <w:top w:val="double" w:sz="4" w:space="0" w:color="auto"/>
              <w:right w:val="double" w:sz="4" w:space="0" w:color="auto"/>
            </w:tcBorders>
            <w:shd w:val="clear" w:color="auto" w:fill="auto"/>
            <w:noWrap/>
            <w:vAlign w:val="center"/>
            <w:hideMark/>
          </w:tcPr>
          <w:p w14:paraId="7E232456" w14:textId="37FA284C" w:rsidR="009C0F17" w:rsidRPr="005A497D" w:rsidRDefault="009C0F17" w:rsidP="009C0F17">
            <w:pPr>
              <w:jc w:val="center"/>
              <w:rPr>
                <w:b/>
                <w:i/>
                <w:sz w:val="16"/>
                <w:szCs w:val="16"/>
              </w:rPr>
            </w:pPr>
            <w:r>
              <w:rPr>
                <w:b/>
                <w:i/>
                <w:sz w:val="16"/>
                <w:szCs w:val="16"/>
              </w:rPr>
              <w:t>98.3%</w:t>
            </w:r>
          </w:p>
        </w:tc>
      </w:tr>
      <w:tr w:rsidR="009C0F17" w:rsidRPr="005A497D" w14:paraId="7D4DB33B" w14:textId="77777777" w:rsidTr="00A77FAA">
        <w:trPr>
          <w:trHeight w:val="264"/>
        </w:trPr>
        <w:tc>
          <w:tcPr>
            <w:tcW w:w="3272" w:type="dxa"/>
            <w:tcBorders>
              <w:left w:val="double" w:sz="4" w:space="0" w:color="auto"/>
              <w:bottom w:val="double" w:sz="4" w:space="0" w:color="auto"/>
            </w:tcBorders>
            <w:shd w:val="clear" w:color="auto" w:fill="auto"/>
            <w:noWrap/>
            <w:vAlign w:val="center"/>
            <w:hideMark/>
          </w:tcPr>
          <w:p w14:paraId="22DB5CBB" w14:textId="77777777" w:rsidR="009C0F17" w:rsidRPr="005A497D" w:rsidRDefault="009C0F17" w:rsidP="009C0F17">
            <w:pPr>
              <w:rPr>
                <w:b/>
                <w:i/>
                <w:sz w:val="16"/>
                <w:szCs w:val="16"/>
                <w:lang w:eastAsia="en-IN"/>
              </w:rPr>
            </w:pPr>
            <w:r w:rsidRPr="005A497D">
              <w:rPr>
                <w:b/>
                <w:i/>
                <w:sz w:val="16"/>
                <w:szCs w:val="16"/>
                <w:lang w:eastAsia="en-IN"/>
              </w:rPr>
              <w:t>Composition variance</w:t>
            </w:r>
          </w:p>
        </w:tc>
        <w:tc>
          <w:tcPr>
            <w:tcW w:w="6095" w:type="dxa"/>
            <w:gridSpan w:val="6"/>
            <w:tcBorders>
              <w:bottom w:val="double" w:sz="4" w:space="0" w:color="auto"/>
              <w:right w:val="double" w:sz="4" w:space="0" w:color="auto"/>
            </w:tcBorders>
            <w:shd w:val="clear" w:color="auto" w:fill="auto"/>
            <w:noWrap/>
            <w:vAlign w:val="center"/>
            <w:hideMark/>
          </w:tcPr>
          <w:p w14:paraId="54813EA9" w14:textId="06BAC0A7" w:rsidR="009C0F17" w:rsidRPr="005A497D" w:rsidRDefault="009C0F17" w:rsidP="009C0F17">
            <w:pPr>
              <w:jc w:val="center"/>
              <w:rPr>
                <w:b/>
                <w:i/>
                <w:sz w:val="16"/>
                <w:szCs w:val="16"/>
              </w:rPr>
            </w:pPr>
            <w:r>
              <w:rPr>
                <w:b/>
                <w:i/>
                <w:sz w:val="16"/>
                <w:szCs w:val="16"/>
              </w:rPr>
              <w:t>12.1%</w:t>
            </w:r>
          </w:p>
        </w:tc>
      </w:tr>
    </w:tbl>
    <w:p w14:paraId="6569055C" w14:textId="77777777" w:rsidR="009C0F17" w:rsidRDefault="009C0F17" w:rsidP="00A54D30">
      <w:pPr>
        <w:pStyle w:val="PEFATable"/>
        <w:spacing w:after="40"/>
        <w:jc w:val="both"/>
        <w:rPr>
          <w:sz w:val="24"/>
          <w:szCs w:val="24"/>
        </w:rPr>
      </w:pPr>
    </w:p>
    <w:p w14:paraId="7AED9321" w14:textId="686C6CD4" w:rsidR="00A54D30" w:rsidRPr="005A497D" w:rsidRDefault="0027211D" w:rsidP="00A54D30">
      <w:pPr>
        <w:pStyle w:val="PEFATable"/>
        <w:spacing w:after="40"/>
        <w:jc w:val="both"/>
      </w:pPr>
      <w:bookmarkStart w:id="447" w:name="_Toc454889277"/>
      <w:r>
        <w:rPr>
          <w:sz w:val="24"/>
          <w:szCs w:val="24"/>
        </w:rPr>
        <w:t xml:space="preserve">Table </w:t>
      </w:r>
      <w:r w:rsidR="009A6E2C">
        <w:rPr>
          <w:sz w:val="24"/>
          <w:szCs w:val="24"/>
        </w:rPr>
        <w:t>A</w:t>
      </w:r>
      <w:r>
        <w:rPr>
          <w:sz w:val="24"/>
          <w:szCs w:val="24"/>
        </w:rPr>
        <w:t>4</w:t>
      </w:r>
      <w:r w:rsidR="00A54D30" w:rsidRPr="005A497D">
        <w:rPr>
          <w:sz w:val="24"/>
          <w:szCs w:val="24"/>
        </w:rPr>
        <w:t>.11: Data for PI-3, 2014</w:t>
      </w:r>
      <w:bookmarkEnd w:id="447"/>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015"/>
        <w:gridCol w:w="1016"/>
        <w:gridCol w:w="1016"/>
        <w:gridCol w:w="1016"/>
        <w:gridCol w:w="1016"/>
        <w:gridCol w:w="1016"/>
      </w:tblGrid>
      <w:tr w:rsidR="006232F7" w:rsidRPr="003567C3" w14:paraId="5ACF8A30" w14:textId="77777777" w:rsidTr="006232F7">
        <w:trPr>
          <w:trHeight w:val="144"/>
          <w:tblHeader/>
        </w:trPr>
        <w:tc>
          <w:tcPr>
            <w:tcW w:w="3272" w:type="dxa"/>
            <w:vMerge w:val="restart"/>
            <w:tcBorders>
              <w:top w:val="double" w:sz="4" w:space="0" w:color="auto"/>
              <w:left w:val="double" w:sz="4" w:space="0" w:color="auto"/>
            </w:tcBorders>
            <w:shd w:val="clear" w:color="auto" w:fill="D9D9D9" w:themeFill="background1" w:themeFillShade="D9"/>
            <w:noWrap/>
            <w:vAlign w:val="center"/>
          </w:tcPr>
          <w:p w14:paraId="3CA3212D" w14:textId="73A4DFAC" w:rsidR="006232F7" w:rsidRPr="003B6382" w:rsidRDefault="006232F7" w:rsidP="006232F7">
            <w:pPr>
              <w:jc w:val="center"/>
              <w:rPr>
                <w:b/>
                <w:sz w:val="16"/>
                <w:szCs w:val="16"/>
                <w:lang w:eastAsia="en-IN"/>
              </w:rPr>
            </w:pPr>
            <w:r w:rsidRPr="003B6382">
              <w:rPr>
                <w:b/>
                <w:sz w:val="16"/>
                <w:szCs w:val="16"/>
                <w:lang w:eastAsia="en-IN"/>
              </w:rPr>
              <w:t>Economic head</w:t>
            </w:r>
          </w:p>
        </w:tc>
        <w:tc>
          <w:tcPr>
            <w:tcW w:w="5079" w:type="dxa"/>
            <w:gridSpan w:val="5"/>
            <w:tcBorders>
              <w:top w:val="double" w:sz="4" w:space="0" w:color="auto"/>
              <w:bottom w:val="double" w:sz="4" w:space="0" w:color="auto"/>
            </w:tcBorders>
            <w:shd w:val="clear" w:color="auto" w:fill="D9D9D9" w:themeFill="background1" w:themeFillShade="D9"/>
            <w:noWrap/>
            <w:vAlign w:val="center"/>
          </w:tcPr>
          <w:p w14:paraId="4BC721D9" w14:textId="315FBDAB" w:rsidR="006232F7" w:rsidRPr="003B6382" w:rsidRDefault="00AD1D03" w:rsidP="009C0F17">
            <w:pPr>
              <w:jc w:val="center"/>
              <w:rPr>
                <w:b/>
                <w:i/>
                <w:sz w:val="16"/>
                <w:szCs w:val="16"/>
                <w:lang w:eastAsia="en-IN"/>
              </w:rPr>
            </w:pPr>
            <w:r w:rsidRPr="003B6382">
              <w:rPr>
                <w:b/>
                <w:i/>
                <w:sz w:val="16"/>
                <w:szCs w:val="16"/>
                <w:lang w:eastAsia="en-IN"/>
              </w:rPr>
              <w:t>(</w:t>
            </w:r>
            <w:r w:rsidR="006232F7" w:rsidRPr="003B6382">
              <w:rPr>
                <w:b/>
                <w:i/>
                <w:sz w:val="16"/>
                <w:szCs w:val="16"/>
                <w:lang w:eastAsia="en-IN"/>
              </w:rPr>
              <w:t xml:space="preserve">PhP </w:t>
            </w:r>
            <w:r w:rsidR="009C0F17" w:rsidRPr="003B6382">
              <w:rPr>
                <w:b/>
                <w:i/>
                <w:sz w:val="16"/>
                <w:szCs w:val="16"/>
                <w:lang w:eastAsia="en-IN"/>
              </w:rPr>
              <w:t>millions</w:t>
            </w:r>
            <w:r w:rsidRPr="003B6382">
              <w:rPr>
                <w:b/>
                <w:i/>
                <w:sz w:val="16"/>
                <w:szCs w:val="16"/>
                <w:lang w:eastAsia="en-IN"/>
              </w:rPr>
              <w:t>)</w:t>
            </w:r>
          </w:p>
        </w:tc>
        <w:tc>
          <w:tcPr>
            <w:tcW w:w="1016" w:type="dxa"/>
            <w:vMerge w:val="restart"/>
            <w:tcBorders>
              <w:top w:val="double" w:sz="4" w:space="0" w:color="auto"/>
              <w:right w:val="double" w:sz="4" w:space="0" w:color="auto"/>
            </w:tcBorders>
            <w:shd w:val="clear" w:color="auto" w:fill="D9D9D9" w:themeFill="background1" w:themeFillShade="D9"/>
            <w:noWrap/>
            <w:vAlign w:val="center"/>
          </w:tcPr>
          <w:p w14:paraId="316A6C75" w14:textId="0B08B602" w:rsidR="006232F7" w:rsidRPr="003B6382" w:rsidRDefault="006232F7" w:rsidP="00A54D30">
            <w:pPr>
              <w:jc w:val="center"/>
              <w:rPr>
                <w:b/>
                <w:sz w:val="16"/>
                <w:szCs w:val="16"/>
                <w:lang w:eastAsia="en-IN"/>
              </w:rPr>
            </w:pPr>
            <w:r w:rsidRPr="003B6382">
              <w:rPr>
                <w:b/>
                <w:sz w:val="16"/>
                <w:szCs w:val="16"/>
                <w:lang w:eastAsia="en-IN"/>
              </w:rPr>
              <w:t>%</w:t>
            </w:r>
          </w:p>
        </w:tc>
      </w:tr>
      <w:tr w:rsidR="006232F7" w:rsidRPr="003567C3" w14:paraId="379DCA87" w14:textId="77777777" w:rsidTr="00A710D5">
        <w:trPr>
          <w:trHeight w:val="384"/>
          <w:tblHeader/>
        </w:trPr>
        <w:tc>
          <w:tcPr>
            <w:tcW w:w="3272" w:type="dxa"/>
            <w:vMerge/>
            <w:tcBorders>
              <w:left w:val="double" w:sz="4" w:space="0" w:color="auto"/>
              <w:bottom w:val="double" w:sz="4" w:space="0" w:color="auto"/>
            </w:tcBorders>
            <w:shd w:val="clear" w:color="auto" w:fill="D9D9D9" w:themeFill="background1" w:themeFillShade="D9"/>
            <w:noWrap/>
            <w:vAlign w:val="center"/>
            <w:hideMark/>
          </w:tcPr>
          <w:p w14:paraId="07325B84" w14:textId="18DF8C09" w:rsidR="006232F7" w:rsidRPr="003B6382" w:rsidRDefault="006232F7" w:rsidP="00A54D30">
            <w:pPr>
              <w:jc w:val="center"/>
              <w:rPr>
                <w:b/>
                <w:sz w:val="16"/>
                <w:szCs w:val="16"/>
                <w:lang w:eastAsia="en-IN"/>
              </w:rPr>
            </w:pPr>
          </w:p>
        </w:tc>
        <w:tc>
          <w:tcPr>
            <w:tcW w:w="1015" w:type="dxa"/>
            <w:tcBorders>
              <w:top w:val="double" w:sz="4" w:space="0" w:color="auto"/>
              <w:bottom w:val="double" w:sz="4" w:space="0" w:color="auto"/>
            </w:tcBorders>
            <w:shd w:val="clear" w:color="auto" w:fill="D9D9D9" w:themeFill="background1" w:themeFillShade="D9"/>
            <w:noWrap/>
            <w:vAlign w:val="center"/>
            <w:hideMark/>
          </w:tcPr>
          <w:p w14:paraId="31ED9A9D" w14:textId="77777777" w:rsidR="006232F7" w:rsidRPr="003B6382" w:rsidRDefault="006232F7" w:rsidP="00A54D30">
            <w:pPr>
              <w:jc w:val="center"/>
              <w:rPr>
                <w:b/>
                <w:bCs/>
                <w:sz w:val="16"/>
                <w:szCs w:val="16"/>
                <w:lang w:eastAsia="en-IN"/>
              </w:rPr>
            </w:pPr>
            <w:r w:rsidRPr="003B6382">
              <w:rPr>
                <w:b/>
                <w:bCs/>
                <w:sz w:val="16"/>
                <w:szCs w:val="16"/>
                <w:lang w:eastAsia="en-IN"/>
              </w:rPr>
              <w:t>Budget</w:t>
            </w:r>
          </w:p>
        </w:tc>
        <w:tc>
          <w:tcPr>
            <w:tcW w:w="1016" w:type="dxa"/>
            <w:tcBorders>
              <w:top w:val="double" w:sz="4" w:space="0" w:color="auto"/>
              <w:bottom w:val="double" w:sz="4" w:space="0" w:color="auto"/>
            </w:tcBorders>
            <w:shd w:val="clear" w:color="auto" w:fill="D9D9D9" w:themeFill="background1" w:themeFillShade="D9"/>
            <w:noWrap/>
            <w:vAlign w:val="center"/>
            <w:hideMark/>
          </w:tcPr>
          <w:p w14:paraId="035153B4" w14:textId="77777777" w:rsidR="006232F7" w:rsidRPr="003B6382" w:rsidRDefault="006232F7" w:rsidP="00A54D30">
            <w:pPr>
              <w:jc w:val="center"/>
              <w:rPr>
                <w:b/>
                <w:bCs/>
                <w:sz w:val="16"/>
                <w:szCs w:val="16"/>
                <w:lang w:eastAsia="en-IN"/>
              </w:rPr>
            </w:pPr>
            <w:r w:rsidRPr="003B6382">
              <w:rPr>
                <w:b/>
                <w:bCs/>
                <w:sz w:val="16"/>
                <w:szCs w:val="16"/>
                <w:lang w:eastAsia="en-IN"/>
              </w:rPr>
              <w:t>Actual</w:t>
            </w:r>
          </w:p>
        </w:tc>
        <w:tc>
          <w:tcPr>
            <w:tcW w:w="1016" w:type="dxa"/>
            <w:tcBorders>
              <w:top w:val="double" w:sz="4" w:space="0" w:color="auto"/>
              <w:bottom w:val="double" w:sz="4" w:space="0" w:color="auto"/>
            </w:tcBorders>
            <w:shd w:val="clear" w:color="auto" w:fill="D9D9D9" w:themeFill="background1" w:themeFillShade="D9"/>
            <w:vAlign w:val="center"/>
            <w:hideMark/>
          </w:tcPr>
          <w:p w14:paraId="6204CB9F" w14:textId="0837E1FC" w:rsidR="006232F7" w:rsidRPr="003B6382" w:rsidRDefault="006232F7" w:rsidP="006232F7">
            <w:pPr>
              <w:jc w:val="center"/>
              <w:rPr>
                <w:b/>
                <w:sz w:val="16"/>
                <w:szCs w:val="16"/>
                <w:lang w:eastAsia="en-IN"/>
              </w:rPr>
            </w:pPr>
            <w:r w:rsidRPr="003B6382">
              <w:rPr>
                <w:b/>
                <w:sz w:val="16"/>
                <w:szCs w:val="16"/>
                <w:lang w:eastAsia="en-IN"/>
              </w:rPr>
              <w:t>Adjusted budget</w:t>
            </w:r>
          </w:p>
        </w:tc>
        <w:tc>
          <w:tcPr>
            <w:tcW w:w="1016" w:type="dxa"/>
            <w:tcBorders>
              <w:top w:val="double" w:sz="4" w:space="0" w:color="auto"/>
              <w:bottom w:val="double" w:sz="4" w:space="0" w:color="auto"/>
            </w:tcBorders>
            <w:shd w:val="clear" w:color="auto" w:fill="D9D9D9" w:themeFill="background1" w:themeFillShade="D9"/>
            <w:vAlign w:val="center"/>
            <w:hideMark/>
          </w:tcPr>
          <w:p w14:paraId="6D048B8C" w14:textId="77777777" w:rsidR="006232F7" w:rsidRPr="003B6382" w:rsidRDefault="006232F7" w:rsidP="00A54D30">
            <w:pPr>
              <w:jc w:val="center"/>
              <w:rPr>
                <w:b/>
                <w:sz w:val="16"/>
                <w:szCs w:val="16"/>
                <w:lang w:eastAsia="en-IN"/>
              </w:rPr>
            </w:pPr>
            <w:r w:rsidRPr="003B6382">
              <w:rPr>
                <w:b/>
                <w:sz w:val="16"/>
                <w:szCs w:val="16"/>
                <w:lang w:eastAsia="en-IN"/>
              </w:rPr>
              <w:t>Deviation</w:t>
            </w:r>
          </w:p>
        </w:tc>
        <w:tc>
          <w:tcPr>
            <w:tcW w:w="1016" w:type="dxa"/>
            <w:tcBorders>
              <w:top w:val="double" w:sz="4" w:space="0" w:color="auto"/>
              <w:bottom w:val="double" w:sz="4" w:space="0" w:color="auto"/>
            </w:tcBorders>
            <w:shd w:val="clear" w:color="auto" w:fill="D9D9D9" w:themeFill="background1" w:themeFillShade="D9"/>
            <w:vAlign w:val="center"/>
            <w:hideMark/>
          </w:tcPr>
          <w:p w14:paraId="626A6335" w14:textId="111D386B" w:rsidR="006232F7" w:rsidRPr="003B6382" w:rsidRDefault="006232F7" w:rsidP="006232F7">
            <w:pPr>
              <w:jc w:val="center"/>
              <w:rPr>
                <w:b/>
                <w:sz w:val="16"/>
                <w:szCs w:val="16"/>
                <w:lang w:eastAsia="en-IN"/>
              </w:rPr>
            </w:pPr>
            <w:r w:rsidRPr="003B6382">
              <w:rPr>
                <w:b/>
                <w:sz w:val="16"/>
                <w:szCs w:val="16"/>
                <w:lang w:eastAsia="en-IN"/>
              </w:rPr>
              <w:t>Absolute deviation</w:t>
            </w:r>
          </w:p>
        </w:tc>
        <w:tc>
          <w:tcPr>
            <w:tcW w:w="1016" w:type="dxa"/>
            <w:vMerge/>
            <w:tcBorders>
              <w:bottom w:val="double" w:sz="4" w:space="0" w:color="auto"/>
              <w:right w:val="double" w:sz="4" w:space="0" w:color="auto"/>
            </w:tcBorders>
            <w:shd w:val="clear" w:color="auto" w:fill="D9D9D9" w:themeFill="background1" w:themeFillShade="D9"/>
            <w:noWrap/>
            <w:vAlign w:val="center"/>
            <w:hideMark/>
          </w:tcPr>
          <w:p w14:paraId="266CD115" w14:textId="1A8C14DA" w:rsidR="006232F7" w:rsidRPr="003567C3" w:rsidRDefault="006232F7" w:rsidP="00A54D30">
            <w:pPr>
              <w:jc w:val="center"/>
              <w:rPr>
                <w:b/>
                <w:i/>
                <w:sz w:val="16"/>
                <w:szCs w:val="16"/>
                <w:lang w:eastAsia="en-IN"/>
              </w:rPr>
            </w:pPr>
          </w:p>
        </w:tc>
      </w:tr>
      <w:tr w:rsidR="00A54D30" w:rsidRPr="005A497D" w14:paraId="3B566E9F" w14:textId="77777777" w:rsidTr="00A54D30">
        <w:trPr>
          <w:trHeight w:val="288"/>
        </w:trPr>
        <w:tc>
          <w:tcPr>
            <w:tcW w:w="9367" w:type="dxa"/>
            <w:gridSpan w:val="7"/>
            <w:tcBorders>
              <w:top w:val="double" w:sz="4" w:space="0" w:color="auto"/>
              <w:left w:val="double" w:sz="4" w:space="0" w:color="auto"/>
              <w:right w:val="double" w:sz="4" w:space="0" w:color="auto"/>
            </w:tcBorders>
            <w:shd w:val="clear" w:color="auto" w:fill="auto"/>
            <w:noWrap/>
            <w:vAlign w:val="center"/>
            <w:hideMark/>
          </w:tcPr>
          <w:p w14:paraId="3B6F63DA" w14:textId="71593C3E" w:rsidR="00A54D30" w:rsidRPr="005A497D" w:rsidRDefault="00A54D30" w:rsidP="00A54D30">
            <w:pPr>
              <w:rPr>
                <w:b/>
                <w:sz w:val="16"/>
                <w:szCs w:val="16"/>
              </w:rPr>
            </w:pPr>
            <w:r w:rsidRPr="005A497D">
              <w:rPr>
                <w:b/>
                <w:sz w:val="16"/>
                <w:szCs w:val="16"/>
              </w:rPr>
              <w:t>Tax Revenue</w:t>
            </w:r>
          </w:p>
        </w:tc>
      </w:tr>
      <w:tr w:rsidR="009C0F17" w:rsidRPr="005A497D" w14:paraId="760F3615" w14:textId="77777777" w:rsidTr="000D0E8D">
        <w:trPr>
          <w:trHeight w:val="288"/>
        </w:trPr>
        <w:tc>
          <w:tcPr>
            <w:tcW w:w="3272" w:type="dxa"/>
            <w:tcBorders>
              <w:top w:val="single" w:sz="4" w:space="0" w:color="auto"/>
              <w:left w:val="double" w:sz="4" w:space="0" w:color="auto"/>
            </w:tcBorders>
            <w:shd w:val="clear" w:color="auto" w:fill="auto"/>
            <w:noWrap/>
            <w:vAlign w:val="center"/>
            <w:hideMark/>
          </w:tcPr>
          <w:p w14:paraId="7DDEAE16" w14:textId="7B2970AF" w:rsidR="009C0F17" w:rsidRPr="005A497D" w:rsidRDefault="009C0F17" w:rsidP="009C0F17">
            <w:pPr>
              <w:rPr>
                <w:sz w:val="16"/>
                <w:szCs w:val="16"/>
              </w:rPr>
            </w:pPr>
            <w:r w:rsidRPr="005A497D">
              <w:rPr>
                <w:sz w:val="16"/>
                <w:szCs w:val="16"/>
              </w:rPr>
              <w:t>Taxes on income</w:t>
            </w:r>
            <w:r>
              <w:rPr>
                <w:sz w:val="16"/>
                <w:szCs w:val="16"/>
              </w:rPr>
              <w:t xml:space="preserve"> and</w:t>
            </w:r>
            <w:r w:rsidRPr="005A497D">
              <w:rPr>
                <w:sz w:val="16"/>
                <w:szCs w:val="16"/>
              </w:rPr>
              <w:t xml:space="preserve"> profits</w:t>
            </w:r>
          </w:p>
        </w:tc>
        <w:tc>
          <w:tcPr>
            <w:tcW w:w="1015" w:type="dxa"/>
            <w:tcBorders>
              <w:top w:val="single" w:sz="4" w:space="0" w:color="auto"/>
            </w:tcBorders>
            <w:shd w:val="clear" w:color="auto" w:fill="auto"/>
            <w:noWrap/>
            <w:vAlign w:val="center"/>
            <w:hideMark/>
          </w:tcPr>
          <w:p w14:paraId="62C98A82" w14:textId="7C457DE0" w:rsidR="009C0F17" w:rsidRPr="005A497D" w:rsidRDefault="009C0F17" w:rsidP="009C0F17">
            <w:pPr>
              <w:jc w:val="right"/>
              <w:rPr>
                <w:sz w:val="16"/>
                <w:szCs w:val="16"/>
              </w:rPr>
            </w:pPr>
            <w:r w:rsidRPr="005A497D">
              <w:rPr>
                <w:sz w:val="16"/>
                <w:szCs w:val="16"/>
              </w:rPr>
              <w:t>853,200</w:t>
            </w:r>
          </w:p>
        </w:tc>
        <w:tc>
          <w:tcPr>
            <w:tcW w:w="1016" w:type="dxa"/>
            <w:tcBorders>
              <w:top w:val="single" w:sz="4" w:space="0" w:color="auto"/>
            </w:tcBorders>
            <w:shd w:val="clear" w:color="auto" w:fill="auto"/>
            <w:noWrap/>
            <w:vAlign w:val="center"/>
            <w:hideMark/>
          </w:tcPr>
          <w:p w14:paraId="68D39BA1" w14:textId="060481C2" w:rsidR="009C0F17" w:rsidRPr="005A497D" w:rsidRDefault="009C0F17" w:rsidP="009C0F17">
            <w:pPr>
              <w:jc w:val="right"/>
              <w:rPr>
                <w:sz w:val="16"/>
                <w:szCs w:val="16"/>
              </w:rPr>
            </w:pPr>
            <w:r w:rsidRPr="005A497D">
              <w:rPr>
                <w:sz w:val="16"/>
                <w:szCs w:val="16"/>
              </w:rPr>
              <w:t>784,859</w:t>
            </w:r>
          </w:p>
        </w:tc>
        <w:tc>
          <w:tcPr>
            <w:tcW w:w="1016" w:type="dxa"/>
            <w:tcBorders>
              <w:top w:val="single" w:sz="4" w:space="0" w:color="auto"/>
            </w:tcBorders>
            <w:shd w:val="clear" w:color="auto" w:fill="auto"/>
            <w:noWrap/>
            <w:vAlign w:val="center"/>
            <w:hideMark/>
          </w:tcPr>
          <w:p w14:paraId="190659BD" w14:textId="076919BA" w:rsidR="009C0F17" w:rsidRPr="005A497D" w:rsidRDefault="009C0F17" w:rsidP="00B22526">
            <w:pPr>
              <w:jc w:val="right"/>
              <w:rPr>
                <w:sz w:val="16"/>
                <w:szCs w:val="16"/>
              </w:rPr>
            </w:pPr>
            <w:r>
              <w:rPr>
                <w:sz w:val="16"/>
                <w:szCs w:val="16"/>
              </w:rPr>
              <w:t xml:space="preserve">806,895 </w:t>
            </w:r>
          </w:p>
        </w:tc>
        <w:tc>
          <w:tcPr>
            <w:tcW w:w="1016" w:type="dxa"/>
            <w:tcBorders>
              <w:top w:val="single" w:sz="4" w:space="0" w:color="auto"/>
            </w:tcBorders>
            <w:shd w:val="clear" w:color="auto" w:fill="auto"/>
            <w:noWrap/>
            <w:vAlign w:val="center"/>
            <w:hideMark/>
          </w:tcPr>
          <w:p w14:paraId="23AD70DE" w14:textId="660CAA24" w:rsidR="009C0F17" w:rsidRPr="005A497D" w:rsidRDefault="009C0F17" w:rsidP="00B22526">
            <w:pPr>
              <w:jc w:val="right"/>
              <w:rPr>
                <w:sz w:val="16"/>
                <w:szCs w:val="16"/>
              </w:rPr>
            </w:pPr>
            <w:r>
              <w:rPr>
                <w:sz w:val="16"/>
                <w:szCs w:val="16"/>
              </w:rPr>
              <w:t>(22,036)</w:t>
            </w:r>
          </w:p>
        </w:tc>
        <w:tc>
          <w:tcPr>
            <w:tcW w:w="1016" w:type="dxa"/>
            <w:tcBorders>
              <w:top w:val="single" w:sz="4" w:space="0" w:color="auto"/>
            </w:tcBorders>
            <w:shd w:val="clear" w:color="auto" w:fill="auto"/>
            <w:noWrap/>
            <w:vAlign w:val="center"/>
            <w:hideMark/>
          </w:tcPr>
          <w:p w14:paraId="4FCFB9E2" w14:textId="0EE8226A" w:rsidR="009C0F17" w:rsidRPr="005A497D" w:rsidRDefault="009C0F17" w:rsidP="00B22526">
            <w:pPr>
              <w:jc w:val="right"/>
              <w:rPr>
                <w:sz w:val="16"/>
                <w:szCs w:val="16"/>
              </w:rPr>
            </w:pPr>
            <w:r>
              <w:rPr>
                <w:sz w:val="16"/>
                <w:szCs w:val="16"/>
              </w:rPr>
              <w:t xml:space="preserve">22,036 </w:t>
            </w:r>
          </w:p>
        </w:tc>
        <w:tc>
          <w:tcPr>
            <w:tcW w:w="1016" w:type="dxa"/>
            <w:tcBorders>
              <w:top w:val="single" w:sz="4" w:space="0" w:color="auto"/>
              <w:right w:val="double" w:sz="4" w:space="0" w:color="auto"/>
            </w:tcBorders>
            <w:shd w:val="clear" w:color="auto" w:fill="auto"/>
            <w:noWrap/>
            <w:vAlign w:val="center"/>
            <w:hideMark/>
          </w:tcPr>
          <w:p w14:paraId="6F1AE6A5" w14:textId="223C9D8A" w:rsidR="009C0F17" w:rsidRPr="005A497D" w:rsidRDefault="009C0F17" w:rsidP="009C0F17">
            <w:pPr>
              <w:jc w:val="right"/>
              <w:rPr>
                <w:sz w:val="16"/>
                <w:szCs w:val="16"/>
              </w:rPr>
            </w:pPr>
            <w:r>
              <w:rPr>
                <w:sz w:val="16"/>
                <w:szCs w:val="16"/>
              </w:rPr>
              <w:t>2.7%</w:t>
            </w:r>
          </w:p>
        </w:tc>
      </w:tr>
      <w:tr w:rsidR="009C0F17" w:rsidRPr="005A497D" w14:paraId="30B4D36A" w14:textId="77777777" w:rsidTr="000D0E8D">
        <w:trPr>
          <w:trHeight w:val="288"/>
        </w:trPr>
        <w:tc>
          <w:tcPr>
            <w:tcW w:w="3272" w:type="dxa"/>
            <w:tcBorders>
              <w:left w:val="double" w:sz="4" w:space="0" w:color="auto"/>
            </w:tcBorders>
            <w:shd w:val="clear" w:color="auto" w:fill="auto"/>
            <w:noWrap/>
            <w:vAlign w:val="center"/>
            <w:hideMark/>
          </w:tcPr>
          <w:p w14:paraId="129F80B1" w14:textId="77777777" w:rsidR="009C0F17" w:rsidRPr="005A497D" w:rsidRDefault="009C0F17" w:rsidP="009C0F17">
            <w:pPr>
              <w:rPr>
                <w:sz w:val="16"/>
                <w:szCs w:val="16"/>
              </w:rPr>
            </w:pPr>
            <w:r w:rsidRPr="005A497D">
              <w:rPr>
                <w:sz w:val="16"/>
                <w:szCs w:val="16"/>
              </w:rPr>
              <w:t>Taxes on property</w:t>
            </w:r>
          </w:p>
        </w:tc>
        <w:tc>
          <w:tcPr>
            <w:tcW w:w="1015" w:type="dxa"/>
            <w:shd w:val="clear" w:color="auto" w:fill="auto"/>
            <w:noWrap/>
            <w:vAlign w:val="center"/>
            <w:hideMark/>
          </w:tcPr>
          <w:p w14:paraId="0C18B549" w14:textId="02A0427B" w:rsidR="009C0F17" w:rsidRPr="005A497D" w:rsidRDefault="009C0F17" w:rsidP="009C0F17">
            <w:pPr>
              <w:jc w:val="right"/>
              <w:rPr>
                <w:sz w:val="16"/>
                <w:szCs w:val="16"/>
              </w:rPr>
            </w:pPr>
            <w:r w:rsidRPr="005A497D">
              <w:rPr>
                <w:sz w:val="16"/>
                <w:szCs w:val="16"/>
              </w:rPr>
              <w:t>5,291</w:t>
            </w:r>
          </w:p>
        </w:tc>
        <w:tc>
          <w:tcPr>
            <w:tcW w:w="1016" w:type="dxa"/>
            <w:shd w:val="clear" w:color="auto" w:fill="auto"/>
            <w:noWrap/>
            <w:vAlign w:val="center"/>
            <w:hideMark/>
          </w:tcPr>
          <w:p w14:paraId="2AEF60BA" w14:textId="3113788E" w:rsidR="009C0F17" w:rsidRPr="005A497D" w:rsidRDefault="009C0F17" w:rsidP="009C0F17">
            <w:pPr>
              <w:jc w:val="right"/>
              <w:rPr>
                <w:sz w:val="16"/>
                <w:szCs w:val="16"/>
              </w:rPr>
            </w:pPr>
            <w:r w:rsidRPr="005A497D">
              <w:rPr>
                <w:sz w:val="16"/>
                <w:szCs w:val="16"/>
              </w:rPr>
              <w:t>5,450</w:t>
            </w:r>
          </w:p>
        </w:tc>
        <w:tc>
          <w:tcPr>
            <w:tcW w:w="1016" w:type="dxa"/>
            <w:shd w:val="clear" w:color="auto" w:fill="auto"/>
            <w:noWrap/>
            <w:vAlign w:val="center"/>
            <w:hideMark/>
          </w:tcPr>
          <w:p w14:paraId="3C5E83AE" w14:textId="7A7CEF3B" w:rsidR="009C0F17" w:rsidRPr="005A497D" w:rsidRDefault="009C0F17" w:rsidP="009C0F17">
            <w:pPr>
              <w:jc w:val="right"/>
              <w:rPr>
                <w:sz w:val="16"/>
                <w:szCs w:val="16"/>
              </w:rPr>
            </w:pPr>
            <w:r>
              <w:rPr>
                <w:sz w:val="16"/>
                <w:szCs w:val="16"/>
              </w:rPr>
              <w:t>5,00</w:t>
            </w:r>
            <w:r w:rsidR="00B22526">
              <w:rPr>
                <w:sz w:val="16"/>
                <w:szCs w:val="16"/>
              </w:rPr>
              <w:t>4</w:t>
            </w:r>
            <w:r>
              <w:rPr>
                <w:sz w:val="16"/>
                <w:szCs w:val="16"/>
              </w:rPr>
              <w:t xml:space="preserve"> </w:t>
            </w:r>
          </w:p>
        </w:tc>
        <w:tc>
          <w:tcPr>
            <w:tcW w:w="1016" w:type="dxa"/>
            <w:shd w:val="clear" w:color="auto" w:fill="auto"/>
            <w:noWrap/>
            <w:vAlign w:val="center"/>
            <w:hideMark/>
          </w:tcPr>
          <w:p w14:paraId="10EE8853" w14:textId="25F2A984" w:rsidR="009C0F17" w:rsidRPr="005A497D" w:rsidRDefault="009C0F17" w:rsidP="00B22526">
            <w:pPr>
              <w:jc w:val="right"/>
              <w:rPr>
                <w:sz w:val="16"/>
                <w:szCs w:val="16"/>
              </w:rPr>
            </w:pPr>
            <w:r>
              <w:rPr>
                <w:sz w:val="16"/>
                <w:szCs w:val="16"/>
              </w:rPr>
              <w:t xml:space="preserve">446 </w:t>
            </w:r>
          </w:p>
        </w:tc>
        <w:tc>
          <w:tcPr>
            <w:tcW w:w="1016" w:type="dxa"/>
            <w:shd w:val="clear" w:color="auto" w:fill="auto"/>
            <w:noWrap/>
            <w:vAlign w:val="center"/>
            <w:hideMark/>
          </w:tcPr>
          <w:p w14:paraId="29F09106" w14:textId="695DE2D3" w:rsidR="009C0F17" w:rsidRPr="005A497D" w:rsidRDefault="009C0F17" w:rsidP="00B22526">
            <w:pPr>
              <w:jc w:val="right"/>
              <w:rPr>
                <w:sz w:val="16"/>
                <w:szCs w:val="16"/>
              </w:rPr>
            </w:pPr>
            <w:r>
              <w:rPr>
                <w:sz w:val="16"/>
                <w:szCs w:val="16"/>
              </w:rPr>
              <w:t xml:space="preserve">446 </w:t>
            </w:r>
          </w:p>
        </w:tc>
        <w:tc>
          <w:tcPr>
            <w:tcW w:w="1016" w:type="dxa"/>
            <w:tcBorders>
              <w:right w:val="double" w:sz="4" w:space="0" w:color="auto"/>
            </w:tcBorders>
            <w:shd w:val="clear" w:color="auto" w:fill="auto"/>
            <w:noWrap/>
            <w:vAlign w:val="center"/>
            <w:hideMark/>
          </w:tcPr>
          <w:p w14:paraId="0CF867DA" w14:textId="3657E324" w:rsidR="009C0F17" w:rsidRPr="005A497D" w:rsidRDefault="009C0F17" w:rsidP="009C0F17">
            <w:pPr>
              <w:jc w:val="right"/>
              <w:rPr>
                <w:sz w:val="16"/>
                <w:szCs w:val="16"/>
              </w:rPr>
            </w:pPr>
            <w:r>
              <w:rPr>
                <w:sz w:val="16"/>
                <w:szCs w:val="16"/>
              </w:rPr>
              <w:t>8.9%</w:t>
            </w:r>
          </w:p>
        </w:tc>
      </w:tr>
      <w:tr w:rsidR="009C0F17" w:rsidRPr="005A497D" w14:paraId="6D2BBB84" w14:textId="77777777" w:rsidTr="000D0E8D">
        <w:trPr>
          <w:trHeight w:val="288"/>
        </w:trPr>
        <w:tc>
          <w:tcPr>
            <w:tcW w:w="3272" w:type="dxa"/>
            <w:tcBorders>
              <w:left w:val="double" w:sz="4" w:space="0" w:color="auto"/>
            </w:tcBorders>
            <w:shd w:val="clear" w:color="auto" w:fill="auto"/>
            <w:noWrap/>
            <w:vAlign w:val="center"/>
            <w:hideMark/>
          </w:tcPr>
          <w:p w14:paraId="241F4C59" w14:textId="77777777" w:rsidR="009C0F17" w:rsidRPr="005A497D" w:rsidRDefault="009C0F17" w:rsidP="009C0F17">
            <w:pPr>
              <w:rPr>
                <w:sz w:val="16"/>
                <w:szCs w:val="16"/>
              </w:rPr>
            </w:pPr>
            <w:r w:rsidRPr="005A497D">
              <w:rPr>
                <w:sz w:val="16"/>
                <w:szCs w:val="16"/>
              </w:rPr>
              <w:t>Taxes on goods and services</w:t>
            </w:r>
          </w:p>
        </w:tc>
        <w:tc>
          <w:tcPr>
            <w:tcW w:w="1015" w:type="dxa"/>
            <w:shd w:val="clear" w:color="auto" w:fill="auto"/>
            <w:noWrap/>
            <w:vAlign w:val="center"/>
            <w:hideMark/>
          </w:tcPr>
          <w:p w14:paraId="5FC0A6B5" w14:textId="0E24667F" w:rsidR="009C0F17" w:rsidRPr="005A497D" w:rsidRDefault="009C0F17" w:rsidP="009C0F17">
            <w:pPr>
              <w:jc w:val="right"/>
              <w:rPr>
                <w:sz w:val="16"/>
                <w:szCs w:val="16"/>
              </w:rPr>
            </w:pPr>
            <w:r w:rsidRPr="005A497D">
              <w:rPr>
                <w:sz w:val="16"/>
                <w:szCs w:val="16"/>
              </w:rPr>
              <w:t>613,331</w:t>
            </w:r>
          </w:p>
        </w:tc>
        <w:tc>
          <w:tcPr>
            <w:tcW w:w="1016" w:type="dxa"/>
            <w:shd w:val="clear" w:color="auto" w:fill="auto"/>
            <w:noWrap/>
            <w:vAlign w:val="center"/>
            <w:hideMark/>
          </w:tcPr>
          <w:p w14:paraId="7CC84651" w14:textId="42E17495" w:rsidR="009C0F17" w:rsidRPr="005A497D" w:rsidRDefault="009C0F17" w:rsidP="009C0F17">
            <w:pPr>
              <w:jc w:val="right"/>
              <w:rPr>
                <w:sz w:val="16"/>
                <w:szCs w:val="16"/>
              </w:rPr>
            </w:pPr>
            <w:r w:rsidRPr="005A497D">
              <w:rPr>
                <w:sz w:val="16"/>
                <w:szCs w:val="16"/>
              </w:rPr>
              <w:t>560,530</w:t>
            </w:r>
          </w:p>
        </w:tc>
        <w:tc>
          <w:tcPr>
            <w:tcW w:w="1016" w:type="dxa"/>
            <w:shd w:val="clear" w:color="auto" w:fill="auto"/>
            <w:noWrap/>
            <w:vAlign w:val="center"/>
            <w:hideMark/>
          </w:tcPr>
          <w:p w14:paraId="2A3E8617" w14:textId="51D3A97E" w:rsidR="009C0F17" w:rsidRPr="005A497D" w:rsidRDefault="009C0F17" w:rsidP="00B22526">
            <w:pPr>
              <w:jc w:val="right"/>
              <w:rPr>
                <w:sz w:val="16"/>
                <w:szCs w:val="16"/>
              </w:rPr>
            </w:pPr>
            <w:r>
              <w:rPr>
                <w:sz w:val="16"/>
                <w:szCs w:val="16"/>
              </w:rPr>
              <w:t xml:space="preserve">580,044 </w:t>
            </w:r>
          </w:p>
        </w:tc>
        <w:tc>
          <w:tcPr>
            <w:tcW w:w="1016" w:type="dxa"/>
            <w:shd w:val="clear" w:color="auto" w:fill="auto"/>
            <w:noWrap/>
            <w:vAlign w:val="center"/>
            <w:hideMark/>
          </w:tcPr>
          <w:p w14:paraId="3BAAF327" w14:textId="401A35BE" w:rsidR="009C0F17" w:rsidRPr="005A497D" w:rsidRDefault="009C0F17" w:rsidP="00B22526">
            <w:pPr>
              <w:jc w:val="right"/>
              <w:rPr>
                <w:sz w:val="16"/>
                <w:szCs w:val="16"/>
              </w:rPr>
            </w:pPr>
            <w:r>
              <w:rPr>
                <w:sz w:val="16"/>
                <w:szCs w:val="16"/>
              </w:rPr>
              <w:t>(19,514)</w:t>
            </w:r>
          </w:p>
        </w:tc>
        <w:tc>
          <w:tcPr>
            <w:tcW w:w="1016" w:type="dxa"/>
            <w:shd w:val="clear" w:color="auto" w:fill="auto"/>
            <w:noWrap/>
            <w:vAlign w:val="center"/>
            <w:hideMark/>
          </w:tcPr>
          <w:p w14:paraId="283EEDFF" w14:textId="488C943D" w:rsidR="009C0F17" w:rsidRPr="005A497D" w:rsidRDefault="009C0F17" w:rsidP="00B22526">
            <w:pPr>
              <w:jc w:val="right"/>
              <w:rPr>
                <w:sz w:val="16"/>
                <w:szCs w:val="16"/>
              </w:rPr>
            </w:pPr>
            <w:r>
              <w:rPr>
                <w:sz w:val="16"/>
                <w:szCs w:val="16"/>
              </w:rPr>
              <w:t xml:space="preserve">19,514 </w:t>
            </w:r>
          </w:p>
        </w:tc>
        <w:tc>
          <w:tcPr>
            <w:tcW w:w="1016" w:type="dxa"/>
            <w:tcBorders>
              <w:right w:val="double" w:sz="4" w:space="0" w:color="auto"/>
            </w:tcBorders>
            <w:shd w:val="clear" w:color="auto" w:fill="auto"/>
            <w:noWrap/>
            <w:vAlign w:val="center"/>
            <w:hideMark/>
          </w:tcPr>
          <w:p w14:paraId="113D066A" w14:textId="734EBD41" w:rsidR="009C0F17" w:rsidRPr="005A497D" w:rsidRDefault="009C0F17" w:rsidP="009C0F17">
            <w:pPr>
              <w:jc w:val="right"/>
              <w:rPr>
                <w:sz w:val="16"/>
                <w:szCs w:val="16"/>
              </w:rPr>
            </w:pPr>
            <w:r>
              <w:rPr>
                <w:sz w:val="16"/>
                <w:szCs w:val="16"/>
              </w:rPr>
              <w:t>3.4%</w:t>
            </w:r>
          </w:p>
        </w:tc>
      </w:tr>
      <w:tr w:rsidR="009C0F17" w:rsidRPr="005A497D" w14:paraId="4129CAB1" w14:textId="77777777" w:rsidTr="000D0E8D">
        <w:trPr>
          <w:trHeight w:val="288"/>
        </w:trPr>
        <w:tc>
          <w:tcPr>
            <w:tcW w:w="3272" w:type="dxa"/>
            <w:tcBorders>
              <w:left w:val="double" w:sz="4" w:space="0" w:color="auto"/>
            </w:tcBorders>
            <w:shd w:val="clear" w:color="auto" w:fill="auto"/>
            <w:noWrap/>
            <w:vAlign w:val="center"/>
            <w:hideMark/>
          </w:tcPr>
          <w:p w14:paraId="41C59AD5" w14:textId="762C755F" w:rsidR="009C0F17" w:rsidRPr="005A497D" w:rsidRDefault="009C0F17" w:rsidP="009C0F17">
            <w:pPr>
              <w:rPr>
                <w:sz w:val="16"/>
                <w:szCs w:val="16"/>
              </w:rPr>
            </w:pPr>
            <w:r w:rsidRPr="005A497D">
              <w:rPr>
                <w:sz w:val="16"/>
                <w:szCs w:val="16"/>
              </w:rPr>
              <w:t xml:space="preserve">Taxes on </w:t>
            </w:r>
            <w:r>
              <w:rPr>
                <w:sz w:val="16"/>
                <w:szCs w:val="16"/>
              </w:rPr>
              <w:t>im</w:t>
            </w:r>
            <w:r w:rsidRPr="005A497D">
              <w:rPr>
                <w:sz w:val="16"/>
                <w:szCs w:val="16"/>
              </w:rPr>
              <w:t>ports</w:t>
            </w:r>
          </w:p>
        </w:tc>
        <w:tc>
          <w:tcPr>
            <w:tcW w:w="1015" w:type="dxa"/>
            <w:shd w:val="clear" w:color="auto" w:fill="auto"/>
            <w:noWrap/>
            <w:vAlign w:val="center"/>
            <w:hideMark/>
          </w:tcPr>
          <w:p w14:paraId="54D1BC2A" w14:textId="7FDDF169" w:rsidR="009C0F17" w:rsidRPr="005A497D" w:rsidRDefault="009C0F17" w:rsidP="009C0F17">
            <w:pPr>
              <w:jc w:val="right"/>
              <w:rPr>
                <w:sz w:val="16"/>
                <w:szCs w:val="16"/>
              </w:rPr>
            </w:pPr>
            <w:r w:rsidRPr="005A497D">
              <w:rPr>
                <w:sz w:val="16"/>
                <w:szCs w:val="16"/>
              </w:rPr>
              <w:t>408,096</w:t>
            </w:r>
          </w:p>
        </w:tc>
        <w:tc>
          <w:tcPr>
            <w:tcW w:w="1016" w:type="dxa"/>
            <w:shd w:val="clear" w:color="auto" w:fill="auto"/>
            <w:noWrap/>
            <w:vAlign w:val="center"/>
            <w:hideMark/>
          </w:tcPr>
          <w:p w14:paraId="0D2C687C" w14:textId="475F8FFA" w:rsidR="009C0F17" w:rsidRPr="005A497D" w:rsidRDefault="009C0F17" w:rsidP="009C0F17">
            <w:pPr>
              <w:jc w:val="right"/>
              <w:rPr>
                <w:sz w:val="16"/>
                <w:szCs w:val="16"/>
              </w:rPr>
            </w:pPr>
            <w:r w:rsidRPr="005A497D">
              <w:rPr>
                <w:sz w:val="16"/>
                <w:szCs w:val="16"/>
              </w:rPr>
              <w:t>369,277</w:t>
            </w:r>
          </w:p>
        </w:tc>
        <w:tc>
          <w:tcPr>
            <w:tcW w:w="1016" w:type="dxa"/>
            <w:shd w:val="clear" w:color="auto" w:fill="auto"/>
            <w:noWrap/>
            <w:vAlign w:val="center"/>
            <w:hideMark/>
          </w:tcPr>
          <w:p w14:paraId="7BB10C9F" w14:textId="541FB64F" w:rsidR="009C0F17" w:rsidRPr="005A497D" w:rsidRDefault="009C0F17" w:rsidP="009C0F17">
            <w:pPr>
              <w:jc w:val="right"/>
              <w:rPr>
                <w:sz w:val="16"/>
                <w:szCs w:val="16"/>
              </w:rPr>
            </w:pPr>
            <w:r>
              <w:rPr>
                <w:sz w:val="16"/>
                <w:szCs w:val="16"/>
              </w:rPr>
              <w:t>385,94</w:t>
            </w:r>
            <w:r w:rsidR="00B22526">
              <w:rPr>
                <w:sz w:val="16"/>
                <w:szCs w:val="16"/>
              </w:rPr>
              <w:t>8</w:t>
            </w:r>
            <w:r>
              <w:rPr>
                <w:sz w:val="16"/>
                <w:szCs w:val="16"/>
              </w:rPr>
              <w:t xml:space="preserve"> </w:t>
            </w:r>
          </w:p>
        </w:tc>
        <w:tc>
          <w:tcPr>
            <w:tcW w:w="1016" w:type="dxa"/>
            <w:shd w:val="clear" w:color="auto" w:fill="auto"/>
            <w:noWrap/>
            <w:vAlign w:val="center"/>
            <w:hideMark/>
          </w:tcPr>
          <w:p w14:paraId="523E3D13" w14:textId="5FA1DFD8" w:rsidR="009C0F17" w:rsidRPr="005A497D" w:rsidRDefault="009C0F17" w:rsidP="00B22526">
            <w:pPr>
              <w:jc w:val="right"/>
              <w:rPr>
                <w:sz w:val="16"/>
                <w:szCs w:val="16"/>
              </w:rPr>
            </w:pPr>
            <w:r>
              <w:rPr>
                <w:sz w:val="16"/>
                <w:szCs w:val="16"/>
              </w:rPr>
              <w:t>(16,67</w:t>
            </w:r>
            <w:r w:rsidR="00B22526">
              <w:rPr>
                <w:sz w:val="16"/>
                <w:szCs w:val="16"/>
              </w:rPr>
              <w:t>1</w:t>
            </w:r>
            <w:r>
              <w:rPr>
                <w:sz w:val="16"/>
                <w:szCs w:val="16"/>
              </w:rPr>
              <w:t>)</w:t>
            </w:r>
          </w:p>
        </w:tc>
        <w:tc>
          <w:tcPr>
            <w:tcW w:w="1016" w:type="dxa"/>
            <w:shd w:val="clear" w:color="auto" w:fill="auto"/>
            <w:noWrap/>
            <w:vAlign w:val="center"/>
            <w:hideMark/>
          </w:tcPr>
          <w:p w14:paraId="38B9F1EC" w14:textId="601557EE" w:rsidR="009C0F17" w:rsidRPr="005A497D" w:rsidRDefault="009C0F17" w:rsidP="00B22526">
            <w:pPr>
              <w:jc w:val="right"/>
              <w:rPr>
                <w:sz w:val="16"/>
                <w:szCs w:val="16"/>
              </w:rPr>
            </w:pPr>
            <w:r>
              <w:rPr>
                <w:sz w:val="16"/>
                <w:szCs w:val="16"/>
              </w:rPr>
              <w:t>16,67</w:t>
            </w:r>
            <w:r w:rsidR="00B22526">
              <w:rPr>
                <w:sz w:val="16"/>
                <w:szCs w:val="16"/>
              </w:rPr>
              <w:t>1</w:t>
            </w:r>
            <w:r>
              <w:rPr>
                <w:sz w:val="16"/>
                <w:szCs w:val="16"/>
              </w:rPr>
              <w:t xml:space="preserve"> </w:t>
            </w:r>
          </w:p>
        </w:tc>
        <w:tc>
          <w:tcPr>
            <w:tcW w:w="1016" w:type="dxa"/>
            <w:tcBorders>
              <w:right w:val="double" w:sz="4" w:space="0" w:color="auto"/>
            </w:tcBorders>
            <w:shd w:val="clear" w:color="auto" w:fill="auto"/>
            <w:noWrap/>
            <w:vAlign w:val="center"/>
            <w:hideMark/>
          </w:tcPr>
          <w:p w14:paraId="5082B36A" w14:textId="330075D5" w:rsidR="009C0F17" w:rsidRPr="005A497D" w:rsidRDefault="009C0F17" w:rsidP="009C0F17">
            <w:pPr>
              <w:jc w:val="right"/>
              <w:rPr>
                <w:sz w:val="16"/>
                <w:szCs w:val="16"/>
              </w:rPr>
            </w:pPr>
            <w:r>
              <w:rPr>
                <w:sz w:val="16"/>
                <w:szCs w:val="16"/>
              </w:rPr>
              <w:t>4.3%</w:t>
            </w:r>
          </w:p>
        </w:tc>
      </w:tr>
      <w:tr w:rsidR="009C0F17" w:rsidRPr="005A497D" w14:paraId="139D43EB" w14:textId="77777777" w:rsidTr="0050571A">
        <w:trPr>
          <w:trHeight w:val="288"/>
        </w:trPr>
        <w:tc>
          <w:tcPr>
            <w:tcW w:w="3272" w:type="dxa"/>
            <w:tcBorders>
              <w:left w:val="double" w:sz="4" w:space="0" w:color="auto"/>
            </w:tcBorders>
            <w:shd w:val="clear" w:color="auto" w:fill="auto"/>
            <w:noWrap/>
            <w:vAlign w:val="center"/>
            <w:hideMark/>
          </w:tcPr>
          <w:p w14:paraId="713C9398" w14:textId="77777777" w:rsidR="009C0F17" w:rsidRPr="005A497D" w:rsidRDefault="009C0F17" w:rsidP="009C0F17">
            <w:pPr>
              <w:rPr>
                <w:b/>
                <w:sz w:val="16"/>
                <w:szCs w:val="16"/>
              </w:rPr>
            </w:pPr>
            <w:r w:rsidRPr="005A497D">
              <w:rPr>
                <w:b/>
                <w:sz w:val="16"/>
                <w:szCs w:val="16"/>
              </w:rPr>
              <w:t>Grants</w:t>
            </w:r>
          </w:p>
        </w:tc>
        <w:tc>
          <w:tcPr>
            <w:tcW w:w="6095" w:type="dxa"/>
            <w:gridSpan w:val="6"/>
            <w:tcBorders>
              <w:right w:val="double" w:sz="4" w:space="0" w:color="auto"/>
            </w:tcBorders>
            <w:shd w:val="clear" w:color="auto" w:fill="auto"/>
            <w:noWrap/>
            <w:vAlign w:val="center"/>
            <w:hideMark/>
          </w:tcPr>
          <w:p w14:paraId="3BF726EE" w14:textId="77777777" w:rsidR="009C0F17" w:rsidRPr="005A497D" w:rsidRDefault="009C0F17" w:rsidP="009C0F17">
            <w:pPr>
              <w:jc w:val="right"/>
              <w:rPr>
                <w:b/>
                <w:sz w:val="16"/>
                <w:szCs w:val="16"/>
              </w:rPr>
            </w:pPr>
          </w:p>
        </w:tc>
      </w:tr>
      <w:tr w:rsidR="009C0F17" w:rsidRPr="005A497D" w14:paraId="5A1D40E8" w14:textId="77777777" w:rsidTr="0050571A">
        <w:trPr>
          <w:trHeight w:val="288"/>
        </w:trPr>
        <w:tc>
          <w:tcPr>
            <w:tcW w:w="3272" w:type="dxa"/>
            <w:tcBorders>
              <w:left w:val="double" w:sz="4" w:space="0" w:color="auto"/>
            </w:tcBorders>
            <w:shd w:val="clear" w:color="auto" w:fill="auto"/>
            <w:noWrap/>
            <w:vAlign w:val="center"/>
            <w:hideMark/>
          </w:tcPr>
          <w:p w14:paraId="2E02E0FF" w14:textId="77777777" w:rsidR="009C0F17" w:rsidRPr="005A497D" w:rsidRDefault="009C0F17" w:rsidP="009C0F17">
            <w:pPr>
              <w:rPr>
                <w:sz w:val="16"/>
                <w:szCs w:val="16"/>
              </w:rPr>
            </w:pPr>
            <w:r w:rsidRPr="005A497D">
              <w:rPr>
                <w:sz w:val="16"/>
                <w:szCs w:val="16"/>
              </w:rPr>
              <w:t>Grants from international organizations</w:t>
            </w:r>
          </w:p>
        </w:tc>
        <w:tc>
          <w:tcPr>
            <w:tcW w:w="1015" w:type="dxa"/>
            <w:shd w:val="clear" w:color="auto" w:fill="auto"/>
            <w:noWrap/>
            <w:vAlign w:val="center"/>
            <w:hideMark/>
          </w:tcPr>
          <w:p w14:paraId="3F7E623D" w14:textId="2DDB25F8"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6E8BA290" w14:textId="49324DFF" w:rsidR="009C0F17" w:rsidRPr="005A497D" w:rsidRDefault="009C0F17" w:rsidP="009C0F17">
            <w:pPr>
              <w:jc w:val="right"/>
              <w:rPr>
                <w:sz w:val="16"/>
                <w:szCs w:val="16"/>
              </w:rPr>
            </w:pPr>
            <w:r w:rsidRPr="005A497D">
              <w:rPr>
                <w:sz w:val="16"/>
                <w:szCs w:val="16"/>
              </w:rPr>
              <w:t>233</w:t>
            </w:r>
          </w:p>
        </w:tc>
        <w:tc>
          <w:tcPr>
            <w:tcW w:w="1016" w:type="dxa"/>
            <w:shd w:val="clear" w:color="auto" w:fill="auto"/>
            <w:noWrap/>
            <w:vAlign w:val="center"/>
            <w:hideMark/>
          </w:tcPr>
          <w:p w14:paraId="7DE8576F" w14:textId="4B4C7322"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556F3788" w14:textId="4EE9C999" w:rsidR="009C0F17" w:rsidRPr="005A497D" w:rsidRDefault="009C0F17" w:rsidP="009C0F17">
            <w:pPr>
              <w:jc w:val="right"/>
              <w:rPr>
                <w:sz w:val="16"/>
                <w:szCs w:val="16"/>
              </w:rPr>
            </w:pPr>
            <w:r w:rsidRPr="005A497D">
              <w:rPr>
                <w:sz w:val="16"/>
                <w:szCs w:val="16"/>
              </w:rPr>
              <w:t>233</w:t>
            </w:r>
          </w:p>
        </w:tc>
        <w:tc>
          <w:tcPr>
            <w:tcW w:w="1016" w:type="dxa"/>
            <w:shd w:val="clear" w:color="auto" w:fill="auto"/>
            <w:noWrap/>
            <w:vAlign w:val="center"/>
            <w:hideMark/>
          </w:tcPr>
          <w:p w14:paraId="26B24023" w14:textId="4FDBB767" w:rsidR="009C0F17" w:rsidRPr="005A497D" w:rsidRDefault="009C0F17" w:rsidP="009C0F17">
            <w:pPr>
              <w:jc w:val="right"/>
              <w:rPr>
                <w:sz w:val="16"/>
                <w:szCs w:val="16"/>
              </w:rPr>
            </w:pPr>
            <w:r w:rsidRPr="005A497D">
              <w:rPr>
                <w:sz w:val="16"/>
                <w:szCs w:val="16"/>
              </w:rPr>
              <w:t>233</w:t>
            </w:r>
          </w:p>
        </w:tc>
        <w:tc>
          <w:tcPr>
            <w:tcW w:w="1016" w:type="dxa"/>
            <w:tcBorders>
              <w:right w:val="double" w:sz="4" w:space="0" w:color="auto"/>
            </w:tcBorders>
            <w:shd w:val="clear" w:color="auto" w:fill="auto"/>
            <w:noWrap/>
            <w:vAlign w:val="center"/>
            <w:hideMark/>
          </w:tcPr>
          <w:p w14:paraId="1F534F7D" w14:textId="1B166965" w:rsidR="009C0F17" w:rsidRPr="005A497D" w:rsidRDefault="009C0F17" w:rsidP="009C0F17">
            <w:pPr>
              <w:jc w:val="right"/>
              <w:rPr>
                <w:sz w:val="16"/>
                <w:szCs w:val="16"/>
              </w:rPr>
            </w:pPr>
          </w:p>
        </w:tc>
      </w:tr>
      <w:tr w:rsidR="009C0F17" w:rsidRPr="005A497D" w14:paraId="5A1E1C5B" w14:textId="77777777" w:rsidTr="0050571A">
        <w:trPr>
          <w:trHeight w:val="288"/>
        </w:trPr>
        <w:tc>
          <w:tcPr>
            <w:tcW w:w="3272" w:type="dxa"/>
            <w:tcBorders>
              <w:left w:val="double" w:sz="4" w:space="0" w:color="auto"/>
            </w:tcBorders>
            <w:shd w:val="clear" w:color="auto" w:fill="auto"/>
            <w:noWrap/>
            <w:vAlign w:val="center"/>
            <w:hideMark/>
          </w:tcPr>
          <w:p w14:paraId="2F4FDD99" w14:textId="77777777" w:rsidR="009C0F17" w:rsidRPr="005A497D" w:rsidRDefault="009C0F17" w:rsidP="009C0F17">
            <w:pPr>
              <w:rPr>
                <w:sz w:val="16"/>
                <w:szCs w:val="16"/>
              </w:rPr>
            </w:pPr>
            <w:r w:rsidRPr="005A497D">
              <w:rPr>
                <w:sz w:val="16"/>
                <w:szCs w:val="16"/>
              </w:rPr>
              <w:t>Grants from other government units</w:t>
            </w:r>
          </w:p>
        </w:tc>
        <w:tc>
          <w:tcPr>
            <w:tcW w:w="1015" w:type="dxa"/>
            <w:shd w:val="clear" w:color="auto" w:fill="auto"/>
            <w:noWrap/>
            <w:vAlign w:val="center"/>
            <w:hideMark/>
          </w:tcPr>
          <w:p w14:paraId="25F4FDD7" w14:textId="77777777" w:rsidR="009C0F17" w:rsidRPr="005A497D" w:rsidRDefault="009C0F17" w:rsidP="009C0F17">
            <w:pPr>
              <w:jc w:val="right"/>
              <w:rPr>
                <w:sz w:val="16"/>
                <w:szCs w:val="16"/>
              </w:rPr>
            </w:pPr>
          </w:p>
        </w:tc>
        <w:tc>
          <w:tcPr>
            <w:tcW w:w="1016" w:type="dxa"/>
            <w:shd w:val="clear" w:color="auto" w:fill="auto"/>
            <w:noWrap/>
            <w:vAlign w:val="center"/>
            <w:hideMark/>
          </w:tcPr>
          <w:p w14:paraId="42BAF0FB" w14:textId="77777777" w:rsidR="009C0F17" w:rsidRPr="005A497D" w:rsidRDefault="009C0F17" w:rsidP="009C0F17">
            <w:pPr>
              <w:jc w:val="right"/>
              <w:rPr>
                <w:sz w:val="16"/>
                <w:szCs w:val="16"/>
              </w:rPr>
            </w:pPr>
          </w:p>
        </w:tc>
        <w:tc>
          <w:tcPr>
            <w:tcW w:w="1016" w:type="dxa"/>
            <w:shd w:val="clear" w:color="auto" w:fill="auto"/>
            <w:noWrap/>
            <w:vAlign w:val="center"/>
            <w:hideMark/>
          </w:tcPr>
          <w:p w14:paraId="18BB98CA" w14:textId="3B17BDF7"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6FE13B6C" w14:textId="18DF7484" w:rsidR="009C0F17" w:rsidRPr="005A497D" w:rsidRDefault="00AD0C41" w:rsidP="009C0F17">
            <w:pPr>
              <w:jc w:val="right"/>
              <w:rPr>
                <w:sz w:val="16"/>
                <w:szCs w:val="16"/>
              </w:rPr>
            </w:pPr>
            <w:r>
              <w:rPr>
                <w:sz w:val="16"/>
                <w:szCs w:val="16"/>
              </w:rPr>
              <w:t>-</w:t>
            </w:r>
          </w:p>
        </w:tc>
        <w:tc>
          <w:tcPr>
            <w:tcW w:w="1016" w:type="dxa"/>
            <w:shd w:val="clear" w:color="auto" w:fill="auto"/>
            <w:noWrap/>
            <w:vAlign w:val="center"/>
            <w:hideMark/>
          </w:tcPr>
          <w:p w14:paraId="2EB1875C" w14:textId="4F859FE1" w:rsidR="009C0F17" w:rsidRPr="005A497D" w:rsidRDefault="00AD0C41" w:rsidP="009C0F17">
            <w:pPr>
              <w:jc w:val="right"/>
              <w:rPr>
                <w:sz w:val="16"/>
                <w:szCs w:val="16"/>
              </w:rPr>
            </w:pPr>
            <w:r>
              <w:rPr>
                <w:sz w:val="16"/>
                <w:szCs w:val="16"/>
              </w:rPr>
              <w:t>-</w:t>
            </w:r>
          </w:p>
        </w:tc>
        <w:tc>
          <w:tcPr>
            <w:tcW w:w="1016" w:type="dxa"/>
            <w:tcBorders>
              <w:right w:val="double" w:sz="4" w:space="0" w:color="auto"/>
            </w:tcBorders>
            <w:shd w:val="clear" w:color="auto" w:fill="auto"/>
            <w:noWrap/>
            <w:vAlign w:val="center"/>
            <w:hideMark/>
          </w:tcPr>
          <w:p w14:paraId="6BA2A844" w14:textId="619CB9AB" w:rsidR="009C0F17" w:rsidRPr="005A497D" w:rsidRDefault="009C0F17" w:rsidP="009C0F17">
            <w:pPr>
              <w:jc w:val="right"/>
              <w:rPr>
                <w:sz w:val="16"/>
                <w:szCs w:val="16"/>
              </w:rPr>
            </w:pPr>
          </w:p>
        </w:tc>
      </w:tr>
      <w:tr w:rsidR="009C0F17" w:rsidRPr="005A497D" w14:paraId="45E4AA6E" w14:textId="4DF2C212" w:rsidTr="00A54D30">
        <w:trPr>
          <w:trHeight w:val="288"/>
        </w:trPr>
        <w:tc>
          <w:tcPr>
            <w:tcW w:w="9367" w:type="dxa"/>
            <w:gridSpan w:val="7"/>
            <w:tcBorders>
              <w:left w:val="double" w:sz="4" w:space="0" w:color="auto"/>
              <w:right w:val="double" w:sz="4" w:space="0" w:color="auto"/>
            </w:tcBorders>
            <w:shd w:val="clear" w:color="auto" w:fill="auto"/>
            <w:noWrap/>
            <w:vAlign w:val="center"/>
            <w:hideMark/>
          </w:tcPr>
          <w:p w14:paraId="5032BF60" w14:textId="24683CD7" w:rsidR="009C0F17" w:rsidRPr="005A497D" w:rsidRDefault="009C0F17" w:rsidP="009C0F17">
            <w:pPr>
              <w:rPr>
                <w:b/>
                <w:sz w:val="16"/>
                <w:szCs w:val="16"/>
              </w:rPr>
            </w:pPr>
            <w:r w:rsidRPr="005A497D">
              <w:rPr>
                <w:b/>
                <w:sz w:val="16"/>
                <w:szCs w:val="16"/>
              </w:rPr>
              <w:t>Other Revenues</w:t>
            </w:r>
          </w:p>
        </w:tc>
      </w:tr>
      <w:tr w:rsidR="009C0F17" w:rsidRPr="005A497D" w14:paraId="2FF85CE2" w14:textId="77777777" w:rsidTr="000D0E8D">
        <w:trPr>
          <w:trHeight w:val="288"/>
        </w:trPr>
        <w:tc>
          <w:tcPr>
            <w:tcW w:w="3272" w:type="dxa"/>
            <w:tcBorders>
              <w:left w:val="double" w:sz="4" w:space="0" w:color="auto"/>
            </w:tcBorders>
            <w:shd w:val="clear" w:color="auto" w:fill="auto"/>
            <w:noWrap/>
            <w:vAlign w:val="center"/>
            <w:hideMark/>
          </w:tcPr>
          <w:p w14:paraId="73C64396" w14:textId="77777777" w:rsidR="009C0F17" w:rsidRPr="005A497D" w:rsidRDefault="009C0F17" w:rsidP="009C0F17">
            <w:pPr>
              <w:rPr>
                <w:sz w:val="16"/>
                <w:szCs w:val="16"/>
              </w:rPr>
            </w:pPr>
            <w:r w:rsidRPr="005A497D">
              <w:rPr>
                <w:sz w:val="16"/>
                <w:szCs w:val="16"/>
              </w:rPr>
              <w:t>Premiums, fees, and claims related to nonlife insurance and standardized guarantee schemes</w:t>
            </w:r>
          </w:p>
        </w:tc>
        <w:tc>
          <w:tcPr>
            <w:tcW w:w="1015" w:type="dxa"/>
            <w:shd w:val="clear" w:color="auto" w:fill="auto"/>
            <w:noWrap/>
            <w:vAlign w:val="center"/>
            <w:hideMark/>
          </w:tcPr>
          <w:p w14:paraId="181BBF31" w14:textId="1401D4F0" w:rsidR="009C0F17" w:rsidRPr="005A497D" w:rsidRDefault="009C0F17" w:rsidP="009C0F17">
            <w:pPr>
              <w:jc w:val="right"/>
              <w:rPr>
                <w:sz w:val="16"/>
                <w:szCs w:val="16"/>
              </w:rPr>
            </w:pPr>
            <w:r w:rsidRPr="005A497D">
              <w:rPr>
                <w:sz w:val="16"/>
                <w:szCs w:val="16"/>
              </w:rPr>
              <w:t>75,441</w:t>
            </w:r>
          </w:p>
        </w:tc>
        <w:tc>
          <w:tcPr>
            <w:tcW w:w="1016" w:type="dxa"/>
            <w:shd w:val="clear" w:color="auto" w:fill="auto"/>
            <w:noWrap/>
            <w:vAlign w:val="center"/>
            <w:hideMark/>
          </w:tcPr>
          <w:p w14:paraId="7B826B47" w14:textId="7159920A" w:rsidR="009C0F17" w:rsidRPr="005A497D" w:rsidRDefault="009C0F17" w:rsidP="009C0F17">
            <w:pPr>
              <w:jc w:val="right"/>
              <w:rPr>
                <w:sz w:val="16"/>
                <w:szCs w:val="16"/>
              </w:rPr>
            </w:pPr>
            <w:r w:rsidRPr="005A497D">
              <w:rPr>
                <w:sz w:val="16"/>
                <w:szCs w:val="16"/>
              </w:rPr>
              <w:t>32,771</w:t>
            </w:r>
          </w:p>
        </w:tc>
        <w:tc>
          <w:tcPr>
            <w:tcW w:w="1016" w:type="dxa"/>
            <w:shd w:val="clear" w:color="auto" w:fill="auto"/>
            <w:noWrap/>
            <w:vAlign w:val="center"/>
            <w:hideMark/>
          </w:tcPr>
          <w:p w14:paraId="555A70A3" w14:textId="54534FDB" w:rsidR="009C0F17" w:rsidRPr="005A497D" w:rsidRDefault="009C0F17" w:rsidP="009C0F17">
            <w:pPr>
              <w:jc w:val="right"/>
              <w:rPr>
                <w:sz w:val="16"/>
                <w:szCs w:val="16"/>
              </w:rPr>
            </w:pPr>
            <w:r>
              <w:rPr>
                <w:sz w:val="16"/>
                <w:szCs w:val="16"/>
              </w:rPr>
              <w:t xml:space="preserve">71,347 </w:t>
            </w:r>
          </w:p>
        </w:tc>
        <w:tc>
          <w:tcPr>
            <w:tcW w:w="1016" w:type="dxa"/>
            <w:shd w:val="clear" w:color="auto" w:fill="auto"/>
            <w:noWrap/>
            <w:vAlign w:val="center"/>
            <w:hideMark/>
          </w:tcPr>
          <w:p w14:paraId="09A00226" w14:textId="1B2B6B96" w:rsidR="009C0F17" w:rsidRPr="005A497D" w:rsidRDefault="009C0F17" w:rsidP="00B22526">
            <w:pPr>
              <w:jc w:val="right"/>
              <w:rPr>
                <w:sz w:val="16"/>
                <w:szCs w:val="16"/>
              </w:rPr>
            </w:pPr>
            <w:r>
              <w:rPr>
                <w:sz w:val="16"/>
                <w:szCs w:val="16"/>
              </w:rPr>
              <w:t>(38,57</w:t>
            </w:r>
            <w:r w:rsidR="00B22526">
              <w:rPr>
                <w:sz w:val="16"/>
                <w:szCs w:val="16"/>
              </w:rPr>
              <w:t>6</w:t>
            </w:r>
            <w:r>
              <w:rPr>
                <w:sz w:val="16"/>
                <w:szCs w:val="16"/>
              </w:rPr>
              <w:t>)</w:t>
            </w:r>
          </w:p>
        </w:tc>
        <w:tc>
          <w:tcPr>
            <w:tcW w:w="1016" w:type="dxa"/>
            <w:shd w:val="clear" w:color="auto" w:fill="auto"/>
            <w:noWrap/>
            <w:vAlign w:val="center"/>
            <w:hideMark/>
          </w:tcPr>
          <w:p w14:paraId="5A7F129E" w14:textId="6BCB29F6" w:rsidR="009C0F17" w:rsidRPr="005A497D" w:rsidRDefault="009C0F17" w:rsidP="00B22526">
            <w:pPr>
              <w:jc w:val="right"/>
              <w:rPr>
                <w:sz w:val="16"/>
                <w:szCs w:val="16"/>
              </w:rPr>
            </w:pPr>
            <w:r>
              <w:rPr>
                <w:sz w:val="16"/>
                <w:szCs w:val="16"/>
              </w:rPr>
              <w:t>38,57</w:t>
            </w:r>
            <w:r w:rsidR="00B22526">
              <w:rPr>
                <w:sz w:val="16"/>
                <w:szCs w:val="16"/>
              </w:rPr>
              <w:t>6</w:t>
            </w:r>
            <w:r>
              <w:rPr>
                <w:sz w:val="16"/>
                <w:szCs w:val="16"/>
              </w:rPr>
              <w:t xml:space="preserve"> </w:t>
            </w:r>
          </w:p>
        </w:tc>
        <w:tc>
          <w:tcPr>
            <w:tcW w:w="1016" w:type="dxa"/>
            <w:tcBorders>
              <w:right w:val="double" w:sz="4" w:space="0" w:color="auto"/>
            </w:tcBorders>
            <w:shd w:val="clear" w:color="auto" w:fill="auto"/>
            <w:noWrap/>
            <w:vAlign w:val="center"/>
            <w:hideMark/>
          </w:tcPr>
          <w:p w14:paraId="57FA14AF" w14:textId="052F7A22" w:rsidR="009C0F17" w:rsidRPr="005A497D" w:rsidRDefault="009C0F17" w:rsidP="009C0F17">
            <w:pPr>
              <w:jc w:val="right"/>
              <w:rPr>
                <w:sz w:val="16"/>
                <w:szCs w:val="16"/>
              </w:rPr>
            </w:pPr>
            <w:r>
              <w:rPr>
                <w:sz w:val="16"/>
                <w:szCs w:val="16"/>
              </w:rPr>
              <w:t>54.1%</w:t>
            </w:r>
          </w:p>
        </w:tc>
      </w:tr>
      <w:tr w:rsidR="009C0F17" w:rsidRPr="005A497D" w14:paraId="4F52B554" w14:textId="77777777" w:rsidTr="000D0E8D">
        <w:trPr>
          <w:trHeight w:val="288"/>
        </w:trPr>
        <w:tc>
          <w:tcPr>
            <w:tcW w:w="3272" w:type="dxa"/>
            <w:tcBorders>
              <w:left w:val="double" w:sz="4" w:space="0" w:color="auto"/>
            </w:tcBorders>
            <w:shd w:val="clear" w:color="auto" w:fill="auto"/>
            <w:noWrap/>
            <w:vAlign w:val="center"/>
            <w:hideMark/>
          </w:tcPr>
          <w:p w14:paraId="661025BD" w14:textId="77777777" w:rsidR="009C0F17" w:rsidRPr="005A497D" w:rsidRDefault="009C0F17" w:rsidP="009C0F17">
            <w:pPr>
              <w:rPr>
                <w:sz w:val="16"/>
                <w:szCs w:val="16"/>
              </w:rPr>
            </w:pPr>
            <w:r w:rsidRPr="005A497D">
              <w:rPr>
                <w:sz w:val="16"/>
                <w:szCs w:val="16"/>
              </w:rPr>
              <w:t>Sum of rest</w:t>
            </w:r>
          </w:p>
        </w:tc>
        <w:tc>
          <w:tcPr>
            <w:tcW w:w="1015" w:type="dxa"/>
            <w:shd w:val="clear" w:color="auto" w:fill="auto"/>
            <w:noWrap/>
            <w:vAlign w:val="center"/>
            <w:hideMark/>
          </w:tcPr>
          <w:p w14:paraId="1484A31F" w14:textId="38F8ECE1" w:rsidR="009C0F17" w:rsidRPr="005A497D" w:rsidRDefault="009C0F17" w:rsidP="009C0F17">
            <w:pPr>
              <w:jc w:val="right"/>
              <w:rPr>
                <w:sz w:val="16"/>
                <w:szCs w:val="16"/>
              </w:rPr>
            </w:pPr>
            <w:r w:rsidRPr="005A497D">
              <w:rPr>
                <w:sz w:val="16"/>
                <w:szCs w:val="16"/>
              </w:rPr>
              <w:t>62,691</w:t>
            </w:r>
          </w:p>
        </w:tc>
        <w:tc>
          <w:tcPr>
            <w:tcW w:w="1016" w:type="dxa"/>
            <w:shd w:val="clear" w:color="auto" w:fill="auto"/>
            <w:noWrap/>
            <w:vAlign w:val="center"/>
            <w:hideMark/>
          </w:tcPr>
          <w:p w14:paraId="3F729F79" w14:textId="79F07C0E" w:rsidR="009C0F17" w:rsidRPr="005A497D" w:rsidRDefault="009C0F17" w:rsidP="009C0F17">
            <w:pPr>
              <w:jc w:val="right"/>
              <w:rPr>
                <w:sz w:val="16"/>
                <w:szCs w:val="16"/>
              </w:rPr>
            </w:pPr>
            <w:r w:rsidRPr="005A497D">
              <w:rPr>
                <w:sz w:val="16"/>
                <w:szCs w:val="16"/>
              </w:rPr>
              <w:t>155,407</w:t>
            </w:r>
          </w:p>
        </w:tc>
        <w:tc>
          <w:tcPr>
            <w:tcW w:w="1016" w:type="dxa"/>
            <w:shd w:val="clear" w:color="auto" w:fill="auto"/>
            <w:noWrap/>
            <w:vAlign w:val="center"/>
            <w:hideMark/>
          </w:tcPr>
          <w:p w14:paraId="2B5CBC2D" w14:textId="6C15C5B7" w:rsidR="009C0F17" w:rsidRPr="005A497D" w:rsidRDefault="009C0F17" w:rsidP="00B22526">
            <w:pPr>
              <w:jc w:val="right"/>
              <w:rPr>
                <w:sz w:val="16"/>
                <w:szCs w:val="16"/>
              </w:rPr>
            </w:pPr>
            <w:r>
              <w:rPr>
                <w:sz w:val="16"/>
                <w:szCs w:val="16"/>
              </w:rPr>
              <w:t>59,28</w:t>
            </w:r>
            <w:r w:rsidR="00B22526">
              <w:rPr>
                <w:sz w:val="16"/>
                <w:szCs w:val="16"/>
              </w:rPr>
              <w:t>9</w:t>
            </w:r>
            <w:r>
              <w:rPr>
                <w:sz w:val="16"/>
                <w:szCs w:val="16"/>
              </w:rPr>
              <w:t xml:space="preserve"> </w:t>
            </w:r>
          </w:p>
        </w:tc>
        <w:tc>
          <w:tcPr>
            <w:tcW w:w="1016" w:type="dxa"/>
            <w:shd w:val="clear" w:color="auto" w:fill="auto"/>
            <w:noWrap/>
            <w:vAlign w:val="center"/>
            <w:hideMark/>
          </w:tcPr>
          <w:p w14:paraId="1FABCE4F" w14:textId="1A4EE75B" w:rsidR="009C0F17" w:rsidRPr="005A497D" w:rsidRDefault="009C0F17" w:rsidP="00B22526">
            <w:pPr>
              <w:jc w:val="right"/>
              <w:rPr>
                <w:sz w:val="16"/>
                <w:szCs w:val="16"/>
              </w:rPr>
            </w:pPr>
            <w:r>
              <w:rPr>
                <w:sz w:val="16"/>
                <w:szCs w:val="16"/>
              </w:rPr>
              <w:t xml:space="preserve">96,118 </w:t>
            </w:r>
          </w:p>
        </w:tc>
        <w:tc>
          <w:tcPr>
            <w:tcW w:w="1016" w:type="dxa"/>
            <w:shd w:val="clear" w:color="auto" w:fill="auto"/>
            <w:noWrap/>
            <w:vAlign w:val="center"/>
            <w:hideMark/>
          </w:tcPr>
          <w:p w14:paraId="1D167CE0" w14:textId="600E5ADC" w:rsidR="009C0F17" w:rsidRPr="005A497D" w:rsidRDefault="009C0F17" w:rsidP="00B22526">
            <w:pPr>
              <w:jc w:val="right"/>
              <w:rPr>
                <w:sz w:val="16"/>
                <w:szCs w:val="16"/>
              </w:rPr>
            </w:pPr>
            <w:r>
              <w:rPr>
                <w:sz w:val="16"/>
                <w:szCs w:val="16"/>
              </w:rPr>
              <w:t xml:space="preserve">96,118 </w:t>
            </w:r>
          </w:p>
        </w:tc>
        <w:tc>
          <w:tcPr>
            <w:tcW w:w="1016" w:type="dxa"/>
            <w:tcBorders>
              <w:right w:val="double" w:sz="4" w:space="0" w:color="auto"/>
            </w:tcBorders>
            <w:shd w:val="clear" w:color="auto" w:fill="auto"/>
            <w:noWrap/>
            <w:vAlign w:val="center"/>
            <w:hideMark/>
          </w:tcPr>
          <w:p w14:paraId="02C15E7E" w14:textId="53CE78C9" w:rsidR="009C0F17" w:rsidRPr="005A497D" w:rsidRDefault="009C0F17" w:rsidP="009C0F17">
            <w:pPr>
              <w:jc w:val="right"/>
              <w:rPr>
                <w:sz w:val="16"/>
                <w:szCs w:val="16"/>
              </w:rPr>
            </w:pPr>
            <w:r>
              <w:rPr>
                <w:sz w:val="16"/>
                <w:szCs w:val="16"/>
              </w:rPr>
              <w:t>162.1%</w:t>
            </w:r>
          </w:p>
        </w:tc>
      </w:tr>
      <w:tr w:rsidR="009C0F17" w:rsidRPr="005A497D" w14:paraId="0D880D11" w14:textId="77777777" w:rsidTr="000D0E8D">
        <w:trPr>
          <w:trHeight w:val="279"/>
        </w:trPr>
        <w:tc>
          <w:tcPr>
            <w:tcW w:w="3272" w:type="dxa"/>
            <w:tcBorders>
              <w:left w:val="double" w:sz="4" w:space="0" w:color="auto"/>
              <w:bottom w:val="double" w:sz="4" w:space="0" w:color="auto"/>
            </w:tcBorders>
            <w:shd w:val="clear" w:color="auto" w:fill="auto"/>
            <w:noWrap/>
            <w:vAlign w:val="center"/>
            <w:hideMark/>
          </w:tcPr>
          <w:p w14:paraId="33034224" w14:textId="77777777" w:rsidR="009C0F17" w:rsidRPr="005A497D" w:rsidRDefault="009C0F17" w:rsidP="009C0F17">
            <w:pPr>
              <w:rPr>
                <w:b/>
                <w:sz w:val="16"/>
                <w:szCs w:val="16"/>
                <w:lang w:eastAsia="en-IN"/>
              </w:rPr>
            </w:pPr>
            <w:r w:rsidRPr="005A497D">
              <w:rPr>
                <w:b/>
                <w:sz w:val="16"/>
                <w:szCs w:val="16"/>
                <w:lang w:eastAsia="en-IN"/>
              </w:rPr>
              <w:t>Total Revenue</w:t>
            </w:r>
          </w:p>
        </w:tc>
        <w:tc>
          <w:tcPr>
            <w:tcW w:w="1015" w:type="dxa"/>
            <w:tcBorders>
              <w:bottom w:val="double" w:sz="4" w:space="0" w:color="auto"/>
              <w:right w:val="single" w:sz="4" w:space="0" w:color="auto"/>
            </w:tcBorders>
            <w:shd w:val="clear" w:color="auto" w:fill="auto"/>
            <w:noWrap/>
            <w:vAlign w:val="center"/>
            <w:hideMark/>
          </w:tcPr>
          <w:p w14:paraId="1F0D3BC4" w14:textId="1D2BC6A8" w:rsidR="009C0F17" w:rsidRPr="005A497D" w:rsidRDefault="009C0F17" w:rsidP="009C0F17">
            <w:pPr>
              <w:jc w:val="right"/>
              <w:rPr>
                <w:b/>
                <w:sz w:val="16"/>
                <w:szCs w:val="16"/>
              </w:rPr>
            </w:pPr>
            <w:r w:rsidRPr="005A497D">
              <w:rPr>
                <w:b/>
                <w:sz w:val="16"/>
                <w:szCs w:val="16"/>
              </w:rPr>
              <w:t>2,018,050</w:t>
            </w:r>
          </w:p>
        </w:tc>
        <w:tc>
          <w:tcPr>
            <w:tcW w:w="1016" w:type="dxa"/>
            <w:tcBorders>
              <w:left w:val="single" w:sz="4" w:space="0" w:color="auto"/>
              <w:bottom w:val="double" w:sz="4" w:space="0" w:color="auto"/>
              <w:right w:val="single" w:sz="4" w:space="0" w:color="auto"/>
            </w:tcBorders>
            <w:shd w:val="clear" w:color="auto" w:fill="auto"/>
            <w:vAlign w:val="center"/>
          </w:tcPr>
          <w:p w14:paraId="59BA9C21" w14:textId="0E804B6C" w:rsidR="009C0F17" w:rsidRPr="005A497D" w:rsidRDefault="009C0F17" w:rsidP="009C0F17">
            <w:pPr>
              <w:jc w:val="right"/>
              <w:rPr>
                <w:b/>
                <w:sz w:val="16"/>
                <w:szCs w:val="16"/>
              </w:rPr>
            </w:pPr>
            <w:r w:rsidRPr="005A497D">
              <w:rPr>
                <w:b/>
                <w:sz w:val="16"/>
                <w:szCs w:val="16"/>
              </w:rPr>
              <w:t>1,908,527</w:t>
            </w:r>
          </w:p>
        </w:tc>
        <w:tc>
          <w:tcPr>
            <w:tcW w:w="1016" w:type="dxa"/>
            <w:tcBorders>
              <w:left w:val="single" w:sz="4" w:space="0" w:color="auto"/>
              <w:bottom w:val="double" w:sz="4" w:space="0" w:color="auto"/>
              <w:right w:val="single" w:sz="4" w:space="0" w:color="auto"/>
            </w:tcBorders>
            <w:shd w:val="clear" w:color="auto" w:fill="auto"/>
            <w:vAlign w:val="center"/>
          </w:tcPr>
          <w:p w14:paraId="6704743B" w14:textId="21C08ABB" w:rsidR="009C0F17" w:rsidRPr="005A497D" w:rsidRDefault="009C0F17" w:rsidP="009C0F17">
            <w:pPr>
              <w:jc w:val="right"/>
              <w:rPr>
                <w:b/>
                <w:sz w:val="16"/>
                <w:szCs w:val="16"/>
              </w:rPr>
            </w:pPr>
            <w:r>
              <w:rPr>
                <w:b/>
                <w:bCs/>
                <w:sz w:val="16"/>
                <w:szCs w:val="16"/>
              </w:rPr>
              <w:t xml:space="preserve">        1,908,527 </w:t>
            </w:r>
          </w:p>
        </w:tc>
        <w:tc>
          <w:tcPr>
            <w:tcW w:w="1016" w:type="dxa"/>
            <w:tcBorders>
              <w:left w:val="single" w:sz="4" w:space="0" w:color="auto"/>
              <w:bottom w:val="double" w:sz="4" w:space="0" w:color="auto"/>
              <w:right w:val="single" w:sz="4" w:space="0" w:color="auto"/>
            </w:tcBorders>
            <w:shd w:val="clear" w:color="auto" w:fill="auto"/>
            <w:vAlign w:val="center"/>
          </w:tcPr>
          <w:p w14:paraId="30EBD7E5" w14:textId="7296F57B" w:rsidR="009C0F17" w:rsidRPr="005A497D" w:rsidRDefault="00AD0C41" w:rsidP="00AD0C41">
            <w:pPr>
              <w:jc w:val="right"/>
              <w:rPr>
                <w:b/>
                <w:sz w:val="16"/>
                <w:szCs w:val="16"/>
              </w:rPr>
            </w:pPr>
            <w:r>
              <w:rPr>
                <w:b/>
                <w:bCs/>
                <w:sz w:val="16"/>
                <w:szCs w:val="16"/>
              </w:rPr>
              <w:t>-</w:t>
            </w:r>
          </w:p>
        </w:tc>
        <w:tc>
          <w:tcPr>
            <w:tcW w:w="1016" w:type="dxa"/>
            <w:tcBorders>
              <w:left w:val="single" w:sz="4" w:space="0" w:color="auto"/>
              <w:bottom w:val="double" w:sz="4" w:space="0" w:color="auto"/>
              <w:right w:val="single" w:sz="4" w:space="0" w:color="auto"/>
            </w:tcBorders>
            <w:shd w:val="clear" w:color="auto" w:fill="auto"/>
            <w:vAlign w:val="center"/>
          </w:tcPr>
          <w:p w14:paraId="62C64B93" w14:textId="24546FD0" w:rsidR="009C0F17" w:rsidRPr="005A497D" w:rsidRDefault="009C0F17" w:rsidP="00B22526">
            <w:pPr>
              <w:jc w:val="right"/>
              <w:rPr>
                <w:b/>
                <w:sz w:val="16"/>
                <w:szCs w:val="16"/>
              </w:rPr>
            </w:pPr>
            <w:r>
              <w:rPr>
                <w:b/>
                <w:bCs/>
                <w:sz w:val="16"/>
                <w:szCs w:val="16"/>
              </w:rPr>
              <w:t xml:space="preserve">          193,59</w:t>
            </w:r>
            <w:r w:rsidR="00B22526">
              <w:rPr>
                <w:b/>
                <w:bCs/>
                <w:sz w:val="16"/>
                <w:szCs w:val="16"/>
              </w:rPr>
              <w:t>4</w:t>
            </w:r>
            <w:r>
              <w:rPr>
                <w:b/>
                <w:bCs/>
                <w:sz w:val="16"/>
                <w:szCs w:val="16"/>
              </w:rPr>
              <w:t xml:space="preserve"> </w:t>
            </w:r>
          </w:p>
        </w:tc>
        <w:tc>
          <w:tcPr>
            <w:tcW w:w="1016" w:type="dxa"/>
            <w:tcBorders>
              <w:left w:val="single" w:sz="4" w:space="0" w:color="auto"/>
              <w:bottom w:val="double" w:sz="4" w:space="0" w:color="auto"/>
              <w:right w:val="double" w:sz="4" w:space="0" w:color="auto"/>
            </w:tcBorders>
            <w:shd w:val="clear" w:color="auto" w:fill="auto"/>
            <w:vAlign w:val="center"/>
          </w:tcPr>
          <w:p w14:paraId="6C4E2901" w14:textId="77777777" w:rsidR="009C0F17" w:rsidRPr="005A497D" w:rsidRDefault="009C0F17" w:rsidP="009C0F17">
            <w:pPr>
              <w:jc w:val="right"/>
              <w:rPr>
                <w:b/>
                <w:sz w:val="16"/>
                <w:szCs w:val="16"/>
              </w:rPr>
            </w:pPr>
          </w:p>
        </w:tc>
      </w:tr>
      <w:tr w:rsidR="009C0F17" w:rsidRPr="005A497D" w14:paraId="679E6B60" w14:textId="77777777" w:rsidTr="00A77FAA">
        <w:trPr>
          <w:trHeight w:val="264"/>
        </w:trPr>
        <w:tc>
          <w:tcPr>
            <w:tcW w:w="3272" w:type="dxa"/>
            <w:tcBorders>
              <w:top w:val="double" w:sz="4" w:space="0" w:color="auto"/>
              <w:left w:val="double" w:sz="4" w:space="0" w:color="auto"/>
            </w:tcBorders>
            <w:shd w:val="clear" w:color="auto" w:fill="auto"/>
            <w:noWrap/>
            <w:vAlign w:val="center"/>
            <w:hideMark/>
          </w:tcPr>
          <w:p w14:paraId="376A08D6" w14:textId="77777777" w:rsidR="009C0F17" w:rsidRPr="005A497D" w:rsidRDefault="009C0F17" w:rsidP="009C0F17">
            <w:pPr>
              <w:rPr>
                <w:b/>
                <w:i/>
                <w:sz w:val="16"/>
                <w:szCs w:val="16"/>
                <w:lang w:eastAsia="en-IN"/>
              </w:rPr>
            </w:pPr>
            <w:r w:rsidRPr="005A497D">
              <w:rPr>
                <w:b/>
                <w:i/>
                <w:sz w:val="16"/>
                <w:szCs w:val="16"/>
                <w:lang w:eastAsia="en-IN"/>
              </w:rPr>
              <w:t>Overall variance</w:t>
            </w:r>
          </w:p>
        </w:tc>
        <w:tc>
          <w:tcPr>
            <w:tcW w:w="6095" w:type="dxa"/>
            <w:gridSpan w:val="6"/>
            <w:tcBorders>
              <w:top w:val="double" w:sz="4" w:space="0" w:color="auto"/>
              <w:right w:val="double" w:sz="4" w:space="0" w:color="auto"/>
            </w:tcBorders>
            <w:shd w:val="clear" w:color="auto" w:fill="auto"/>
            <w:noWrap/>
            <w:vAlign w:val="center"/>
            <w:hideMark/>
          </w:tcPr>
          <w:p w14:paraId="79E1D467" w14:textId="59A804C0" w:rsidR="009C0F17" w:rsidRPr="005A497D" w:rsidRDefault="009C0F17" w:rsidP="009C0F17">
            <w:pPr>
              <w:jc w:val="center"/>
              <w:rPr>
                <w:b/>
                <w:i/>
                <w:sz w:val="16"/>
                <w:szCs w:val="16"/>
              </w:rPr>
            </w:pPr>
            <w:r>
              <w:rPr>
                <w:b/>
                <w:i/>
                <w:sz w:val="16"/>
                <w:szCs w:val="16"/>
              </w:rPr>
              <w:t>94.6%</w:t>
            </w:r>
          </w:p>
        </w:tc>
      </w:tr>
      <w:tr w:rsidR="009C0F17" w:rsidRPr="005A497D" w14:paraId="6A22A94A" w14:textId="77777777" w:rsidTr="00A77FAA">
        <w:trPr>
          <w:trHeight w:val="264"/>
        </w:trPr>
        <w:tc>
          <w:tcPr>
            <w:tcW w:w="3272" w:type="dxa"/>
            <w:tcBorders>
              <w:left w:val="double" w:sz="4" w:space="0" w:color="auto"/>
              <w:bottom w:val="double" w:sz="4" w:space="0" w:color="auto"/>
            </w:tcBorders>
            <w:shd w:val="clear" w:color="auto" w:fill="auto"/>
            <w:noWrap/>
            <w:vAlign w:val="center"/>
            <w:hideMark/>
          </w:tcPr>
          <w:p w14:paraId="438A3ABC" w14:textId="77777777" w:rsidR="009C0F17" w:rsidRPr="005A497D" w:rsidRDefault="009C0F17" w:rsidP="009C0F17">
            <w:pPr>
              <w:rPr>
                <w:b/>
                <w:i/>
                <w:sz w:val="16"/>
                <w:szCs w:val="16"/>
                <w:lang w:eastAsia="en-IN"/>
              </w:rPr>
            </w:pPr>
            <w:r w:rsidRPr="005A497D">
              <w:rPr>
                <w:b/>
                <w:i/>
                <w:sz w:val="16"/>
                <w:szCs w:val="16"/>
                <w:lang w:eastAsia="en-IN"/>
              </w:rPr>
              <w:t>Composition variance</w:t>
            </w:r>
          </w:p>
        </w:tc>
        <w:tc>
          <w:tcPr>
            <w:tcW w:w="6095" w:type="dxa"/>
            <w:gridSpan w:val="6"/>
            <w:tcBorders>
              <w:bottom w:val="double" w:sz="4" w:space="0" w:color="auto"/>
              <w:right w:val="double" w:sz="4" w:space="0" w:color="auto"/>
            </w:tcBorders>
            <w:shd w:val="clear" w:color="auto" w:fill="auto"/>
            <w:noWrap/>
            <w:vAlign w:val="center"/>
            <w:hideMark/>
          </w:tcPr>
          <w:p w14:paraId="28FC179D" w14:textId="148D0494" w:rsidR="009C0F17" w:rsidRPr="005A497D" w:rsidRDefault="009C0F17" w:rsidP="009C0F17">
            <w:pPr>
              <w:jc w:val="center"/>
              <w:rPr>
                <w:b/>
                <w:i/>
                <w:sz w:val="16"/>
                <w:szCs w:val="16"/>
              </w:rPr>
            </w:pPr>
            <w:r>
              <w:rPr>
                <w:b/>
                <w:i/>
                <w:sz w:val="16"/>
                <w:szCs w:val="16"/>
              </w:rPr>
              <w:t>10.1%</w:t>
            </w:r>
          </w:p>
        </w:tc>
      </w:tr>
    </w:tbl>
    <w:p w14:paraId="4EC5721E" w14:textId="77777777" w:rsidR="00A54D30" w:rsidRPr="005A497D" w:rsidRDefault="00A54D30" w:rsidP="00A54D30">
      <w:pPr>
        <w:autoSpaceDE w:val="0"/>
        <w:autoSpaceDN w:val="0"/>
        <w:adjustRightInd w:val="0"/>
        <w:contextualSpacing/>
        <w:jc w:val="both"/>
      </w:pPr>
    </w:p>
    <w:p w14:paraId="07B7DADE" w14:textId="2297E5B9" w:rsidR="00A5790F" w:rsidRPr="005A497D" w:rsidRDefault="00A5790F" w:rsidP="00A5790F">
      <w:pPr>
        <w:pStyle w:val="PEFATable"/>
        <w:spacing w:after="40"/>
        <w:jc w:val="both"/>
      </w:pPr>
      <w:bookmarkStart w:id="448" w:name="_Toc454889278"/>
      <w:r w:rsidRPr="005A497D">
        <w:rPr>
          <w:sz w:val="24"/>
          <w:szCs w:val="24"/>
        </w:rPr>
        <w:t xml:space="preserve">Table </w:t>
      </w:r>
      <w:r w:rsidR="009A6E2C">
        <w:rPr>
          <w:sz w:val="24"/>
          <w:szCs w:val="24"/>
        </w:rPr>
        <w:t>A</w:t>
      </w:r>
      <w:r w:rsidR="0027211D">
        <w:rPr>
          <w:sz w:val="24"/>
          <w:szCs w:val="24"/>
        </w:rPr>
        <w:t>4</w:t>
      </w:r>
      <w:r w:rsidRPr="005A497D">
        <w:rPr>
          <w:sz w:val="24"/>
          <w:szCs w:val="24"/>
        </w:rPr>
        <w:t>.12: Results Matrix for PI-3</w:t>
      </w:r>
      <w:bookmarkEnd w:id="448"/>
    </w:p>
    <w:tbl>
      <w:tblPr>
        <w:tblW w:w="947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3812"/>
        <w:gridCol w:w="3813"/>
      </w:tblGrid>
      <w:tr w:rsidR="00A5790F" w:rsidRPr="003567C3" w14:paraId="21233AD1" w14:textId="77777777" w:rsidTr="001451AF">
        <w:trPr>
          <w:trHeight w:val="397"/>
        </w:trPr>
        <w:tc>
          <w:tcPr>
            <w:tcW w:w="1854" w:type="dxa"/>
            <w:tcBorders>
              <w:top w:val="double" w:sz="4" w:space="0" w:color="auto"/>
              <w:left w:val="double" w:sz="4" w:space="0" w:color="auto"/>
              <w:bottom w:val="double" w:sz="4" w:space="0" w:color="auto"/>
            </w:tcBorders>
            <w:shd w:val="clear" w:color="auto" w:fill="D9D9D9" w:themeFill="background1" w:themeFillShade="D9"/>
            <w:noWrap/>
            <w:vAlign w:val="center"/>
            <w:hideMark/>
          </w:tcPr>
          <w:p w14:paraId="335434B1" w14:textId="77777777" w:rsidR="00A5790F" w:rsidRPr="003B6382" w:rsidRDefault="00A5790F" w:rsidP="001451AF">
            <w:pPr>
              <w:jc w:val="center"/>
              <w:rPr>
                <w:b/>
                <w:sz w:val="18"/>
                <w:szCs w:val="18"/>
                <w:lang w:eastAsia="en-IN"/>
              </w:rPr>
            </w:pPr>
            <w:r w:rsidRPr="003B6382">
              <w:rPr>
                <w:b/>
                <w:sz w:val="18"/>
                <w:szCs w:val="18"/>
                <w:lang w:eastAsia="en-IN"/>
              </w:rPr>
              <w:t>Year</w:t>
            </w:r>
          </w:p>
        </w:tc>
        <w:tc>
          <w:tcPr>
            <w:tcW w:w="3812" w:type="dxa"/>
            <w:tcBorders>
              <w:top w:val="double" w:sz="4" w:space="0" w:color="auto"/>
              <w:bottom w:val="double" w:sz="4" w:space="0" w:color="auto"/>
            </w:tcBorders>
            <w:shd w:val="clear" w:color="auto" w:fill="D9D9D9" w:themeFill="background1" w:themeFillShade="D9"/>
            <w:noWrap/>
            <w:vAlign w:val="center"/>
            <w:hideMark/>
          </w:tcPr>
          <w:p w14:paraId="40762D10" w14:textId="1D4922ED" w:rsidR="00A5790F" w:rsidRPr="003B6382" w:rsidRDefault="00A5790F" w:rsidP="006232F7">
            <w:pPr>
              <w:jc w:val="center"/>
              <w:rPr>
                <w:b/>
                <w:sz w:val="18"/>
                <w:szCs w:val="18"/>
                <w:lang w:eastAsia="en-IN"/>
              </w:rPr>
            </w:pPr>
            <w:r w:rsidRPr="003B6382">
              <w:rPr>
                <w:b/>
                <w:sz w:val="18"/>
                <w:szCs w:val="18"/>
                <w:lang w:eastAsia="en-IN"/>
              </w:rPr>
              <w:t xml:space="preserve">Total </w:t>
            </w:r>
            <w:r w:rsidR="006232F7" w:rsidRPr="003B6382">
              <w:rPr>
                <w:b/>
                <w:sz w:val="18"/>
                <w:szCs w:val="18"/>
                <w:lang w:eastAsia="en-IN"/>
              </w:rPr>
              <w:t>r</w:t>
            </w:r>
            <w:r w:rsidRPr="003B6382">
              <w:rPr>
                <w:b/>
                <w:sz w:val="18"/>
                <w:szCs w:val="18"/>
                <w:lang w:eastAsia="en-IN"/>
              </w:rPr>
              <w:t xml:space="preserve">evenue </w:t>
            </w:r>
            <w:r w:rsidR="006232F7" w:rsidRPr="003B6382">
              <w:rPr>
                <w:b/>
                <w:sz w:val="18"/>
                <w:szCs w:val="18"/>
                <w:lang w:eastAsia="en-IN"/>
              </w:rPr>
              <w:t>d</w:t>
            </w:r>
            <w:r w:rsidRPr="003B6382">
              <w:rPr>
                <w:b/>
                <w:sz w:val="18"/>
                <w:szCs w:val="18"/>
                <w:lang w:eastAsia="en-IN"/>
              </w:rPr>
              <w:t>eviation</w:t>
            </w:r>
          </w:p>
        </w:tc>
        <w:tc>
          <w:tcPr>
            <w:tcW w:w="3813" w:type="dxa"/>
            <w:tcBorders>
              <w:top w:val="double" w:sz="4" w:space="0" w:color="auto"/>
              <w:bottom w:val="double" w:sz="4" w:space="0" w:color="auto"/>
              <w:right w:val="double" w:sz="4" w:space="0" w:color="auto"/>
            </w:tcBorders>
            <w:shd w:val="clear" w:color="auto" w:fill="D9D9D9" w:themeFill="background1" w:themeFillShade="D9"/>
            <w:noWrap/>
            <w:vAlign w:val="center"/>
            <w:hideMark/>
          </w:tcPr>
          <w:p w14:paraId="10AB9296" w14:textId="019260D5" w:rsidR="00A5790F" w:rsidRPr="003B6382" w:rsidRDefault="00A5790F" w:rsidP="006232F7">
            <w:pPr>
              <w:ind w:left="227" w:right="227"/>
              <w:jc w:val="center"/>
              <w:rPr>
                <w:b/>
                <w:sz w:val="18"/>
                <w:szCs w:val="18"/>
                <w:lang w:eastAsia="en-IN"/>
              </w:rPr>
            </w:pPr>
            <w:r w:rsidRPr="003B6382">
              <w:rPr>
                <w:b/>
                <w:sz w:val="18"/>
                <w:szCs w:val="18"/>
                <w:lang w:eastAsia="en-IN"/>
              </w:rPr>
              <w:t xml:space="preserve">Composition </w:t>
            </w:r>
            <w:r w:rsidR="006232F7" w:rsidRPr="003B6382">
              <w:rPr>
                <w:b/>
                <w:sz w:val="18"/>
                <w:szCs w:val="18"/>
                <w:lang w:eastAsia="en-IN"/>
              </w:rPr>
              <w:t>v</w:t>
            </w:r>
            <w:r w:rsidRPr="003B6382">
              <w:rPr>
                <w:b/>
                <w:sz w:val="18"/>
                <w:szCs w:val="18"/>
                <w:lang w:eastAsia="en-IN"/>
              </w:rPr>
              <w:t>ariance</w:t>
            </w:r>
          </w:p>
        </w:tc>
      </w:tr>
      <w:tr w:rsidR="009C0F17" w:rsidRPr="005A497D" w14:paraId="1079C031" w14:textId="77777777" w:rsidTr="001451AF">
        <w:trPr>
          <w:trHeight w:val="283"/>
        </w:trPr>
        <w:tc>
          <w:tcPr>
            <w:tcW w:w="1854" w:type="dxa"/>
            <w:tcBorders>
              <w:top w:val="double" w:sz="4" w:space="0" w:color="auto"/>
              <w:left w:val="double" w:sz="4" w:space="0" w:color="auto"/>
            </w:tcBorders>
            <w:shd w:val="clear" w:color="auto" w:fill="auto"/>
            <w:noWrap/>
            <w:vAlign w:val="center"/>
            <w:hideMark/>
          </w:tcPr>
          <w:p w14:paraId="5F9431D9" w14:textId="77777777" w:rsidR="009C0F17" w:rsidRPr="005A497D" w:rsidRDefault="009C0F17" w:rsidP="009C0F17">
            <w:pPr>
              <w:jc w:val="center"/>
              <w:rPr>
                <w:sz w:val="18"/>
                <w:szCs w:val="18"/>
                <w:lang w:eastAsia="en-IN"/>
              </w:rPr>
            </w:pPr>
            <w:r w:rsidRPr="005A497D">
              <w:rPr>
                <w:sz w:val="18"/>
                <w:szCs w:val="18"/>
                <w:lang w:eastAsia="en-IN"/>
              </w:rPr>
              <w:t>2012</w:t>
            </w:r>
          </w:p>
        </w:tc>
        <w:tc>
          <w:tcPr>
            <w:tcW w:w="3812" w:type="dxa"/>
            <w:tcBorders>
              <w:top w:val="double" w:sz="4" w:space="0" w:color="auto"/>
            </w:tcBorders>
            <w:shd w:val="clear" w:color="auto" w:fill="auto"/>
            <w:noWrap/>
            <w:vAlign w:val="center"/>
            <w:hideMark/>
          </w:tcPr>
          <w:p w14:paraId="53494E70" w14:textId="154855EF" w:rsidR="009C0F17" w:rsidRPr="005A497D" w:rsidRDefault="009C0F17" w:rsidP="009C0F17">
            <w:pPr>
              <w:jc w:val="center"/>
              <w:rPr>
                <w:sz w:val="18"/>
                <w:szCs w:val="18"/>
              </w:rPr>
            </w:pPr>
            <w:r>
              <w:rPr>
                <w:sz w:val="18"/>
                <w:szCs w:val="18"/>
              </w:rPr>
              <w:t>98.4%</w:t>
            </w:r>
          </w:p>
        </w:tc>
        <w:tc>
          <w:tcPr>
            <w:tcW w:w="3813" w:type="dxa"/>
            <w:tcBorders>
              <w:top w:val="double" w:sz="4" w:space="0" w:color="auto"/>
              <w:right w:val="double" w:sz="4" w:space="0" w:color="auto"/>
            </w:tcBorders>
            <w:shd w:val="clear" w:color="auto" w:fill="auto"/>
            <w:noWrap/>
            <w:vAlign w:val="center"/>
            <w:hideMark/>
          </w:tcPr>
          <w:p w14:paraId="3E52FB26" w14:textId="35917B85" w:rsidR="009C0F17" w:rsidRPr="005A497D" w:rsidRDefault="009C0F17" w:rsidP="009C0F17">
            <w:pPr>
              <w:jc w:val="center"/>
              <w:rPr>
                <w:sz w:val="18"/>
                <w:szCs w:val="18"/>
              </w:rPr>
            </w:pPr>
            <w:r>
              <w:rPr>
                <w:sz w:val="18"/>
                <w:szCs w:val="18"/>
              </w:rPr>
              <w:t>9.0%</w:t>
            </w:r>
          </w:p>
        </w:tc>
      </w:tr>
      <w:tr w:rsidR="009C0F17" w:rsidRPr="005A497D" w14:paraId="176C53DD" w14:textId="77777777" w:rsidTr="001451AF">
        <w:trPr>
          <w:trHeight w:val="283"/>
        </w:trPr>
        <w:tc>
          <w:tcPr>
            <w:tcW w:w="1854" w:type="dxa"/>
            <w:tcBorders>
              <w:left w:val="double" w:sz="4" w:space="0" w:color="auto"/>
            </w:tcBorders>
            <w:shd w:val="clear" w:color="auto" w:fill="auto"/>
            <w:noWrap/>
            <w:vAlign w:val="center"/>
            <w:hideMark/>
          </w:tcPr>
          <w:p w14:paraId="29CED40B" w14:textId="77777777" w:rsidR="009C0F17" w:rsidRPr="005A497D" w:rsidRDefault="009C0F17" w:rsidP="009C0F17">
            <w:pPr>
              <w:jc w:val="center"/>
              <w:rPr>
                <w:sz w:val="18"/>
                <w:szCs w:val="18"/>
                <w:lang w:eastAsia="en-IN"/>
              </w:rPr>
            </w:pPr>
            <w:r w:rsidRPr="005A497D">
              <w:rPr>
                <w:sz w:val="18"/>
                <w:szCs w:val="18"/>
                <w:lang w:eastAsia="en-IN"/>
              </w:rPr>
              <w:t>2013</w:t>
            </w:r>
          </w:p>
        </w:tc>
        <w:tc>
          <w:tcPr>
            <w:tcW w:w="3812" w:type="dxa"/>
            <w:shd w:val="clear" w:color="auto" w:fill="auto"/>
            <w:noWrap/>
            <w:vAlign w:val="center"/>
            <w:hideMark/>
          </w:tcPr>
          <w:p w14:paraId="7EA98555" w14:textId="0BEB56CA" w:rsidR="009C0F17" w:rsidRPr="005A497D" w:rsidRDefault="009C0F17" w:rsidP="009C0F17">
            <w:pPr>
              <w:jc w:val="center"/>
              <w:rPr>
                <w:sz w:val="18"/>
                <w:szCs w:val="18"/>
              </w:rPr>
            </w:pPr>
            <w:r>
              <w:rPr>
                <w:sz w:val="18"/>
                <w:szCs w:val="18"/>
              </w:rPr>
              <w:t>98.3%</w:t>
            </w:r>
          </w:p>
        </w:tc>
        <w:tc>
          <w:tcPr>
            <w:tcW w:w="3813" w:type="dxa"/>
            <w:tcBorders>
              <w:right w:val="double" w:sz="4" w:space="0" w:color="auto"/>
            </w:tcBorders>
            <w:shd w:val="clear" w:color="auto" w:fill="auto"/>
            <w:noWrap/>
            <w:vAlign w:val="center"/>
            <w:hideMark/>
          </w:tcPr>
          <w:p w14:paraId="486CF7D4" w14:textId="1FF53B0D" w:rsidR="009C0F17" w:rsidRPr="005A497D" w:rsidRDefault="009C0F17" w:rsidP="009C0F17">
            <w:pPr>
              <w:jc w:val="center"/>
              <w:rPr>
                <w:sz w:val="18"/>
                <w:szCs w:val="18"/>
              </w:rPr>
            </w:pPr>
            <w:r>
              <w:rPr>
                <w:sz w:val="18"/>
                <w:szCs w:val="18"/>
              </w:rPr>
              <w:t>12.1%</w:t>
            </w:r>
          </w:p>
        </w:tc>
      </w:tr>
      <w:tr w:rsidR="009C0F17" w:rsidRPr="005A497D" w14:paraId="768D79F8" w14:textId="77777777" w:rsidTr="001451AF">
        <w:trPr>
          <w:trHeight w:val="283"/>
        </w:trPr>
        <w:tc>
          <w:tcPr>
            <w:tcW w:w="1854" w:type="dxa"/>
            <w:tcBorders>
              <w:left w:val="double" w:sz="4" w:space="0" w:color="auto"/>
              <w:bottom w:val="double" w:sz="4" w:space="0" w:color="auto"/>
            </w:tcBorders>
            <w:shd w:val="clear" w:color="auto" w:fill="auto"/>
            <w:noWrap/>
            <w:vAlign w:val="center"/>
            <w:hideMark/>
          </w:tcPr>
          <w:p w14:paraId="31DA0294" w14:textId="77777777" w:rsidR="009C0F17" w:rsidRPr="005A497D" w:rsidRDefault="009C0F17" w:rsidP="009C0F17">
            <w:pPr>
              <w:jc w:val="center"/>
              <w:rPr>
                <w:sz w:val="18"/>
                <w:szCs w:val="18"/>
                <w:lang w:eastAsia="en-IN"/>
              </w:rPr>
            </w:pPr>
            <w:r w:rsidRPr="005A497D">
              <w:rPr>
                <w:sz w:val="18"/>
                <w:szCs w:val="18"/>
                <w:lang w:eastAsia="en-IN"/>
              </w:rPr>
              <w:t>2014</w:t>
            </w:r>
          </w:p>
        </w:tc>
        <w:tc>
          <w:tcPr>
            <w:tcW w:w="3812" w:type="dxa"/>
            <w:tcBorders>
              <w:bottom w:val="double" w:sz="4" w:space="0" w:color="auto"/>
            </w:tcBorders>
            <w:shd w:val="clear" w:color="auto" w:fill="auto"/>
            <w:noWrap/>
            <w:vAlign w:val="center"/>
            <w:hideMark/>
          </w:tcPr>
          <w:p w14:paraId="13A1B193" w14:textId="48699191" w:rsidR="009C0F17" w:rsidRPr="005A497D" w:rsidRDefault="009C0F17" w:rsidP="009C0F17">
            <w:pPr>
              <w:jc w:val="center"/>
              <w:rPr>
                <w:sz w:val="18"/>
                <w:szCs w:val="18"/>
              </w:rPr>
            </w:pPr>
            <w:r>
              <w:rPr>
                <w:sz w:val="18"/>
                <w:szCs w:val="18"/>
              </w:rPr>
              <w:t>94.6%</w:t>
            </w:r>
          </w:p>
        </w:tc>
        <w:tc>
          <w:tcPr>
            <w:tcW w:w="3813" w:type="dxa"/>
            <w:tcBorders>
              <w:bottom w:val="double" w:sz="4" w:space="0" w:color="auto"/>
              <w:right w:val="double" w:sz="4" w:space="0" w:color="auto"/>
            </w:tcBorders>
            <w:shd w:val="clear" w:color="auto" w:fill="auto"/>
            <w:noWrap/>
            <w:vAlign w:val="center"/>
            <w:hideMark/>
          </w:tcPr>
          <w:p w14:paraId="3D2604A8" w14:textId="1108A89B" w:rsidR="009C0F17" w:rsidRPr="005A497D" w:rsidRDefault="009C0F17" w:rsidP="009C0F17">
            <w:pPr>
              <w:jc w:val="center"/>
              <w:rPr>
                <w:sz w:val="18"/>
                <w:szCs w:val="18"/>
              </w:rPr>
            </w:pPr>
            <w:r>
              <w:rPr>
                <w:sz w:val="18"/>
                <w:szCs w:val="18"/>
              </w:rPr>
              <w:t>10.1%</w:t>
            </w:r>
          </w:p>
        </w:tc>
      </w:tr>
    </w:tbl>
    <w:p w14:paraId="3D1857A3" w14:textId="77777777" w:rsidR="00E5350C" w:rsidRPr="005A497D" w:rsidRDefault="00E5350C" w:rsidP="009A012D">
      <w:pPr>
        <w:autoSpaceDE w:val="0"/>
        <w:autoSpaceDN w:val="0"/>
        <w:adjustRightInd w:val="0"/>
        <w:contextualSpacing/>
        <w:jc w:val="both"/>
        <w:rPr>
          <w:sz w:val="22"/>
          <w:szCs w:val="22"/>
        </w:rPr>
        <w:sectPr w:rsidR="00E5350C" w:rsidRPr="005A497D" w:rsidSect="00890673">
          <w:footnotePr>
            <w:numRestart w:val="eachSect"/>
          </w:footnotePr>
          <w:endnotePr>
            <w:numFmt w:val="decimal"/>
          </w:endnotePr>
          <w:pgSz w:w="12240" w:h="15840" w:code="1"/>
          <w:pgMar w:top="1152" w:right="1440" w:bottom="1080" w:left="1440" w:header="720" w:footer="720" w:gutter="0"/>
          <w:cols w:space="720"/>
          <w:noEndnote/>
        </w:sectPr>
      </w:pPr>
    </w:p>
    <w:p w14:paraId="69E6ED11" w14:textId="0E89B1BC" w:rsidR="002C4408" w:rsidRPr="005A497D" w:rsidRDefault="002C4408" w:rsidP="009A012D">
      <w:pPr>
        <w:pStyle w:val="Heading2"/>
        <w:rPr>
          <w:rFonts w:ascii="Times New Roman" w:hAnsi="Times New Roman"/>
          <w:sz w:val="32"/>
          <w:szCs w:val="32"/>
        </w:rPr>
      </w:pPr>
      <w:bookmarkStart w:id="449" w:name="_Toc454811803"/>
      <w:bookmarkStart w:id="450" w:name="_Toc454888947"/>
      <w:r w:rsidRPr="005A497D">
        <w:rPr>
          <w:rFonts w:ascii="Times New Roman" w:hAnsi="Times New Roman"/>
          <w:sz w:val="32"/>
          <w:szCs w:val="32"/>
        </w:rPr>
        <w:t xml:space="preserve">Annex </w:t>
      </w:r>
      <w:r w:rsidR="0027211D">
        <w:rPr>
          <w:rFonts w:ascii="Times New Roman" w:hAnsi="Times New Roman"/>
          <w:sz w:val="32"/>
          <w:szCs w:val="32"/>
        </w:rPr>
        <w:t>5</w:t>
      </w:r>
      <w:r w:rsidR="000C6609" w:rsidRPr="005A497D">
        <w:rPr>
          <w:rFonts w:ascii="Times New Roman" w:hAnsi="Times New Roman"/>
          <w:sz w:val="32"/>
          <w:szCs w:val="32"/>
        </w:rPr>
        <w:t>:</w:t>
      </w:r>
      <w:r w:rsidRPr="005A497D">
        <w:rPr>
          <w:rFonts w:ascii="Times New Roman" w:hAnsi="Times New Roman"/>
          <w:sz w:val="32"/>
          <w:szCs w:val="32"/>
        </w:rPr>
        <w:t xml:space="preserve"> </w:t>
      </w:r>
      <w:r w:rsidR="005D2FF3" w:rsidRPr="005A497D">
        <w:rPr>
          <w:rFonts w:ascii="Times New Roman" w:hAnsi="Times New Roman"/>
          <w:sz w:val="32"/>
          <w:szCs w:val="32"/>
        </w:rPr>
        <w:t xml:space="preserve">Summary Assessment based on </w:t>
      </w:r>
      <w:bookmarkEnd w:id="449"/>
      <w:r w:rsidR="003B6382">
        <w:rPr>
          <w:rFonts w:ascii="Times New Roman" w:hAnsi="Times New Roman"/>
          <w:sz w:val="32"/>
          <w:szCs w:val="32"/>
        </w:rPr>
        <w:t>Old Methodology</w:t>
      </w:r>
      <w:bookmarkEnd w:id="450"/>
    </w:p>
    <w:p w14:paraId="58B58C6F" w14:textId="13AA9DC1" w:rsidR="00B63470" w:rsidRPr="005A497D" w:rsidRDefault="00B63470" w:rsidP="00B63470">
      <w:pPr>
        <w:pStyle w:val="PEFATable"/>
        <w:spacing w:after="40"/>
        <w:jc w:val="both"/>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
        <w:gridCol w:w="3040"/>
        <w:gridCol w:w="448"/>
        <w:gridCol w:w="263"/>
        <w:gridCol w:w="440"/>
        <w:gridCol w:w="440"/>
        <w:gridCol w:w="440"/>
        <w:gridCol w:w="440"/>
        <w:gridCol w:w="732"/>
        <w:gridCol w:w="266"/>
        <w:gridCol w:w="421"/>
        <w:gridCol w:w="422"/>
        <w:gridCol w:w="421"/>
        <w:gridCol w:w="422"/>
        <w:gridCol w:w="808"/>
      </w:tblGrid>
      <w:tr w:rsidR="00CB6100" w:rsidRPr="005A497D" w14:paraId="1D30B383" w14:textId="77777777" w:rsidTr="00CB6100">
        <w:trPr>
          <w:trHeight w:val="288"/>
          <w:jc w:val="center"/>
        </w:trPr>
        <w:tc>
          <w:tcPr>
            <w:tcW w:w="3535" w:type="dxa"/>
            <w:gridSpan w:val="2"/>
            <w:vMerge w:val="restart"/>
            <w:shd w:val="clear" w:color="auto" w:fill="D9D9D9" w:themeFill="background1" w:themeFillShade="D9"/>
            <w:vAlign w:val="center"/>
          </w:tcPr>
          <w:p w14:paraId="31E12DCB" w14:textId="77777777" w:rsidR="00CB6100" w:rsidRPr="005A497D" w:rsidRDefault="00CB6100" w:rsidP="00CB6100">
            <w:pPr>
              <w:jc w:val="center"/>
              <w:rPr>
                <w:b/>
                <w:sz w:val="16"/>
                <w:szCs w:val="16"/>
              </w:rPr>
            </w:pPr>
            <w:r w:rsidRPr="005A497D">
              <w:rPr>
                <w:b/>
                <w:sz w:val="16"/>
                <w:szCs w:val="16"/>
              </w:rPr>
              <w:t>Performance Indicators</w:t>
            </w:r>
          </w:p>
        </w:tc>
        <w:tc>
          <w:tcPr>
            <w:tcW w:w="448" w:type="dxa"/>
            <w:vMerge w:val="restart"/>
            <w:shd w:val="clear" w:color="auto" w:fill="D9D9D9" w:themeFill="background1" w:themeFillShade="D9"/>
            <w:textDirection w:val="btLr"/>
            <w:vAlign w:val="center"/>
          </w:tcPr>
          <w:p w14:paraId="26A6A3AF" w14:textId="77777777" w:rsidR="00CB6100" w:rsidRPr="005A497D" w:rsidRDefault="00CB6100" w:rsidP="00CB6100">
            <w:pPr>
              <w:ind w:left="113" w:right="113"/>
              <w:jc w:val="center"/>
              <w:rPr>
                <w:b/>
                <w:sz w:val="16"/>
                <w:szCs w:val="16"/>
              </w:rPr>
            </w:pPr>
            <w:r w:rsidRPr="005A497D">
              <w:rPr>
                <w:b/>
                <w:sz w:val="16"/>
                <w:szCs w:val="16"/>
              </w:rPr>
              <w:t>Scoring Method</w:t>
            </w:r>
          </w:p>
        </w:tc>
        <w:tc>
          <w:tcPr>
            <w:tcW w:w="263" w:type="dxa"/>
            <w:vMerge w:val="restart"/>
            <w:shd w:val="clear" w:color="auto" w:fill="auto"/>
            <w:vAlign w:val="center"/>
          </w:tcPr>
          <w:p w14:paraId="61E2295E" w14:textId="77777777" w:rsidR="00CB6100" w:rsidRPr="005A497D" w:rsidRDefault="00CB6100" w:rsidP="00CB6100">
            <w:pPr>
              <w:jc w:val="center"/>
              <w:rPr>
                <w:sz w:val="16"/>
                <w:szCs w:val="16"/>
              </w:rPr>
            </w:pPr>
          </w:p>
        </w:tc>
        <w:tc>
          <w:tcPr>
            <w:tcW w:w="2492" w:type="dxa"/>
            <w:gridSpan w:val="5"/>
            <w:shd w:val="clear" w:color="auto" w:fill="D9D9D9" w:themeFill="background1" w:themeFillShade="D9"/>
            <w:vAlign w:val="center"/>
          </w:tcPr>
          <w:p w14:paraId="3C59EF37" w14:textId="77777777" w:rsidR="00CB6100" w:rsidRPr="005A497D" w:rsidRDefault="00CB6100" w:rsidP="00CB6100">
            <w:pPr>
              <w:jc w:val="center"/>
              <w:rPr>
                <w:sz w:val="16"/>
                <w:szCs w:val="16"/>
              </w:rPr>
            </w:pPr>
            <w:r w:rsidRPr="005A497D">
              <w:rPr>
                <w:b/>
                <w:sz w:val="16"/>
                <w:szCs w:val="16"/>
              </w:rPr>
              <w:t>2010</w:t>
            </w:r>
          </w:p>
        </w:tc>
        <w:tc>
          <w:tcPr>
            <w:tcW w:w="266" w:type="dxa"/>
            <w:vMerge w:val="restart"/>
            <w:shd w:val="clear" w:color="auto" w:fill="auto"/>
            <w:vAlign w:val="center"/>
          </w:tcPr>
          <w:p w14:paraId="613AD251" w14:textId="77777777" w:rsidR="00CB6100" w:rsidRPr="005A497D" w:rsidRDefault="00CB6100" w:rsidP="00CB6100">
            <w:pPr>
              <w:jc w:val="center"/>
              <w:rPr>
                <w:sz w:val="16"/>
                <w:szCs w:val="16"/>
              </w:rPr>
            </w:pPr>
          </w:p>
        </w:tc>
        <w:tc>
          <w:tcPr>
            <w:tcW w:w="2494" w:type="dxa"/>
            <w:gridSpan w:val="5"/>
            <w:shd w:val="clear" w:color="auto" w:fill="D9D9D9" w:themeFill="background1" w:themeFillShade="D9"/>
            <w:vAlign w:val="center"/>
          </w:tcPr>
          <w:p w14:paraId="28A35641" w14:textId="5085BB21" w:rsidR="00CB6100" w:rsidRPr="005A497D" w:rsidRDefault="00473EFD" w:rsidP="00CB6100">
            <w:pPr>
              <w:jc w:val="center"/>
              <w:rPr>
                <w:b/>
                <w:sz w:val="16"/>
                <w:szCs w:val="16"/>
              </w:rPr>
            </w:pPr>
            <w:r>
              <w:rPr>
                <w:b/>
                <w:sz w:val="16"/>
                <w:szCs w:val="16"/>
              </w:rPr>
              <w:t>2016</w:t>
            </w:r>
          </w:p>
        </w:tc>
      </w:tr>
      <w:tr w:rsidR="00CB6100" w:rsidRPr="005A497D" w14:paraId="10BE9AF5" w14:textId="77777777" w:rsidTr="00CB6100">
        <w:trPr>
          <w:trHeight w:val="288"/>
          <w:jc w:val="center"/>
        </w:trPr>
        <w:tc>
          <w:tcPr>
            <w:tcW w:w="3535" w:type="dxa"/>
            <w:gridSpan w:val="2"/>
            <w:vMerge/>
            <w:shd w:val="clear" w:color="auto" w:fill="D9D9D9" w:themeFill="background1" w:themeFillShade="D9"/>
            <w:vAlign w:val="center"/>
          </w:tcPr>
          <w:p w14:paraId="70636F65" w14:textId="77777777" w:rsidR="00CB6100" w:rsidRPr="005A497D" w:rsidRDefault="00CB6100" w:rsidP="00CB6100">
            <w:pPr>
              <w:jc w:val="center"/>
              <w:rPr>
                <w:sz w:val="16"/>
                <w:szCs w:val="16"/>
              </w:rPr>
            </w:pPr>
          </w:p>
        </w:tc>
        <w:tc>
          <w:tcPr>
            <w:tcW w:w="448" w:type="dxa"/>
            <w:vMerge/>
            <w:shd w:val="clear" w:color="auto" w:fill="D9D9D9" w:themeFill="background1" w:themeFillShade="D9"/>
            <w:vAlign w:val="center"/>
          </w:tcPr>
          <w:p w14:paraId="31B5687C" w14:textId="77777777" w:rsidR="00CB6100" w:rsidRPr="005A497D" w:rsidRDefault="00CB6100" w:rsidP="00CB6100">
            <w:pPr>
              <w:jc w:val="center"/>
              <w:rPr>
                <w:sz w:val="16"/>
                <w:szCs w:val="16"/>
              </w:rPr>
            </w:pPr>
          </w:p>
        </w:tc>
        <w:tc>
          <w:tcPr>
            <w:tcW w:w="263" w:type="dxa"/>
            <w:vMerge/>
            <w:shd w:val="clear" w:color="auto" w:fill="auto"/>
            <w:vAlign w:val="center"/>
          </w:tcPr>
          <w:p w14:paraId="17761B04" w14:textId="77777777" w:rsidR="00CB6100" w:rsidRPr="005A497D" w:rsidRDefault="00CB6100" w:rsidP="00CB6100">
            <w:pPr>
              <w:jc w:val="center"/>
              <w:rPr>
                <w:sz w:val="16"/>
                <w:szCs w:val="16"/>
              </w:rPr>
            </w:pPr>
          </w:p>
        </w:tc>
        <w:tc>
          <w:tcPr>
            <w:tcW w:w="1760" w:type="dxa"/>
            <w:gridSpan w:val="4"/>
            <w:shd w:val="clear" w:color="auto" w:fill="D9D9D9" w:themeFill="background1" w:themeFillShade="D9"/>
            <w:vAlign w:val="center"/>
          </w:tcPr>
          <w:p w14:paraId="28F7243F" w14:textId="77777777" w:rsidR="00CB6100" w:rsidRPr="005A497D" w:rsidRDefault="00CB6100" w:rsidP="00CB6100">
            <w:pPr>
              <w:jc w:val="center"/>
              <w:rPr>
                <w:b/>
                <w:sz w:val="16"/>
                <w:szCs w:val="16"/>
              </w:rPr>
            </w:pPr>
            <w:r w:rsidRPr="005A497D">
              <w:rPr>
                <w:b/>
                <w:sz w:val="16"/>
                <w:szCs w:val="16"/>
              </w:rPr>
              <w:t>Dimension Ratings</w:t>
            </w:r>
          </w:p>
        </w:tc>
        <w:tc>
          <w:tcPr>
            <w:tcW w:w="732" w:type="dxa"/>
            <w:vMerge w:val="restart"/>
            <w:shd w:val="clear" w:color="auto" w:fill="D9D9D9" w:themeFill="background1" w:themeFillShade="D9"/>
            <w:vAlign w:val="center"/>
          </w:tcPr>
          <w:p w14:paraId="2C365CC7" w14:textId="77777777" w:rsidR="00CB6100" w:rsidRPr="005A497D" w:rsidRDefault="00CB6100" w:rsidP="00CB6100">
            <w:pPr>
              <w:jc w:val="center"/>
              <w:rPr>
                <w:b/>
                <w:sz w:val="16"/>
                <w:szCs w:val="16"/>
              </w:rPr>
            </w:pPr>
            <w:r w:rsidRPr="005A497D">
              <w:rPr>
                <w:b/>
                <w:sz w:val="16"/>
                <w:szCs w:val="16"/>
              </w:rPr>
              <w:t>Overall Score</w:t>
            </w:r>
          </w:p>
        </w:tc>
        <w:tc>
          <w:tcPr>
            <w:tcW w:w="266" w:type="dxa"/>
            <w:vMerge/>
            <w:shd w:val="clear" w:color="auto" w:fill="auto"/>
            <w:vAlign w:val="center"/>
          </w:tcPr>
          <w:p w14:paraId="3C921A9B" w14:textId="77777777" w:rsidR="00CB6100" w:rsidRPr="005A497D" w:rsidRDefault="00CB6100" w:rsidP="00CB6100">
            <w:pPr>
              <w:jc w:val="center"/>
              <w:rPr>
                <w:sz w:val="16"/>
                <w:szCs w:val="16"/>
              </w:rPr>
            </w:pPr>
          </w:p>
        </w:tc>
        <w:tc>
          <w:tcPr>
            <w:tcW w:w="1686" w:type="dxa"/>
            <w:gridSpan w:val="4"/>
            <w:shd w:val="clear" w:color="auto" w:fill="D9D9D9" w:themeFill="background1" w:themeFillShade="D9"/>
            <w:vAlign w:val="center"/>
          </w:tcPr>
          <w:p w14:paraId="4C137DC1" w14:textId="77777777" w:rsidR="00CB6100" w:rsidRPr="005A497D" w:rsidRDefault="00CB6100" w:rsidP="00CB6100">
            <w:pPr>
              <w:jc w:val="center"/>
              <w:rPr>
                <w:b/>
                <w:sz w:val="16"/>
                <w:szCs w:val="16"/>
              </w:rPr>
            </w:pPr>
            <w:r w:rsidRPr="005A497D">
              <w:rPr>
                <w:b/>
                <w:sz w:val="16"/>
                <w:szCs w:val="16"/>
              </w:rPr>
              <w:t>Dimension Ratings</w:t>
            </w:r>
          </w:p>
        </w:tc>
        <w:tc>
          <w:tcPr>
            <w:tcW w:w="808" w:type="dxa"/>
            <w:vMerge w:val="restart"/>
            <w:shd w:val="clear" w:color="auto" w:fill="D9D9D9" w:themeFill="background1" w:themeFillShade="D9"/>
            <w:vAlign w:val="center"/>
          </w:tcPr>
          <w:p w14:paraId="22CC3FF7" w14:textId="77777777" w:rsidR="00CB6100" w:rsidRPr="005A497D" w:rsidRDefault="00CB6100" w:rsidP="00CB6100">
            <w:pPr>
              <w:jc w:val="center"/>
              <w:rPr>
                <w:b/>
                <w:sz w:val="16"/>
                <w:szCs w:val="16"/>
              </w:rPr>
            </w:pPr>
            <w:r w:rsidRPr="005A497D">
              <w:rPr>
                <w:b/>
                <w:sz w:val="16"/>
                <w:szCs w:val="16"/>
              </w:rPr>
              <w:t>Overall Score</w:t>
            </w:r>
          </w:p>
        </w:tc>
      </w:tr>
      <w:tr w:rsidR="00CB6100" w:rsidRPr="005A497D" w14:paraId="2042443E" w14:textId="77777777" w:rsidTr="00CB6100">
        <w:trPr>
          <w:trHeight w:val="288"/>
          <w:jc w:val="center"/>
        </w:trPr>
        <w:tc>
          <w:tcPr>
            <w:tcW w:w="3535" w:type="dxa"/>
            <w:gridSpan w:val="2"/>
            <w:vMerge/>
            <w:shd w:val="clear" w:color="auto" w:fill="D9D9D9" w:themeFill="background1" w:themeFillShade="D9"/>
            <w:vAlign w:val="center"/>
          </w:tcPr>
          <w:p w14:paraId="7B4B73A1" w14:textId="77777777" w:rsidR="00CB6100" w:rsidRPr="005A497D" w:rsidRDefault="00CB6100" w:rsidP="00CB6100">
            <w:pPr>
              <w:jc w:val="center"/>
              <w:rPr>
                <w:sz w:val="16"/>
                <w:szCs w:val="16"/>
              </w:rPr>
            </w:pPr>
          </w:p>
        </w:tc>
        <w:tc>
          <w:tcPr>
            <w:tcW w:w="448" w:type="dxa"/>
            <w:vMerge/>
            <w:shd w:val="clear" w:color="auto" w:fill="D9D9D9" w:themeFill="background1" w:themeFillShade="D9"/>
            <w:vAlign w:val="center"/>
          </w:tcPr>
          <w:p w14:paraId="189FE465" w14:textId="77777777" w:rsidR="00CB6100" w:rsidRPr="005A497D" w:rsidRDefault="00CB6100" w:rsidP="00CB6100">
            <w:pPr>
              <w:jc w:val="center"/>
              <w:rPr>
                <w:sz w:val="16"/>
                <w:szCs w:val="16"/>
              </w:rPr>
            </w:pPr>
          </w:p>
        </w:tc>
        <w:tc>
          <w:tcPr>
            <w:tcW w:w="263" w:type="dxa"/>
            <w:vMerge/>
            <w:shd w:val="clear" w:color="auto" w:fill="auto"/>
            <w:vAlign w:val="center"/>
          </w:tcPr>
          <w:p w14:paraId="4909C8BD" w14:textId="77777777" w:rsidR="00CB6100" w:rsidRPr="005A497D" w:rsidRDefault="00CB6100" w:rsidP="00CB6100">
            <w:pPr>
              <w:jc w:val="center"/>
              <w:rPr>
                <w:sz w:val="16"/>
                <w:szCs w:val="16"/>
              </w:rPr>
            </w:pPr>
          </w:p>
        </w:tc>
        <w:tc>
          <w:tcPr>
            <w:tcW w:w="440" w:type="dxa"/>
            <w:shd w:val="clear" w:color="auto" w:fill="D9D9D9" w:themeFill="background1" w:themeFillShade="D9"/>
            <w:vAlign w:val="center"/>
          </w:tcPr>
          <w:p w14:paraId="1766D088" w14:textId="18BC2228" w:rsidR="00CB6100" w:rsidRPr="005A497D" w:rsidRDefault="003B6382" w:rsidP="00CB6100">
            <w:pPr>
              <w:ind w:left="-57" w:right="-57"/>
              <w:jc w:val="center"/>
              <w:rPr>
                <w:b/>
                <w:sz w:val="16"/>
                <w:szCs w:val="16"/>
              </w:rPr>
            </w:pPr>
            <w:r>
              <w:rPr>
                <w:b/>
                <w:sz w:val="16"/>
                <w:szCs w:val="16"/>
              </w:rPr>
              <w:t>(</w:t>
            </w:r>
            <w:r w:rsidR="00CB6100" w:rsidRPr="005A497D">
              <w:rPr>
                <w:b/>
                <w:sz w:val="16"/>
                <w:szCs w:val="16"/>
              </w:rPr>
              <w:t>i</w:t>
            </w:r>
            <w:r>
              <w:rPr>
                <w:b/>
                <w:sz w:val="16"/>
                <w:szCs w:val="16"/>
              </w:rPr>
              <w:t>)</w:t>
            </w:r>
          </w:p>
        </w:tc>
        <w:tc>
          <w:tcPr>
            <w:tcW w:w="440" w:type="dxa"/>
            <w:shd w:val="clear" w:color="auto" w:fill="D9D9D9" w:themeFill="background1" w:themeFillShade="D9"/>
            <w:vAlign w:val="center"/>
          </w:tcPr>
          <w:p w14:paraId="5E5AAB06" w14:textId="7211321B" w:rsidR="00CB6100" w:rsidRPr="005A497D" w:rsidRDefault="003B6382" w:rsidP="00CB6100">
            <w:pPr>
              <w:ind w:left="-57" w:right="-57"/>
              <w:jc w:val="center"/>
              <w:rPr>
                <w:b/>
                <w:sz w:val="16"/>
                <w:szCs w:val="16"/>
              </w:rPr>
            </w:pPr>
            <w:r>
              <w:rPr>
                <w:b/>
                <w:sz w:val="16"/>
                <w:szCs w:val="16"/>
              </w:rPr>
              <w:t>(</w:t>
            </w:r>
            <w:r w:rsidR="00CB6100" w:rsidRPr="005A497D">
              <w:rPr>
                <w:b/>
                <w:sz w:val="16"/>
                <w:szCs w:val="16"/>
              </w:rPr>
              <w:t>ii</w:t>
            </w:r>
            <w:r>
              <w:rPr>
                <w:b/>
                <w:sz w:val="16"/>
                <w:szCs w:val="16"/>
              </w:rPr>
              <w:t>)</w:t>
            </w:r>
          </w:p>
        </w:tc>
        <w:tc>
          <w:tcPr>
            <w:tcW w:w="440" w:type="dxa"/>
            <w:shd w:val="clear" w:color="auto" w:fill="D9D9D9" w:themeFill="background1" w:themeFillShade="D9"/>
            <w:vAlign w:val="center"/>
          </w:tcPr>
          <w:p w14:paraId="575FF92B" w14:textId="6BFABEAF" w:rsidR="00CB6100" w:rsidRPr="005A497D" w:rsidRDefault="003B6382" w:rsidP="00CB6100">
            <w:pPr>
              <w:ind w:left="-57" w:right="-57"/>
              <w:jc w:val="center"/>
              <w:rPr>
                <w:b/>
                <w:sz w:val="16"/>
                <w:szCs w:val="16"/>
              </w:rPr>
            </w:pPr>
            <w:r>
              <w:rPr>
                <w:b/>
                <w:sz w:val="16"/>
                <w:szCs w:val="16"/>
              </w:rPr>
              <w:t>(</w:t>
            </w:r>
            <w:r w:rsidR="00CB6100" w:rsidRPr="005A497D">
              <w:rPr>
                <w:b/>
                <w:sz w:val="16"/>
                <w:szCs w:val="16"/>
              </w:rPr>
              <w:t>iii</w:t>
            </w:r>
            <w:r>
              <w:rPr>
                <w:b/>
                <w:sz w:val="16"/>
                <w:szCs w:val="16"/>
              </w:rPr>
              <w:t>)</w:t>
            </w:r>
          </w:p>
        </w:tc>
        <w:tc>
          <w:tcPr>
            <w:tcW w:w="440" w:type="dxa"/>
            <w:shd w:val="clear" w:color="auto" w:fill="D9D9D9" w:themeFill="background1" w:themeFillShade="D9"/>
            <w:vAlign w:val="center"/>
          </w:tcPr>
          <w:p w14:paraId="17E6C75B" w14:textId="1851F9A5" w:rsidR="00CB6100" w:rsidRPr="005A497D" w:rsidRDefault="003B6382" w:rsidP="00CB6100">
            <w:pPr>
              <w:ind w:left="-57" w:right="-57"/>
              <w:jc w:val="center"/>
              <w:rPr>
                <w:b/>
                <w:sz w:val="16"/>
                <w:szCs w:val="16"/>
              </w:rPr>
            </w:pPr>
            <w:r>
              <w:rPr>
                <w:b/>
                <w:sz w:val="16"/>
                <w:szCs w:val="16"/>
              </w:rPr>
              <w:t>(</w:t>
            </w:r>
            <w:r w:rsidR="00CB6100" w:rsidRPr="005A497D">
              <w:rPr>
                <w:b/>
                <w:sz w:val="16"/>
                <w:szCs w:val="16"/>
              </w:rPr>
              <w:t>iv</w:t>
            </w:r>
            <w:r>
              <w:rPr>
                <w:b/>
                <w:sz w:val="16"/>
                <w:szCs w:val="16"/>
              </w:rPr>
              <w:t>)</w:t>
            </w:r>
          </w:p>
        </w:tc>
        <w:tc>
          <w:tcPr>
            <w:tcW w:w="732" w:type="dxa"/>
            <w:vMerge/>
            <w:shd w:val="clear" w:color="auto" w:fill="D9D9D9" w:themeFill="background1" w:themeFillShade="D9"/>
            <w:vAlign w:val="center"/>
          </w:tcPr>
          <w:p w14:paraId="0B7AB4A5" w14:textId="77777777" w:rsidR="00CB6100" w:rsidRPr="005A497D" w:rsidRDefault="00CB6100" w:rsidP="00CB6100">
            <w:pPr>
              <w:jc w:val="center"/>
              <w:rPr>
                <w:b/>
                <w:sz w:val="16"/>
                <w:szCs w:val="16"/>
              </w:rPr>
            </w:pPr>
          </w:p>
        </w:tc>
        <w:tc>
          <w:tcPr>
            <w:tcW w:w="266" w:type="dxa"/>
            <w:vMerge/>
            <w:shd w:val="clear" w:color="auto" w:fill="auto"/>
            <w:vAlign w:val="center"/>
          </w:tcPr>
          <w:p w14:paraId="7D70D576" w14:textId="77777777" w:rsidR="00CB6100" w:rsidRPr="005A497D" w:rsidRDefault="00CB6100" w:rsidP="00CB6100">
            <w:pPr>
              <w:jc w:val="center"/>
              <w:rPr>
                <w:sz w:val="16"/>
                <w:szCs w:val="16"/>
              </w:rPr>
            </w:pPr>
          </w:p>
        </w:tc>
        <w:tc>
          <w:tcPr>
            <w:tcW w:w="421" w:type="dxa"/>
            <w:shd w:val="clear" w:color="auto" w:fill="D9D9D9" w:themeFill="background1" w:themeFillShade="D9"/>
            <w:vAlign w:val="center"/>
          </w:tcPr>
          <w:p w14:paraId="6CBA008F" w14:textId="69DA4EF1" w:rsidR="00CB6100" w:rsidRPr="005A497D" w:rsidRDefault="003B6382" w:rsidP="00CB6100">
            <w:pPr>
              <w:ind w:left="-57" w:right="-57"/>
              <w:jc w:val="center"/>
              <w:rPr>
                <w:b/>
                <w:sz w:val="16"/>
                <w:szCs w:val="16"/>
              </w:rPr>
            </w:pPr>
            <w:r>
              <w:rPr>
                <w:b/>
                <w:sz w:val="16"/>
                <w:szCs w:val="16"/>
              </w:rPr>
              <w:t>(</w:t>
            </w:r>
            <w:r w:rsidR="00CB6100" w:rsidRPr="005A497D">
              <w:rPr>
                <w:b/>
                <w:sz w:val="16"/>
                <w:szCs w:val="16"/>
              </w:rPr>
              <w:t>i</w:t>
            </w:r>
            <w:r>
              <w:rPr>
                <w:b/>
                <w:sz w:val="16"/>
                <w:szCs w:val="16"/>
              </w:rPr>
              <w:t>)</w:t>
            </w:r>
          </w:p>
        </w:tc>
        <w:tc>
          <w:tcPr>
            <w:tcW w:w="422" w:type="dxa"/>
            <w:shd w:val="clear" w:color="auto" w:fill="D9D9D9" w:themeFill="background1" w:themeFillShade="D9"/>
            <w:vAlign w:val="center"/>
          </w:tcPr>
          <w:p w14:paraId="36B44EFB" w14:textId="3FB14BC5" w:rsidR="00CB6100" w:rsidRPr="005A497D" w:rsidRDefault="003B6382" w:rsidP="00CB6100">
            <w:pPr>
              <w:ind w:left="-57" w:right="-57"/>
              <w:jc w:val="center"/>
              <w:rPr>
                <w:b/>
                <w:sz w:val="16"/>
                <w:szCs w:val="16"/>
              </w:rPr>
            </w:pPr>
            <w:r>
              <w:rPr>
                <w:b/>
                <w:sz w:val="16"/>
                <w:szCs w:val="16"/>
              </w:rPr>
              <w:t>(</w:t>
            </w:r>
            <w:r w:rsidR="00CB6100" w:rsidRPr="005A497D">
              <w:rPr>
                <w:b/>
                <w:sz w:val="16"/>
                <w:szCs w:val="16"/>
              </w:rPr>
              <w:t>ii</w:t>
            </w:r>
            <w:r>
              <w:rPr>
                <w:b/>
                <w:sz w:val="16"/>
                <w:szCs w:val="16"/>
              </w:rPr>
              <w:t>)</w:t>
            </w:r>
          </w:p>
        </w:tc>
        <w:tc>
          <w:tcPr>
            <w:tcW w:w="421" w:type="dxa"/>
            <w:shd w:val="clear" w:color="auto" w:fill="D9D9D9" w:themeFill="background1" w:themeFillShade="D9"/>
            <w:vAlign w:val="center"/>
          </w:tcPr>
          <w:p w14:paraId="3E46D5B7" w14:textId="1DF75B6C" w:rsidR="00CB6100" w:rsidRPr="005A497D" w:rsidRDefault="003B6382" w:rsidP="00CB6100">
            <w:pPr>
              <w:ind w:left="-57" w:right="-57"/>
              <w:jc w:val="center"/>
              <w:rPr>
                <w:b/>
                <w:sz w:val="16"/>
                <w:szCs w:val="16"/>
              </w:rPr>
            </w:pPr>
            <w:r>
              <w:rPr>
                <w:b/>
                <w:sz w:val="16"/>
                <w:szCs w:val="16"/>
              </w:rPr>
              <w:t>(</w:t>
            </w:r>
            <w:r w:rsidR="00CB6100" w:rsidRPr="005A497D">
              <w:rPr>
                <w:b/>
                <w:sz w:val="16"/>
                <w:szCs w:val="16"/>
              </w:rPr>
              <w:t>iii</w:t>
            </w:r>
            <w:r>
              <w:rPr>
                <w:b/>
                <w:sz w:val="16"/>
                <w:szCs w:val="16"/>
              </w:rPr>
              <w:t>)</w:t>
            </w:r>
          </w:p>
        </w:tc>
        <w:tc>
          <w:tcPr>
            <w:tcW w:w="422" w:type="dxa"/>
            <w:shd w:val="clear" w:color="auto" w:fill="D9D9D9" w:themeFill="background1" w:themeFillShade="D9"/>
            <w:vAlign w:val="center"/>
          </w:tcPr>
          <w:p w14:paraId="3E81A1DA" w14:textId="4BFBBDBB" w:rsidR="00CB6100" w:rsidRPr="005A497D" w:rsidRDefault="003B6382" w:rsidP="00CB6100">
            <w:pPr>
              <w:ind w:left="-57" w:right="-57"/>
              <w:jc w:val="center"/>
              <w:rPr>
                <w:b/>
                <w:sz w:val="16"/>
                <w:szCs w:val="16"/>
              </w:rPr>
            </w:pPr>
            <w:r>
              <w:rPr>
                <w:b/>
                <w:sz w:val="16"/>
                <w:szCs w:val="16"/>
              </w:rPr>
              <w:t>(</w:t>
            </w:r>
            <w:r w:rsidR="00CB6100" w:rsidRPr="005A497D">
              <w:rPr>
                <w:b/>
                <w:sz w:val="16"/>
                <w:szCs w:val="16"/>
              </w:rPr>
              <w:t>iv</w:t>
            </w:r>
            <w:r>
              <w:rPr>
                <w:b/>
                <w:sz w:val="16"/>
                <w:szCs w:val="16"/>
              </w:rPr>
              <w:t>)</w:t>
            </w:r>
          </w:p>
        </w:tc>
        <w:tc>
          <w:tcPr>
            <w:tcW w:w="808" w:type="dxa"/>
            <w:vMerge/>
            <w:shd w:val="clear" w:color="auto" w:fill="D9D9D9" w:themeFill="background1" w:themeFillShade="D9"/>
            <w:vAlign w:val="center"/>
          </w:tcPr>
          <w:p w14:paraId="0E2AEFE8" w14:textId="77777777" w:rsidR="00CB6100" w:rsidRPr="005A497D" w:rsidRDefault="00CB6100" w:rsidP="00CB6100">
            <w:pPr>
              <w:ind w:left="-57" w:right="-57"/>
              <w:jc w:val="center"/>
              <w:rPr>
                <w:b/>
                <w:sz w:val="16"/>
                <w:szCs w:val="16"/>
              </w:rPr>
            </w:pPr>
          </w:p>
        </w:tc>
      </w:tr>
      <w:tr w:rsidR="00CB6100" w:rsidRPr="005A497D" w14:paraId="49C6A7C1" w14:textId="77777777" w:rsidTr="00CB6100">
        <w:trPr>
          <w:trHeight w:val="288"/>
          <w:jc w:val="center"/>
        </w:trPr>
        <w:tc>
          <w:tcPr>
            <w:tcW w:w="3983" w:type="dxa"/>
            <w:gridSpan w:val="3"/>
            <w:vAlign w:val="center"/>
          </w:tcPr>
          <w:p w14:paraId="2940B167" w14:textId="77777777" w:rsidR="00CB6100" w:rsidRPr="005A497D" w:rsidRDefault="00CB6100" w:rsidP="00CB6100">
            <w:pPr>
              <w:ind w:left="-28" w:right="-57"/>
              <w:rPr>
                <w:b/>
                <w:sz w:val="16"/>
                <w:szCs w:val="16"/>
              </w:rPr>
            </w:pPr>
            <w:r w:rsidRPr="005A497D">
              <w:rPr>
                <w:b/>
                <w:sz w:val="16"/>
                <w:szCs w:val="16"/>
              </w:rPr>
              <w:t>A – Credibility of the Budget</w:t>
            </w:r>
          </w:p>
        </w:tc>
        <w:tc>
          <w:tcPr>
            <w:tcW w:w="263" w:type="dxa"/>
            <w:vMerge/>
            <w:shd w:val="clear" w:color="auto" w:fill="auto"/>
            <w:vAlign w:val="center"/>
          </w:tcPr>
          <w:p w14:paraId="31E27CB5" w14:textId="77777777" w:rsidR="00CB6100" w:rsidRPr="005A497D" w:rsidRDefault="00CB6100" w:rsidP="00CB6100">
            <w:pPr>
              <w:jc w:val="center"/>
              <w:rPr>
                <w:sz w:val="16"/>
                <w:szCs w:val="16"/>
              </w:rPr>
            </w:pPr>
          </w:p>
        </w:tc>
        <w:tc>
          <w:tcPr>
            <w:tcW w:w="2492" w:type="dxa"/>
            <w:gridSpan w:val="5"/>
            <w:vAlign w:val="center"/>
          </w:tcPr>
          <w:p w14:paraId="58D6FFBF" w14:textId="77777777" w:rsidR="00CB6100" w:rsidRPr="005A497D" w:rsidRDefault="00CB6100" w:rsidP="00CB6100">
            <w:pPr>
              <w:ind w:left="-57" w:right="-57"/>
              <w:jc w:val="center"/>
              <w:rPr>
                <w:sz w:val="16"/>
                <w:szCs w:val="16"/>
              </w:rPr>
            </w:pPr>
          </w:p>
        </w:tc>
        <w:tc>
          <w:tcPr>
            <w:tcW w:w="266" w:type="dxa"/>
            <w:vMerge/>
            <w:shd w:val="clear" w:color="auto" w:fill="auto"/>
            <w:vAlign w:val="center"/>
          </w:tcPr>
          <w:p w14:paraId="4B1E33FA" w14:textId="77777777" w:rsidR="00CB6100" w:rsidRPr="005A497D" w:rsidRDefault="00CB6100" w:rsidP="00CB6100">
            <w:pPr>
              <w:jc w:val="center"/>
              <w:rPr>
                <w:sz w:val="16"/>
                <w:szCs w:val="16"/>
              </w:rPr>
            </w:pPr>
          </w:p>
        </w:tc>
        <w:tc>
          <w:tcPr>
            <w:tcW w:w="2494" w:type="dxa"/>
            <w:gridSpan w:val="5"/>
            <w:vAlign w:val="center"/>
          </w:tcPr>
          <w:p w14:paraId="60BCE5BF" w14:textId="77777777" w:rsidR="00CB6100" w:rsidRPr="005A497D" w:rsidRDefault="00CB6100" w:rsidP="00CB6100">
            <w:pPr>
              <w:ind w:left="-57" w:right="-57"/>
              <w:jc w:val="center"/>
              <w:rPr>
                <w:sz w:val="16"/>
                <w:szCs w:val="16"/>
              </w:rPr>
            </w:pPr>
          </w:p>
        </w:tc>
      </w:tr>
      <w:tr w:rsidR="00CB6100" w:rsidRPr="005A497D" w14:paraId="6BEF0387" w14:textId="77777777" w:rsidTr="00CB6100">
        <w:trPr>
          <w:trHeight w:val="288"/>
          <w:jc w:val="center"/>
        </w:trPr>
        <w:tc>
          <w:tcPr>
            <w:tcW w:w="495" w:type="dxa"/>
            <w:vAlign w:val="center"/>
          </w:tcPr>
          <w:p w14:paraId="651E6902" w14:textId="77777777" w:rsidR="00CB6100" w:rsidRPr="005A497D" w:rsidRDefault="00CB6100" w:rsidP="00CB6100">
            <w:pPr>
              <w:ind w:left="-28" w:right="-57"/>
              <w:rPr>
                <w:sz w:val="16"/>
                <w:szCs w:val="16"/>
              </w:rPr>
            </w:pPr>
            <w:r w:rsidRPr="005A497D">
              <w:rPr>
                <w:sz w:val="16"/>
                <w:szCs w:val="16"/>
              </w:rPr>
              <w:t>PI-1</w:t>
            </w:r>
          </w:p>
        </w:tc>
        <w:tc>
          <w:tcPr>
            <w:tcW w:w="3040" w:type="dxa"/>
            <w:vAlign w:val="center"/>
          </w:tcPr>
          <w:p w14:paraId="5AAF6005" w14:textId="1438F2B7" w:rsidR="00CB6100" w:rsidRPr="005A497D" w:rsidRDefault="00CB6100" w:rsidP="002F43FA">
            <w:pPr>
              <w:ind w:left="-28" w:right="-57"/>
              <w:rPr>
                <w:sz w:val="16"/>
                <w:szCs w:val="16"/>
              </w:rPr>
            </w:pPr>
            <w:r w:rsidRPr="005A497D">
              <w:rPr>
                <w:sz w:val="16"/>
                <w:szCs w:val="16"/>
              </w:rPr>
              <w:t xml:space="preserve">Aggregate expenditure </w:t>
            </w:r>
            <w:r w:rsidR="0047177B">
              <w:rPr>
                <w:sz w:val="16"/>
                <w:szCs w:val="16"/>
              </w:rPr>
              <w:t>outturn</w:t>
            </w:r>
            <w:r w:rsidRPr="005A497D">
              <w:rPr>
                <w:sz w:val="16"/>
                <w:szCs w:val="16"/>
              </w:rPr>
              <w:t xml:space="preserve"> compared to original approved budget</w:t>
            </w:r>
          </w:p>
        </w:tc>
        <w:tc>
          <w:tcPr>
            <w:tcW w:w="448" w:type="dxa"/>
            <w:vAlign w:val="center"/>
          </w:tcPr>
          <w:p w14:paraId="1503880B"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4386DADF" w14:textId="77777777" w:rsidR="00CB6100" w:rsidRPr="005A497D" w:rsidRDefault="00CB6100" w:rsidP="00D232C4">
            <w:pPr>
              <w:jc w:val="center"/>
              <w:rPr>
                <w:sz w:val="16"/>
                <w:szCs w:val="16"/>
              </w:rPr>
            </w:pPr>
          </w:p>
        </w:tc>
        <w:tc>
          <w:tcPr>
            <w:tcW w:w="440" w:type="dxa"/>
            <w:vAlign w:val="center"/>
          </w:tcPr>
          <w:p w14:paraId="278784CA" w14:textId="77777777" w:rsidR="00CB6100" w:rsidRPr="005A497D" w:rsidRDefault="00CB6100" w:rsidP="00D232C4">
            <w:pPr>
              <w:ind w:left="-57" w:right="-57"/>
              <w:jc w:val="center"/>
              <w:rPr>
                <w:b/>
                <w:sz w:val="16"/>
                <w:szCs w:val="16"/>
              </w:rPr>
            </w:pPr>
            <w:r w:rsidRPr="005A497D">
              <w:rPr>
                <w:b/>
                <w:sz w:val="16"/>
                <w:szCs w:val="16"/>
              </w:rPr>
              <w:t>NR</w:t>
            </w:r>
          </w:p>
        </w:tc>
        <w:tc>
          <w:tcPr>
            <w:tcW w:w="440" w:type="dxa"/>
            <w:shd w:val="clear" w:color="auto" w:fill="F2F2F2" w:themeFill="background1" w:themeFillShade="F2"/>
            <w:vAlign w:val="center"/>
          </w:tcPr>
          <w:p w14:paraId="14FE02D1"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6FBEBFB3"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03CD2394" w14:textId="77777777" w:rsidR="00CB6100" w:rsidRPr="005A497D" w:rsidRDefault="00CB6100" w:rsidP="00D232C4">
            <w:pPr>
              <w:ind w:left="-57" w:right="-57"/>
              <w:jc w:val="center"/>
              <w:rPr>
                <w:b/>
                <w:sz w:val="16"/>
                <w:szCs w:val="16"/>
              </w:rPr>
            </w:pPr>
          </w:p>
        </w:tc>
        <w:tc>
          <w:tcPr>
            <w:tcW w:w="732" w:type="dxa"/>
            <w:vAlign w:val="center"/>
          </w:tcPr>
          <w:p w14:paraId="6FDA8774" w14:textId="77777777" w:rsidR="00CB6100" w:rsidRPr="005A497D" w:rsidRDefault="00CB6100" w:rsidP="00D232C4">
            <w:pPr>
              <w:jc w:val="center"/>
              <w:rPr>
                <w:b/>
                <w:sz w:val="16"/>
                <w:szCs w:val="16"/>
              </w:rPr>
            </w:pPr>
            <w:r w:rsidRPr="005A497D">
              <w:rPr>
                <w:b/>
                <w:sz w:val="16"/>
                <w:szCs w:val="16"/>
              </w:rPr>
              <w:t>NR</w:t>
            </w:r>
          </w:p>
        </w:tc>
        <w:tc>
          <w:tcPr>
            <w:tcW w:w="266" w:type="dxa"/>
            <w:vMerge/>
            <w:shd w:val="clear" w:color="auto" w:fill="auto"/>
            <w:vAlign w:val="center"/>
          </w:tcPr>
          <w:p w14:paraId="2D8B712A" w14:textId="77777777" w:rsidR="00CB6100" w:rsidRPr="005A497D" w:rsidRDefault="00CB6100" w:rsidP="00D232C4">
            <w:pPr>
              <w:jc w:val="center"/>
              <w:rPr>
                <w:sz w:val="16"/>
                <w:szCs w:val="16"/>
              </w:rPr>
            </w:pPr>
          </w:p>
        </w:tc>
        <w:tc>
          <w:tcPr>
            <w:tcW w:w="421" w:type="dxa"/>
            <w:vAlign w:val="center"/>
          </w:tcPr>
          <w:p w14:paraId="59813432" w14:textId="77777777" w:rsidR="00CB6100" w:rsidRPr="005A497D" w:rsidRDefault="00CB6100" w:rsidP="00D232C4">
            <w:pPr>
              <w:ind w:left="-57" w:right="-57"/>
              <w:jc w:val="center"/>
              <w:rPr>
                <w:b/>
                <w:sz w:val="16"/>
                <w:szCs w:val="16"/>
              </w:rPr>
            </w:pPr>
            <w:r w:rsidRPr="005A497D">
              <w:rPr>
                <w:b/>
                <w:sz w:val="16"/>
                <w:szCs w:val="16"/>
              </w:rPr>
              <w:t>D</w:t>
            </w:r>
          </w:p>
        </w:tc>
        <w:tc>
          <w:tcPr>
            <w:tcW w:w="422" w:type="dxa"/>
            <w:shd w:val="clear" w:color="auto" w:fill="F2F2F2" w:themeFill="background1" w:themeFillShade="F2"/>
            <w:vAlign w:val="center"/>
          </w:tcPr>
          <w:p w14:paraId="4CBC3722" w14:textId="77777777" w:rsidR="00CB6100" w:rsidRPr="005A497D" w:rsidRDefault="00CB6100" w:rsidP="00D232C4">
            <w:pPr>
              <w:ind w:left="-57" w:right="-57"/>
              <w:jc w:val="center"/>
              <w:rPr>
                <w:b/>
                <w:sz w:val="16"/>
                <w:szCs w:val="16"/>
              </w:rPr>
            </w:pPr>
          </w:p>
        </w:tc>
        <w:tc>
          <w:tcPr>
            <w:tcW w:w="421" w:type="dxa"/>
            <w:shd w:val="clear" w:color="auto" w:fill="F2F2F2" w:themeFill="background1" w:themeFillShade="F2"/>
            <w:vAlign w:val="center"/>
          </w:tcPr>
          <w:p w14:paraId="6B9BEC70"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57CA83C4" w14:textId="77777777" w:rsidR="00CB6100" w:rsidRPr="005A497D" w:rsidRDefault="00CB6100" w:rsidP="00D232C4">
            <w:pPr>
              <w:ind w:left="-57" w:right="-57"/>
              <w:jc w:val="center"/>
              <w:rPr>
                <w:b/>
                <w:sz w:val="16"/>
                <w:szCs w:val="16"/>
              </w:rPr>
            </w:pPr>
          </w:p>
        </w:tc>
        <w:tc>
          <w:tcPr>
            <w:tcW w:w="808" w:type="dxa"/>
            <w:vAlign w:val="center"/>
          </w:tcPr>
          <w:p w14:paraId="0F2DD271" w14:textId="77777777" w:rsidR="00CB6100" w:rsidRPr="005A497D" w:rsidRDefault="00CB6100" w:rsidP="00D232C4">
            <w:pPr>
              <w:ind w:left="-57" w:right="-57"/>
              <w:jc w:val="center"/>
              <w:rPr>
                <w:b/>
                <w:sz w:val="16"/>
                <w:szCs w:val="16"/>
              </w:rPr>
            </w:pPr>
            <w:r w:rsidRPr="005A497D">
              <w:rPr>
                <w:b/>
                <w:sz w:val="16"/>
                <w:szCs w:val="16"/>
              </w:rPr>
              <w:t>D</w:t>
            </w:r>
          </w:p>
        </w:tc>
      </w:tr>
      <w:tr w:rsidR="00CB6100" w:rsidRPr="005A497D" w14:paraId="27249F7B" w14:textId="77777777" w:rsidTr="00CB6100">
        <w:trPr>
          <w:trHeight w:val="288"/>
          <w:jc w:val="center"/>
        </w:trPr>
        <w:tc>
          <w:tcPr>
            <w:tcW w:w="495" w:type="dxa"/>
            <w:vAlign w:val="center"/>
          </w:tcPr>
          <w:p w14:paraId="4B674103" w14:textId="77777777" w:rsidR="00CB6100" w:rsidRPr="005A497D" w:rsidRDefault="00CB6100" w:rsidP="00CB6100">
            <w:pPr>
              <w:ind w:left="-28" w:right="-57"/>
              <w:rPr>
                <w:sz w:val="16"/>
                <w:szCs w:val="16"/>
              </w:rPr>
            </w:pPr>
            <w:r w:rsidRPr="005A497D">
              <w:rPr>
                <w:sz w:val="16"/>
                <w:szCs w:val="16"/>
              </w:rPr>
              <w:t>PI-2</w:t>
            </w:r>
          </w:p>
        </w:tc>
        <w:tc>
          <w:tcPr>
            <w:tcW w:w="3040" w:type="dxa"/>
            <w:vAlign w:val="center"/>
          </w:tcPr>
          <w:p w14:paraId="5335EA61" w14:textId="67C416FE" w:rsidR="00CB6100" w:rsidRPr="005A497D" w:rsidRDefault="00CB6100" w:rsidP="002F43FA">
            <w:pPr>
              <w:ind w:left="-28" w:right="-57"/>
              <w:rPr>
                <w:sz w:val="16"/>
                <w:szCs w:val="16"/>
              </w:rPr>
            </w:pPr>
            <w:r w:rsidRPr="005A497D">
              <w:rPr>
                <w:sz w:val="16"/>
                <w:szCs w:val="16"/>
              </w:rPr>
              <w:t xml:space="preserve">Composition of expenditure </w:t>
            </w:r>
            <w:r w:rsidR="0047177B">
              <w:rPr>
                <w:sz w:val="16"/>
                <w:szCs w:val="16"/>
              </w:rPr>
              <w:t>outturn</w:t>
            </w:r>
            <w:r w:rsidRPr="005A497D">
              <w:rPr>
                <w:sz w:val="16"/>
                <w:szCs w:val="16"/>
              </w:rPr>
              <w:t xml:space="preserve"> compared to original approved budget</w:t>
            </w:r>
          </w:p>
        </w:tc>
        <w:tc>
          <w:tcPr>
            <w:tcW w:w="448" w:type="dxa"/>
            <w:vAlign w:val="center"/>
          </w:tcPr>
          <w:p w14:paraId="566D605B"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3D166A16" w14:textId="77777777" w:rsidR="00CB6100" w:rsidRPr="005A497D" w:rsidRDefault="00CB6100" w:rsidP="00D232C4">
            <w:pPr>
              <w:jc w:val="center"/>
              <w:rPr>
                <w:sz w:val="16"/>
                <w:szCs w:val="16"/>
              </w:rPr>
            </w:pPr>
          </w:p>
        </w:tc>
        <w:tc>
          <w:tcPr>
            <w:tcW w:w="440" w:type="dxa"/>
            <w:vAlign w:val="center"/>
          </w:tcPr>
          <w:p w14:paraId="1FF09E78" w14:textId="77777777" w:rsidR="00CB6100" w:rsidRPr="005A497D" w:rsidRDefault="00CB6100" w:rsidP="00D232C4">
            <w:pPr>
              <w:ind w:left="-57" w:right="-57"/>
              <w:jc w:val="center"/>
              <w:rPr>
                <w:b/>
                <w:sz w:val="16"/>
                <w:szCs w:val="16"/>
              </w:rPr>
            </w:pPr>
            <w:r w:rsidRPr="005A497D">
              <w:rPr>
                <w:b/>
                <w:sz w:val="16"/>
                <w:szCs w:val="16"/>
              </w:rPr>
              <w:t>NR</w:t>
            </w:r>
          </w:p>
        </w:tc>
        <w:tc>
          <w:tcPr>
            <w:tcW w:w="440" w:type="dxa"/>
            <w:shd w:val="clear" w:color="auto" w:fill="F2F2F2" w:themeFill="background1" w:themeFillShade="F2"/>
            <w:vAlign w:val="center"/>
          </w:tcPr>
          <w:p w14:paraId="6CFC1837"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1E39DFC8"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2D4AC16A" w14:textId="77777777" w:rsidR="00CB6100" w:rsidRPr="005A497D" w:rsidRDefault="00CB6100" w:rsidP="00D232C4">
            <w:pPr>
              <w:ind w:left="-57" w:right="-57"/>
              <w:jc w:val="center"/>
              <w:rPr>
                <w:b/>
                <w:sz w:val="16"/>
                <w:szCs w:val="16"/>
              </w:rPr>
            </w:pPr>
          </w:p>
        </w:tc>
        <w:tc>
          <w:tcPr>
            <w:tcW w:w="732" w:type="dxa"/>
            <w:vAlign w:val="center"/>
          </w:tcPr>
          <w:p w14:paraId="27EADD78" w14:textId="77777777" w:rsidR="00CB6100" w:rsidRPr="005A497D" w:rsidRDefault="00CB6100" w:rsidP="00D232C4">
            <w:pPr>
              <w:jc w:val="center"/>
              <w:rPr>
                <w:b/>
                <w:sz w:val="16"/>
                <w:szCs w:val="16"/>
              </w:rPr>
            </w:pPr>
            <w:r w:rsidRPr="005A497D">
              <w:rPr>
                <w:b/>
                <w:sz w:val="16"/>
                <w:szCs w:val="16"/>
              </w:rPr>
              <w:t>NR</w:t>
            </w:r>
          </w:p>
        </w:tc>
        <w:tc>
          <w:tcPr>
            <w:tcW w:w="266" w:type="dxa"/>
            <w:vMerge/>
            <w:shd w:val="clear" w:color="auto" w:fill="auto"/>
            <w:vAlign w:val="center"/>
          </w:tcPr>
          <w:p w14:paraId="783F15E3" w14:textId="77777777" w:rsidR="00CB6100" w:rsidRPr="005A497D" w:rsidRDefault="00CB6100" w:rsidP="00D232C4">
            <w:pPr>
              <w:jc w:val="center"/>
              <w:rPr>
                <w:sz w:val="16"/>
                <w:szCs w:val="16"/>
              </w:rPr>
            </w:pPr>
          </w:p>
        </w:tc>
        <w:tc>
          <w:tcPr>
            <w:tcW w:w="421" w:type="dxa"/>
            <w:vAlign w:val="center"/>
          </w:tcPr>
          <w:p w14:paraId="2737A8BE" w14:textId="1430929F" w:rsidR="00CB6100" w:rsidRPr="005A497D" w:rsidRDefault="009C0F17" w:rsidP="00D232C4">
            <w:pPr>
              <w:ind w:left="-57" w:right="-57"/>
              <w:jc w:val="center"/>
              <w:rPr>
                <w:b/>
                <w:sz w:val="16"/>
                <w:szCs w:val="16"/>
              </w:rPr>
            </w:pPr>
            <w:r>
              <w:rPr>
                <w:b/>
                <w:sz w:val="16"/>
                <w:szCs w:val="16"/>
              </w:rPr>
              <w:t>D</w:t>
            </w:r>
          </w:p>
        </w:tc>
        <w:tc>
          <w:tcPr>
            <w:tcW w:w="422" w:type="dxa"/>
            <w:vAlign w:val="center"/>
          </w:tcPr>
          <w:p w14:paraId="1D513D7E" w14:textId="06858C05" w:rsidR="00CB6100" w:rsidRPr="005A497D" w:rsidRDefault="009C0F17" w:rsidP="00D232C4">
            <w:pPr>
              <w:ind w:left="-57" w:right="-57"/>
              <w:jc w:val="center"/>
              <w:rPr>
                <w:b/>
                <w:sz w:val="16"/>
                <w:szCs w:val="16"/>
              </w:rPr>
            </w:pPr>
            <w:r>
              <w:rPr>
                <w:b/>
                <w:sz w:val="16"/>
                <w:szCs w:val="16"/>
              </w:rPr>
              <w:t>A</w:t>
            </w:r>
          </w:p>
        </w:tc>
        <w:tc>
          <w:tcPr>
            <w:tcW w:w="421" w:type="dxa"/>
            <w:shd w:val="clear" w:color="auto" w:fill="F2F2F2" w:themeFill="background1" w:themeFillShade="F2"/>
            <w:vAlign w:val="center"/>
          </w:tcPr>
          <w:p w14:paraId="50B0D4A7"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2ADAE841" w14:textId="77777777" w:rsidR="00CB6100" w:rsidRPr="005A497D" w:rsidRDefault="00CB6100" w:rsidP="00D232C4">
            <w:pPr>
              <w:ind w:left="-57" w:right="-57"/>
              <w:jc w:val="center"/>
              <w:rPr>
                <w:b/>
                <w:sz w:val="16"/>
                <w:szCs w:val="16"/>
              </w:rPr>
            </w:pPr>
          </w:p>
        </w:tc>
        <w:tc>
          <w:tcPr>
            <w:tcW w:w="808" w:type="dxa"/>
            <w:vAlign w:val="center"/>
          </w:tcPr>
          <w:p w14:paraId="2B0CDA6F" w14:textId="77777777" w:rsidR="00CB6100" w:rsidRPr="005A497D" w:rsidRDefault="00CB6100" w:rsidP="00D232C4">
            <w:pPr>
              <w:ind w:left="-57" w:right="-57"/>
              <w:jc w:val="center"/>
              <w:rPr>
                <w:b/>
                <w:sz w:val="16"/>
                <w:szCs w:val="16"/>
              </w:rPr>
            </w:pPr>
            <w:r w:rsidRPr="005A497D">
              <w:rPr>
                <w:b/>
                <w:sz w:val="16"/>
                <w:szCs w:val="16"/>
              </w:rPr>
              <w:t>D+</w:t>
            </w:r>
          </w:p>
        </w:tc>
      </w:tr>
      <w:tr w:rsidR="00CB6100" w:rsidRPr="005A497D" w14:paraId="3305287F" w14:textId="77777777" w:rsidTr="00CB6100">
        <w:trPr>
          <w:trHeight w:val="288"/>
          <w:jc w:val="center"/>
        </w:trPr>
        <w:tc>
          <w:tcPr>
            <w:tcW w:w="495" w:type="dxa"/>
            <w:vAlign w:val="center"/>
          </w:tcPr>
          <w:p w14:paraId="4306EC47" w14:textId="77777777" w:rsidR="00CB6100" w:rsidRPr="005A497D" w:rsidRDefault="00CB6100" w:rsidP="00CB6100">
            <w:pPr>
              <w:ind w:left="-28" w:right="-57"/>
              <w:rPr>
                <w:sz w:val="16"/>
                <w:szCs w:val="16"/>
              </w:rPr>
            </w:pPr>
            <w:r w:rsidRPr="005A497D">
              <w:rPr>
                <w:sz w:val="16"/>
                <w:szCs w:val="16"/>
              </w:rPr>
              <w:t>PI-3</w:t>
            </w:r>
          </w:p>
        </w:tc>
        <w:tc>
          <w:tcPr>
            <w:tcW w:w="3040" w:type="dxa"/>
            <w:vAlign w:val="center"/>
          </w:tcPr>
          <w:p w14:paraId="7BA33B47" w14:textId="68B2F72C" w:rsidR="00CB6100" w:rsidRPr="005A497D" w:rsidRDefault="00CB6100" w:rsidP="002F43FA">
            <w:pPr>
              <w:ind w:left="-28" w:right="-57"/>
              <w:rPr>
                <w:sz w:val="16"/>
                <w:szCs w:val="16"/>
              </w:rPr>
            </w:pPr>
            <w:r w:rsidRPr="005A497D">
              <w:rPr>
                <w:sz w:val="16"/>
                <w:szCs w:val="16"/>
              </w:rPr>
              <w:t xml:space="preserve">Aggregate revenue </w:t>
            </w:r>
            <w:r w:rsidR="0047177B">
              <w:rPr>
                <w:sz w:val="16"/>
                <w:szCs w:val="16"/>
              </w:rPr>
              <w:t>outturn</w:t>
            </w:r>
            <w:r w:rsidRPr="005A497D">
              <w:rPr>
                <w:sz w:val="16"/>
                <w:szCs w:val="16"/>
              </w:rPr>
              <w:t xml:space="preserve"> compared to original approved budget</w:t>
            </w:r>
          </w:p>
        </w:tc>
        <w:tc>
          <w:tcPr>
            <w:tcW w:w="448" w:type="dxa"/>
            <w:vAlign w:val="center"/>
          </w:tcPr>
          <w:p w14:paraId="40260AAE"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E7480AB" w14:textId="77777777" w:rsidR="00CB6100" w:rsidRPr="005A497D" w:rsidRDefault="00CB6100" w:rsidP="00D232C4">
            <w:pPr>
              <w:jc w:val="center"/>
              <w:rPr>
                <w:sz w:val="16"/>
                <w:szCs w:val="16"/>
              </w:rPr>
            </w:pPr>
          </w:p>
        </w:tc>
        <w:tc>
          <w:tcPr>
            <w:tcW w:w="440" w:type="dxa"/>
            <w:vAlign w:val="center"/>
          </w:tcPr>
          <w:p w14:paraId="2678D03A" w14:textId="77777777" w:rsidR="00CB6100" w:rsidRPr="005A497D" w:rsidRDefault="00CB6100" w:rsidP="00D232C4">
            <w:pPr>
              <w:ind w:left="-57" w:right="-57"/>
              <w:jc w:val="center"/>
              <w:rPr>
                <w:b/>
                <w:sz w:val="16"/>
                <w:szCs w:val="16"/>
              </w:rPr>
            </w:pPr>
            <w:r w:rsidRPr="005A497D">
              <w:rPr>
                <w:b/>
                <w:sz w:val="16"/>
                <w:szCs w:val="16"/>
              </w:rPr>
              <w:t>A</w:t>
            </w:r>
          </w:p>
        </w:tc>
        <w:tc>
          <w:tcPr>
            <w:tcW w:w="440" w:type="dxa"/>
            <w:shd w:val="clear" w:color="auto" w:fill="F2F2F2" w:themeFill="background1" w:themeFillShade="F2"/>
            <w:vAlign w:val="center"/>
          </w:tcPr>
          <w:p w14:paraId="03D90C14"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38B107EC"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7A89CC76" w14:textId="77777777" w:rsidR="00CB6100" w:rsidRPr="005A497D" w:rsidRDefault="00CB6100" w:rsidP="00D232C4">
            <w:pPr>
              <w:ind w:left="-57" w:right="-57"/>
              <w:jc w:val="center"/>
              <w:rPr>
                <w:b/>
                <w:sz w:val="16"/>
                <w:szCs w:val="16"/>
              </w:rPr>
            </w:pPr>
          </w:p>
        </w:tc>
        <w:tc>
          <w:tcPr>
            <w:tcW w:w="732" w:type="dxa"/>
            <w:vAlign w:val="center"/>
          </w:tcPr>
          <w:p w14:paraId="1375C202" w14:textId="77777777" w:rsidR="00CB6100" w:rsidRPr="005A497D" w:rsidRDefault="00CB6100" w:rsidP="00D232C4">
            <w:pPr>
              <w:jc w:val="center"/>
              <w:rPr>
                <w:b/>
                <w:sz w:val="16"/>
                <w:szCs w:val="16"/>
              </w:rPr>
            </w:pPr>
            <w:r w:rsidRPr="005A497D">
              <w:rPr>
                <w:b/>
                <w:sz w:val="16"/>
                <w:szCs w:val="16"/>
              </w:rPr>
              <w:t>A</w:t>
            </w:r>
          </w:p>
        </w:tc>
        <w:tc>
          <w:tcPr>
            <w:tcW w:w="266" w:type="dxa"/>
            <w:vMerge/>
            <w:shd w:val="clear" w:color="auto" w:fill="auto"/>
            <w:vAlign w:val="center"/>
          </w:tcPr>
          <w:p w14:paraId="27A07303" w14:textId="77777777" w:rsidR="00CB6100" w:rsidRPr="005A497D" w:rsidRDefault="00CB6100" w:rsidP="00D232C4">
            <w:pPr>
              <w:jc w:val="center"/>
              <w:rPr>
                <w:sz w:val="16"/>
                <w:szCs w:val="16"/>
              </w:rPr>
            </w:pPr>
          </w:p>
        </w:tc>
        <w:tc>
          <w:tcPr>
            <w:tcW w:w="421" w:type="dxa"/>
            <w:vAlign w:val="center"/>
          </w:tcPr>
          <w:p w14:paraId="5168FAFA"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43712E33" w14:textId="77777777" w:rsidR="00CB6100" w:rsidRPr="005A497D" w:rsidRDefault="00CB6100" w:rsidP="00D232C4">
            <w:pPr>
              <w:ind w:left="-57" w:right="-57"/>
              <w:jc w:val="center"/>
              <w:rPr>
                <w:b/>
                <w:sz w:val="16"/>
                <w:szCs w:val="16"/>
              </w:rPr>
            </w:pPr>
          </w:p>
        </w:tc>
        <w:tc>
          <w:tcPr>
            <w:tcW w:w="421" w:type="dxa"/>
            <w:shd w:val="clear" w:color="auto" w:fill="F2F2F2" w:themeFill="background1" w:themeFillShade="F2"/>
            <w:vAlign w:val="center"/>
          </w:tcPr>
          <w:p w14:paraId="68062B26"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4FB23BBA" w14:textId="77777777" w:rsidR="00CB6100" w:rsidRPr="005A497D" w:rsidRDefault="00CB6100" w:rsidP="00D232C4">
            <w:pPr>
              <w:ind w:left="-57" w:right="-57"/>
              <w:jc w:val="center"/>
              <w:rPr>
                <w:b/>
                <w:sz w:val="16"/>
                <w:szCs w:val="16"/>
              </w:rPr>
            </w:pPr>
          </w:p>
        </w:tc>
        <w:tc>
          <w:tcPr>
            <w:tcW w:w="808" w:type="dxa"/>
            <w:vAlign w:val="center"/>
          </w:tcPr>
          <w:p w14:paraId="03AA3022"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7B89FCC6" w14:textId="77777777" w:rsidTr="00CB6100">
        <w:trPr>
          <w:trHeight w:val="288"/>
          <w:jc w:val="center"/>
        </w:trPr>
        <w:tc>
          <w:tcPr>
            <w:tcW w:w="495" w:type="dxa"/>
            <w:vAlign w:val="center"/>
          </w:tcPr>
          <w:p w14:paraId="67EF670D" w14:textId="77777777" w:rsidR="00CB6100" w:rsidRPr="005A497D" w:rsidRDefault="00CB6100" w:rsidP="00CB6100">
            <w:pPr>
              <w:ind w:left="-28" w:right="-57"/>
              <w:rPr>
                <w:sz w:val="16"/>
                <w:szCs w:val="16"/>
              </w:rPr>
            </w:pPr>
            <w:r w:rsidRPr="005A497D">
              <w:rPr>
                <w:sz w:val="16"/>
                <w:szCs w:val="16"/>
              </w:rPr>
              <w:t>PI-4</w:t>
            </w:r>
          </w:p>
        </w:tc>
        <w:tc>
          <w:tcPr>
            <w:tcW w:w="3040" w:type="dxa"/>
            <w:vAlign w:val="center"/>
          </w:tcPr>
          <w:p w14:paraId="66515289" w14:textId="77777777" w:rsidR="00CB6100" w:rsidRPr="005A497D" w:rsidRDefault="00CB6100" w:rsidP="002F43FA">
            <w:pPr>
              <w:ind w:left="-28" w:right="-57"/>
              <w:rPr>
                <w:sz w:val="16"/>
                <w:szCs w:val="16"/>
              </w:rPr>
            </w:pPr>
            <w:r w:rsidRPr="005A497D">
              <w:rPr>
                <w:sz w:val="16"/>
                <w:szCs w:val="16"/>
              </w:rPr>
              <w:t>Stock and monitoring of expenditure payment arrears</w:t>
            </w:r>
          </w:p>
        </w:tc>
        <w:tc>
          <w:tcPr>
            <w:tcW w:w="448" w:type="dxa"/>
            <w:vAlign w:val="center"/>
          </w:tcPr>
          <w:p w14:paraId="58D8326D"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79136592" w14:textId="77777777" w:rsidR="00CB6100" w:rsidRPr="005A497D" w:rsidRDefault="00CB6100" w:rsidP="00D232C4">
            <w:pPr>
              <w:jc w:val="center"/>
              <w:rPr>
                <w:sz w:val="16"/>
                <w:szCs w:val="16"/>
              </w:rPr>
            </w:pPr>
          </w:p>
        </w:tc>
        <w:tc>
          <w:tcPr>
            <w:tcW w:w="440" w:type="dxa"/>
            <w:vAlign w:val="center"/>
          </w:tcPr>
          <w:p w14:paraId="782C9A68"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622C7819"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5F083BB6"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59E78CC8" w14:textId="77777777" w:rsidR="00CB6100" w:rsidRPr="005A497D" w:rsidRDefault="00CB6100" w:rsidP="00D232C4">
            <w:pPr>
              <w:ind w:left="-57" w:right="-57"/>
              <w:jc w:val="center"/>
              <w:rPr>
                <w:b/>
                <w:sz w:val="16"/>
                <w:szCs w:val="16"/>
              </w:rPr>
            </w:pPr>
          </w:p>
        </w:tc>
        <w:tc>
          <w:tcPr>
            <w:tcW w:w="732" w:type="dxa"/>
            <w:vAlign w:val="center"/>
          </w:tcPr>
          <w:p w14:paraId="2310C26E"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54FFAD68" w14:textId="77777777" w:rsidR="00CB6100" w:rsidRPr="005A497D" w:rsidRDefault="00CB6100" w:rsidP="00D232C4">
            <w:pPr>
              <w:jc w:val="center"/>
              <w:rPr>
                <w:sz w:val="16"/>
                <w:szCs w:val="16"/>
              </w:rPr>
            </w:pPr>
          </w:p>
        </w:tc>
        <w:tc>
          <w:tcPr>
            <w:tcW w:w="421" w:type="dxa"/>
            <w:vAlign w:val="center"/>
          </w:tcPr>
          <w:p w14:paraId="6FAC5881" w14:textId="77777777" w:rsidR="00CB6100" w:rsidRPr="005A497D" w:rsidRDefault="00CB6100" w:rsidP="00D232C4">
            <w:pPr>
              <w:ind w:left="-57" w:right="-57"/>
              <w:jc w:val="center"/>
              <w:rPr>
                <w:b/>
                <w:sz w:val="16"/>
                <w:szCs w:val="16"/>
              </w:rPr>
            </w:pPr>
            <w:r w:rsidRPr="005A497D">
              <w:rPr>
                <w:b/>
                <w:sz w:val="16"/>
                <w:szCs w:val="16"/>
              </w:rPr>
              <w:t>C</w:t>
            </w:r>
          </w:p>
        </w:tc>
        <w:tc>
          <w:tcPr>
            <w:tcW w:w="422" w:type="dxa"/>
            <w:vAlign w:val="center"/>
          </w:tcPr>
          <w:p w14:paraId="41CC3204" w14:textId="77777777" w:rsidR="00CB6100" w:rsidRPr="005A497D" w:rsidRDefault="00CB6100" w:rsidP="00D232C4">
            <w:pPr>
              <w:ind w:left="-57" w:right="-57"/>
              <w:jc w:val="center"/>
              <w:rPr>
                <w:b/>
                <w:sz w:val="16"/>
                <w:szCs w:val="16"/>
              </w:rPr>
            </w:pPr>
            <w:r w:rsidRPr="005A497D">
              <w:rPr>
                <w:b/>
                <w:sz w:val="16"/>
                <w:szCs w:val="16"/>
              </w:rPr>
              <w:t>D</w:t>
            </w:r>
          </w:p>
        </w:tc>
        <w:tc>
          <w:tcPr>
            <w:tcW w:w="421" w:type="dxa"/>
            <w:shd w:val="clear" w:color="auto" w:fill="F2F2F2" w:themeFill="background1" w:themeFillShade="F2"/>
            <w:vAlign w:val="center"/>
          </w:tcPr>
          <w:p w14:paraId="51A7A5AF"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278C096F" w14:textId="77777777" w:rsidR="00CB6100" w:rsidRPr="005A497D" w:rsidRDefault="00CB6100" w:rsidP="00D232C4">
            <w:pPr>
              <w:ind w:left="-57" w:right="-57"/>
              <w:jc w:val="center"/>
              <w:rPr>
                <w:b/>
                <w:sz w:val="16"/>
                <w:szCs w:val="16"/>
              </w:rPr>
            </w:pPr>
          </w:p>
        </w:tc>
        <w:tc>
          <w:tcPr>
            <w:tcW w:w="808" w:type="dxa"/>
            <w:vAlign w:val="center"/>
          </w:tcPr>
          <w:p w14:paraId="4252BF84" w14:textId="77777777" w:rsidR="00CB6100" w:rsidRPr="005A497D" w:rsidRDefault="00CB6100" w:rsidP="00D232C4">
            <w:pPr>
              <w:ind w:left="-57" w:right="-57"/>
              <w:jc w:val="center"/>
              <w:rPr>
                <w:b/>
                <w:sz w:val="16"/>
                <w:szCs w:val="16"/>
              </w:rPr>
            </w:pPr>
            <w:r w:rsidRPr="005A497D">
              <w:rPr>
                <w:b/>
                <w:sz w:val="16"/>
                <w:szCs w:val="16"/>
              </w:rPr>
              <w:t>D+</w:t>
            </w:r>
          </w:p>
        </w:tc>
      </w:tr>
      <w:tr w:rsidR="00CB6100" w:rsidRPr="005A497D" w14:paraId="39EA471E" w14:textId="77777777" w:rsidTr="00D232C4">
        <w:trPr>
          <w:trHeight w:val="288"/>
          <w:jc w:val="center"/>
        </w:trPr>
        <w:tc>
          <w:tcPr>
            <w:tcW w:w="3983" w:type="dxa"/>
            <w:gridSpan w:val="3"/>
            <w:vAlign w:val="center"/>
          </w:tcPr>
          <w:p w14:paraId="77B31F41" w14:textId="77777777" w:rsidR="00CB6100" w:rsidRPr="005A497D" w:rsidRDefault="00CB6100" w:rsidP="00CB6100">
            <w:pPr>
              <w:ind w:left="-28" w:right="-57"/>
              <w:rPr>
                <w:b/>
                <w:sz w:val="16"/>
                <w:szCs w:val="16"/>
              </w:rPr>
            </w:pPr>
            <w:r w:rsidRPr="005A497D">
              <w:rPr>
                <w:b/>
                <w:sz w:val="16"/>
                <w:szCs w:val="16"/>
              </w:rPr>
              <w:t>B – Comprehensiveness and Transparency</w:t>
            </w:r>
          </w:p>
        </w:tc>
        <w:tc>
          <w:tcPr>
            <w:tcW w:w="263" w:type="dxa"/>
            <w:vMerge/>
            <w:shd w:val="clear" w:color="auto" w:fill="auto"/>
            <w:vAlign w:val="center"/>
          </w:tcPr>
          <w:p w14:paraId="2DC2ED09" w14:textId="77777777" w:rsidR="00CB6100" w:rsidRPr="005A497D" w:rsidRDefault="00CB6100" w:rsidP="00D232C4">
            <w:pPr>
              <w:jc w:val="center"/>
              <w:rPr>
                <w:sz w:val="16"/>
                <w:szCs w:val="16"/>
              </w:rPr>
            </w:pPr>
          </w:p>
        </w:tc>
        <w:tc>
          <w:tcPr>
            <w:tcW w:w="2492" w:type="dxa"/>
            <w:gridSpan w:val="5"/>
            <w:vAlign w:val="center"/>
          </w:tcPr>
          <w:p w14:paraId="2A0C45D1" w14:textId="77777777" w:rsidR="00CB6100" w:rsidRPr="005A497D" w:rsidRDefault="00CB6100" w:rsidP="00D232C4">
            <w:pPr>
              <w:ind w:left="-57" w:right="-57"/>
              <w:jc w:val="center"/>
              <w:rPr>
                <w:b/>
                <w:sz w:val="16"/>
                <w:szCs w:val="16"/>
              </w:rPr>
            </w:pPr>
          </w:p>
        </w:tc>
        <w:tc>
          <w:tcPr>
            <w:tcW w:w="266" w:type="dxa"/>
            <w:vMerge/>
            <w:shd w:val="clear" w:color="auto" w:fill="auto"/>
            <w:vAlign w:val="center"/>
          </w:tcPr>
          <w:p w14:paraId="33DF2AB5" w14:textId="77777777" w:rsidR="00CB6100" w:rsidRPr="005A497D" w:rsidRDefault="00CB6100" w:rsidP="00D232C4">
            <w:pPr>
              <w:jc w:val="center"/>
              <w:rPr>
                <w:sz w:val="16"/>
                <w:szCs w:val="16"/>
              </w:rPr>
            </w:pPr>
          </w:p>
        </w:tc>
        <w:tc>
          <w:tcPr>
            <w:tcW w:w="2494" w:type="dxa"/>
            <w:gridSpan w:val="5"/>
            <w:vAlign w:val="center"/>
          </w:tcPr>
          <w:p w14:paraId="13763C0C" w14:textId="77777777" w:rsidR="00CB6100" w:rsidRPr="005A497D" w:rsidRDefault="00CB6100" w:rsidP="00D232C4">
            <w:pPr>
              <w:ind w:left="-57" w:right="-57"/>
              <w:jc w:val="center"/>
              <w:rPr>
                <w:b/>
                <w:sz w:val="16"/>
                <w:szCs w:val="16"/>
              </w:rPr>
            </w:pPr>
          </w:p>
        </w:tc>
      </w:tr>
      <w:tr w:rsidR="00CB6100" w:rsidRPr="005A497D" w14:paraId="45DC22B0" w14:textId="77777777" w:rsidTr="00CB6100">
        <w:trPr>
          <w:trHeight w:val="288"/>
          <w:jc w:val="center"/>
        </w:trPr>
        <w:tc>
          <w:tcPr>
            <w:tcW w:w="495" w:type="dxa"/>
            <w:vAlign w:val="center"/>
          </w:tcPr>
          <w:p w14:paraId="6BB70A8F" w14:textId="77777777" w:rsidR="00CB6100" w:rsidRPr="005A497D" w:rsidRDefault="00CB6100" w:rsidP="00CB6100">
            <w:pPr>
              <w:ind w:left="-28" w:right="-57"/>
              <w:rPr>
                <w:sz w:val="16"/>
                <w:szCs w:val="16"/>
              </w:rPr>
            </w:pPr>
            <w:r w:rsidRPr="005A497D">
              <w:rPr>
                <w:sz w:val="16"/>
                <w:szCs w:val="16"/>
              </w:rPr>
              <w:t>PI-5</w:t>
            </w:r>
          </w:p>
        </w:tc>
        <w:tc>
          <w:tcPr>
            <w:tcW w:w="3040" w:type="dxa"/>
            <w:vAlign w:val="center"/>
          </w:tcPr>
          <w:p w14:paraId="681D06C9" w14:textId="77777777" w:rsidR="00CB6100" w:rsidRPr="005A497D" w:rsidRDefault="00CB6100" w:rsidP="002F43FA">
            <w:pPr>
              <w:ind w:left="-28" w:right="-57"/>
              <w:rPr>
                <w:sz w:val="16"/>
                <w:szCs w:val="16"/>
              </w:rPr>
            </w:pPr>
            <w:r w:rsidRPr="005A497D">
              <w:rPr>
                <w:sz w:val="16"/>
                <w:szCs w:val="16"/>
              </w:rPr>
              <w:t>Classification of the budget</w:t>
            </w:r>
          </w:p>
        </w:tc>
        <w:tc>
          <w:tcPr>
            <w:tcW w:w="448" w:type="dxa"/>
            <w:vAlign w:val="center"/>
          </w:tcPr>
          <w:p w14:paraId="3C9A2A28"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15011E8" w14:textId="77777777" w:rsidR="00CB6100" w:rsidRPr="005A497D" w:rsidRDefault="00CB6100" w:rsidP="00D232C4">
            <w:pPr>
              <w:jc w:val="center"/>
              <w:rPr>
                <w:sz w:val="16"/>
                <w:szCs w:val="16"/>
              </w:rPr>
            </w:pPr>
          </w:p>
        </w:tc>
        <w:tc>
          <w:tcPr>
            <w:tcW w:w="440" w:type="dxa"/>
            <w:vAlign w:val="center"/>
          </w:tcPr>
          <w:p w14:paraId="77CBAECB"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5BFDA6D2"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2CF59C15"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6571AAA4" w14:textId="77777777" w:rsidR="00CB6100" w:rsidRPr="005A497D" w:rsidRDefault="00CB6100" w:rsidP="00D232C4">
            <w:pPr>
              <w:ind w:left="-57" w:right="-57"/>
              <w:jc w:val="center"/>
              <w:rPr>
                <w:b/>
                <w:sz w:val="16"/>
                <w:szCs w:val="16"/>
              </w:rPr>
            </w:pPr>
          </w:p>
        </w:tc>
        <w:tc>
          <w:tcPr>
            <w:tcW w:w="732" w:type="dxa"/>
            <w:vAlign w:val="center"/>
          </w:tcPr>
          <w:p w14:paraId="54AC4DB0"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712D394B" w14:textId="77777777" w:rsidR="00CB6100" w:rsidRPr="005A497D" w:rsidRDefault="00CB6100" w:rsidP="00D232C4">
            <w:pPr>
              <w:jc w:val="center"/>
              <w:rPr>
                <w:sz w:val="16"/>
                <w:szCs w:val="16"/>
              </w:rPr>
            </w:pPr>
          </w:p>
        </w:tc>
        <w:tc>
          <w:tcPr>
            <w:tcW w:w="421" w:type="dxa"/>
            <w:vAlign w:val="center"/>
          </w:tcPr>
          <w:p w14:paraId="6EFBE2B6" w14:textId="77777777" w:rsidR="00CB6100" w:rsidRPr="005A497D" w:rsidRDefault="00CB6100" w:rsidP="00D232C4">
            <w:pPr>
              <w:ind w:left="-57" w:right="-57"/>
              <w:jc w:val="center"/>
              <w:rPr>
                <w:b/>
                <w:sz w:val="16"/>
                <w:szCs w:val="16"/>
              </w:rPr>
            </w:pPr>
            <w:r w:rsidRPr="005A497D">
              <w:rPr>
                <w:b/>
                <w:sz w:val="16"/>
                <w:szCs w:val="16"/>
              </w:rPr>
              <w:t>C</w:t>
            </w:r>
          </w:p>
        </w:tc>
        <w:tc>
          <w:tcPr>
            <w:tcW w:w="422" w:type="dxa"/>
            <w:shd w:val="clear" w:color="auto" w:fill="F2F2F2" w:themeFill="background1" w:themeFillShade="F2"/>
            <w:vAlign w:val="center"/>
          </w:tcPr>
          <w:p w14:paraId="503552AF" w14:textId="77777777" w:rsidR="00CB6100" w:rsidRPr="005A497D" w:rsidRDefault="00CB6100" w:rsidP="00D232C4">
            <w:pPr>
              <w:ind w:left="-57" w:right="-57"/>
              <w:jc w:val="center"/>
              <w:rPr>
                <w:b/>
                <w:sz w:val="16"/>
                <w:szCs w:val="16"/>
              </w:rPr>
            </w:pPr>
          </w:p>
        </w:tc>
        <w:tc>
          <w:tcPr>
            <w:tcW w:w="421" w:type="dxa"/>
            <w:shd w:val="clear" w:color="auto" w:fill="F2F2F2" w:themeFill="background1" w:themeFillShade="F2"/>
            <w:vAlign w:val="center"/>
          </w:tcPr>
          <w:p w14:paraId="28B1D313"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48FB4F07" w14:textId="77777777" w:rsidR="00CB6100" w:rsidRPr="005A497D" w:rsidRDefault="00CB6100" w:rsidP="00D232C4">
            <w:pPr>
              <w:ind w:left="-57" w:right="-57"/>
              <w:jc w:val="center"/>
              <w:rPr>
                <w:b/>
                <w:sz w:val="16"/>
                <w:szCs w:val="16"/>
              </w:rPr>
            </w:pPr>
          </w:p>
        </w:tc>
        <w:tc>
          <w:tcPr>
            <w:tcW w:w="808" w:type="dxa"/>
            <w:vAlign w:val="center"/>
          </w:tcPr>
          <w:p w14:paraId="6C139230" w14:textId="77777777" w:rsidR="00CB6100" w:rsidRPr="005A497D" w:rsidRDefault="00CB6100" w:rsidP="00D232C4">
            <w:pPr>
              <w:ind w:left="-57" w:right="-57"/>
              <w:jc w:val="center"/>
              <w:rPr>
                <w:b/>
                <w:sz w:val="16"/>
                <w:szCs w:val="16"/>
              </w:rPr>
            </w:pPr>
            <w:r w:rsidRPr="005A497D">
              <w:rPr>
                <w:b/>
                <w:sz w:val="16"/>
                <w:szCs w:val="16"/>
              </w:rPr>
              <w:t>C</w:t>
            </w:r>
          </w:p>
        </w:tc>
      </w:tr>
      <w:tr w:rsidR="00CB6100" w:rsidRPr="005A497D" w14:paraId="4CB8EE00" w14:textId="77777777" w:rsidTr="00CB6100">
        <w:trPr>
          <w:trHeight w:val="288"/>
          <w:jc w:val="center"/>
        </w:trPr>
        <w:tc>
          <w:tcPr>
            <w:tcW w:w="495" w:type="dxa"/>
            <w:vAlign w:val="center"/>
          </w:tcPr>
          <w:p w14:paraId="292B9F78" w14:textId="77777777" w:rsidR="00CB6100" w:rsidRPr="005A497D" w:rsidRDefault="00CB6100" w:rsidP="00CB6100">
            <w:pPr>
              <w:ind w:left="-28" w:right="-57"/>
              <w:rPr>
                <w:sz w:val="16"/>
                <w:szCs w:val="16"/>
              </w:rPr>
            </w:pPr>
            <w:r w:rsidRPr="005A497D">
              <w:rPr>
                <w:sz w:val="16"/>
                <w:szCs w:val="16"/>
              </w:rPr>
              <w:t>PI-6</w:t>
            </w:r>
          </w:p>
        </w:tc>
        <w:tc>
          <w:tcPr>
            <w:tcW w:w="3040" w:type="dxa"/>
            <w:vAlign w:val="center"/>
          </w:tcPr>
          <w:p w14:paraId="099176CB" w14:textId="77777777" w:rsidR="00CB6100" w:rsidRPr="005A497D" w:rsidRDefault="00CB6100" w:rsidP="002F43FA">
            <w:pPr>
              <w:ind w:left="-28" w:right="-57"/>
              <w:rPr>
                <w:sz w:val="16"/>
                <w:szCs w:val="16"/>
              </w:rPr>
            </w:pPr>
            <w:r w:rsidRPr="005A497D">
              <w:rPr>
                <w:sz w:val="16"/>
                <w:szCs w:val="16"/>
              </w:rPr>
              <w:t>Comprehensiveness of information included in budget documentation</w:t>
            </w:r>
          </w:p>
        </w:tc>
        <w:tc>
          <w:tcPr>
            <w:tcW w:w="448" w:type="dxa"/>
            <w:vAlign w:val="center"/>
          </w:tcPr>
          <w:p w14:paraId="2C870611"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5300761E" w14:textId="77777777" w:rsidR="00CB6100" w:rsidRPr="005A497D" w:rsidRDefault="00CB6100" w:rsidP="00D232C4">
            <w:pPr>
              <w:jc w:val="center"/>
              <w:rPr>
                <w:sz w:val="16"/>
                <w:szCs w:val="16"/>
              </w:rPr>
            </w:pPr>
          </w:p>
        </w:tc>
        <w:tc>
          <w:tcPr>
            <w:tcW w:w="440" w:type="dxa"/>
            <w:vAlign w:val="center"/>
          </w:tcPr>
          <w:p w14:paraId="53C042BA"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11CCADA5"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742E3EC6"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2D2B15BC" w14:textId="77777777" w:rsidR="00CB6100" w:rsidRPr="005A497D" w:rsidRDefault="00CB6100" w:rsidP="00D232C4">
            <w:pPr>
              <w:ind w:left="-57" w:right="-57"/>
              <w:jc w:val="center"/>
              <w:rPr>
                <w:b/>
                <w:sz w:val="16"/>
                <w:szCs w:val="16"/>
              </w:rPr>
            </w:pPr>
          </w:p>
        </w:tc>
        <w:tc>
          <w:tcPr>
            <w:tcW w:w="732" w:type="dxa"/>
            <w:vAlign w:val="center"/>
          </w:tcPr>
          <w:p w14:paraId="68EDA509" w14:textId="77777777" w:rsidR="00CB6100" w:rsidRPr="005A497D" w:rsidRDefault="00CB6100" w:rsidP="00D232C4">
            <w:pPr>
              <w:jc w:val="center"/>
              <w:rPr>
                <w:b/>
                <w:sz w:val="16"/>
                <w:szCs w:val="16"/>
              </w:rPr>
            </w:pPr>
            <w:r w:rsidRPr="005A497D">
              <w:rPr>
                <w:b/>
                <w:sz w:val="16"/>
                <w:szCs w:val="16"/>
              </w:rPr>
              <w:t>B</w:t>
            </w:r>
          </w:p>
        </w:tc>
        <w:tc>
          <w:tcPr>
            <w:tcW w:w="266" w:type="dxa"/>
            <w:vMerge/>
            <w:shd w:val="clear" w:color="auto" w:fill="auto"/>
            <w:vAlign w:val="center"/>
          </w:tcPr>
          <w:p w14:paraId="7FE13F01" w14:textId="77777777" w:rsidR="00CB6100" w:rsidRPr="005A497D" w:rsidRDefault="00CB6100" w:rsidP="00D232C4">
            <w:pPr>
              <w:jc w:val="center"/>
              <w:rPr>
                <w:sz w:val="16"/>
                <w:szCs w:val="16"/>
              </w:rPr>
            </w:pPr>
          </w:p>
        </w:tc>
        <w:tc>
          <w:tcPr>
            <w:tcW w:w="421" w:type="dxa"/>
            <w:vAlign w:val="center"/>
          </w:tcPr>
          <w:p w14:paraId="7F3B096A"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16E511AF" w14:textId="77777777" w:rsidR="00CB6100" w:rsidRPr="005A497D" w:rsidRDefault="00CB6100" w:rsidP="00D232C4">
            <w:pPr>
              <w:ind w:left="-57" w:right="-57"/>
              <w:jc w:val="center"/>
              <w:rPr>
                <w:b/>
                <w:sz w:val="16"/>
                <w:szCs w:val="16"/>
              </w:rPr>
            </w:pPr>
          </w:p>
        </w:tc>
        <w:tc>
          <w:tcPr>
            <w:tcW w:w="421" w:type="dxa"/>
            <w:shd w:val="clear" w:color="auto" w:fill="F2F2F2" w:themeFill="background1" w:themeFillShade="F2"/>
            <w:vAlign w:val="center"/>
          </w:tcPr>
          <w:p w14:paraId="6CE428E2"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08015CCB" w14:textId="77777777" w:rsidR="00CB6100" w:rsidRPr="005A497D" w:rsidRDefault="00CB6100" w:rsidP="00D232C4">
            <w:pPr>
              <w:ind w:left="-57" w:right="-57"/>
              <w:jc w:val="center"/>
              <w:rPr>
                <w:b/>
                <w:sz w:val="16"/>
                <w:szCs w:val="16"/>
              </w:rPr>
            </w:pPr>
          </w:p>
        </w:tc>
        <w:tc>
          <w:tcPr>
            <w:tcW w:w="808" w:type="dxa"/>
            <w:vAlign w:val="center"/>
          </w:tcPr>
          <w:p w14:paraId="3751806F"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322606FB" w14:textId="77777777" w:rsidTr="00CB6100">
        <w:trPr>
          <w:trHeight w:val="288"/>
          <w:jc w:val="center"/>
        </w:trPr>
        <w:tc>
          <w:tcPr>
            <w:tcW w:w="495" w:type="dxa"/>
            <w:vAlign w:val="center"/>
          </w:tcPr>
          <w:p w14:paraId="6D8F615F" w14:textId="77777777" w:rsidR="00CB6100" w:rsidRPr="005A497D" w:rsidRDefault="00CB6100" w:rsidP="00CB6100">
            <w:pPr>
              <w:ind w:left="-28" w:right="-57"/>
              <w:rPr>
                <w:sz w:val="16"/>
                <w:szCs w:val="16"/>
              </w:rPr>
            </w:pPr>
            <w:r w:rsidRPr="005A497D">
              <w:rPr>
                <w:sz w:val="16"/>
                <w:szCs w:val="16"/>
              </w:rPr>
              <w:t>PI-7</w:t>
            </w:r>
          </w:p>
        </w:tc>
        <w:tc>
          <w:tcPr>
            <w:tcW w:w="3040" w:type="dxa"/>
            <w:vAlign w:val="center"/>
          </w:tcPr>
          <w:p w14:paraId="30975E84" w14:textId="77777777" w:rsidR="00CB6100" w:rsidRPr="005A497D" w:rsidRDefault="00CB6100" w:rsidP="002F43FA">
            <w:pPr>
              <w:ind w:left="-28" w:right="-57"/>
              <w:rPr>
                <w:sz w:val="16"/>
                <w:szCs w:val="16"/>
              </w:rPr>
            </w:pPr>
            <w:r w:rsidRPr="005A497D">
              <w:rPr>
                <w:sz w:val="16"/>
                <w:szCs w:val="16"/>
              </w:rPr>
              <w:t>Extent of unreported government operations</w:t>
            </w:r>
          </w:p>
        </w:tc>
        <w:tc>
          <w:tcPr>
            <w:tcW w:w="448" w:type="dxa"/>
            <w:vAlign w:val="center"/>
          </w:tcPr>
          <w:p w14:paraId="3A11C219"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5650123F" w14:textId="77777777" w:rsidR="00CB6100" w:rsidRPr="005A497D" w:rsidRDefault="00CB6100" w:rsidP="00D232C4">
            <w:pPr>
              <w:jc w:val="center"/>
              <w:rPr>
                <w:sz w:val="16"/>
                <w:szCs w:val="16"/>
              </w:rPr>
            </w:pPr>
          </w:p>
        </w:tc>
        <w:tc>
          <w:tcPr>
            <w:tcW w:w="440" w:type="dxa"/>
            <w:vAlign w:val="center"/>
          </w:tcPr>
          <w:p w14:paraId="58D8DA92"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1245EB28" w14:textId="77777777" w:rsidR="00CB6100" w:rsidRPr="005A497D" w:rsidRDefault="00CB6100" w:rsidP="00D232C4">
            <w:pPr>
              <w:ind w:left="-57" w:right="-57"/>
              <w:jc w:val="center"/>
              <w:rPr>
                <w:b/>
                <w:sz w:val="16"/>
                <w:szCs w:val="16"/>
              </w:rPr>
            </w:pPr>
            <w:r w:rsidRPr="005A497D">
              <w:rPr>
                <w:b/>
                <w:sz w:val="16"/>
                <w:szCs w:val="16"/>
              </w:rPr>
              <w:t>A</w:t>
            </w:r>
          </w:p>
        </w:tc>
        <w:tc>
          <w:tcPr>
            <w:tcW w:w="440" w:type="dxa"/>
            <w:shd w:val="clear" w:color="auto" w:fill="F2F2F2" w:themeFill="background1" w:themeFillShade="F2"/>
            <w:vAlign w:val="center"/>
          </w:tcPr>
          <w:p w14:paraId="1F5B2863"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0729230D" w14:textId="77777777" w:rsidR="00CB6100" w:rsidRPr="005A497D" w:rsidRDefault="00CB6100" w:rsidP="00D232C4">
            <w:pPr>
              <w:ind w:left="-57" w:right="-57"/>
              <w:jc w:val="center"/>
              <w:rPr>
                <w:b/>
                <w:sz w:val="16"/>
                <w:szCs w:val="16"/>
              </w:rPr>
            </w:pPr>
          </w:p>
        </w:tc>
        <w:tc>
          <w:tcPr>
            <w:tcW w:w="732" w:type="dxa"/>
            <w:vAlign w:val="center"/>
          </w:tcPr>
          <w:p w14:paraId="50326F55" w14:textId="77777777" w:rsidR="00CB6100" w:rsidRPr="005A497D" w:rsidRDefault="00CB6100" w:rsidP="00D232C4">
            <w:pPr>
              <w:jc w:val="center"/>
              <w:rPr>
                <w:b/>
                <w:sz w:val="16"/>
                <w:szCs w:val="16"/>
              </w:rPr>
            </w:pPr>
            <w:r w:rsidRPr="005A497D">
              <w:rPr>
                <w:b/>
                <w:sz w:val="16"/>
                <w:szCs w:val="16"/>
              </w:rPr>
              <w:t>A</w:t>
            </w:r>
          </w:p>
        </w:tc>
        <w:tc>
          <w:tcPr>
            <w:tcW w:w="266" w:type="dxa"/>
            <w:vMerge/>
            <w:shd w:val="clear" w:color="auto" w:fill="auto"/>
            <w:vAlign w:val="center"/>
          </w:tcPr>
          <w:p w14:paraId="39E5DFE7" w14:textId="77777777" w:rsidR="00CB6100" w:rsidRPr="005A497D" w:rsidRDefault="00CB6100" w:rsidP="00D232C4">
            <w:pPr>
              <w:jc w:val="center"/>
              <w:rPr>
                <w:sz w:val="16"/>
                <w:szCs w:val="16"/>
              </w:rPr>
            </w:pPr>
          </w:p>
        </w:tc>
        <w:tc>
          <w:tcPr>
            <w:tcW w:w="421" w:type="dxa"/>
            <w:vAlign w:val="center"/>
          </w:tcPr>
          <w:p w14:paraId="42CB7A75"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1325B6AB" w14:textId="77777777" w:rsidR="00CB6100" w:rsidRPr="005A497D" w:rsidRDefault="00CB6100" w:rsidP="00D232C4">
            <w:pPr>
              <w:ind w:left="-57" w:right="-57"/>
              <w:jc w:val="center"/>
              <w:rPr>
                <w:b/>
                <w:sz w:val="16"/>
                <w:szCs w:val="16"/>
              </w:rPr>
            </w:pPr>
            <w:r w:rsidRPr="005A497D">
              <w:rPr>
                <w:b/>
                <w:sz w:val="16"/>
                <w:szCs w:val="16"/>
              </w:rPr>
              <w:t>A</w:t>
            </w:r>
          </w:p>
        </w:tc>
        <w:tc>
          <w:tcPr>
            <w:tcW w:w="421" w:type="dxa"/>
            <w:shd w:val="clear" w:color="auto" w:fill="F2F2F2" w:themeFill="background1" w:themeFillShade="F2"/>
            <w:vAlign w:val="center"/>
          </w:tcPr>
          <w:p w14:paraId="28DD81A2"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54C2F094" w14:textId="77777777" w:rsidR="00CB6100" w:rsidRPr="005A497D" w:rsidRDefault="00CB6100" w:rsidP="00D232C4">
            <w:pPr>
              <w:ind w:left="-57" w:right="-57"/>
              <w:jc w:val="center"/>
              <w:rPr>
                <w:b/>
                <w:sz w:val="16"/>
                <w:szCs w:val="16"/>
              </w:rPr>
            </w:pPr>
          </w:p>
        </w:tc>
        <w:tc>
          <w:tcPr>
            <w:tcW w:w="808" w:type="dxa"/>
            <w:vAlign w:val="center"/>
          </w:tcPr>
          <w:p w14:paraId="5594379B"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4BEB65A3" w14:textId="77777777" w:rsidTr="00CB6100">
        <w:trPr>
          <w:trHeight w:val="288"/>
          <w:jc w:val="center"/>
        </w:trPr>
        <w:tc>
          <w:tcPr>
            <w:tcW w:w="495" w:type="dxa"/>
            <w:vAlign w:val="center"/>
          </w:tcPr>
          <w:p w14:paraId="77E6A492" w14:textId="77777777" w:rsidR="00CB6100" w:rsidRPr="005A497D" w:rsidRDefault="00CB6100" w:rsidP="00CB6100">
            <w:pPr>
              <w:ind w:left="-28" w:right="-57"/>
              <w:rPr>
                <w:sz w:val="16"/>
                <w:szCs w:val="16"/>
              </w:rPr>
            </w:pPr>
            <w:r w:rsidRPr="005A497D">
              <w:rPr>
                <w:sz w:val="16"/>
                <w:szCs w:val="16"/>
              </w:rPr>
              <w:t>PI-8</w:t>
            </w:r>
          </w:p>
        </w:tc>
        <w:tc>
          <w:tcPr>
            <w:tcW w:w="3040" w:type="dxa"/>
            <w:vAlign w:val="center"/>
          </w:tcPr>
          <w:p w14:paraId="664469A0" w14:textId="77777777" w:rsidR="00CB6100" w:rsidRPr="005A497D" w:rsidRDefault="00CB6100" w:rsidP="002F43FA">
            <w:pPr>
              <w:ind w:left="-28" w:right="-57"/>
              <w:rPr>
                <w:sz w:val="16"/>
                <w:szCs w:val="16"/>
              </w:rPr>
            </w:pPr>
            <w:r w:rsidRPr="005A497D">
              <w:rPr>
                <w:sz w:val="16"/>
                <w:szCs w:val="16"/>
              </w:rPr>
              <w:t>Transparency of inter-governmental fiscal relations</w:t>
            </w:r>
          </w:p>
        </w:tc>
        <w:tc>
          <w:tcPr>
            <w:tcW w:w="448" w:type="dxa"/>
            <w:vAlign w:val="center"/>
          </w:tcPr>
          <w:p w14:paraId="6995113D"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16C34381" w14:textId="77777777" w:rsidR="00CB6100" w:rsidRPr="005A497D" w:rsidRDefault="00CB6100" w:rsidP="00D232C4">
            <w:pPr>
              <w:jc w:val="center"/>
              <w:rPr>
                <w:sz w:val="16"/>
                <w:szCs w:val="16"/>
              </w:rPr>
            </w:pPr>
          </w:p>
        </w:tc>
        <w:tc>
          <w:tcPr>
            <w:tcW w:w="440" w:type="dxa"/>
            <w:vAlign w:val="center"/>
          </w:tcPr>
          <w:p w14:paraId="5C016662"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3CC1921F"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690F84E7" w14:textId="77777777" w:rsidR="00CB6100" w:rsidRPr="005A497D" w:rsidRDefault="00CB6100" w:rsidP="00D232C4">
            <w:pPr>
              <w:ind w:left="-57" w:right="-57"/>
              <w:jc w:val="center"/>
              <w:rPr>
                <w:b/>
                <w:sz w:val="16"/>
                <w:szCs w:val="16"/>
              </w:rPr>
            </w:pPr>
            <w:r w:rsidRPr="005A497D">
              <w:rPr>
                <w:b/>
                <w:sz w:val="16"/>
                <w:szCs w:val="16"/>
              </w:rPr>
              <w:t>C</w:t>
            </w:r>
          </w:p>
        </w:tc>
        <w:tc>
          <w:tcPr>
            <w:tcW w:w="440" w:type="dxa"/>
            <w:shd w:val="clear" w:color="auto" w:fill="F2F2F2" w:themeFill="background1" w:themeFillShade="F2"/>
            <w:vAlign w:val="center"/>
          </w:tcPr>
          <w:p w14:paraId="136A835D" w14:textId="77777777" w:rsidR="00CB6100" w:rsidRPr="005A497D" w:rsidRDefault="00CB6100" w:rsidP="00D232C4">
            <w:pPr>
              <w:ind w:left="-57" w:right="-57"/>
              <w:jc w:val="center"/>
              <w:rPr>
                <w:b/>
                <w:sz w:val="16"/>
                <w:szCs w:val="16"/>
              </w:rPr>
            </w:pPr>
          </w:p>
        </w:tc>
        <w:tc>
          <w:tcPr>
            <w:tcW w:w="732" w:type="dxa"/>
            <w:vAlign w:val="center"/>
          </w:tcPr>
          <w:p w14:paraId="783E3A68" w14:textId="77777777" w:rsidR="00CB6100" w:rsidRPr="005A497D" w:rsidRDefault="00CB6100" w:rsidP="00D232C4">
            <w:pPr>
              <w:jc w:val="center"/>
              <w:rPr>
                <w:b/>
                <w:sz w:val="16"/>
                <w:szCs w:val="16"/>
              </w:rPr>
            </w:pPr>
            <w:r w:rsidRPr="005A497D">
              <w:rPr>
                <w:b/>
                <w:sz w:val="16"/>
                <w:szCs w:val="16"/>
              </w:rPr>
              <w:t>B</w:t>
            </w:r>
          </w:p>
        </w:tc>
        <w:tc>
          <w:tcPr>
            <w:tcW w:w="266" w:type="dxa"/>
            <w:vMerge/>
            <w:shd w:val="clear" w:color="auto" w:fill="auto"/>
            <w:vAlign w:val="center"/>
          </w:tcPr>
          <w:p w14:paraId="0653ADC2" w14:textId="77777777" w:rsidR="00CB6100" w:rsidRPr="005A497D" w:rsidRDefault="00CB6100" w:rsidP="00D232C4">
            <w:pPr>
              <w:jc w:val="center"/>
              <w:rPr>
                <w:sz w:val="16"/>
                <w:szCs w:val="16"/>
              </w:rPr>
            </w:pPr>
          </w:p>
        </w:tc>
        <w:tc>
          <w:tcPr>
            <w:tcW w:w="421" w:type="dxa"/>
            <w:vAlign w:val="center"/>
          </w:tcPr>
          <w:p w14:paraId="533D9643"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7CBA5750" w14:textId="77777777" w:rsidR="00CB6100" w:rsidRPr="005A497D" w:rsidRDefault="00CB6100" w:rsidP="00D232C4">
            <w:pPr>
              <w:ind w:left="-57" w:right="-57"/>
              <w:jc w:val="center"/>
              <w:rPr>
                <w:b/>
                <w:sz w:val="16"/>
                <w:szCs w:val="16"/>
              </w:rPr>
            </w:pPr>
            <w:r w:rsidRPr="005A497D">
              <w:rPr>
                <w:b/>
                <w:sz w:val="16"/>
                <w:szCs w:val="16"/>
              </w:rPr>
              <w:t>B</w:t>
            </w:r>
          </w:p>
        </w:tc>
        <w:tc>
          <w:tcPr>
            <w:tcW w:w="421" w:type="dxa"/>
            <w:vAlign w:val="center"/>
          </w:tcPr>
          <w:p w14:paraId="13B48323"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0F179EEC" w14:textId="77777777" w:rsidR="00CB6100" w:rsidRPr="005A497D" w:rsidRDefault="00CB6100" w:rsidP="00D232C4">
            <w:pPr>
              <w:ind w:left="-57" w:right="-57"/>
              <w:jc w:val="center"/>
              <w:rPr>
                <w:b/>
                <w:sz w:val="16"/>
                <w:szCs w:val="16"/>
              </w:rPr>
            </w:pPr>
          </w:p>
        </w:tc>
        <w:tc>
          <w:tcPr>
            <w:tcW w:w="808" w:type="dxa"/>
            <w:vAlign w:val="center"/>
          </w:tcPr>
          <w:p w14:paraId="183888F9"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6C88D62F" w14:textId="77777777" w:rsidTr="00CB6100">
        <w:trPr>
          <w:trHeight w:val="288"/>
          <w:jc w:val="center"/>
        </w:trPr>
        <w:tc>
          <w:tcPr>
            <w:tcW w:w="495" w:type="dxa"/>
            <w:vAlign w:val="center"/>
          </w:tcPr>
          <w:p w14:paraId="20A70C5D" w14:textId="77777777" w:rsidR="00CB6100" w:rsidRPr="005A497D" w:rsidRDefault="00CB6100" w:rsidP="00CB6100">
            <w:pPr>
              <w:ind w:left="-28" w:right="-57"/>
              <w:rPr>
                <w:sz w:val="16"/>
                <w:szCs w:val="16"/>
              </w:rPr>
            </w:pPr>
            <w:r w:rsidRPr="005A497D">
              <w:rPr>
                <w:sz w:val="16"/>
                <w:szCs w:val="16"/>
              </w:rPr>
              <w:t>PI-9</w:t>
            </w:r>
          </w:p>
        </w:tc>
        <w:tc>
          <w:tcPr>
            <w:tcW w:w="3040" w:type="dxa"/>
            <w:vAlign w:val="center"/>
          </w:tcPr>
          <w:p w14:paraId="4391FFB6" w14:textId="77777777" w:rsidR="00CB6100" w:rsidRPr="005A497D" w:rsidRDefault="00CB6100" w:rsidP="002F43FA">
            <w:pPr>
              <w:ind w:left="-28" w:right="-57"/>
              <w:rPr>
                <w:sz w:val="16"/>
                <w:szCs w:val="16"/>
              </w:rPr>
            </w:pPr>
            <w:r w:rsidRPr="005A497D">
              <w:rPr>
                <w:sz w:val="16"/>
                <w:szCs w:val="16"/>
              </w:rPr>
              <w:t>Oversight of aggregate fiscal risk from other public sector entities</w:t>
            </w:r>
          </w:p>
        </w:tc>
        <w:tc>
          <w:tcPr>
            <w:tcW w:w="448" w:type="dxa"/>
            <w:vAlign w:val="center"/>
          </w:tcPr>
          <w:p w14:paraId="530BBE3C"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48DEAD4" w14:textId="77777777" w:rsidR="00CB6100" w:rsidRPr="005A497D" w:rsidRDefault="00CB6100" w:rsidP="00D232C4">
            <w:pPr>
              <w:jc w:val="center"/>
              <w:rPr>
                <w:sz w:val="16"/>
                <w:szCs w:val="16"/>
              </w:rPr>
            </w:pPr>
          </w:p>
        </w:tc>
        <w:tc>
          <w:tcPr>
            <w:tcW w:w="440" w:type="dxa"/>
            <w:vAlign w:val="center"/>
          </w:tcPr>
          <w:p w14:paraId="53767120"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01DEB59D"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57EA0B78"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48C6E6B8" w14:textId="77777777" w:rsidR="00CB6100" w:rsidRPr="005A497D" w:rsidRDefault="00CB6100" w:rsidP="00D232C4">
            <w:pPr>
              <w:ind w:left="-57" w:right="-57"/>
              <w:jc w:val="center"/>
              <w:rPr>
                <w:b/>
                <w:sz w:val="16"/>
                <w:szCs w:val="16"/>
              </w:rPr>
            </w:pPr>
          </w:p>
        </w:tc>
        <w:tc>
          <w:tcPr>
            <w:tcW w:w="732" w:type="dxa"/>
            <w:vAlign w:val="center"/>
          </w:tcPr>
          <w:p w14:paraId="118DEF72" w14:textId="77777777" w:rsidR="00CB6100" w:rsidRPr="005A497D" w:rsidRDefault="00CB6100" w:rsidP="00D232C4">
            <w:pPr>
              <w:jc w:val="center"/>
              <w:rPr>
                <w:b/>
                <w:sz w:val="16"/>
                <w:szCs w:val="16"/>
              </w:rPr>
            </w:pPr>
            <w:r w:rsidRPr="005A497D">
              <w:rPr>
                <w:b/>
                <w:sz w:val="16"/>
                <w:szCs w:val="16"/>
              </w:rPr>
              <w:t>C+</w:t>
            </w:r>
          </w:p>
        </w:tc>
        <w:tc>
          <w:tcPr>
            <w:tcW w:w="266" w:type="dxa"/>
            <w:vMerge/>
            <w:shd w:val="clear" w:color="auto" w:fill="auto"/>
            <w:vAlign w:val="center"/>
          </w:tcPr>
          <w:p w14:paraId="0D27B0A6" w14:textId="77777777" w:rsidR="00CB6100" w:rsidRPr="005A497D" w:rsidRDefault="00CB6100" w:rsidP="00D232C4">
            <w:pPr>
              <w:jc w:val="center"/>
              <w:rPr>
                <w:sz w:val="16"/>
                <w:szCs w:val="16"/>
              </w:rPr>
            </w:pPr>
          </w:p>
        </w:tc>
        <w:tc>
          <w:tcPr>
            <w:tcW w:w="421" w:type="dxa"/>
            <w:vAlign w:val="center"/>
          </w:tcPr>
          <w:p w14:paraId="46B087AD"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7D51DA9A" w14:textId="77777777" w:rsidR="00CB6100" w:rsidRPr="005A497D" w:rsidRDefault="00CB6100" w:rsidP="00D232C4">
            <w:pPr>
              <w:ind w:left="-57" w:right="-57"/>
              <w:jc w:val="center"/>
              <w:rPr>
                <w:b/>
                <w:sz w:val="16"/>
                <w:szCs w:val="16"/>
              </w:rPr>
            </w:pPr>
            <w:r w:rsidRPr="005A497D">
              <w:rPr>
                <w:b/>
                <w:sz w:val="16"/>
                <w:szCs w:val="16"/>
              </w:rPr>
              <w:t>B</w:t>
            </w:r>
          </w:p>
        </w:tc>
        <w:tc>
          <w:tcPr>
            <w:tcW w:w="421" w:type="dxa"/>
            <w:shd w:val="clear" w:color="auto" w:fill="F2F2F2" w:themeFill="background1" w:themeFillShade="F2"/>
            <w:vAlign w:val="center"/>
          </w:tcPr>
          <w:p w14:paraId="483C2F38"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47EC5920" w14:textId="77777777" w:rsidR="00CB6100" w:rsidRPr="005A497D" w:rsidRDefault="00CB6100" w:rsidP="00D232C4">
            <w:pPr>
              <w:ind w:left="-57" w:right="-57"/>
              <w:jc w:val="center"/>
              <w:rPr>
                <w:b/>
                <w:sz w:val="16"/>
                <w:szCs w:val="16"/>
              </w:rPr>
            </w:pPr>
          </w:p>
        </w:tc>
        <w:tc>
          <w:tcPr>
            <w:tcW w:w="808" w:type="dxa"/>
            <w:vAlign w:val="center"/>
          </w:tcPr>
          <w:p w14:paraId="5123FC09" w14:textId="77777777" w:rsidR="00CB6100" w:rsidRPr="005A497D" w:rsidRDefault="00CB6100" w:rsidP="00D232C4">
            <w:pPr>
              <w:ind w:left="-57" w:right="-57"/>
              <w:jc w:val="center"/>
              <w:rPr>
                <w:b/>
                <w:sz w:val="16"/>
                <w:szCs w:val="16"/>
              </w:rPr>
            </w:pPr>
            <w:r w:rsidRPr="005A497D">
              <w:rPr>
                <w:b/>
                <w:sz w:val="16"/>
                <w:szCs w:val="16"/>
              </w:rPr>
              <w:t>B</w:t>
            </w:r>
          </w:p>
        </w:tc>
      </w:tr>
      <w:tr w:rsidR="00CB6100" w:rsidRPr="005A497D" w14:paraId="4B7A4139" w14:textId="77777777" w:rsidTr="00CB6100">
        <w:trPr>
          <w:trHeight w:val="288"/>
          <w:jc w:val="center"/>
        </w:trPr>
        <w:tc>
          <w:tcPr>
            <w:tcW w:w="495" w:type="dxa"/>
            <w:vAlign w:val="center"/>
          </w:tcPr>
          <w:p w14:paraId="588DBF03" w14:textId="77777777" w:rsidR="00CB6100" w:rsidRPr="005A497D" w:rsidRDefault="00CB6100" w:rsidP="00CB6100">
            <w:pPr>
              <w:ind w:left="-28" w:right="-57"/>
              <w:rPr>
                <w:sz w:val="16"/>
                <w:szCs w:val="16"/>
              </w:rPr>
            </w:pPr>
            <w:r w:rsidRPr="005A497D">
              <w:rPr>
                <w:sz w:val="16"/>
                <w:szCs w:val="16"/>
              </w:rPr>
              <w:t>PI-10</w:t>
            </w:r>
          </w:p>
        </w:tc>
        <w:tc>
          <w:tcPr>
            <w:tcW w:w="3040" w:type="dxa"/>
            <w:vAlign w:val="center"/>
          </w:tcPr>
          <w:p w14:paraId="50E5AC55" w14:textId="77777777" w:rsidR="00CB6100" w:rsidRPr="005A497D" w:rsidRDefault="00CB6100" w:rsidP="002F43FA">
            <w:pPr>
              <w:ind w:left="-28" w:right="-57"/>
              <w:rPr>
                <w:sz w:val="16"/>
                <w:szCs w:val="16"/>
              </w:rPr>
            </w:pPr>
            <w:r w:rsidRPr="005A497D">
              <w:rPr>
                <w:sz w:val="16"/>
                <w:szCs w:val="16"/>
              </w:rPr>
              <w:t>Public access to key fiscal information</w:t>
            </w:r>
          </w:p>
        </w:tc>
        <w:tc>
          <w:tcPr>
            <w:tcW w:w="448" w:type="dxa"/>
            <w:vAlign w:val="center"/>
          </w:tcPr>
          <w:p w14:paraId="16111558"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286C89FE" w14:textId="77777777" w:rsidR="00CB6100" w:rsidRPr="005A497D" w:rsidRDefault="00CB6100" w:rsidP="00D232C4">
            <w:pPr>
              <w:jc w:val="center"/>
              <w:rPr>
                <w:sz w:val="16"/>
                <w:szCs w:val="16"/>
              </w:rPr>
            </w:pPr>
          </w:p>
        </w:tc>
        <w:tc>
          <w:tcPr>
            <w:tcW w:w="440" w:type="dxa"/>
            <w:vAlign w:val="center"/>
          </w:tcPr>
          <w:p w14:paraId="66F69184" w14:textId="77777777" w:rsidR="00CB6100" w:rsidRPr="005A497D" w:rsidRDefault="00CB6100" w:rsidP="00D232C4">
            <w:pPr>
              <w:ind w:left="-57" w:right="-57"/>
              <w:jc w:val="center"/>
              <w:rPr>
                <w:b/>
                <w:sz w:val="16"/>
                <w:szCs w:val="16"/>
              </w:rPr>
            </w:pPr>
            <w:r w:rsidRPr="005A497D">
              <w:rPr>
                <w:b/>
                <w:sz w:val="16"/>
                <w:szCs w:val="16"/>
              </w:rPr>
              <w:t>C</w:t>
            </w:r>
          </w:p>
        </w:tc>
        <w:tc>
          <w:tcPr>
            <w:tcW w:w="440" w:type="dxa"/>
            <w:shd w:val="clear" w:color="auto" w:fill="F2F2F2" w:themeFill="background1" w:themeFillShade="F2"/>
            <w:vAlign w:val="center"/>
          </w:tcPr>
          <w:p w14:paraId="1C39504B"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5DCA10D4"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2BF48F13" w14:textId="77777777" w:rsidR="00CB6100" w:rsidRPr="005A497D" w:rsidRDefault="00CB6100" w:rsidP="00D232C4">
            <w:pPr>
              <w:ind w:left="-57" w:right="-57"/>
              <w:jc w:val="center"/>
              <w:rPr>
                <w:b/>
                <w:sz w:val="16"/>
                <w:szCs w:val="16"/>
              </w:rPr>
            </w:pPr>
          </w:p>
        </w:tc>
        <w:tc>
          <w:tcPr>
            <w:tcW w:w="732" w:type="dxa"/>
            <w:vAlign w:val="center"/>
          </w:tcPr>
          <w:p w14:paraId="6021A19E" w14:textId="77777777" w:rsidR="00CB6100" w:rsidRPr="005A497D" w:rsidRDefault="00CB6100" w:rsidP="00D232C4">
            <w:pPr>
              <w:jc w:val="center"/>
              <w:rPr>
                <w:b/>
                <w:sz w:val="16"/>
                <w:szCs w:val="16"/>
              </w:rPr>
            </w:pPr>
            <w:r w:rsidRPr="005A497D">
              <w:rPr>
                <w:b/>
                <w:sz w:val="16"/>
                <w:szCs w:val="16"/>
              </w:rPr>
              <w:t>C</w:t>
            </w:r>
          </w:p>
        </w:tc>
        <w:tc>
          <w:tcPr>
            <w:tcW w:w="266" w:type="dxa"/>
            <w:vMerge/>
            <w:shd w:val="clear" w:color="auto" w:fill="auto"/>
            <w:vAlign w:val="center"/>
          </w:tcPr>
          <w:p w14:paraId="054222D0" w14:textId="77777777" w:rsidR="00CB6100" w:rsidRPr="005A497D" w:rsidRDefault="00CB6100" w:rsidP="00D232C4">
            <w:pPr>
              <w:jc w:val="center"/>
              <w:rPr>
                <w:sz w:val="16"/>
                <w:szCs w:val="16"/>
              </w:rPr>
            </w:pPr>
          </w:p>
        </w:tc>
        <w:tc>
          <w:tcPr>
            <w:tcW w:w="421" w:type="dxa"/>
            <w:vAlign w:val="center"/>
          </w:tcPr>
          <w:p w14:paraId="553E3511"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4E86AD29" w14:textId="77777777" w:rsidR="00CB6100" w:rsidRPr="005A497D" w:rsidRDefault="00CB6100" w:rsidP="00D232C4">
            <w:pPr>
              <w:ind w:left="-57" w:right="-57"/>
              <w:jc w:val="center"/>
              <w:rPr>
                <w:b/>
                <w:sz w:val="16"/>
                <w:szCs w:val="16"/>
              </w:rPr>
            </w:pPr>
          </w:p>
        </w:tc>
        <w:tc>
          <w:tcPr>
            <w:tcW w:w="421" w:type="dxa"/>
            <w:shd w:val="clear" w:color="auto" w:fill="F2F2F2" w:themeFill="background1" w:themeFillShade="F2"/>
            <w:vAlign w:val="center"/>
          </w:tcPr>
          <w:p w14:paraId="1FADCB86"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69658E0C" w14:textId="77777777" w:rsidR="00CB6100" w:rsidRPr="005A497D" w:rsidRDefault="00CB6100" w:rsidP="00D232C4">
            <w:pPr>
              <w:ind w:left="-57" w:right="-57"/>
              <w:jc w:val="center"/>
              <w:rPr>
                <w:b/>
                <w:sz w:val="16"/>
                <w:szCs w:val="16"/>
              </w:rPr>
            </w:pPr>
          </w:p>
        </w:tc>
        <w:tc>
          <w:tcPr>
            <w:tcW w:w="808" w:type="dxa"/>
            <w:vAlign w:val="center"/>
          </w:tcPr>
          <w:p w14:paraId="78074F4D"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3FA51CA1" w14:textId="77777777" w:rsidTr="00D232C4">
        <w:trPr>
          <w:trHeight w:val="288"/>
          <w:jc w:val="center"/>
        </w:trPr>
        <w:tc>
          <w:tcPr>
            <w:tcW w:w="3983" w:type="dxa"/>
            <w:gridSpan w:val="3"/>
            <w:vAlign w:val="center"/>
          </w:tcPr>
          <w:p w14:paraId="2C24F21D" w14:textId="77777777" w:rsidR="00CB6100" w:rsidRPr="005A497D" w:rsidRDefault="00CB6100" w:rsidP="00CB6100">
            <w:pPr>
              <w:ind w:left="-28" w:right="-57"/>
              <w:rPr>
                <w:b/>
                <w:sz w:val="16"/>
                <w:szCs w:val="16"/>
              </w:rPr>
            </w:pPr>
            <w:r w:rsidRPr="005A497D">
              <w:rPr>
                <w:b/>
                <w:sz w:val="16"/>
                <w:szCs w:val="16"/>
              </w:rPr>
              <w:t>C – Policy Based Budgeting</w:t>
            </w:r>
          </w:p>
        </w:tc>
        <w:tc>
          <w:tcPr>
            <w:tcW w:w="263" w:type="dxa"/>
            <w:vMerge/>
            <w:shd w:val="clear" w:color="auto" w:fill="auto"/>
            <w:vAlign w:val="center"/>
          </w:tcPr>
          <w:p w14:paraId="2069042D" w14:textId="77777777" w:rsidR="00CB6100" w:rsidRPr="005A497D" w:rsidRDefault="00CB6100" w:rsidP="00D232C4">
            <w:pPr>
              <w:jc w:val="center"/>
              <w:rPr>
                <w:sz w:val="16"/>
                <w:szCs w:val="16"/>
              </w:rPr>
            </w:pPr>
          </w:p>
        </w:tc>
        <w:tc>
          <w:tcPr>
            <w:tcW w:w="2492" w:type="dxa"/>
            <w:gridSpan w:val="5"/>
            <w:vAlign w:val="center"/>
          </w:tcPr>
          <w:p w14:paraId="77D1EA51" w14:textId="77777777" w:rsidR="00CB6100" w:rsidRPr="005A497D" w:rsidRDefault="00CB6100" w:rsidP="00D232C4">
            <w:pPr>
              <w:ind w:left="-57" w:right="-57"/>
              <w:jc w:val="center"/>
              <w:rPr>
                <w:b/>
                <w:sz w:val="16"/>
                <w:szCs w:val="16"/>
              </w:rPr>
            </w:pPr>
          </w:p>
        </w:tc>
        <w:tc>
          <w:tcPr>
            <w:tcW w:w="266" w:type="dxa"/>
            <w:vMerge/>
            <w:shd w:val="clear" w:color="auto" w:fill="auto"/>
            <w:vAlign w:val="center"/>
          </w:tcPr>
          <w:p w14:paraId="4B171990" w14:textId="77777777" w:rsidR="00CB6100" w:rsidRPr="005A497D" w:rsidRDefault="00CB6100" w:rsidP="00D232C4">
            <w:pPr>
              <w:jc w:val="center"/>
              <w:rPr>
                <w:sz w:val="16"/>
                <w:szCs w:val="16"/>
              </w:rPr>
            </w:pPr>
          </w:p>
        </w:tc>
        <w:tc>
          <w:tcPr>
            <w:tcW w:w="2494" w:type="dxa"/>
            <w:gridSpan w:val="5"/>
            <w:vAlign w:val="center"/>
          </w:tcPr>
          <w:p w14:paraId="503C9821" w14:textId="77777777" w:rsidR="00CB6100" w:rsidRPr="005A497D" w:rsidRDefault="00CB6100" w:rsidP="00D232C4">
            <w:pPr>
              <w:ind w:left="-57" w:right="-57"/>
              <w:jc w:val="center"/>
              <w:rPr>
                <w:b/>
                <w:sz w:val="16"/>
                <w:szCs w:val="16"/>
              </w:rPr>
            </w:pPr>
          </w:p>
        </w:tc>
      </w:tr>
      <w:tr w:rsidR="00CB6100" w:rsidRPr="005A497D" w14:paraId="3009059A" w14:textId="77777777" w:rsidTr="00CB6100">
        <w:trPr>
          <w:trHeight w:val="288"/>
          <w:jc w:val="center"/>
        </w:trPr>
        <w:tc>
          <w:tcPr>
            <w:tcW w:w="495" w:type="dxa"/>
            <w:vAlign w:val="center"/>
          </w:tcPr>
          <w:p w14:paraId="3C4822E2" w14:textId="77777777" w:rsidR="00CB6100" w:rsidRPr="005A497D" w:rsidRDefault="00CB6100" w:rsidP="00CB6100">
            <w:pPr>
              <w:ind w:left="-28" w:right="-57"/>
              <w:rPr>
                <w:sz w:val="16"/>
                <w:szCs w:val="16"/>
              </w:rPr>
            </w:pPr>
            <w:r w:rsidRPr="005A497D">
              <w:rPr>
                <w:sz w:val="16"/>
                <w:szCs w:val="16"/>
              </w:rPr>
              <w:t>PI-11</w:t>
            </w:r>
          </w:p>
        </w:tc>
        <w:tc>
          <w:tcPr>
            <w:tcW w:w="3040" w:type="dxa"/>
            <w:vAlign w:val="center"/>
          </w:tcPr>
          <w:p w14:paraId="366EFC23" w14:textId="77777777" w:rsidR="00CB6100" w:rsidRPr="005A497D" w:rsidRDefault="00CB6100" w:rsidP="002F43FA">
            <w:pPr>
              <w:ind w:left="-28" w:right="-57"/>
              <w:rPr>
                <w:sz w:val="16"/>
                <w:szCs w:val="16"/>
              </w:rPr>
            </w:pPr>
            <w:r w:rsidRPr="005A497D">
              <w:rPr>
                <w:sz w:val="16"/>
                <w:szCs w:val="16"/>
              </w:rPr>
              <w:t>Orderliness and participation in the annual budget process</w:t>
            </w:r>
          </w:p>
        </w:tc>
        <w:tc>
          <w:tcPr>
            <w:tcW w:w="448" w:type="dxa"/>
            <w:vAlign w:val="center"/>
          </w:tcPr>
          <w:p w14:paraId="5ACBA1DB"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510D31EA" w14:textId="77777777" w:rsidR="00CB6100" w:rsidRPr="005A497D" w:rsidRDefault="00CB6100" w:rsidP="00D232C4">
            <w:pPr>
              <w:jc w:val="center"/>
              <w:rPr>
                <w:sz w:val="16"/>
                <w:szCs w:val="16"/>
              </w:rPr>
            </w:pPr>
          </w:p>
        </w:tc>
        <w:tc>
          <w:tcPr>
            <w:tcW w:w="440" w:type="dxa"/>
            <w:vAlign w:val="center"/>
          </w:tcPr>
          <w:p w14:paraId="0240B24E"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07051B14"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69EC7F58"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30DE42D4" w14:textId="77777777" w:rsidR="00CB6100" w:rsidRPr="005A497D" w:rsidRDefault="00CB6100" w:rsidP="00D232C4">
            <w:pPr>
              <w:ind w:left="-57" w:right="-57"/>
              <w:jc w:val="center"/>
              <w:rPr>
                <w:b/>
                <w:sz w:val="16"/>
                <w:szCs w:val="16"/>
              </w:rPr>
            </w:pPr>
          </w:p>
        </w:tc>
        <w:tc>
          <w:tcPr>
            <w:tcW w:w="732" w:type="dxa"/>
            <w:vAlign w:val="center"/>
          </w:tcPr>
          <w:p w14:paraId="59B690D6" w14:textId="77777777" w:rsidR="00CB6100" w:rsidRPr="005A497D" w:rsidRDefault="00CB6100" w:rsidP="00D232C4">
            <w:pPr>
              <w:jc w:val="center"/>
              <w:rPr>
                <w:b/>
                <w:sz w:val="16"/>
                <w:szCs w:val="16"/>
              </w:rPr>
            </w:pPr>
            <w:r w:rsidRPr="005A497D">
              <w:rPr>
                <w:b/>
                <w:sz w:val="16"/>
                <w:szCs w:val="16"/>
              </w:rPr>
              <w:t>B</w:t>
            </w:r>
          </w:p>
        </w:tc>
        <w:tc>
          <w:tcPr>
            <w:tcW w:w="266" w:type="dxa"/>
            <w:vMerge/>
            <w:shd w:val="clear" w:color="auto" w:fill="auto"/>
            <w:vAlign w:val="center"/>
          </w:tcPr>
          <w:p w14:paraId="4BDF4911" w14:textId="77777777" w:rsidR="00CB6100" w:rsidRPr="005A497D" w:rsidRDefault="00CB6100" w:rsidP="00D232C4">
            <w:pPr>
              <w:jc w:val="center"/>
              <w:rPr>
                <w:sz w:val="16"/>
                <w:szCs w:val="16"/>
              </w:rPr>
            </w:pPr>
          </w:p>
        </w:tc>
        <w:tc>
          <w:tcPr>
            <w:tcW w:w="421" w:type="dxa"/>
            <w:vAlign w:val="center"/>
          </w:tcPr>
          <w:p w14:paraId="5002FD85"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1DC4CA2F" w14:textId="77777777" w:rsidR="00CB6100" w:rsidRPr="005A497D" w:rsidRDefault="00CB6100" w:rsidP="00D232C4">
            <w:pPr>
              <w:ind w:left="-57" w:right="-57"/>
              <w:jc w:val="center"/>
              <w:rPr>
                <w:b/>
                <w:sz w:val="16"/>
                <w:szCs w:val="16"/>
              </w:rPr>
            </w:pPr>
            <w:r w:rsidRPr="005A497D">
              <w:rPr>
                <w:b/>
                <w:sz w:val="16"/>
                <w:szCs w:val="16"/>
              </w:rPr>
              <w:t>A</w:t>
            </w:r>
          </w:p>
        </w:tc>
        <w:tc>
          <w:tcPr>
            <w:tcW w:w="421" w:type="dxa"/>
            <w:vAlign w:val="center"/>
          </w:tcPr>
          <w:p w14:paraId="218D3203"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40C454C3" w14:textId="77777777" w:rsidR="00CB6100" w:rsidRPr="005A497D" w:rsidRDefault="00CB6100" w:rsidP="00D232C4">
            <w:pPr>
              <w:ind w:left="-57" w:right="-57"/>
              <w:jc w:val="center"/>
              <w:rPr>
                <w:b/>
                <w:sz w:val="16"/>
                <w:szCs w:val="16"/>
              </w:rPr>
            </w:pPr>
          </w:p>
        </w:tc>
        <w:tc>
          <w:tcPr>
            <w:tcW w:w="808" w:type="dxa"/>
            <w:vAlign w:val="center"/>
          </w:tcPr>
          <w:p w14:paraId="46F4951B"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6437004D" w14:textId="77777777" w:rsidTr="00CB6100">
        <w:trPr>
          <w:trHeight w:val="288"/>
          <w:jc w:val="center"/>
        </w:trPr>
        <w:tc>
          <w:tcPr>
            <w:tcW w:w="495" w:type="dxa"/>
            <w:vAlign w:val="center"/>
          </w:tcPr>
          <w:p w14:paraId="6528A1C9" w14:textId="77777777" w:rsidR="00CB6100" w:rsidRPr="005A497D" w:rsidRDefault="00CB6100" w:rsidP="00CB6100">
            <w:pPr>
              <w:ind w:left="-28" w:right="-57"/>
              <w:rPr>
                <w:sz w:val="16"/>
                <w:szCs w:val="16"/>
              </w:rPr>
            </w:pPr>
            <w:r w:rsidRPr="005A497D">
              <w:rPr>
                <w:sz w:val="16"/>
                <w:szCs w:val="16"/>
              </w:rPr>
              <w:t>PI-12</w:t>
            </w:r>
          </w:p>
        </w:tc>
        <w:tc>
          <w:tcPr>
            <w:tcW w:w="3040" w:type="dxa"/>
            <w:vAlign w:val="center"/>
          </w:tcPr>
          <w:p w14:paraId="62D388BD" w14:textId="77777777" w:rsidR="00CB6100" w:rsidRPr="005A497D" w:rsidRDefault="00CB6100" w:rsidP="002F43FA">
            <w:pPr>
              <w:ind w:left="-28" w:right="-57"/>
              <w:rPr>
                <w:sz w:val="16"/>
                <w:szCs w:val="16"/>
              </w:rPr>
            </w:pPr>
            <w:r w:rsidRPr="005A497D">
              <w:rPr>
                <w:sz w:val="16"/>
                <w:szCs w:val="16"/>
              </w:rPr>
              <w:t>Multi-year perspective in fiscal planning, expenditure policy and budgeting</w:t>
            </w:r>
          </w:p>
        </w:tc>
        <w:tc>
          <w:tcPr>
            <w:tcW w:w="448" w:type="dxa"/>
            <w:vAlign w:val="center"/>
          </w:tcPr>
          <w:p w14:paraId="6831AA00"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5453BF0E" w14:textId="77777777" w:rsidR="00CB6100" w:rsidRPr="005A497D" w:rsidRDefault="00CB6100" w:rsidP="00D232C4">
            <w:pPr>
              <w:jc w:val="center"/>
              <w:rPr>
                <w:sz w:val="16"/>
                <w:szCs w:val="16"/>
              </w:rPr>
            </w:pPr>
          </w:p>
        </w:tc>
        <w:tc>
          <w:tcPr>
            <w:tcW w:w="440" w:type="dxa"/>
            <w:vAlign w:val="center"/>
          </w:tcPr>
          <w:p w14:paraId="2BD55BFF"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33370C4C"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61DF7E19"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55F571A7" w14:textId="77777777" w:rsidR="00CB6100" w:rsidRPr="005A497D" w:rsidRDefault="00CB6100" w:rsidP="00D232C4">
            <w:pPr>
              <w:ind w:left="-57" w:right="-57"/>
              <w:jc w:val="center"/>
              <w:rPr>
                <w:b/>
                <w:sz w:val="16"/>
                <w:szCs w:val="16"/>
              </w:rPr>
            </w:pPr>
            <w:r w:rsidRPr="005A497D">
              <w:rPr>
                <w:b/>
                <w:sz w:val="16"/>
                <w:szCs w:val="16"/>
              </w:rPr>
              <w:t>D</w:t>
            </w:r>
          </w:p>
        </w:tc>
        <w:tc>
          <w:tcPr>
            <w:tcW w:w="732" w:type="dxa"/>
            <w:vAlign w:val="center"/>
          </w:tcPr>
          <w:p w14:paraId="4415F513"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1967B8D7" w14:textId="77777777" w:rsidR="00CB6100" w:rsidRPr="005A497D" w:rsidRDefault="00CB6100" w:rsidP="00D232C4">
            <w:pPr>
              <w:jc w:val="center"/>
              <w:rPr>
                <w:sz w:val="16"/>
                <w:szCs w:val="16"/>
              </w:rPr>
            </w:pPr>
          </w:p>
        </w:tc>
        <w:tc>
          <w:tcPr>
            <w:tcW w:w="421" w:type="dxa"/>
            <w:vAlign w:val="center"/>
          </w:tcPr>
          <w:p w14:paraId="3B2AC8E7"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736A139E" w14:textId="77777777" w:rsidR="00CB6100" w:rsidRPr="005A497D" w:rsidRDefault="00CB6100" w:rsidP="00D232C4">
            <w:pPr>
              <w:ind w:left="-57" w:right="-57"/>
              <w:jc w:val="center"/>
              <w:rPr>
                <w:b/>
                <w:sz w:val="16"/>
                <w:szCs w:val="16"/>
              </w:rPr>
            </w:pPr>
            <w:r w:rsidRPr="005A497D">
              <w:rPr>
                <w:b/>
                <w:sz w:val="16"/>
                <w:szCs w:val="16"/>
              </w:rPr>
              <w:t>A</w:t>
            </w:r>
          </w:p>
        </w:tc>
        <w:tc>
          <w:tcPr>
            <w:tcW w:w="421" w:type="dxa"/>
            <w:vAlign w:val="center"/>
          </w:tcPr>
          <w:p w14:paraId="477F7C19"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00C8B3E9" w14:textId="77777777" w:rsidR="00CB6100" w:rsidRPr="005A497D" w:rsidRDefault="00CB6100" w:rsidP="00D232C4">
            <w:pPr>
              <w:ind w:left="-57" w:right="-57"/>
              <w:jc w:val="center"/>
              <w:rPr>
                <w:b/>
                <w:sz w:val="16"/>
                <w:szCs w:val="16"/>
              </w:rPr>
            </w:pPr>
            <w:r w:rsidRPr="005A497D">
              <w:rPr>
                <w:b/>
                <w:sz w:val="16"/>
                <w:szCs w:val="16"/>
              </w:rPr>
              <w:t>B</w:t>
            </w:r>
          </w:p>
        </w:tc>
        <w:tc>
          <w:tcPr>
            <w:tcW w:w="808" w:type="dxa"/>
            <w:vAlign w:val="center"/>
          </w:tcPr>
          <w:p w14:paraId="2EAAA98B" w14:textId="77777777" w:rsidR="00CB6100" w:rsidRPr="005A497D" w:rsidRDefault="00CB6100" w:rsidP="00D232C4">
            <w:pPr>
              <w:ind w:left="-57" w:right="-57"/>
              <w:jc w:val="center"/>
              <w:rPr>
                <w:b/>
                <w:sz w:val="16"/>
                <w:szCs w:val="16"/>
              </w:rPr>
            </w:pPr>
            <w:r w:rsidRPr="005A497D">
              <w:rPr>
                <w:b/>
                <w:sz w:val="16"/>
                <w:szCs w:val="16"/>
              </w:rPr>
              <w:t>B+</w:t>
            </w:r>
          </w:p>
        </w:tc>
      </w:tr>
      <w:tr w:rsidR="00CB6100" w:rsidRPr="005A497D" w14:paraId="1001D6DF" w14:textId="77777777" w:rsidTr="00D232C4">
        <w:trPr>
          <w:trHeight w:val="288"/>
          <w:jc w:val="center"/>
        </w:trPr>
        <w:tc>
          <w:tcPr>
            <w:tcW w:w="3983" w:type="dxa"/>
            <w:gridSpan w:val="3"/>
            <w:vAlign w:val="center"/>
          </w:tcPr>
          <w:p w14:paraId="2D138844" w14:textId="77777777" w:rsidR="00CB6100" w:rsidRPr="005A497D" w:rsidRDefault="00CB6100" w:rsidP="00CB6100">
            <w:pPr>
              <w:ind w:left="-28" w:right="-57"/>
              <w:rPr>
                <w:b/>
                <w:sz w:val="16"/>
                <w:szCs w:val="16"/>
              </w:rPr>
            </w:pPr>
            <w:r w:rsidRPr="005A497D">
              <w:rPr>
                <w:b/>
                <w:sz w:val="16"/>
                <w:szCs w:val="16"/>
              </w:rPr>
              <w:t>D – Predictability and Control in Budget Execution</w:t>
            </w:r>
          </w:p>
        </w:tc>
        <w:tc>
          <w:tcPr>
            <w:tcW w:w="263" w:type="dxa"/>
            <w:vMerge/>
            <w:shd w:val="clear" w:color="auto" w:fill="auto"/>
            <w:vAlign w:val="center"/>
          </w:tcPr>
          <w:p w14:paraId="615F6547" w14:textId="77777777" w:rsidR="00CB6100" w:rsidRPr="005A497D" w:rsidRDefault="00CB6100" w:rsidP="00D232C4">
            <w:pPr>
              <w:jc w:val="center"/>
              <w:rPr>
                <w:sz w:val="16"/>
                <w:szCs w:val="16"/>
              </w:rPr>
            </w:pPr>
          </w:p>
        </w:tc>
        <w:tc>
          <w:tcPr>
            <w:tcW w:w="2492" w:type="dxa"/>
            <w:gridSpan w:val="5"/>
            <w:vAlign w:val="center"/>
          </w:tcPr>
          <w:p w14:paraId="23BD4710" w14:textId="77777777" w:rsidR="00CB6100" w:rsidRPr="005A497D" w:rsidRDefault="00CB6100" w:rsidP="00D232C4">
            <w:pPr>
              <w:ind w:left="-57" w:right="-57"/>
              <w:jc w:val="center"/>
              <w:rPr>
                <w:b/>
                <w:sz w:val="16"/>
                <w:szCs w:val="16"/>
              </w:rPr>
            </w:pPr>
          </w:p>
        </w:tc>
        <w:tc>
          <w:tcPr>
            <w:tcW w:w="266" w:type="dxa"/>
            <w:vMerge/>
            <w:shd w:val="clear" w:color="auto" w:fill="auto"/>
            <w:vAlign w:val="center"/>
          </w:tcPr>
          <w:p w14:paraId="2F5BE45D" w14:textId="77777777" w:rsidR="00CB6100" w:rsidRPr="005A497D" w:rsidRDefault="00CB6100" w:rsidP="00D232C4">
            <w:pPr>
              <w:jc w:val="center"/>
              <w:rPr>
                <w:sz w:val="16"/>
                <w:szCs w:val="16"/>
              </w:rPr>
            </w:pPr>
          </w:p>
        </w:tc>
        <w:tc>
          <w:tcPr>
            <w:tcW w:w="2494" w:type="dxa"/>
            <w:gridSpan w:val="5"/>
            <w:vAlign w:val="center"/>
          </w:tcPr>
          <w:p w14:paraId="73549C6C" w14:textId="77777777" w:rsidR="00CB6100" w:rsidRPr="005A497D" w:rsidRDefault="00CB6100" w:rsidP="00D232C4">
            <w:pPr>
              <w:ind w:left="-57" w:right="-57"/>
              <w:jc w:val="center"/>
              <w:rPr>
                <w:b/>
                <w:sz w:val="16"/>
                <w:szCs w:val="16"/>
              </w:rPr>
            </w:pPr>
          </w:p>
        </w:tc>
      </w:tr>
      <w:tr w:rsidR="00CB6100" w:rsidRPr="005A497D" w14:paraId="7FBE3089" w14:textId="77777777" w:rsidTr="00CB6100">
        <w:trPr>
          <w:trHeight w:val="288"/>
          <w:jc w:val="center"/>
        </w:trPr>
        <w:tc>
          <w:tcPr>
            <w:tcW w:w="495" w:type="dxa"/>
            <w:vAlign w:val="center"/>
          </w:tcPr>
          <w:p w14:paraId="319CD166" w14:textId="77777777" w:rsidR="00CB6100" w:rsidRPr="005A497D" w:rsidRDefault="00CB6100" w:rsidP="00CB6100">
            <w:pPr>
              <w:ind w:left="-28" w:right="-57"/>
              <w:rPr>
                <w:sz w:val="16"/>
                <w:szCs w:val="16"/>
              </w:rPr>
            </w:pPr>
            <w:r w:rsidRPr="005A497D">
              <w:rPr>
                <w:sz w:val="16"/>
                <w:szCs w:val="16"/>
              </w:rPr>
              <w:t>PI-13</w:t>
            </w:r>
          </w:p>
        </w:tc>
        <w:tc>
          <w:tcPr>
            <w:tcW w:w="3040" w:type="dxa"/>
            <w:vAlign w:val="center"/>
          </w:tcPr>
          <w:p w14:paraId="681A0C38" w14:textId="77777777" w:rsidR="00CB6100" w:rsidRPr="005A497D" w:rsidRDefault="00CB6100" w:rsidP="002F43FA">
            <w:pPr>
              <w:ind w:left="-28" w:right="-57"/>
              <w:rPr>
                <w:sz w:val="16"/>
                <w:szCs w:val="16"/>
              </w:rPr>
            </w:pPr>
            <w:r w:rsidRPr="005A497D">
              <w:rPr>
                <w:sz w:val="16"/>
                <w:szCs w:val="16"/>
              </w:rPr>
              <w:t>Transparency of taxpayer obligations and liabilities</w:t>
            </w:r>
          </w:p>
        </w:tc>
        <w:tc>
          <w:tcPr>
            <w:tcW w:w="448" w:type="dxa"/>
            <w:vAlign w:val="center"/>
          </w:tcPr>
          <w:p w14:paraId="4A53BC33"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0967D409" w14:textId="77777777" w:rsidR="00CB6100" w:rsidRPr="005A497D" w:rsidRDefault="00CB6100" w:rsidP="00D232C4">
            <w:pPr>
              <w:jc w:val="center"/>
              <w:rPr>
                <w:sz w:val="16"/>
                <w:szCs w:val="16"/>
              </w:rPr>
            </w:pPr>
          </w:p>
        </w:tc>
        <w:tc>
          <w:tcPr>
            <w:tcW w:w="440" w:type="dxa"/>
            <w:vAlign w:val="center"/>
          </w:tcPr>
          <w:p w14:paraId="6F3E1922"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3C573293"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783C09BD"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324E9DC8" w14:textId="77777777" w:rsidR="00CB6100" w:rsidRPr="005A497D" w:rsidRDefault="00CB6100" w:rsidP="00D232C4">
            <w:pPr>
              <w:ind w:left="-57" w:right="-57"/>
              <w:jc w:val="center"/>
              <w:rPr>
                <w:b/>
                <w:sz w:val="16"/>
                <w:szCs w:val="16"/>
              </w:rPr>
            </w:pPr>
          </w:p>
        </w:tc>
        <w:tc>
          <w:tcPr>
            <w:tcW w:w="732" w:type="dxa"/>
            <w:vAlign w:val="center"/>
          </w:tcPr>
          <w:p w14:paraId="0D07E0E5" w14:textId="77777777" w:rsidR="00CB6100" w:rsidRPr="005A497D" w:rsidRDefault="00CB6100" w:rsidP="00D232C4">
            <w:pPr>
              <w:jc w:val="center"/>
              <w:rPr>
                <w:b/>
                <w:sz w:val="16"/>
                <w:szCs w:val="16"/>
              </w:rPr>
            </w:pPr>
            <w:r w:rsidRPr="005A497D">
              <w:rPr>
                <w:b/>
                <w:sz w:val="16"/>
                <w:szCs w:val="16"/>
              </w:rPr>
              <w:t>C</w:t>
            </w:r>
          </w:p>
        </w:tc>
        <w:tc>
          <w:tcPr>
            <w:tcW w:w="266" w:type="dxa"/>
            <w:vMerge/>
            <w:shd w:val="clear" w:color="auto" w:fill="auto"/>
            <w:vAlign w:val="center"/>
          </w:tcPr>
          <w:p w14:paraId="024B5F80" w14:textId="77777777" w:rsidR="00CB6100" w:rsidRPr="005A497D" w:rsidRDefault="00CB6100" w:rsidP="00D232C4">
            <w:pPr>
              <w:jc w:val="center"/>
              <w:rPr>
                <w:sz w:val="16"/>
                <w:szCs w:val="16"/>
              </w:rPr>
            </w:pPr>
          </w:p>
        </w:tc>
        <w:tc>
          <w:tcPr>
            <w:tcW w:w="421" w:type="dxa"/>
            <w:vAlign w:val="center"/>
          </w:tcPr>
          <w:p w14:paraId="209B6EB8"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05F34BB0" w14:textId="77777777" w:rsidR="00CB6100" w:rsidRPr="005A497D" w:rsidRDefault="00CB6100" w:rsidP="00D232C4">
            <w:pPr>
              <w:ind w:left="-57" w:right="-57"/>
              <w:jc w:val="center"/>
              <w:rPr>
                <w:b/>
                <w:sz w:val="16"/>
                <w:szCs w:val="16"/>
              </w:rPr>
            </w:pPr>
            <w:r w:rsidRPr="005A497D">
              <w:rPr>
                <w:b/>
                <w:sz w:val="16"/>
                <w:szCs w:val="16"/>
              </w:rPr>
              <w:t>B</w:t>
            </w:r>
          </w:p>
        </w:tc>
        <w:tc>
          <w:tcPr>
            <w:tcW w:w="421" w:type="dxa"/>
            <w:vAlign w:val="center"/>
          </w:tcPr>
          <w:p w14:paraId="61AB43F3" w14:textId="77777777" w:rsidR="00CB6100" w:rsidRPr="005A497D" w:rsidRDefault="00CB6100" w:rsidP="00D232C4">
            <w:pPr>
              <w:ind w:left="-57" w:right="-57"/>
              <w:jc w:val="center"/>
              <w:rPr>
                <w:b/>
                <w:sz w:val="16"/>
                <w:szCs w:val="16"/>
              </w:rPr>
            </w:pPr>
            <w:r w:rsidRPr="005A497D">
              <w:rPr>
                <w:b/>
                <w:sz w:val="16"/>
                <w:szCs w:val="16"/>
              </w:rPr>
              <w:t>B</w:t>
            </w:r>
          </w:p>
        </w:tc>
        <w:tc>
          <w:tcPr>
            <w:tcW w:w="422" w:type="dxa"/>
            <w:shd w:val="clear" w:color="auto" w:fill="F2F2F2" w:themeFill="background1" w:themeFillShade="F2"/>
            <w:vAlign w:val="center"/>
          </w:tcPr>
          <w:p w14:paraId="025AB725" w14:textId="77777777" w:rsidR="00CB6100" w:rsidRPr="005A497D" w:rsidRDefault="00CB6100" w:rsidP="00D232C4">
            <w:pPr>
              <w:ind w:left="-57" w:right="-57"/>
              <w:jc w:val="center"/>
              <w:rPr>
                <w:b/>
                <w:sz w:val="16"/>
                <w:szCs w:val="16"/>
              </w:rPr>
            </w:pPr>
          </w:p>
        </w:tc>
        <w:tc>
          <w:tcPr>
            <w:tcW w:w="808" w:type="dxa"/>
            <w:vAlign w:val="center"/>
          </w:tcPr>
          <w:p w14:paraId="6D30AF33" w14:textId="77777777" w:rsidR="00CB6100" w:rsidRPr="005A497D" w:rsidRDefault="00CB6100" w:rsidP="00D232C4">
            <w:pPr>
              <w:ind w:left="-57" w:right="-57"/>
              <w:jc w:val="center"/>
              <w:rPr>
                <w:b/>
                <w:sz w:val="16"/>
                <w:szCs w:val="16"/>
              </w:rPr>
            </w:pPr>
            <w:r w:rsidRPr="005A497D">
              <w:rPr>
                <w:b/>
                <w:sz w:val="16"/>
                <w:szCs w:val="16"/>
              </w:rPr>
              <w:t>B</w:t>
            </w:r>
          </w:p>
        </w:tc>
      </w:tr>
      <w:tr w:rsidR="00CB6100" w:rsidRPr="005A497D" w14:paraId="60692F4C" w14:textId="77777777" w:rsidTr="00CB6100">
        <w:trPr>
          <w:trHeight w:val="288"/>
          <w:jc w:val="center"/>
        </w:trPr>
        <w:tc>
          <w:tcPr>
            <w:tcW w:w="495" w:type="dxa"/>
            <w:vAlign w:val="center"/>
          </w:tcPr>
          <w:p w14:paraId="3E58F606" w14:textId="77777777" w:rsidR="00CB6100" w:rsidRPr="005A497D" w:rsidRDefault="00CB6100" w:rsidP="00CB6100">
            <w:pPr>
              <w:ind w:left="-28" w:right="-57"/>
              <w:rPr>
                <w:sz w:val="16"/>
                <w:szCs w:val="16"/>
              </w:rPr>
            </w:pPr>
            <w:r w:rsidRPr="005A497D">
              <w:rPr>
                <w:sz w:val="16"/>
                <w:szCs w:val="16"/>
              </w:rPr>
              <w:t>PI-14</w:t>
            </w:r>
          </w:p>
        </w:tc>
        <w:tc>
          <w:tcPr>
            <w:tcW w:w="3040" w:type="dxa"/>
            <w:vAlign w:val="center"/>
          </w:tcPr>
          <w:p w14:paraId="75E32090" w14:textId="77777777" w:rsidR="00CB6100" w:rsidRPr="005A497D" w:rsidRDefault="00CB6100" w:rsidP="002F43FA">
            <w:pPr>
              <w:ind w:left="-28" w:right="-57"/>
              <w:rPr>
                <w:sz w:val="16"/>
                <w:szCs w:val="16"/>
              </w:rPr>
            </w:pPr>
            <w:r w:rsidRPr="005A497D">
              <w:rPr>
                <w:sz w:val="16"/>
                <w:szCs w:val="16"/>
              </w:rPr>
              <w:t>Effectiveness of measures for taxpayer registration and tax assessment</w:t>
            </w:r>
          </w:p>
        </w:tc>
        <w:tc>
          <w:tcPr>
            <w:tcW w:w="448" w:type="dxa"/>
            <w:vAlign w:val="center"/>
          </w:tcPr>
          <w:p w14:paraId="25653318"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3665E015" w14:textId="77777777" w:rsidR="00CB6100" w:rsidRPr="005A497D" w:rsidRDefault="00CB6100" w:rsidP="00D232C4">
            <w:pPr>
              <w:jc w:val="center"/>
              <w:rPr>
                <w:sz w:val="16"/>
                <w:szCs w:val="16"/>
              </w:rPr>
            </w:pPr>
          </w:p>
        </w:tc>
        <w:tc>
          <w:tcPr>
            <w:tcW w:w="440" w:type="dxa"/>
            <w:vAlign w:val="center"/>
          </w:tcPr>
          <w:p w14:paraId="7D526097"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5C506E53"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14A54E88" w14:textId="77777777" w:rsidR="00CB6100" w:rsidRPr="005A497D" w:rsidRDefault="00CB6100" w:rsidP="00D232C4">
            <w:pPr>
              <w:ind w:left="-57" w:right="-57"/>
              <w:jc w:val="center"/>
              <w:rPr>
                <w:b/>
                <w:sz w:val="16"/>
                <w:szCs w:val="16"/>
              </w:rPr>
            </w:pPr>
            <w:r w:rsidRPr="005A497D">
              <w:rPr>
                <w:b/>
                <w:sz w:val="16"/>
                <w:szCs w:val="16"/>
              </w:rPr>
              <w:t>C</w:t>
            </w:r>
          </w:p>
        </w:tc>
        <w:tc>
          <w:tcPr>
            <w:tcW w:w="440" w:type="dxa"/>
            <w:shd w:val="clear" w:color="auto" w:fill="F2F2F2" w:themeFill="background1" w:themeFillShade="F2"/>
            <w:vAlign w:val="center"/>
          </w:tcPr>
          <w:p w14:paraId="24C26BDC" w14:textId="77777777" w:rsidR="00CB6100" w:rsidRPr="005A497D" w:rsidRDefault="00CB6100" w:rsidP="00D232C4">
            <w:pPr>
              <w:ind w:left="-57" w:right="-57"/>
              <w:jc w:val="center"/>
              <w:rPr>
                <w:b/>
                <w:sz w:val="16"/>
                <w:szCs w:val="16"/>
              </w:rPr>
            </w:pPr>
          </w:p>
        </w:tc>
        <w:tc>
          <w:tcPr>
            <w:tcW w:w="732" w:type="dxa"/>
            <w:vAlign w:val="center"/>
          </w:tcPr>
          <w:p w14:paraId="51B09017" w14:textId="77777777" w:rsidR="00CB6100" w:rsidRPr="005A497D" w:rsidRDefault="00CB6100" w:rsidP="00D232C4">
            <w:pPr>
              <w:jc w:val="center"/>
              <w:rPr>
                <w:b/>
                <w:sz w:val="16"/>
                <w:szCs w:val="16"/>
              </w:rPr>
            </w:pPr>
            <w:r w:rsidRPr="005A497D">
              <w:rPr>
                <w:b/>
                <w:sz w:val="16"/>
                <w:szCs w:val="16"/>
              </w:rPr>
              <w:t>C</w:t>
            </w:r>
          </w:p>
        </w:tc>
        <w:tc>
          <w:tcPr>
            <w:tcW w:w="266" w:type="dxa"/>
            <w:vMerge/>
            <w:shd w:val="clear" w:color="auto" w:fill="auto"/>
            <w:vAlign w:val="center"/>
          </w:tcPr>
          <w:p w14:paraId="7D94B2E5" w14:textId="77777777" w:rsidR="00CB6100" w:rsidRPr="005A497D" w:rsidRDefault="00CB6100" w:rsidP="00D232C4">
            <w:pPr>
              <w:jc w:val="center"/>
              <w:rPr>
                <w:sz w:val="16"/>
                <w:szCs w:val="16"/>
              </w:rPr>
            </w:pPr>
          </w:p>
        </w:tc>
        <w:tc>
          <w:tcPr>
            <w:tcW w:w="421" w:type="dxa"/>
            <w:vAlign w:val="center"/>
          </w:tcPr>
          <w:p w14:paraId="4C9FF4A6" w14:textId="4C594088" w:rsidR="00CB6100" w:rsidRPr="005A497D" w:rsidRDefault="009177CD" w:rsidP="00D232C4">
            <w:pPr>
              <w:ind w:left="-57" w:right="-57"/>
              <w:jc w:val="center"/>
              <w:rPr>
                <w:b/>
                <w:sz w:val="16"/>
                <w:szCs w:val="16"/>
              </w:rPr>
            </w:pPr>
            <w:r>
              <w:rPr>
                <w:b/>
                <w:sz w:val="16"/>
                <w:szCs w:val="16"/>
              </w:rPr>
              <w:t>B</w:t>
            </w:r>
          </w:p>
        </w:tc>
        <w:tc>
          <w:tcPr>
            <w:tcW w:w="422" w:type="dxa"/>
            <w:vAlign w:val="center"/>
          </w:tcPr>
          <w:p w14:paraId="2F796F14" w14:textId="77777777" w:rsidR="00CB6100" w:rsidRPr="005A497D" w:rsidRDefault="00CB6100" w:rsidP="00D232C4">
            <w:pPr>
              <w:ind w:left="-57" w:right="-57"/>
              <w:jc w:val="center"/>
              <w:rPr>
                <w:b/>
                <w:sz w:val="16"/>
                <w:szCs w:val="16"/>
              </w:rPr>
            </w:pPr>
            <w:r w:rsidRPr="005A497D">
              <w:rPr>
                <w:b/>
                <w:sz w:val="16"/>
                <w:szCs w:val="16"/>
              </w:rPr>
              <w:t>A</w:t>
            </w:r>
          </w:p>
        </w:tc>
        <w:tc>
          <w:tcPr>
            <w:tcW w:w="421" w:type="dxa"/>
            <w:vAlign w:val="center"/>
          </w:tcPr>
          <w:p w14:paraId="60A725E2" w14:textId="77777777" w:rsidR="00CB6100" w:rsidRPr="005A497D" w:rsidRDefault="00CB6100" w:rsidP="00D232C4">
            <w:pPr>
              <w:ind w:left="-57" w:right="-57"/>
              <w:jc w:val="center"/>
              <w:rPr>
                <w:b/>
                <w:sz w:val="16"/>
                <w:szCs w:val="16"/>
              </w:rPr>
            </w:pPr>
            <w:r w:rsidRPr="005A497D">
              <w:rPr>
                <w:b/>
                <w:sz w:val="16"/>
                <w:szCs w:val="16"/>
              </w:rPr>
              <w:t>B</w:t>
            </w:r>
          </w:p>
        </w:tc>
        <w:tc>
          <w:tcPr>
            <w:tcW w:w="422" w:type="dxa"/>
            <w:shd w:val="clear" w:color="auto" w:fill="F2F2F2" w:themeFill="background1" w:themeFillShade="F2"/>
            <w:vAlign w:val="center"/>
          </w:tcPr>
          <w:p w14:paraId="07654438" w14:textId="77777777" w:rsidR="00CB6100" w:rsidRPr="005A497D" w:rsidRDefault="00CB6100" w:rsidP="00D232C4">
            <w:pPr>
              <w:ind w:left="-57" w:right="-57"/>
              <w:jc w:val="center"/>
              <w:rPr>
                <w:b/>
                <w:sz w:val="16"/>
                <w:szCs w:val="16"/>
              </w:rPr>
            </w:pPr>
          </w:p>
        </w:tc>
        <w:tc>
          <w:tcPr>
            <w:tcW w:w="808" w:type="dxa"/>
            <w:vAlign w:val="center"/>
          </w:tcPr>
          <w:p w14:paraId="52F6C826" w14:textId="6EC399C0" w:rsidR="00CB6100" w:rsidRPr="005A497D" w:rsidRDefault="00CB6100" w:rsidP="00D232C4">
            <w:pPr>
              <w:ind w:left="-57" w:right="-57"/>
              <w:jc w:val="center"/>
              <w:rPr>
                <w:b/>
                <w:sz w:val="16"/>
                <w:szCs w:val="16"/>
              </w:rPr>
            </w:pPr>
            <w:r w:rsidRPr="005A497D">
              <w:rPr>
                <w:b/>
                <w:sz w:val="16"/>
                <w:szCs w:val="16"/>
              </w:rPr>
              <w:t>B</w:t>
            </w:r>
            <w:r w:rsidR="009177CD">
              <w:rPr>
                <w:b/>
                <w:sz w:val="16"/>
                <w:szCs w:val="16"/>
              </w:rPr>
              <w:t>+</w:t>
            </w:r>
          </w:p>
        </w:tc>
      </w:tr>
      <w:tr w:rsidR="00CB6100" w:rsidRPr="005A497D" w14:paraId="7EF869B5" w14:textId="77777777" w:rsidTr="00CB6100">
        <w:trPr>
          <w:trHeight w:val="288"/>
          <w:jc w:val="center"/>
        </w:trPr>
        <w:tc>
          <w:tcPr>
            <w:tcW w:w="495" w:type="dxa"/>
            <w:vAlign w:val="center"/>
          </w:tcPr>
          <w:p w14:paraId="3E485A1D" w14:textId="77777777" w:rsidR="00CB6100" w:rsidRPr="005A497D" w:rsidRDefault="00CB6100" w:rsidP="00CB6100">
            <w:pPr>
              <w:ind w:left="-28" w:right="-57"/>
              <w:rPr>
                <w:sz w:val="16"/>
                <w:szCs w:val="16"/>
              </w:rPr>
            </w:pPr>
            <w:r w:rsidRPr="005A497D">
              <w:rPr>
                <w:sz w:val="16"/>
                <w:szCs w:val="16"/>
              </w:rPr>
              <w:t>PI-15</w:t>
            </w:r>
          </w:p>
        </w:tc>
        <w:tc>
          <w:tcPr>
            <w:tcW w:w="3040" w:type="dxa"/>
            <w:vAlign w:val="center"/>
          </w:tcPr>
          <w:p w14:paraId="78B5ECC3" w14:textId="77777777" w:rsidR="00CB6100" w:rsidRPr="005A497D" w:rsidRDefault="00CB6100" w:rsidP="002F43FA">
            <w:pPr>
              <w:ind w:left="-28" w:right="-57"/>
              <w:rPr>
                <w:sz w:val="16"/>
                <w:szCs w:val="16"/>
              </w:rPr>
            </w:pPr>
            <w:r w:rsidRPr="005A497D">
              <w:rPr>
                <w:sz w:val="16"/>
                <w:szCs w:val="16"/>
              </w:rPr>
              <w:t>Effectiveness in collection of tax payments</w:t>
            </w:r>
          </w:p>
        </w:tc>
        <w:tc>
          <w:tcPr>
            <w:tcW w:w="448" w:type="dxa"/>
            <w:vAlign w:val="center"/>
          </w:tcPr>
          <w:p w14:paraId="7648FA0F"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68AE1027" w14:textId="77777777" w:rsidR="00CB6100" w:rsidRPr="005A497D" w:rsidRDefault="00CB6100" w:rsidP="00D232C4">
            <w:pPr>
              <w:jc w:val="center"/>
              <w:rPr>
                <w:sz w:val="16"/>
                <w:szCs w:val="16"/>
              </w:rPr>
            </w:pPr>
          </w:p>
        </w:tc>
        <w:tc>
          <w:tcPr>
            <w:tcW w:w="440" w:type="dxa"/>
            <w:vAlign w:val="center"/>
          </w:tcPr>
          <w:p w14:paraId="78AE8800"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5AA44E0D"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6C5331D8"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4EAC259A" w14:textId="77777777" w:rsidR="00CB6100" w:rsidRPr="005A497D" w:rsidRDefault="00CB6100" w:rsidP="00D232C4">
            <w:pPr>
              <w:ind w:left="-57" w:right="-57"/>
              <w:jc w:val="center"/>
              <w:rPr>
                <w:b/>
                <w:sz w:val="16"/>
                <w:szCs w:val="16"/>
              </w:rPr>
            </w:pPr>
          </w:p>
        </w:tc>
        <w:tc>
          <w:tcPr>
            <w:tcW w:w="732" w:type="dxa"/>
            <w:vAlign w:val="center"/>
          </w:tcPr>
          <w:p w14:paraId="3D2B61C8"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44531185" w14:textId="77777777" w:rsidR="00CB6100" w:rsidRPr="005A497D" w:rsidRDefault="00CB6100" w:rsidP="00D232C4">
            <w:pPr>
              <w:jc w:val="center"/>
              <w:rPr>
                <w:sz w:val="16"/>
                <w:szCs w:val="16"/>
              </w:rPr>
            </w:pPr>
          </w:p>
        </w:tc>
        <w:tc>
          <w:tcPr>
            <w:tcW w:w="421" w:type="dxa"/>
            <w:vAlign w:val="center"/>
          </w:tcPr>
          <w:p w14:paraId="41D3E951"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79AAA5A2" w14:textId="77777777" w:rsidR="00CB6100" w:rsidRPr="005A497D" w:rsidRDefault="00CB6100" w:rsidP="00D232C4">
            <w:pPr>
              <w:ind w:left="-57" w:right="-57"/>
              <w:jc w:val="center"/>
              <w:rPr>
                <w:b/>
                <w:sz w:val="16"/>
                <w:szCs w:val="16"/>
              </w:rPr>
            </w:pPr>
            <w:r w:rsidRPr="005A497D">
              <w:rPr>
                <w:b/>
                <w:sz w:val="16"/>
                <w:szCs w:val="16"/>
              </w:rPr>
              <w:t>A</w:t>
            </w:r>
          </w:p>
        </w:tc>
        <w:tc>
          <w:tcPr>
            <w:tcW w:w="421" w:type="dxa"/>
            <w:vAlign w:val="center"/>
          </w:tcPr>
          <w:p w14:paraId="22A1368F"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1DB6C56C" w14:textId="77777777" w:rsidR="00CB6100" w:rsidRPr="005A497D" w:rsidRDefault="00CB6100" w:rsidP="00D232C4">
            <w:pPr>
              <w:ind w:left="-57" w:right="-57"/>
              <w:jc w:val="center"/>
              <w:rPr>
                <w:b/>
                <w:sz w:val="16"/>
                <w:szCs w:val="16"/>
              </w:rPr>
            </w:pPr>
          </w:p>
        </w:tc>
        <w:tc>
          <w:tcPr>
            <w:tcW w:w="808" w:type="dxa"/>
            <w:vAlign w:val="center"/>
          </w:tcPr>
          <w:p w14:paraId="07C07FED"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252BEBDE" w14:textId="77777777" w:rsidTr="00CB6100">
        <w:trPr>
          <w:trHeight w:val="288"/>
          <w:jc w:val="center"/>
        </w:trPr>
        <w:tc>
          <w:tcPr>
            <w:tcW w:w="495" w:type="dxa"/>
            <w:vAlign w:val="center"/>
          </w:tcPr>
          <w:p w14:paraId="1AFC30F4" w14:textId="77777777" w:rsidR="00CB6100" w:rsidRPr="005A497D" w:rsidRDefault="00CB6100" w:rsidP="00CB6100">
            <w:pPr>
              <w:ind w:left="-28" w:right="-57"/>
              <w:rPr>
                <w:sz w:val="16"/>
                <w:szCs w:val="16"/>
              </w:rPr>
            </w:pPr>
            <w:r w:rsidRPr="005A497D">
              <w:rPr>
                <w:sz w:val="16"/>
                <w:szCs w:val="16"/>
              </w:rPr>
              <w:t>PI-16</w:t>
            </w:r>
          </w:p>
        </w:tc>
        <w:tc>
          <w:tcPr>
            <w:tcW w:w="3040" w:type="dxa"/>
            <w:vAlign w:val="center"/>
          </w:tcPr>
          <w:p w14:paraId="57EEBF34" w14:textId="77777777" w:rsidR="00CB6100" w:rsidRPr="005A497D" w:rsidRDefault="00CB6100" w:rsidP="002F43FA">
            <w:pPr>
              <w:ind w:left="-28" w:right="-57"/>
              <w:rPr>
                <w:sz w:val="16"/>
                <w:szCs w:val="16"/>
              </w:rPr>
            </w:pPr>
            <w:r w:rsidRPr="005A497D">
              <w:rPr>
                <w:sz w:val="16"/>
                <w:szCs w:val="16"/>
              </w:rPr>
              <w:t>Predictability in the availability of funds for commitment of expenditures</w:t>
            </w:r>
          </w:p>
        </w:tc>
        <w:tc>
          <w:tcPr>
            <w:tcW w:w="448" w:type="dxa"/>
            <w:vAlign w:val="center"/>
          </w:tcPr>
          <w:p w14:paraId="7D2A216D"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5451563F" w14:textId="77777777" w:rsidR="00CB6100" w:rsidRPr="005A497D" w:rsidRDefault="00CB6100" w:rsidP="00D232C4">
            <w:pPr>
              <w:jc w:val="center"/>
              <w:rPr>
                <w:sz w:val="16"/>
                <w:szCs w:val="16"/>
              </w:rPr>
            </w:pPr>
          </w:p>
        </w:tc>
        <w:tc>
          <w:tcPr>
            <w:tcW w:w="440" w:type="dxa"/>
            <w:vAlign w:val="center"/>
          </w:tcPr>
          <w:p w14:paraId="4F668E45"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2C6CCFAC"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6567D4D2"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5B5C663C" w14:textId="77777777" w:rsidR="00CB6100" w:rsidRPr="005A497D" w:rsidRDefault="00CB6100" w:rsidP="00D232C4">
            <w:pPr>
              <w:ind w:left="-57" w:right="-57"/>
              <w:jc w:val="center"/>
              <w:rPr>
                <w:b/>
                <w:sz w:val="16"/>
                <w:szCs w:val="16"/>
              </w:rPr>
            </w:pPr>
          </w:p>
        </w:tc>
        <w:tc>
          <w:tcPr>
            <w:tcW w:w="732" w:type="dxa"/>
            <w:vAlign w:val="center"/>
          </w:tcPr>
          <w:p w14:paraId="02CB05DC"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41AC7847" w14:textId="77777777" w:rsidR="00CB6100" w:rsidRPr="005A497D" w:rsidRDefault="00CB6100" w:rsidP="00D232C4">
            <w:pPr>
              <w:jc w:val="center"/>
              <w:rPr>
                <w:sz w:val="16"/>
                <w:szCs w:val="16"/>
              </w:rPr>
            </w:pPr>
          </w:p>
        </w:tc>
        <w:tc>
          <w:tcPr>
            <w:tcW w:w="421" w:type="dxa"/>
            <w:vAlign w:val="center"/>
          </w:tcPr>
          <w:p w14:paraId="108F0DD8"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5B12DDFA" w14:textId="77777777" w:rsidR="00CB6100" w:rsidRPr="005A497D" w:rsidRDefault="00CB6100" w:rsidP="00D232C4">
            <w:pPr>
              <w:ind w:left="-57" w:right="-57"/>
              <w:jc w:val="center"/>
              <w:rPr>
                <w:b/>
                <w:sz w:val="16"/>
                <w:szCs w:val="16"/>
              </w:rPr>
            </w:pPr>
            <w:r w:rsidRPr="005A497D">
              <w:rPr>
                <w:b/>
                <w:sz w:val="16"/>
                <w:szCs w:val="16"/>
              </w:rPr>
              <w:t>A</w:t>
            </w:r>
          </w:p>
        </w:tc>
        <w:tc>
          <w:tcPr>
            <w:tcW w:w="421" w:type="dxa"/>
            <w:vAlign w:val="center"/>
          </w:tcPr>
          <w:p w14:paraId="7DDA96BC" w14:textId="77777777" w:rsidR="00CB6100" w:rsidRPr="005A497D" w:rsidRDefault="00CB6100" w:rsidP="00D232C4">
            <w:pPr>
              <w:ind w:left="-57" w:right="-57"/>
              <w:jc w:val="center"/>
              <w:rPr>
                <w:b/>
                <w:sz w:val="16"/>
                <w:szCs w:val="16"/>
              </w:rPr>
            </w:pPr>
            <w:r w:rsidRPr="005A497D">
              <w:rPr>
                <w:b/>
                <w:sz w:val="16"/>
                <w:szCs w:val="16"/>
              </w:rPr>
              <w:t>A</w:t>
            </w:r>
          </w:p>
        </w:tc>
        <w:tc>
          <w:tcPr>
            <w:tcW w:w="422" w:type="dxa"/>
            <w:shd w:val="clear" w:color="auto" w:fill="F2F2F2" w:themeFill="background1" w:themeFillShade="F2"/>
            <w:vAlign w:val="center"/>
          </w:tcPr>
          <w:p w14:paraId="45D59F1C" w14:textId="77777777" w:rsidR="00CB6100" w:rsidRPr="005A497D" w:rsidRDefault="00CB6100" w:rsidP="00D232C4">
            <w:pPr>
              <w:ind w:left="-57" w:right="-57"/>
              <w:jc w:val="center"/>
              <w:rPr>
                <w:b/>
                <w:sz w:val="16"/>
                <w:szCs w:val="16"/>
              </w:rPr>
            </w:pPr>
          </w:p>
        </w:tc>
        <w:tc>
          <w:tcPr>
            <w:tcW w:w="808" w:type="dxa"/>
            <w:vAlign w:val="center"/>
          </w:tcPr>
          <w:p w14:paraId="2F45D5E8" w14:textId="77777777" w:rsidR="00CB6100" w:rsidRPr="005A497D" w:rsidRDefault="00CB6100" w:rsidP="00D232C4">
            <w:pPr>
              <w:ind w:left="-57" w:right="-57"/>
              <w:jc w:val="center"/>
              <w:rPr>
                <w:b/>
                <w:sz w:val="16"/>
                <w:szCs w:val="16"/>
              </w:rPr>
            </w:pPr>
            <w:r w:rsidRPr="005A497D">
              <w:rPr>
                <w:b/>
                <w:sz w:val="16"/>
                <w:szCs w:val="16"/>
              </w:rPr>
              <w:t>A</w:t>
            </w:r>
          </w:p>
        </w:tc>
      </w:tr>
      <w:tr w:rsidR="00CB6100" w:rsidRPr="005A497D" w14:paraId="294121C7" w14:textId="77777777" w:rsidTr="00CB6100">
        <w:trPr>
          <w:trHeight w:val="288"/>
          <w:jc w:val="center"/>
        </w:trPr>
        <w:tc>
          <w:tcPr>
            <w:tcW w:w="495" w:type="dxa"/>
            <w:vAlign w:val="center"/>
          </w:tcPr>
          <w:p w14:paraId="21045B2C" w14:textId="77777777" w:rsidR="00CB6100" w:rsidRPr="005A497D" w:rsidRDefault="00CB6100" w:rsidP="00CB6100">
            <w:pPr>
              <w:ind w:left="-28" w:right="-57"/>
              <w:rPr>
                <w:sz w:val="16"/>
                <w:szCs w:val="16"/>
              </w:rPr>
            </w:pPr>
            <w:r w:rsidRPr="005A497D">
              <w:rPr>
                <w:sz w:val="16"/>
                <w:szCs w:val="16"/>
              </w:rPr>
              <w:t>PI-17</w:t>
            </w:r>
          </w:p>
        </w:tc>
        <w:tc>
          <w:tcPr>
            <w:tcW w:w="3040" w:type="dxa"/>
            <w:vAlign w:val="center"/>
          </w:tcPr>
          <w:p w14:paraId="3F2A7150" w14:textId="77777777" w:rsidR="00CB6100" w:rsidRPr="005A497D" w:rsidRDefault="00CB6100" w:rsidP="002F43FA">
            <w:pPr>
              <w:ind w:left="-28" w:right="-57"/>
              <w:rPr>
                <w:sz w:val="16"/>
                <w:szCs w:val="16"/>
              </w:rPr>
            </w:pPr>
            <w:r w:rsidRPr="005A497D">
              <w:rPr>
                <w:sz w:val="16"/>
                <w:szCs w:val="16"/>
              </w:rPr>
              <w:t>Recording and management of cash balances, debt and guarantees</w:t>
            </w:r>
          </w:p>
        </w:tc>
        <w:tc>
          <w:tcPr>
            <w:tcW w:w="448" w:type="dxa"/>
            <w:vAlign w:val="center"/>
          </w:tcPr>
          <w:p w14:paraId="5A49EB18"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60CCDA2C" w14:textId="77777777" w:rsidR="00CB6100" w:rsidRPr="005A497D" w:rsidRDefault="00CB6100" w:rsidP="00D232C4">
            <w:pPr>
              <w:jc w:val="center"/>
              <w:rPr>
                <w:sz w:val="16"/>
                <w:szCs w:val="16"/>
              </w:rPr>
            </w:pPr>
          </w:p>
        </w:tc>
        <w:tc>
          <w:tcPr>
            <w:tcW w:w="440" w:type="dxa"/>
            <w:vAlign w:val="center"/>
          </w:tcPr>
          <w:p w14:paraId="2DDABDC0"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3BAE3A94"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260A12B7"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6B7CACE0" w14:textId="77777777" w:rsidR="00CB6100" w:rsidRPr="005A497D" w:rsidRDefault="00CB6100" w:rsidP="00D232C4">
            <w:pPr>
              <w:ind w:left="-57" w:right="-57"/>
              <w:jc w:val="center"/>
              <w:rPr>
                <w:b/>
                <w:sz w:val="16"/>
                <w:szCs w:val="16"/>
              </w:rPr>
            </w:pPr>
          </w:p>
        </w:tc>
        <w:tc>
          <w:tcPr>
            <w:tcW w:w="732" w:type="dxa"/>
            <w:vAlign w:val="center"/>
          </w:tcPr>
          <w:p w14:paraId="290108A2" w14:textId="77777777" w:rsidR="00CB6100" w:rsidRPr="005A497D" w:rsidRDefault="00CB6100" w:rsidP="00D232C4">
            <w:pPr>
              <w:jc w:val="center"/>
              <w:rPr>
                <w:b/>
                <w:sz w:val="16"/>
                <w:szCs w:val="16"/>
              </w:rPr>
            </w:pPr>
            <w:r w:rsidRPr="005A497D">
              <w:rPr>
                <w:b/>
                <w:sz w:val="16"/>
                <w:szCs w:val="16"/>
              </w:rPr>
              <w:t>B</w:t>
            </w:r>
          </w:p>
        </w:tc>
        <w:tc>
          <w:tcPr>
            <w:tcW w:w="266" w:type="dxa"/>
            <w:vMerge/>
            <w:shd w:val="clear" w:color="auto" w:fill="auto"/>
            <w:vAlign w:val="center"/>
          </w:tcPr>
          <w:p w14:paraId="27B5010D" w14:textId="77777777" w:rsidR="00CB6100" w:rsidRPr="005A497D" w:rsidRDefault="00CB6100" w:rsidP="00D232C4">
            <w:pPr>
              <w:jc w:val="center"/>
              <w:rPr>
                <w:sz w:val="16"/>
                <w:szCs w:val="16"/>
              </w:rPr>
            </w:pPr>
          </w:p>
        </w:tc>
        <w:tc>
          <w:tcPr>
            <w:tcW w:w="421" w:type="dxa"/>
            <w:vAlign w:val="center"/>
          </w:tcPr>
          <w:p w14:paraId="65F60D29"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2B63DC00" w14:textId="77777777" w:rsidR="00CB6100" w:rsidRPr="005A497D" w:rsidRDefault="00CB6100" w:rsidP="00D232C4">
            <w:pPr>
              <w:ind w:left="-57" w:right="-57"/>
              <w:jc w:val="center"/>
              <w:rPr>
                <w:b/>
                <w:sz w:val="16"/>
                <w:szCs w:val="16"/>
              </w:rPr>
            </w:pPr>
            <w:r w:rsidRPr="005A497D">
              <w:rPr>
                <w:b/>
                <w:sz w:val="16"/>
                <w:szCs w:val="16"/>
              </w:rPr>
              <w:t>B</w:t>
            </w:r>
          </w:p>
        </w:tc>
        <w:tc>
          <w:tcPr>
            <w:tcW w:w="421" w:type="dxa"/>
            <w:vAlign w:val="center"/>
          </w:tcPr>
          <w:p w14:paraId="30FBBA60" w14:textId="77777777" w:rsidR="00CB6100" w:rsidRPr="005A497D" w:rsidRDefault="00CB6100" w:rsidP="00D232C4">
            <w:pPr>
              <w:ind w:left="-57" w:right="-57"/>
              <w:jc w:val="center"/>
              <w:rPr>
                <w:b/>
                <w:sz w:val="16"/>
                <w:szCs w:val="16"/>
              </w:rPr>
            </w:pPr>
            <w:r w:rsidRPr="005A497D">
              <w:rPr>
                <w:b/>
                <w:sz w:val="16"/>
                <w:szCs w:val="16"/>
              </w:rPr>
              <w:t>B</w:t>
            </w:r>
          </w:p>
        </w:tc>
        <w:tc>
          <w:tcPr>
            <w:tcW w:w="422" w:type="dxa"/>
            <w:shd w:val="clear" w:color="auto" w:fill="F2F2F2" w:themeFill="background1" w:themeFillShade="F2"/>
            <w:vAlign w:val="center"/>
          </w:tcPr>
          <w:p w14:paraId="4429CE90" w14:textId="77777777" w:rsidR="00CB6100" w:rsidRPr="005A497D" w:rsidRDefault="00CB6100" w:rsidP="00D232C4">
            <w:pPr>
              <w:ind w:left="-57" w:right="-57"/>
              <w:jc w:val="center"/>
              <w:rPr>
                <w:b/>
                <w:sz w:val="16"/>
                <w:szCs w:val="16"/>
              </w:rPr>
            </w:pPr>
          </w:p>
        </w:tc>
        <w:tc>
          <w:tcPr>
            <w:tcW w:w="808" w:type="dxa"/>
            <w:vAlign w:val="center"/>
          </w:tcPr>
          <w:p w14:paraId="12E6546A" w14:textId="77777777" w:rsidR="00CB6100" w:rsidRPr="005A497D" w:rsidRDefault="00CB6100" w:rsidP="00D232C4">
            <w:pPr>
              <w:jc w:val="center"/>
              <w:rPr>
                <w:b/>
                <w:sz w:val="16"/>
                <w:szCs w:val="16"/>
              </w:rPr>
            </w:pPr>
            <w:r w:rsidRPr="005A497D">
              <w:rPr>
                <w:b/>
                <w:sz w:val="16"/>
                <w:szCs w:val="16"/>
              </w:rPr>
              <w:t>B</w:t>
            </w:r>
          </w:p>
        </w:tc>
      </w:tr>
      <w:tr w:rsidR="00CB6100" w:rsidRPr="005A497D" w14:paraId="68334C6B" w14:textId="77777777" w:rsidTr="00CB6100">
        <w:trPr>
          <w:trHeight w:val="288"/>
          <w:jc w:val="center"/>
        </w:trPr>
        <w:tc>
          <w:tcPr>
            <w:tcW w:w="495" w:type="dxa"/>
            <w:vAlign w:val="center"/>
          </w:tcPr>
          <w:p w14:paraId="42B99CC5" w14:textId="77777777" w:rsidR="00CB6100" w:rsidRPr="005A497D" w:rsidRDefault="00CB6100" w:rsidP="00CB6100">
            <w:pPr>
              <w:ind w:left="-28" w:right="-57"/>
              <w:rPr>
                <w:sz w:val="16"/>
                <w:szCs w:val="16"/>
              </w:rPr>
            </w:pPr>
            <w:r w:rsidRPr="005A497D">
              <w:rPr>
                <w:sz w:val="16"/>
                <w:szCs w:val="16"/>
              </w:rPr>
              <w:t>PI-18</w:t>
            </w:r>
          </w:p>
        </w:tc>
        <w:tc>
          <w:tcPr>
            <w:tcW w:w="3040" w:type="dxa"/>
            <w:vAlign w:val="center"/>
          </w:tcPr>
          <w:p w14:paraId="65C0045C" w14:textId="77777777" w:rsidR="00CB6100" w:rsidRPr="005A497D" w:rsidRDefault="00CB6100" w:rsidP="002F43FA">
            <w:pPr>
              <w:ind w:left="-28" w:right="-57"/>
              <w:rPr>
                <w:sz w:val="16"/>
                <w:szCs w:val="16"/>
              </w:rPr>
            </w:pPr>
            <w:r w:rsidRPr="005A497D">
              <w:rPr>
                <w:sz w:val="16"/>
                <w:szCs w:val="16"/>
              </w:rPr>
              <w:t>Effectiveness of payroll controls</w:t>
            </w:r>
          </w:p>
        </w:tc>
        <w:tc>
          <w:tcPr>
            <w:tcW w:w="448" w:type="dxa"/>
            <w:vAlign w:val="center"/>
          </w:tcPr>
          <w:p w14:paraId="1274329D"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EC667D0" w14:textId="77777777" w:rsidR="00CB6100" w:rsidRPr="005A497D" w:rsidRDefault="00CB6100" w:rsidP="00D232C4">
            <w:pPr>
              <w:jc w:val="center"/>
              <w:rPr>
                <w:sz w:val="16"/>
                <w:szCs w:val="16"/>
              </w:rPr>
            </w:pPr>
          </w:p>
        </w:tc>
        <w:tc>
          <w:tcPr>
            <w:tcW w:w="440" w:type="dxa"/>
            <w:vAlign w:val="center"/>
          </w:tcPr>
          <w:p w14:paraId="6C894192"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68A561EB"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2BAA5328"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4044F6C1" w14:textId="77777777" w:rsidR="00CB6100" w:rsidRPr="005A497D" w:rsidRDefault="00CB6100" w:rsidP="00D232C4">
            <w:pPr>
              <w:ind w:left="-57" w:right="-57"/>
              <w:jc w:val="center"/>
              <w:rPr>
                <w:b/>
                <w:sz w:val="16"/>
                <w:szCs w:val="16"/>
              </w:rPr>
            </w:pPr>
            <w:r w:rsidRPr="005A497D">
              <w:rPr>
                <w:b/>
                <w:sz w:val="16"/>
                <w:szCs w:val="16"/>
              </w:rPr>
              <w:t>C</w:t>
            </w:r>
          </w:p>
        </w:tc>
        <w:tc>
          <w:tcPr>
            <w:tcW w:w="732" w:type="dxa"/>
            <w:vAlign w:val="center"/>
          </w:tcPr>
          <w:p w14:paraId="30BB200F" w14:textId="77777777" w:rsidR="00CB6100" w:rsidRPr="005A497D" w:rsidRDefault="00CB6100" w:rsidP="00D232C4">
            <w:pPr>
              <w:jc w:val="center"/>
              <w:rPr>
                <w:b/>
                <w:sz w:val="16"/>
                <w:szCs w:val="16"/>
              </w:rPr>
            </w:pPr>
            <w:r w:rsidRPr="005A497D">
              <w:rPr>
                <w:b/>
                <w:sz w:val="16"/>
                <w:szCs w:val="16"/>
              </w:rPr>
              <w:t>C+</w:t>
            </w:r>
          </w:p>
        </w:tc>
        <w:tc>
          <w:tcPr>
            <w:tcW w:w="266" w:type="dxa"/>
            <w:vMerge/>
            <w:shd w:val="clear" w:color="auto" w:fill="auto"/>
            <w:vAlign w:val="center"/>
          </w:tcPr>
          <w:p w14:paraId="15C9A00A" w14:textId="77777777" w:rsidR="00CB6100" w:rsidRPr="005A497D" w:rsidRDefault="00CB6100" w:rsidP="00D232C4">
            <w:pPr>
              <w:jc w:val="center"/>
              <w:rPr>
                <w:sz w:val="16"/>
                <w:szCs w:val="16"/>
              </w:rPr>
            </w:pPr>
          </w:p>
        </w:tc>
        <w:tc>
          <w:tcPr>
            <w:tcW w:w="421" w:type="dxa"/>
            <w:vAlign w:val="center"/>
          </w:tcPr>
          <w:p w14:paraId="730D6922"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648744D2" w14:textId="77777777" w:rsidR="00CB6100" w:rsidRPr="005A497D" w:rsidRDefault="00CB6100" w:rsidP="00D232C4">
            <w:pPr>
              <w:ind w:left="-57" w:right="-57"/>
              <w:jc w:val="center"/>
              <w:rPr>
                <w:b/>
                <w:sz w:val="16"/>
                <w:szCs w:val="16"/>
              </w:rPr>
            </w:pPr>
            <w:r w:rsidRPr="005A497D">
              <w:rPr>
                <w:b/>
                <w:sz w:val="16"/>
                <w:szCs w:val="16"/>
              </w:rPr>
              <w:t>B</w:t>
            </w:r>
          </w:p>
        </w:tc>
        <w:tc>
          <w:tcPr>
            <w:tcW w:w="421" w:type="dxa"/>
            <w:vAlign w:val="center"/>
          </w:tcPr>
          <w:p w14:paraId="346815B7" w14:textId="77777777" w:rsidR="00CB6100" w:rsidRPr="005A497D" w:rsidRDefault="00CB6100" w:rsidP="00D232C4">
            <w:pPr>
              <w:ind w:left="-57" w:right="-57"/>
              <w:jc w:val="center"/>
              <w:rPr>
                <w:b/>
                <w:sz w:val="16"/>
                <w:szCs w:val="16"/>
              </w:rPr>
            </w:pPr>
            <w:r w:rsidRPr="005A497D">
              <w:rPr>
                <w:b/>
                <w:sz w:val="16"/>
                <w:szCs w:val="16"/>
              </w:rPr>
              <w:t>C</w:t>
            </w:r>
          </w:p>
        </w:tc>
        <w:tc>
          <w:tcPr>
            <w:tcW w:w="422" w:type="dxa"/>
            <w:vAlign w:val="center"/>
          </w:tcPr>
          <w:p w14:paraId="1815D6C3" w14:textId="77777777" w:rsidR="00CB6100" w:rsidRPr="005A497D" w:rsidRDefault="00CB6100" w:rsidP="00D232C4">
            <w:pPr>
              <w:ind w:left="-57" w:right="-57"/>
              <w:jc w:val="center"/>
              <w:rPr>
                <w:b/>
                <w:sz w:val="16"/>
                <w:szCs w:val="16"/>
              </w:rPr>
            </w:pPr>
            <w:r w:rsidRPr="005A497D">
              <w:rPr>
                <w:b/>
                <w:sz w:val="16"/>
                <w:szCs w:val="16"/>
              </w:rPr>
              <w:t>C</w:t>
            </w:r>
          </w:p>
        </w:tc>
        <w:tc>
          <w:tcPr>
            <w:tcW w:w="808" w:type="dxa"/>
            <w:vAlign w:val="center"/>
          </w:tcPr>
          <w:p w14:paraId="18DCC30B" w14:textId="77777777" w:rsidR="00CB6100" w:rsidRPr="005A497D" w:rsidRDefault="00CB6100" w:rsidP="00D232C4">
            <w:pPr>
              <w:ind w:left="-57" w:right="-57"/>
              <w:jc w:val="center"/>
              <w:rPr>
                <w:b/>
                <w:sz w:val="16"/>
                <w:szCs w:val="16"/>
              </w:rPr>
            </w:pPr>
            <w:r w:rsidRPr="005A497D">
              <w:rPr>
                <w:b/>
                <w:sz w:val="16"/>
                <w:szCs w:val="16"/>
              </w:rPr>
              <w:t>C+</w:t>
            </w:r>
          </w:p>
        </w:tc>
      </w:tr>
      <w:tr w:rsidR="00CB6100" w:rsidRPr="005A497D" w14:paraId="228B32F8" w14:textId="77777777" w:rsidTr="00CB6100">
        <w:trPr>
          <w:trHeight w:val="288"/>
          <w:jc w:val="center"/>
        </w:trPr>
        <w:tc>
          <w:tcPr>
            <w:tcW w:w="495" w:type="dxa"/>
            <w:vAlign w:val="center"/>
          </w:tcPr>
          <w:p w14:paraId="13079365" w14:textId="77777777" w:rsidR="00CB6100" w:rsidRPr="005A497D" w:rsidRDefault="00CB6100" w:rsidP="00CB6100">
            <w:pPr>
              <w:ind w:left="-28" w:right="-57"/>
              <w:rPr>
                <w:sz w:val="16"/>
                <w:szCs w:val="16"/>
              </w:rPr>
            </w:pPr>
            <w:r w:rsidRPr="005A497D">
              <w:rPr>
                <w:sz w:val="16"/>
                <w:szCs w:val="16"/>
              </w:rPr>
              <w:t>PI-19</w:t>
            </w:r>
          </w:p>
        </w:tc>
        <w:tc>
          <w:tcPr>
            <w:tcW w:w="3040" w:type="dxa"/>
            <w:vAlign w:val="center"/>
          </w:tcPr>
          <w:p w14:paraId="24AE3A19" w14:textId="4E705427" w:rsidR="00CB6100" w:rsidRPr="006F1244" w:rsidRDefault="006F1244" w:rsidP="002F43FA">
            <w:pPr>
              <w:ind w:left="-28" w:right="-57"/>
              <w:rPr>
                <w:sz w:val="16"/>
                <w:szCs w:val="16"/>
              </w:rPr>
            </w:pPr>
            <w:r w:rsidRPr="006F1244">
              <w:rPr>
                <w:sz w:val="16"/>
                <w:szCs w:val="16"/>
              </w:rPr>
              <w:t>Competition, value for money and controls in procurement</w:t>
            </w:r>
          </w:p>
        </w:tc>
        <w:tc>
          <w:tcPr>
            <w:tcW w:w="448" w:type="dxa"/>
            <w:vAlign w:val="center"/>
          </w:tcPr>
          <w:p w14:paraId="4AF79198"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16995D1F" w14:textId="77777777" w:rsidR="00CB6100" w:rsidRPr="005A497D" w:rsidRDefault="00CB6100" w:rsidP="00D232C4">
            <w:pPr>
              <w:jc w:val="center"/>
              <w:rPr>
                <w:sz w:val="16"/>
                <w:szCs w:val="16"/>
              </w:rPr>
            </w:pPr>
          </w:p>
        </w:tc>
        <w:tc>
          <w:tcPr>
            <w:tcW w:w="440" w:type="dxa"/>
            <w:vAlign w:val="center"/>
          </w:tcPr>
          <w:p w14:paraId="14962D21"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604E0DAC"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2D6F72A7"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278E2B1D" w14:textId="77777777" w:rsidR="00CB6100" w:rsidRPr="005A497D" w:rsidRDefault="00CB6100" w:rsidP="00D232C4">
            <w:pPr>
              <w:ind w:left="-57" w:right="-57"/>
              <w:jc w:val="center"/>
              <w:rPr>
                <w:b/>
                <w:sz w:val="16"/>
                <w:szCs w:val="16"/>
              </w:rPr>
            </w:pPr>
          </w:p>
        </w:tc>
        <w:tc>
          <w:tcPr>
            <w:tcW w:w="732" w:type="dxa"/>
            <w:vAlign w:val="center"/>
          </w:tcPr>
          <w:p w14:paraId="1418C517" w14:textId="77777777" w:rsidR="00CB6100" w:rsidRPr="005A497D" w:rsidRDefault="00CB6100" w:rsidP="00D232C4">
            <w:pPr>
              <w:jc w:val="center"/>
              <w:rPr>
                <w:b/>
                <w:sz w:val="16"/>
                <w:szCs w:val="16"/>
              </w:rPr>
            </w:pPr>
            <w:r w:rsidRPr="005A497D">
              <w:rPr>
                <w:b/>
                <w:sz w:val="16"/>
                <w:szCs w:val="16"/>
              </w:rPr>
              <w:t>B</w:t>
            </w:r>
          </w:p>
        </w:tc>
        <w:tc>
          <w:tcPr>
            <w:tcW w:w="266" w:type="dxa"/>
            <w:vMerge/>
            <w:shd w:val="clear" w:color="auto" w:fill="auto"/>
            <w:vAlign w:val="center"/>
          </w:tcPr>
          <w:p w14:paraId="154DB6C2" w14:textId="77777777" w:rsidR="00CB6100" w:rsidRPr="005A497D" w:rsidRDefault="00CB6100" w:rsidP="00D232C4">
            <w:pPr>
              <w:jc w:val="center"/>
              <w:rPr>
                <w:sz w:val="16"/>
                <w:szCs w:val="16"/>
              </w:rPr>
            </w:pPr>
          </w:p>
        </w:tc>
        <w:tc>
          <w:tcPr>
            <w:tcW w:w="421" w:type="dxa"/>
            <w:vAlign w:val="center"/>
          </w:tcPr>
          <w:p w14:paraId="6168FB2E" w14:textId="3EE726A4" w:rsidR="00CB6100" w:rsidRPr="00790AEC" w:rsidRDefault="00790AEC" w:rsidP="00D232C4">
            <w:pPr>
              <w:ind w:left="-57" w:right="-57"/>
              <w:jc w:val="center"/>
              <w:rPr>
                <w:b/>
                <w:sz w:val="16"/>
                <w:szCs w:val="16"/>
              </w:rPr>
            </w:pPr>
            <w:r>
              <w:rPr>
                <w:b/>
                <w:sz w:val="16"/>
                <w:szCs w:val="16"/>
              </w:rPr>
              <w:t>B</w:t>
            </w:r>
          </w:p>
        </w:tc>
        <w:tc>
          <w:tcPr>
            <w:tcW w:w="422" w:type="dxa"/>
            <w:vAlign w:val="center"/>
          </w:tcPr>
          <w:p w14:paraId="1378F139" w14:textId="6C2615C1" w:rsidR="00CB6100" w:rsidRPr="00790AEC" w:rsidRDefault="00790AEC" w:rsidP="00D232C4">
            <w:pPr>
              <w:ind w:left="-57" w:right="-57"/>
              <w:jc w:val="center"/>
              <w:rPr>
                <w:b/>
                <w:sz w:val="16"/>
                <w:szCs w:val="16"/>
              </w:rPr>
            </w:pPr>
            <w:r>
              <w:rPr>
                <w:b/>
                <w:sz w:val="16"/>
                <w:szCs w:val="16"/>
              </w:rPr>
              <w:t>B</w:t>
            </w:r>
          </w:p>
        </w:tc>
        <w:tc>
          <w:tcPr>
            <w:tcW w:w="421" w:type="dxa"/>
            <w:vAlign w:val="center"/>
          </w:tcPr>
          <w:p w14:paraId="21CAE58F" w14:textId="6230EBDD" w:rsidR="00CB6100" w:rsidRPr="00790AEC" w:rsidRDefault="00790AEC" w:rsidP="00D232C4">
            <w:pPr>
              <w:ind w:left="-57" w:right="-57"/>
              <w:jc w:val="center"/>
              <w:rPr>
                <w:b/>
                <w:sz w:val="16"/>
                <w:szCs w:val="16"/>
              </w:rPr>
            </w:pPr>
            <w:r>
              <w:rPr>
                <w:b/>
                <w:sz w:val="16"/>
                <w:szCs w:val="16"/>
              </w:rPr>
              <w:t>B</w:t>
            </w:r>
          </w:p>
        </w:tc>
        <w:tc>
          <w:tcPr>
            <w:tcW w:w="422" w:type="dxa"/>
            <w:vAlign w:val="center"/>
          </w:tcPr>
          <w:p w14:paraId="7FD56E38" w14:textId="58345B87" w:rsidR="00CB6100" w:rsidRPr="00790AEC" w:rsidRDefault="00790AEC" w:rsidP="00D232C4">
            <w:pPr>
              <w:ind w:left="-57" w:right="-57"/>
              <w:jc w:val="center"/>
              <w:rPr>
                <w:b/>
                <w:sz w:val="16"/>
                <w:szCs w:val="16"/>
              </w:rPr>
            </w:pPr>
            <w:r>
              <w:rPr>
                <w:b/>
                <w:sz w:val="16"/>
                <w:szCs w:val="16"/>
              </w:rPr>
              <w:t>B</w:t>
            </w:r>
          </w:p>
        </w:tc>
        <w:tc>
          <w:tcPr>
            <w:tcW w:w="808" w:type="dxa"/>
            <w:vAlign w:val="center"/>
          </w:tcPr>
          <w:p w14:paraId="39F2614A" w14:textId="30551A28" w:rsidR="00CB6100" w:rsidRPr="00790AEC" w:rsidRDefault="00790AEC" w:rsidP="00D232C4">
            <w:pPr>
              <w:ind w:left="-57" w:right="-57"/>
              <w:jc w:val="center"/>
              <w:rPr>
                <w:b/>
                <w:sz w:val="16"/>
                <w:szCs w:val="16"/>
              </w:rPr>
            </w:pPr>
            <w:r>
              <w:rPr>
                <w:b/>
                <w:sz w:val="16"/>
                <w:szCs w:val="16"/>
              </w:rPr>
              <w:t>B</w:t>
            </w:r>
          </w:p>
        </w:tc>
      </w:tr>
      <w:tr w:rsidR="00CB6100" w:rsidRPr="005A497D" w14:paraId="2EB88F2C" w14:textId="77777777" w:rsidTr="00CB6100">
        <w:trPr>
          <w:trHeight w:val="288"/>
          <w:jc w:val="center"/>
        </w:trPr>
        <w:tc>
          <w:tcPr>
            <w:tcW w:w="495" w:type="dxa"/>
            <w:vAlign w:val="center"/>
          </w:tcPr>
          <w:p w14:paraId="512F1AD3" w14:textId="77777777" w:rsidR="00CB6100" w:rsidRPr="005A497D" w:rsidRDefault="00CB6100" w:rsidP="00CB6100">
            <w:pPr>
              <w:ind w:left="-28" w:right="-57"/>
              <w:rPr>
                <w:sz w:val="16"/>
                <w:szCs w:val="16"/>
              </w:rPr>
            </w:pPr>
            <w:r w:rsidRPr="005A497D">
              <w:rPr>
                <w:sz w:val="16"/>
                <w:szCs w:val="16"/>
              </w:rPr>
              <w:t>PI-20</w:t>
            </w:r>
          </w:p>
        </w:tc>
        <w:tc>
          <w:tcPr>
            <w:tcW w:w="3040" w:type="dxa"/>
            <w:vAlign w:val="center"/>
          </w:tcPr>
          <w:p w14:paraId="1724FC7A" w14:textId="77777777" w:rsidR="00CB6100" w:rsidRPr="005A497D" w:rsidRDefault="00CB6100" w:rsidP="002F43FA">
            <w:pPr>
              <w:ind w:left="-28" w:right="-57"/>
              <w:rPr>
                <w:sz w:val="16"/>
                <w:szCs w:val="16"/>
              </w:rPr>
            </w:pPr>
            <w:r w:rsidRPr="005A497D">
              <w:rPr>
                <w:sz w:val="16"/>
                <w:szCs w:val="16"/>
              </w:rPr>
              <w:t>Effectiveness of internal controls for non-salary Expenditure</w:t>
            </w:r>
          </w:p>
        </w:tc>
        <w:tc>
          <w:tcPr>
            <w:tcW w:w="448" w:type="dxa"/>
            <w:vAlign w:val="center"/>
          </w:tcPr>
          <w:p w14:paraId="00F69669"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EF4F591" w14:textId="77777777" w:rsidR="00CB6100" w:rsidRPr="005A497D" w:rsidRDefault="00CB6100" w:rsidP="00D232C4">
            <w:pPr>
              <w:jc w:val="center"/>
              <w:rPr>
                <w:sz w:val="16"/>
                <w:szCs w:val="16"/>
              </w:rPr>
            </w:pPr>
          </w:p>
        </w:tc>
        <w:tc>
          <w:tcPr>
            <w:tcW w:w="440" w:type="dxa"/>
            <w:vAlign w:val="center"/>
          </w:tcPr>
          <w:p w14:paraId="667D70B9"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755A659F" w14:textId="77777777" w:rsidR="00CB6100" w:rsidRPr="005A497D" w:rsidRDefault="00CB6100" w:rsidP="00D232C4">
            <w:pPr>
              <w:ind w:left="-57" w:right="-57"/>
              <w:jc w:val="center"/>
              <w:rPr>
                <w:b/>
                <w:sz w:val="16"/>
                <w:szCs w:val="16"/>
              </w:rPr>
            </w:pPr>
            <w:r w:rsidRPr="005A497D">
              <w:rPr>
                <w:b/>
                <w:sz w:val="16"/>
                <w:szCs w:val="16"/>
              </w:rPr>
              <w:t>C</w:t>
            </w:r>
          </w:p>
        </w:tc>
        <w:tc>
          <w:tcPr>
            <w:tcW w:w="440" w:type="dxa"/>
            <w:vAlign w:val="center"/>
          </w:tcPr>
          <w:p w14:paraId="27F98963"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2B1861EC" w14:textId="77777777" w:rsidR="00CB6100" w:rsidRPr="005A497D" w:rsidRDefault="00CB6100" w:rsidP="00D232C4">
            <w:pPr>
              <w:ind w:left="-57" w:right="-57"/>
              <w:jc w:val="center"/>
              <w:rPr>
                <w:b/>
                <w:sz w:val="16"/>
                <w:szCs w:val="16"/>
              </w:rPr>
            </w:pPr>
          </w:p>
        </w:tc>
        <w:tc>
          <w:tcPr>
            <w:tcW w:w="732" w:type="dxa"/>
            <w:vAlign w:val="center"/>
          </w:tcPr>
          <w:p w14:paraId="61717519"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58A61C2B" w14:textId="77777777" w:rsidR="00CB6100" w:rsidRPr="005A497D" w:rsidRDefault="00CB6100" w:rsidP="00D232C4">
            <w:pPr>
              <w:jc w:val="center"/>
              <w:rPr>
                <w:sz w:val="16"/>
                <w:szCs w:val="16"/>
              </w:rPr>
            </w:pPr>
          </w:p>
        </w:tc>
        <w:tc>
          <w:tcPr>
            <w:tcW w:w="421" w:type="dxa"/>
            <w:vAlign w:val="center"/>
          </w:tcPr>
          <w:p w14:paraId="77938086" w14:textId="77777777" w:rsidR="00CB6100" w:rsidRPr="005A497D" w:rsidRDefault="00CB6100" w:rsidP="00D232C4">
            <w:pPr>
              <w:ind w:left="-57" w:right="-57"/>
              <w:jc w:val="center"/>
              <w:rPr>
                <w:b/>
                <w:sz w:val="16"/>
                <w:szCs w:val="16"/>
              </w:rPr>
            </w:pPr>
            <w:r w:rsidRPr="005A497D">
              <w:rPr>
                <w:b/>
                <w:sz w:val="16"/>
                <w:szCs w:val="16"/>
              </w:rPr>
              <w:t>C</w:t>
            </w:r>
          </w:p>
        </w:tc>
        <w:tc>
          <w:tcPr>
            <w:tcW w:w="422" w:type="dxa"/>
            <w:vAlign w:val="center"/>
          </w:tcPr>
          <w:p w14:paraId="70B68BE3" w14:textId="03FC2E69" w:rsidR="00CB6100" w:rsidRPr="005A497D" w:rsidRDefault="00A20DCC" w:rsidP="00D232C4">
            <w:pPr>
              <w:ind w:left="-57" w:right="-57"/>
              <w:jc w:val="center"/>
              <w:rPr>
                <w:b/>
                <w:sz w:val="16"/>
                <w:szCs w:val="16"/>
              </w:rPr>
            </w:pPr>
            <w:r>
              <w:rPr>
                <w:b/>
                <w:sz w:val="16"/>
                <w:szCs w:val="16"/>
              </w:rPr>
              <w:t>B</w:t>
            </w:r>
          </w:p>
        </w:tc>
        <w:tc>
          <w:tcPr>
            <w:tcW w:w="421" w:type="dxa"/>
            <w:vAlign w:val="center"/>
          </w:tcPr>
          <w:p w14:paraId="2621835F" w14:textId="05C6229B" w:rsidR="00CB6100" w:rsidRPr="005A497D" w:rsidRDefault="00A20DCC" w:rsidP="00D232C4">
            <w:pPr>
              <w:ind w:left="-57" w:right="-57"/>
              <w:jc w:val="center"/>
              <w:rPr>
                <w:b/>
                <w:sz w:val="16"/>
                <w:szCs w:val="16"/>
              </w:rPr>
            </w:pPr>
            <w:r>
              <w:rPr>
                <w:b/>
                <w:sz w:val="16"/>
                <w:szCs w:val="16"/>
              </w:rPr>
              <w:t>C</w:t>
            </w:r>
          </w:p>
        </w:tc>
        <w:tc>
          <w:tcPr>
            <w:tcW w:w="422" w:type="dxa"/>
            <w:shd w:val="clear" w:color="auto" w:fill="F2F2F2" w:themeFill="background1" w:themeFillShade="F2"/>
            <w:vAlign w:val="center"/>
          </w:tcPr>
          <w:p w14:paraId="6EB98962" w14:textId="77777777" w:rsidR="00CB6100" w:rsidRPr="005A497D" w:rsidRDefault="00CB6100" w:rsidP="00D232C4">
            <w:pPr>
              <w:ind w:left="-57" w:right="-57"/>
              <w:jc w:val="center"/>
              <w:rPr>
                <w:b/>
                <w:sz w:val="16"/>
                <w:szCs w:val="16"/>
              </w:rPr>
            </w:pPr>
          </w:p>
        </w:tc>
        <w:tc>
          <w:tcPr>
            <w:tcW w:w="808" w:type="dxa"/>
            <w:vAlign w:val="center"/>
          </w:tcPr>
          <w:p w14:paraId="5ED86571" w14:textId="1D2A5A25" w:rsidR="00CB6100" w:rsidRPr="005A497D" w:rsidRDefault="00A20DCC" w:rsidP="00A20DCC">
            <w:pPr>
              <w:ind w:left="-57" w:right="-57"/>
              <w:jc w:val="center"/>
              <w:rPr>
                <w:b/>
                <w:sz w:val="16"/>
                <w:szCs w:val="16"/>
              </w:rPr>
            </w:pPr>
            <w:r>
              <w:rPr>
                <w:b/>
                <w:sz w:val="16"/>
                <w:szCs w:val="16"/>
              </w:rPr>
              <w:t>C+</w:t>
            </w:r>
          </w:p>
        </w:tc>
      </w:tr>
      <w:tr w:rsidR="00CB6100" w:rsidRPr="005A497D" w14:paraId="6BB5E04D" w14:textId="77777777" w:rsidTr="00CB6100">
        <w:trPr>
          <w:trHeight w:val="288"/>
          <w:jc w:val="center"/>
        </w:trPr>
        <w:tc>
          <w:tcPr>
            <w:tcW w:w="495" w:type="dxa"/>
            <w:vAlign w:val="center"/>
          </w:tcPr>
          <w:p w14:paraId="79594CC5" w14:textId="77777777" w:rsidR="00CB6100" w:rsidRPr="005A497D" w:rsidRDefault="00CB6100" w:rsidP="00CB6100">
            <w:pPr>
              <w:ind w:left="-28" w:right="-57"/>
              <w:rPr>
                <w:sz w:val="16"/>
                <w:szCs w:val="16"/>
              </w:rPr>
            </w:pPr>
            <w:r w:rsidRPr="005A497D">
              <w:rPr>
                <w:sz w:val="16"/>
                <w:szCs w:val="16"/>
              </w:rPr>
              <w:t>PI-21</w:t>
            </w:r>
          </w:p>
        </w:tc>
        <w:tc>
          <w:tcPr>
            <w:tcW w:w="3040" w:type="dxa"/>
            <w:vAlign w:val="center"/>
          </w:tcPr>
          <w:p w14:paraId="71E30DD6" w14:textId="77777777" w:rsidR="00CB6100" w:rsidRPr="005A497D" w:rsidRDefault="00CB6100" w:rsidP="002F43FA">
            <w:pPr>
              <w:ind w:left="-28" w:right="-57"/>
              <w:rPr>
                <w:sz w:val="16"/>
                <w:szCs w:val="16"/>
              </w:rPr>
            </w:pPr>
            <w:r w:rsidRPr="005A497D">
              <w:rPr>
                <w:sz w:val="16"/>
                <w:szCs w:val="16"/>
              </w:rPr>
              <w:t>Effectiveness of internal audit</w:t>
            </w:r>
          </w:p>
        </w:tc>
        <w:tc>
          <w:tcPr>
            <w:tcW w:w="448" w:type="dxa"/>
            <w:vAlign w:val="center"/>
          </w:tcPr>
          <w:p w14:paraId="2E96B6B7"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66EC5A94" w14:textId="77777777" w:rsidR="00CB6100" w:rsidRPr="005A497D" w:rsidRDefault="00CB6100" w:rsidP="00D232C4">
            <w:pPr>
              <w:jc w:val="center"/>
              <w:rPr>
                <w:sz w:val="16"/>
                <w:szCs w:val="16"/>
              </w:rPr>
            </w:pPr>
          </w:p>
        </w:tc>
        <w:tc>
          <w:tcPr>
            <w:tcW w:w="440" w:type="dxa"/>
            <w:vAlign w:val="center"/>
          </w:tcPr>
          <w:p w14:paraId="145BC047"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1EEC1579"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620086D7" w14:textId="77777777" w:rsidR="00CB6100" w:rsidRPr="005A497D" w:rsidRDefault="00CB6100" w:rsidP="00D232C4">
            <w:pPr>
              <w:ind w:left="-57" w:right="-57"/>
              <w:jc w:val="center"/>
              <w:rPr>
                <w:b/>
                <w:sz w:val="16"/>
                <w:szCs w:val="16"/>
              </w:rPr>
            </w:pPr>
            <w:r w:rsidRPr="005A497D">
              <w:rPr>
                <w:b/>
                <w:sz w:val="16"/>
                <w:szCs w:val="16"/>
              </w:rPr>
              <w:t>C</w:t>
            </w:r>
          </w:p>
        </w:tc>
        <w:tc>
          <w:tcPr>
            <w:tcW w:w="440" w:type="dxa"/>
            <w:shd w:val="clear" w:color="auto" w:fill="F2F2F2" w:themeFill="background1" w:themeFillShade="F2"/>
            <w:vAlign w:val="center"/>
          </w:tcPr>
          <w:p w14:paraId="4941D5AC" w14:textId="77777777" w:rsidR="00CB6100" w:rsidRPr="005A497D" w:rsidRDefault="00CB6100" w:rsidP="00D232C4">
            <w:pPr>
              <w:ind w:left="-57" w:right="-57"/>
              <w:jc w:val="center"/>
              <w:rPr>
                <w:b/>
                <w:sz w:val="16"/>
                <w:szCs w:val="16"/>
              </w:rPr>
            </w:pPr>
          </w:p>
        </w:tc>
        <w:tc>
          <w:tcPr>
            <w:tcW w:w="732" w:type="dxa"/>
            <w:vAlign w:val="center"/>
          </w:tcPr>
          <w:p w14:paraId="7DAF1314"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407BE02D" w14:textId="77777777" w:rsidR="00CB6100" w:rsidRPr="005A497D" w:rsidRDefault="00CB6100" w:rsidP="00D232C4">
            <w:pPr>
              <w:jc w:val="center"/>
              <w:rPr>
                <w:sz w:val="16"/>
                <w:szCs w:val="16"/>
              </w:rPr>
            </w:pPr>
          </w:p>
        </w:tc>
        <w:tc>
          <w:tcPr>
            <w:tcW w:w="421" w:type="dxa"/>
            <w:vAlign w:val="center"/>
          </w:tcPr>
          <w:p w14:paraId="6B53E634" w14:textId="77777777" w:rsidR="00CB6100" w:rsidRPr="005A497D" w:rsidRDefault="00CB6100" w:rsidP="00D232C4">
            <w:pPr>
              <w:ind w:left="-57" w:right="-57"/>
              <w:jc w:val="center"/>
              <w:rPr>
                <w:b/>
                <w:sz w:val="16"/>
                <w:szCs w:val="16"/>
              </w:rPr>
            </w:pPr>
            <w:r w:rsidRPr="005A497D">
              <w:rPr>
                <w:b/>
                <w:sz w:val="16"/>
                <w:szCs w:val="16"/>
              </w:rPr>
              <w:t>C</w:t>
            </w:r>
          </w:p>
        </w:tc>
        <w:tc>
          <w:tcPr>
            <w:tcW w:w="422" w:type="dxa"/>
            <w:vAlign w:val="center"/>
          </w:tcPr>
          <w:p w14:paraId="0CB33A27" w14:textId="77777777" w:rsidR="00CB6100" w:rsidRPr="005A497D" w:rsidRDefault="00CB6100" w:rsidP="00D232C4">
            <w:pPr>
              <w:ind w:left="-57" w:right="-57"/>
              <w:jc w:val="center"/>
              <w:rPr>
                <w:b/>
                <w:sz w:val="16"/>
                <w:szCs w:val="16"/>
              </w:rPr>
            </w:pPr>
            <w:r w:rsidRPr="005A497D">
              <w:rPr>
                <w:b/>
                <w:sz w:val="16"/>
                <w:szCs w:val="16"/>
              </w:rPr>
              <w:t>C</w:t>
            </w:r>
          </w:p>
        </w:tc>
        <w:tc>
          <w:tcPr>
            <w:tcW w:w="421" w:type="dxa"/>
            <w:vAlign w:val="center"/>
          </w:tcPr>
          <w:p w14:paraId="52CA94F4" w14:textId="77777777" w:rsidR="00CB6100" w:rsidRPr="005A497D" w:rsidRDefault="00CB6100" w:rsidP="00D232C4">
            <w:pPr>
              <w:ind w:left="-57" w:right="-57"/>
              <w:jc w:val="center"/>
              <w:rPr>
                <w:b/>
                <w:sz w:val="16"/>
                <w:szCs w:val="16"/>
              </w:rPr>
            </w:pPr>
            <w:r w:rsidRPr="005A497D">
              <w:rPr>
                <w:b/>
                <w:sz w:val="16"/>
                <w:szCs w:val="16"/>
              </w:rPr>
              <w:t>C</w:t>
            </w:r>
          </w:p>
        </w:tc>
        <w:tc>
          <w:tcPr>
            <w:tcW w:w="422" w:type="dxa"/>
            <w:shd w:val="clear" w:color="auto" w:fill="F2F2F2" w:themeFill="background1" w:themeFillShade="F2"/>
            <w:vAlign w:val="center"/>
          </w:tcPr>
          <w:p w14:paraId="40C1239E" w14:textId="77777777" w:rsidR="00CB6100" w:rsidRPr="005A497D" w:rsidRDefault="00CB6100" w:rsidP="00D232C4">
            <w:pPr>
              <w:ind w:left="-57" w:right="-57"/>
              <w:jc w:val="center"/>
              <w:rPr>
                <w:b/>
                <w:sz w:val="16"/>
                <w:szCs w:val="16"/>
              </w:rPr>
            </w:pPr>
          </w:p>
        </w:tc>
        <w:tc>
          <w:tcPr>
            <w:tcW w:w="808" w:type="dxa"/>
            <w:vAlign w:val="center"/>
          </w:tcPr>
          <w:p w14:paraId="4C80291B" w14:textId="77777777" w:rsidR="00CB6100" w:rsidRPr="005A497D" w:rsidRDefault="00CB6100" w:rsidP="00D232C4">
            <w:pPr>
              <w:ind w:left="-57" w:right="-57"/>
              <w:jc w:val="center"/>
              <w:rPr>
                <w:b/>
                <w:sz w:val="16"/>
                <w:szCs w:val="16"/>
              </w:rPr>
            </w:pPr>
            <w:r w:rsidRPr="005A497D">
              <w:rPr>
                <w:b/>
                <w:sz w:val="16"/>
                <w:szCs w:val="16"/>
              </w:rPr>
              <w:t>C</w:t>
            </w:r>
          </w:p>
        </w:tc>
      </w:tr>
      <w:tr w:rsidR="00CB6100" w:rsidRPr="005A497D" w14:paraId="6E895655" w14:textId="77777777" w:rsidTr="00D232C4">
        <w:trPr>
          <w:trHeight w:val="288"/>
          <w:jc w:val="center"/>
        </w:trPr>
        <w:tc>
          <w:tcPr>
            <w:tcW w:w="3983" w:type="dxa"/>
            <w:gridSpan w:val="3"/>
            <w:vAlign w:val="center"/>
          </w:tcPr>
          <w:p w14:paraId="3B6ACE9A" w14:textId="77777777" w:rsidR="00CB6100" w:rsidRPr="005A497D" w:rsidRDefault="00CB6100" w:rsidP="00D232C4">
            <w:pPr>
              <w:rPr>
                <w:b/>
                <w:sz w:val="16"/>
                <w:szCs w:val="16"/>
              </w:rPr>
            </w:pPr>
            <w:r w:rsidRPr="005A497D">
              <w:rPr>
                <w:b/>
                <w:sz w:val="16"/>
                <w:szCs w:val="16"/>
              </w:rPr>
              <w:t>E – Accounting, Recording and Reporting</w:t>
            </w:r>
          </w:p>
        </w:tc>
        <w:tc>
          <w:tcPr>
            <w:tcW w:w="263" w:type="dxa"/>
            <w:vMerge/>
            <w:shd w:val="clear" w:color="auto" w:fill="auto"/>
            <w:vAlign w:val="center"/>
          </w:tcPr>
          <w:p w14:paraId="0B84C1B1" w14:textId="77777777" w:rsidR="00CB6100" w:rsidRPr="005A497D" w:rsidRDefault="00CB6100" w:rsidP="00D232C4">
            <w:pPr>
              <w:jc w:val="center"/>
              <w:rPr>
                <w:sz w:val="16"/>
                <w:szCs w:val="16"/>
              </w:rPr>
            </w:pPr>
          </w:p>
        </w:tc>
        <w:tc>
          <w:tcPr>
            <w:tcW w:w="2492" w:type="dxa"/>
            <w:gridSpan w:val="5"/>
            <w:vAlign w:val="center"/>
          </w:tcPr>
          <w:p w14:paraId="7F074B4F" w14:textId="77777777" w:rsidR="00CB6100" w:rsidRPr="005A497D" w:rsidRDefault="00CB6100" w:rsidP="00D232C4">
            <w:pPr>
              <w:ind w:left="-57" w:right="-57"/>
              <w:jc w:val="center"/>
              <w:rPr>
                <w:b/>
                <w:sz w:val="16"/>
                <w:szCs w:val="16"/>
              </w:rPr>
            </w:pPr>
          </w:p>
        </w:tc>
        <w:tc>
          <w:tcPr>
            <w:tcW w:w="266" w:type="dxa"/>
            <w:vMerge/>
            <w:shd w:val="clear" w:color="auto" w:fill="auto"/>
            <w:vAlign w:val="center"/>
          </w:tcPr>
          <w:p w14:paraId="55E115C0" w14:textId="77777777" w:rsidR="00CB6100" w:rsidRPr="005A497D" w:rsidRDefault="00CB6100" w:rsidP="00D232C4">
            <w:pPr>
              <w:jc w:val="center"/>
              <w:rPr>
                <w:sz w:val="16"/>
                <w:szCs w:val="16"/>
              </w:rPr>
            </w:pPr>
          </w:p>
        </w:tc>
        <w:tc>
          <w:tcPr>
            <w:tcW w:w="2494" w:type="dxa"/>
            <w:gridSpan w:val="5"/>
            <w:vAlign w:val="center"/>
          </w:tcPr>
          <w:p w14:paraId="370C50ED" w14:textId="77777777" w:rsidR="00CB6100" w:rsidRPr="005A497D" w:rsidRDefault="00CB6100" w:rsidP="00D232C4">
            <w:pPr>
              <w:ind w:left="-57" w:right="-57"/>
              <w:jc w:val="center"/>
              <w:rPr>
                <w:b/>
                <w:sz w:val="16"/>
                <w:szCs w:val="16"/>
              </w:rPr>
            </w:pPr>
          </w:p>
        </w:tc>
      </w:tr>
      <w:tr w:rsidR="00CB6100" w:rsidRPr="005A497D" w14:paraId="10E4D633" w14:textId="77777777" w:rsidTr="00CB6100">
        <w:trPr>
          <w:trHeight w:val="288"/>
          <w:jc w:val="center"/>
        </w:trPr>
        <w:tc>
          <w:tcPr>
            <w:tcW w:w="495" w:type="dxa"/>
            <w:vAlign w:val="center"/>
          </w:tcPr>
          <w:p w14:paraId="25C1EA99" w14:textId="77777777" w:rsidR="00CB6100" w:rsidRPr="005A497D" w:rsidRDefault="00CB6100" w:rsidP="00CB6100">
            <w:pPr>
              <w:ind w:left="-28" w:right="-57"/>
              <w:rPr>
                <w:sz w:val="16"/>
                <w:szCs w:val="16"/>
              </w:rPr>
            </w:pPr>
            <w:r w:rsidRPr="005A497D">
              <w:rPr>
                <w:sz w:val="16"/>
                <w:szCs w:val="16"/>
              </w:rPr>
              <w:t>PI-22</w:t>
            </w:r>
          </w:p>
        </w:tc>
        <w:tc>
          <w:tcPr>
            <w:tcW w:w="3040" w:type="dxa"/>
            <w:vAlign w:val="center"/>
          </w:tcPr>
          <w:p w14:paraId="1B51C2D4" w14:textId="77777777" w:rsidR="00CB6100" w:rsidRPr="005A497D" w:rsidRDefault="00CB6100" w:rsidP="002F43FA">
            <w:pPr>
              <w:ind w:left="-28" w:right="-57"/>
              <w:rPr>
                <w:sz w:val="16"/>
                <w:szCs w:val="16"/>
              </w:rPr>
            </w:pPr>
            <w:r w:rsidRPr="005A497D">
              <w:rPr>
                <w:sz w:val="16"/>
                <w:szCs w:val="16"/>
              </w:rPr>
              <w:t>Timeliness and regularity of accounts reconciliation</w:t>
            </w:r>
          </w:p>
        </w:tc>
        <w:tc>
          <w:tcPr>
            <w:tcW w:w="448" w:type="dxa"/>
            <w:vAlign w:val="center"/>
          </w:tcPr>
          <w:p w14:paraId="2AAC114A" w14:textId="77777777" w:rsidR="00CB6100" w:rsidRPr="005A497D" w:rsidRDefault="00CB6100" w:rsidP="00D232C4">
            <w:pPr>
              <w:jc w:val="center"/>
              <w:rPr>
                <w:b/>
                <w:sz w:val="16"/>
                <w:szCs w:val="16"/>
              </w:rPr>
            </w:pPr>
            <w:r w:rsidRPr="005A497D">
              <w:rPr>
                <w:b/>
                <w:sz w:val="16"/>
                <w:szCs w:val="16"/>
              </w:rPr>
              <w:t>M2</w:t>
            </w:r>
          </w:p>
        </w:tc>
        <w:tc>
          <w:tcPr>
            <w:tcW w:w="263" w:type="dxa"/>
            <w:vMerge/>
            <w:shd w:val="clear" w:color="auto" w:fill="auto"/>
            <w:vAlign w:val="center"/>
          </w:tcPr>
          <w:p w14:paraId="2620084B" w14:textId="77777777" w:rsidR="00CB6100" w:rsidRPr="005A497D" w:rsidRDefault="00CB6100" w:rsidP="00D232C4">
            <w:pPr>
              <w:jc w:val="center"/>
              <w:rPr>
                <w:sz w:val="16"/>
                <w:szCs w:val="16"/>
              </w:rPr>
            </w:pPr>
          </w:p>
        </w:tc>
        <w:tc>
          <w:tcPr>
            <w:tcW w:w="440" w:type="dxa"/>
            <w:vAlign w:val="center"/>
          </w:tcPr>
          <w:p w14:paraId="35EAF8DE"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125A2B67"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283FBE39"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30716634" w14:textId="77777777" w:rsidR="00CB6100" w:rsidRPr="005A497D" w:rsidRDefault="00CB6100" w:rsidP="00D232C4">
            <w:pPr>
              <w:ind w:left="-57" w:right="-57"/>
              <w:jc w:val="center"/>
              <w:rPr>
                <w:b/>
                <w:sz w:val="16"/>
                <w:szCs w:val="16"/>
              </w:rPr>
            </w:pPr>
          </w:p>
        </w:tc>
        <w:tc>
          <w:tcPr>
            <w:tcW w:w="732" w:type="dxa"/>
            <w:vAlign w:val="center"/>
          </w:tcPr>
          <w:p w14:paraId="096A9609"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590A9323" w14:textId="77777777" w:rsidR="00CB6100" w:rsidRPr="005A497D" w:rsidRDefault="00CB6100" w:rsidP="00D232C4">
            <w:pPr>
              <w:jc w:val="center"/>
              <w:rPr>
                <w:sz w:val="16"/>
                <w:szCs w:val="16"/>
              </w:rPr>
            </w:pPr>
          </w:p>
        </w:tc>
        <w:tc>
          <w:tcPr>
            <w:tcW w:w="421" w:type="dxa"/>
            <w:vAlign w:val="center"/>
          </w:tcPr>
          <w:p w14:paraId="05BB8494" w14:textId="77777777" w:rsidR="00CB6100" w:rsidRPr="005A497D" w:rsidRDefault="00CB6100" w:rsidP="00D232C4">
            <w:pPr>
              <w:ind w:left="-57" w:right="-57"/>
              <w:jc w:val="center"/>
              <w:rPr>
                <w:b/>
                <w:sz w:val="16"/>
                <w:szCs w:val="16"/>
              </w:rPr>
            </w:pPr>
            <w:r w:rsidRPr="005A497D">
              <w:rPr>
                <w:b/>
                <w:sz w:val="16"/>
                <w:szCs w:val="16"/>
              </w:rPr>
              <w:t>D</w:t>
            </w:r>
          </w:p>
        </w:tc>
        <w:tc>
          <w:tcPr>
            <w:tcW w:w="422" w:type="dxa"/>
            <w:vAlign w:val="center"/>
          </w:tcPr>
          <w:p w14:paraId="05D9D399" w14:textId="77777777" w:rsidR="00CB6100" w:rsidRPr="005A497D" w:rsidRDefault="00CB6100" w:rsidP="00D232C4">
            <w:pPr>
              <w:ind w:left="-57" w:right="-57"/>
              <w:jc w:val="center"/>
              <w:rPr>
                <w:b/>
                <w:sz w:val="16"/>
                <w:szCs w:val="16"/>
              </w:rPr>
            </w:pPr>
            <w:r w:rsidRPr="005A497D">
              <w:rPr>
                <w:b/>
                <w:sz w:val="16"/>
                <w:szCs w:val="16"/>
              </w:rPr>
              <w:t>D</w:t>
            </w:r>
          </w:p>
        </w:tc>
        <w:tc>
          <w:tcPr>
            <w:tcW w:w="421" w:type="dxa"/>
            <w:shd w:val="clear" w:color="auto" w:fill="F2F2F2" w:themeFill="background1" w:themeFillShade="F2"/>
            <w:vAlign w:val="center"/>
          </w:tcPr>
          <w:p w14:paraId="1097400B"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1580A6F6" w14:textId="77777777" w:rsidR="00CB6100" w:rsidRPr="005A497D" w:rsidRDefault="00CB6100" w:rsidP="00D232C4">
            <w:pPr>
              <w:ind w:left="-57" w:right="-57"/>
              <w:jc w:val="center"/>
              <w:rPr>
                <w:b/>
                <w:sz w:val="16"/>
                <w:szCs w:val="16"/>
              </w:rPr>
            </w:pPr>
          </w:p>
        </w:tc>
        <w:tc>
          <w:tcPr>
            <w:tcW w:w="808" w:type="dxa"/>
            <w:vAlign w:val="center"/>
          </w:tcPr>
          <w:p w14:paraId="0391F15B" w14:textId="77777777" w:rsidR="00CB6100" w:rsidRPr="005A497D" w:rsidRDefault="00CB6100" w:rsidP="00D232C4">
            <w:pPr>
              <w:jc w:val="center"/>
              <w:rPr>
                <w:b/>
                <w:sz w:val="16"/>
                <w:szCs w:val="16"/>
              </w:rPr>
            </w:pPr>
            <w:r w:rsidRPr="005A497D">
              <w:rPr>
                <w:b/>
                <w:sz w:val="16"/>
                <w:szCs w:val="16"/>
              </w:rPr>
              <w:t>D</w:t>
            </w:r>
          </w:p>
        </w:tc>
      </w:tr>
      <w:tr w:rsidR="00CB6100" w:rsidRPr="005A497D" w14:paraId="3C9174C9" w14:textId="77777777" w:rsidTr="00CB6100">
        <w:trPr>
          <w:trHeight w:val="288"/>
          <w:jc w:val="center"/>
        </w:trPr>
        <w:tc>
          <w:tcPr>
            <w:tcW w:w="495" w:type="dxa"/>
            <w:vAlign w:val="center"/>
          </w:tcPr>
          <w:p w14:paraId="35FA2776" w14:textId="77777777" w:rsidR="00CB6100" w:rsidRPr="005A497D" w:rsidRDefault="00CB6100" w:rsidP="00CB6100">
            <w:pPr>
              <w:ind w:left="-28" w:right="-57"/>
              <w:rPr>
                <w:sz w:val="16"/>
                <w:szCs w:val="16"/>
              </w:rPr>
            </w:pPr>
            <w:r w:rsidRPr="005A497D">
              <w:rPr>
                <w:sz w:val="16"/>
                <w:szCs w:val="16"/>
              </w:rPr>
              <w:t>PI-23</w:t>
            </w:r>
          </w:p>
        </w:tc>
        <w:tc>
          <w:tcPr>
            <w:tcW w:w="3040" w:type="dxa"/>
            <w:vAlign w:val="center"/>
          </w:tcPr>
          <w:p w14:paraId="58C8B7E7" w14:textId="77777777" w:rsidR="00CB6100" w:rsidRPr="005A497D" w:rsidRDefault="00CB6100" w:rsidP="002F43FA">
            <w:pPr>
              <w:ind w:left="-28" w:right="-57"/>
              <w:rPr>
                <w:sz w:val="16"/>
                <w:szCs w:val="16"/>
              </w:rPr>
            </w:pPr>
            <w:r w:rsidRPr="005A497D">
              <w:rPr>
                <w:sz w:val="16"/>
                <w:szCs w:val="16"/>
              </w:rPr>
              <w:t>Availability of information on resources received by service delivery unit</w:t>
            </w:r>
          </w:p>
        </w:tc>
        <w:tc>
          <w:tcPr>
            <w:tcW w:w="448" w:type="dxa"/>
            <w:vAlign w:val="center"/>
          </w:tcPr>
          <w:p w14:paraId="2743F12F"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748870DD" w14:textId="77777777" w:rsidR="00CB6100" w:rsidRPr="005A497D" w:rsidRDefault="00CB6100" w:rsidP="00D232C4">
            <w:pPr>
              <w:jc w:val="center"/>
              <w:rPr>
                <w:sz w:val="16"/>
                <w:szCs w:val="16"/>
              </w:rPr>
            </w:pPr>
          </w:p>
        </w:tc>
        <w:tc>
          <w:tcPr>
            <w:tcW w:w="440" w:type="dxa"/>
            <w:vAlign w:val="center"/>
          </w:tcPr>
          <w:p w14:paraId="315EB17E"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18CBF522"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6387E254" w14:textId="77777777" w:rsidR="00CB6100" w:rsidRPr="005A497D" w:rsidRDefault="00CB6100" w:rsidP="00D232C4">
            <w:pPr>
              <w:ind w:left="-57" w:right="-57"/>
              <w:jc w:val="center"/>
              <w:rPr>
                <w:b/>
                <w:sz w:val="16"/>
                <w:szCs w:val="16"/>
              </w:rPr>
            </w:pPr>
          </w:p>
        </w:tc>
        <w:tc>
          <w:tcPr>
            <w:tcW w:w="440" w:type="dxa"/>
            <w:shd w:val="clear" w:color="auto" w:fill="F2F2F2" w:themeFill="background1" w:themeFillShade="F2"/>
            <w:vAlign w:val="center"/>
          </w:tcPr>
          <w:p w14:paraId="6F02AD92" w14:textId="77777777" w:rsidR="00CB6100" w:rsidRPr="005A497D" w:rsidRDefault="00CB6100" w:rsidP="00D232C4">
            <w:pPr>
              <w:ind w:left="-57" w:right="-57"/>
              <w:jc w:val="center"/>
              <w:rPr>
                <w:b/>
                <w:sz w:val="16"/>
                <w:szCs w:val="16"/>
              </w:rPr>
            </w:pPr>
          </w:p>
        </w:tc>
        <w:tc>
          <w:tcPr>
            <w:tcW w:w="732" w:type="dxa"/>
            <w:vAlign w:val="center"/>
          </w:tcPr>
          <w:p w14:paraId="54C999F2"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5523C5EF" w14:textId="77777777" w:rsidR="00CB6100" w:rsidRPr="005A497D" w:rsidRDefault="00CB6100" w:rsidP="00D232C4">
            <w:pPr>
              <w:jc w:val="center"/>
              <w:rPr>
                <w:sz w:val="16"/>
                <w:szCs w:val="16"/>
              </w:rPr>
            </w:pPr>
          </w:p>
        </w:tc>
        <w:tc>
          <w:tcPr>
            <w:tcW w:w="421" w:type="dxa"/>
            <w:vAlign w:val="center"/>
          </w:tcPr>
          <w:p w14:paraId="586D46AD" w14:textId="7CD0FC01" w:rsidR="00CB6100" w:rsidRPr="005A497D" w:rsidRDefault="00A20DCC" w:rsidP="00D232C4">
            <w:pPr>
              <w:ind w:left="-57" w:right="-57"/>
              <w:jc w:val="center"/>
              <w:rPr>
                <w:b/>
                <w:sz w:val="16"/>
                <w:szCs w:val="16"/>
              </w:rPr>
            </w:pPr>
            <w:r>
              <w:rPr>
                <w:b/>
                <w:sz w:val="16"/>
                <w:szCs w:val="16"/>
              </w:rPr>
              <w:t>C</w:t>
            </w:r>
          </w:p>
        </w:tc>
        <w:tc>
          <w:tcPr>
            <w:tcW w:w="422" w:type="dxa"/>
            <w:shd w:val="clear" w:color="auto" w:fill="F2F2F2" w:themeFill="background1" w:themeFillShade="F2"/>
            <w:vAlign w:val="center"/>
          </w:tcPr>
          <w:p w14:paraId="733D476A" w14:textId="77777777" w:rsidR="00CB6100" w:rsidRPr="005A497D" w:rsidRDefault="00CB6100" w:rsidP="00D232C4">
            <w:pPr>
              <w:ind w:left="-57" w:right="-57"/>
              <w:jc w:val="center"/>
              <w:rPr>
                <w:b/>
                <w:sz w:val="16"/>
                <w:szCs w:val="16"/>
              </w:rPr>
            </w:pPr>
          </w:p>
        </w:tc>
        <w:tc>
          <w:tcPr>
            <w:tcW w:w="421" w:type="dxa"/>
            <w:shd w:val="clear" w:color="auto" w:fill="F2F2F2" w:themeFill="background1" w:themeFillShade="F2"/>
            <w:vAlign w:val="center"/>
          </w:tcPr>
          <w:p w14:paraId="10E9B548" w14:textId="77777777" w:rsidR="00CB6100" w:rsidRPr="005A497D" w:rsidRDefault="00CB6100" w:rsidP="00D232C4">
            <w:pPr>
              <w:ind w:left="-57" w:right="-57"/>
              <w:jc w:val="center"/>
              <w:rPr>
                <w:b/>
                <w:sz w:val="16"/>
                <w:szCs w:val="16"/>
              </w:rPr>
            </w:pPr>
          </w:p>
        </w:tc>
        <w:tc>
          <w:tcPr>
            <w:tcW w:w="422" w:type="dxa"/>
            <w:shd w:val="clear" w:color="auto" w:fill="F2F2F2" w:themeFill="background1" w:themeFillShade="F2"/>
            <w:vAlign w:val="center"/>
          </w:tcPr>
          <w:p w14:paraId="70DC43B9" w14:textId="77777777" w:rsidR="00CB6100" w:rsidRPr="005A497D" w:rsidRDefault="00CB6100" w:rsidP="00D232C4">
            <w:pPr>
              <w:ind w:left="-57" w:right="-57"/>
              <w:jc w:val="center"/>
              <w:rPr>
                <w:b/>
                <w:sz w:val="16"/>
                <w:szCs w:val="16"/>
              </w:rPr>
            </w:pPr>
          </w:p>
        </w:tc>
        <w:tc>
          <w:tcPr>
            <w:tcW w:w="808" w:type="dxa"/>
            <w:vAlign w:val="center"/>
          </w:tcPr>
          <w:p w14:paraId="4D1F15BB" w14:textId="7860A5E6" w:rsidR="00CB6100" w:rsidRPr="005A497D" w:rsidRDefault="00A20DCC" w:rsidP="00D232C4">
            <w:pPr>
              <w:ind w:left="-57" w:right="-57"/>
              <w:jc w:val="center"/>
              <w:rPr>
                <w:b/>
                <w:sz w:val="16"/>
                <w:szCs w:val="16"/>
              </w:rPr>
            </w:pPr>
            <w:r>
              <w:rPr>
                <w:b/>
                <w:sz w:val="16"/>
                <w:szCs w:val="16"/>
              </w:rPr>
              <w:t>C</w:t>
            </w:r>
          </w:p>
        </w:tc>
      </w:tr>
      <w:tr w:rsidR="00CB6100" w:rsidRPr="005A497D" w14:paraId="2375195B" w14:textId="77777777" w:rsidTr="00CB6100">
        <w:trPr>
          <w:trHeight w:val="288"/>
          <w:jc w:val="center"/>
        </w:trPr>
        <w:tc>
          <w:tcPr>
            <w:tcW w:w="495" w:type="dxa"/>
            <w:vAlign w:val="center"/>
          </w:tcPr>
          <w:p w14:paraId="333A124B" w14:textId="77777777" w:rsidR="00CB6100" w:rsidRPr="005A497D" w:rsidRDefault="00CB6100" w:rsidP="00CB6100">
            <w:pPr>
              <w:ind w:left="-28" w:right="-57"/>
              <w:rPr>
                <w:sz w:val="16"/>
                <w:szCs w:val="16"/>
              </w:rPr>
            </w:pPr>
            <w:r w:rsidRPr="005A497D">
              <w:rPr>
                <w:sz w:val="16"/>
                <w:szCs w:val="16"/>
              </w:rPr>
              <w:t>PI-24</w:t>
            </w:r>
          </w:p>
        </w:tc>
        <w:tc>
          <w:tcPr>
            <w:tcW w:w="3040" w:type="dxa"/>
            <w:vAlign w:val="center"/>
          </w:tcPr>
          <w:p w14:paraId="55DCA7D4" w14:textId="77777777" w:rsidR="00CB6100" w:rsidRPr="005A497D" w:rsidRDefault="00CB6100" w:rsidP="002F43FA">
            <w:pPr>
              <w:ind w:left="-28" w:right="-57"/>
              <w:rPr>
                <w:sz w:val="16"/>
                <w:szCs w:val="16"/>
              </w:rPr>
            </w:pPr>
            <w:r w:rsidRPr="005A497D">
              <w:rPr>
                <w:sz w:val="16"/>
                <w:szCs w:val="16"/>
              </w:rPr>
              <w:t>Quality and timeliness of in-year budget reports</w:t>
            </w:r>
          </w:p>
        </w:tc>
        <w:tc>
          <w:tcPr>
            <w:tcW w:w="448" w:type="dxa"/>
            <w:vAlign w:val="center"/>
          </w:tcPr>
          <w:p w14:paraId="0D1F4F07"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5277F50" w14:textId="77777777" w:rsidR="00CB6100" w:rsidRPr="005A497D" w:rsidRDefault="00CB6100" w:rsidP="00D232C4">
            <w:pPr>
              <w:jc w:val="center"/>
              <w:rPr>
                <w:sz w:val="16"/>
                <w:szCs w:val="16"/>
              </w:rPr>
            </w:pPr>
          </w:p>
        </w:tc>
        <w:tc>
          <w:tcPr>
            <w:tcW w:w="440" w:type="dxa"/>
            <w:vAlign w:val="center"/>
          </w:tcPr>
          <w:p w14:paraId="574BC347"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108F62DF"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67D0C3F3"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4EFA314B" w14:textId="77777777" w:rsidR="00CB6100" w:rsidRPr="005A497D" w:rsidRDefault="00CB6100" w:rsidP="00D232C4">
            <w:pPr>
              <w:ind w:left="-57" w:right="-57"/>
              <w:jc w:val="center"/>
              <w:rPr>
                <w:b/>
                <w:sz w:val="16"/>
                <w:szCs w:val="16"/>
              </w:rPr>
            </w:pPr>
          </w:p>
        </w:tc>
        <w:tc>
          <w:tcPr>
            <w:tcW w:w="732" w:type="dxa"/>
            <w:vAlign w:val="center"/>
          </w:tcPr>
          <w:p w14:paraId="6F41F94A"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51056D10" w14:textId="77777777" w:rsidR="00CB6100" w:rsidRPr="005A497D" w:rsidRDefault="00CB6100" w:rsidP="00D232C4">
            <w:pPr>
              <w:jc w:val="center"/>
              <w:rPr>
                <w:sz w:val="16"/>
                <w:szCs w:val="16"/>
              </w:rPr>
            </w:pPr>
          </w:p>
        </w:tc>
        <w:tc>
          <w:tcPr>
            <w:tcW w:w="421" w:type="dxa"/>
            <w:vAlign w:val="center"/>
          </w:tcPr>
          <w:p w14:paraId="5835EF47"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28296949" w14:textId="77777777" w:rsidR="00CB6100" w:rsidRPr="005A497D" w:rsidRDefault="00CB6100" w:rsidP="00D232C4">
            <w:pPr>
              <w:ind w:left="-57" w:right="-57"/>
              <w:jc w:val="center"/>
              <w:rPr>
                <w:b/>
                <w:sz w:val="16"/>
                <w:szCs w:val="16"/>
              </w:rPr>
            </w:pPr>
            <w:r w:rsidRPr="005A497D">
              <w:rPr>
                <w:b/>
                <w:sz w:val="16"/>
                <w:szCs w:val="16"/>
              </w:rPr>
              <w:t>D</w:t>
            </w:r>
          </w:p>
        </w:tc>
        <w:tc>
          <w:tcPr>
            <w:tcW w:w="421" w:type="dxa"/>
            <w:vAlign w:val="center"/>
          </w:tcPr>
          <w:p w14:paraId="57B8DDF9" w14:textId="77777777" w:rsidR="00CB6100" w:rsidRPr="005A497D" w:rsidRDefault="00CB6100" w:rsidP="00D232C4">
            <w:pPr>
              <w:ind w:left="-57" w:right="-57"/>
              <w:jc w:val="center"/>
              <w:rPr>
                <w:b/>
                <w:sz w:val="16"/>
                <w:szCs w:val="16"/>
              </w:rPr>
            </w:pPr>
            <w:r w:rsidRPr="005A497D">
              <w:rPr>
                <w:b/>
                <w:sz w:val="16"/>
                <w:szCs w:val="16"/>
              </w:rPr>
              <w:t>C</w:t>
            </w:r>
          </w:p>
        </w:tc>
        <w:tc>
          <w:tcPr>
            <w:tcW w:w="422" w:type="dxa"/>
            <w:shd w:val="clear" w:color="auto" w:fill="F2F2F2" w:themeFill="background1" w:themeFillShade="F2"/>
            <w:vAlign w:val="center"/>
          </w:tcPr>
          <w:p w14:paraId="6A288C18" w14:textId="77777777" w:rsidR="00CB6100" w:rsidRPr="005A497D" w:rsidRDefault="00CB6100" w:rsidP="00D232C4">
            <w:pPr>
              <w:ind w:left="-57" w:right="-57"/>
              <w:jc w:val="center"/>
              <w:rPr>
                <w:b/>
                <w:sz w:val="16"/>
                <w:szCs w:val="16"/>
              </w:rPr>
            </w:pPr>
          </w:p>
        </w:tc>
        <w:tc>
          <w:tcPr>
            <w:tcW w:w="808" w:type="dxa"/>
            <w:vAlign w:val="center"/>
          </w:tcPr>
          <w:p w14:paraId="3093717A" w14:textId="77777777" w:rsidR="00CB6100" w:rsidRPr="005A497D" w:rsidRDefault="00CB6100" w:rsidP="00D232C4">
            <w:pPr>
              <w:ind w:left="-57" w:right="-57"/>
              <w:jc w:val="center"/>
              <w:rPr>
                <w:b/>
                <w:sz w:val="16"/>
                <w:szCs w:val="16"/>
              </w:rPr>
            </w:pPr>
            <w:r w:rsidRPr="005A497D">
              <w:rPr>
                <w:b/>
                <w:sz w:val="16"/>
                <w:szCs w:val="16"/>
              </w:rPr>
              <w:t>D+</w:t>
            </w:r>
          </w:p>
        </w:tc>
      </w:tr>
      <w:tr w:rsidR="00CB6100" w:rsidRPr="005A497D" w14:paraId="633A6802" w14:textId="77777777" w:rsidTr="00CB6100">
        <w:trPr>
          <w:trHeight w:val="288"/>
          <w:jc w:val="center"/>
        </w:trPr>
        <w:tc>
          <w:tcPr>
            <w:tcW w:w="495" w:type="dxa"/>
            <w:vAlign w:val="center"/>
          </w:tcPr>
          <w:p w14:paraId="5E5A8F33" w14:textId="77777777" w:rsidR="00CB6100" w:rsidRPr="005A497D" w:rsidRDefault="00CB6100" w:rsidP="00CB6100">
            <w:pPr>
              <w:ind w:left="-28" w:right="-57"/>
              <w:rPr>
                <w:sz w:val="16"/>
                <w:szCs w:val="16"/>
              </w:rPr>
            </w:pPr>
            <w:r w:rsidRPr="005A497D">
              <w:rPr>
                <w:sz w:val="16"/>
                <w:szCs w:val="16"/>
              </w:rPr>
              <w:t>PI-25</w:t>
            </w:r>
          </w:p>
        </w:tc>
        <w:tc>
          <w:tcPr>
            <w:tcW w:w="3040" w:type="dxa"/>
            <w:vAlign w:val="center"/>
          </w:tcPr>
          <w:p w14:paraId="53347AE2" w14:textId="77777777" w:rsidR="00CB6100" w:rsidRPr="005A497D" w:rsidRDefault="00CB6100" w:rsidP="002F43FA">
            <w:pPr>
              <w:ind w:left="-28" w:right="-57"/>
              <w:rPr>
                <w:sz w:val="16"/>
                <w:szCs w:val="16"/>
              </w:rPr>
            </w:pPr>
            <w:r w:rsidRPr="005A497D">
              <w:rPr>
                <w:sz w:val="16"/>
                <w:szCs w:val="16"/>
              </w:rPr>
              <w:t>Quality and timeliness of annual financial statements</w:t>
            </w:r>
          </w:p>
        </w:tc>
        <w:tc>
          <w:tcPr>
            <w:tcW w:w="448" w:type="dxa"/>
            <w:vAlign w:val="center"/>
          </w:tcPr>
          <w:p w14:paraId="1F5B0466"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1C47DCC" w14:textId="77777777" w:rsidR="00CB6100" w:rsidRPr="005A497D" w:rsidRDefault="00CB6100" w:rsidP="00D232C4">
            <w:pPr>
              <w:jc w:val="center"/>
              <w:rPr>
                <w:sz w:val="16"/>
                <w:szCs w:val="16"/>
              </w:rPr>
            </w:pPr>
          </w:p>
        </w:tc>
        <w:tc>
          <w:tcPr>
            <w:tcW w:w="440" w:type="dxa"/>
            <w:vAlign w:val="center"/>
          </w:tcPr>
          <w:p w14:paraId="6A1AAC2F"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1C4C864F"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3EC93926"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48A24657" w14:textId="77777777" w:rsidR="00CB6100" w:rsidRPr="005A497D" w:rsidRDefault="00CB6100" w:rsidP="00D232C4">
            <w:pPr>
              <w:ind w:left="-57" w:right="-57"/>
              <w:jc w:val="center"/>
              <w:rPr>
                <w:b/>
                <w:sz w:val="16"/>
                <w:szCs w:val="16"/>
              </w:rPr>
            </w:pPr>
          </w:p>
        </w:tc>
        <w:tc>
          <w:tcPr>
            <w:tcW w:w="732" w:type="dxa"/>
            <w:vAlign w:val="center"/>
          </w:tcPr>
          <w:p w14:paraId="147141CA"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57F58F1D" w14:textId="77777777" w:rsidR="00CB6100" w:rsidRPr="005A497D" w:rsidRDefault="00CB6100" w:rsidP="00D232C4">
            <w:pPr>
              <w:jc w:val="center"/>
              <w:rPr>
                <w:sz w:val="16"/>
                <w:szCs w:val="16"/>
              </w:rPr>
            </w:pPr>
          </w:p>
        </w:tc>
        <w:tc>
          <w:tcPr>
            <w:tcW w:w="421" w:type="dxa"/>
            <w:vAlign w:val="center"/>
          </w:tcPr>
          <w:p w14:paraId="0280363D" w14:textId="2EC96C5B" w:rsidR="00CB6100" w:rsidRPr="005A497D" w:rsidRDefault="00A20DCC" w:rsidP="00D232C4">
            <w:pPr>
              <w:ind w:left="-57" w:right="-57"/>
              <w:jc w:val="center"/>
              <w:rPr>
                <w:b/>
                <w:sz w:val="16"/>
                <w:szCs w:val="16"/>
              </w:rPr>
            </w:pPr>
            <w:r>
              <w:rPr>
                <w:b/>
                <w:sz w:val="16"/>
                <w:szCs w:val="16"/>
              </w:rPr>
              <w:t>B</w:t>
            </w:r>
          </w:p>
        </w:tc>
        <w:tc>
          <w:tcPr>
            <w:tcW w:w="422" w:type="dxa"/>
            <w:vAlign w:val="center"/>
          </w:tcPr>
          <w:p w14:paraId="0BAD6874" w14:textId="77777777" w:rsidR="00CB6100" w:rsidRPr="005A497D" w:rsidRDefault="00CB6100" w:rsidP="00D232C4">
            <w:pPr>
              <w:ind w:left="-57" w:right="-57"/>
              <w:jc w:val="center"/>
              <w:rPr>
                <w:b/>
                <w:sz w:val="16"/>
                <w:szCs w:val="16"/>
              </w:rPr>
            </w:pPr>
            <w:r w:rsidRPr="005A497D">
              <w:rPr>
                <w:b/>
                <w:sz w:val="16"/>
                <w:szCs w:val="16"/>
              </w:rPr>
              <w:t>B</w:t>
            </w:r>
          </w:p>
        </w:tc>
        <w:tc>
          <w:tcPr>
            <w:tcW w:w="421" w:type="dxa"/>
            <w:vAlign w:val="center"/>
          </w:tcPr>
          <w:p w14:paraId="168CD6A7" w14:textId="77777777" w:rsidR="00CB6100" w:rsidRPr="005A497D" w:rsidRDefault="00CB6100" w:rsidP="00D232C4">
            <w:pPr>
              <w:ind w:left="-57" w:right="-57"/>
              <w:jc w:val="center"/>
              <w:rPr>
                <w:b/>
                <w:sz w:val="16"/>
                <w:szCs w:val="16"/>
              </w:rPr>
            </w:pPr>
            <w:r w:rsidRPr="005A497D">
              <w:rPr>
                <w:b/>
                <w:sz w:val="16"/>
                <w:szCs w:val="16"/>
              </w:rPr>
              <w:t>B</w:t>
            </w:r>
          </w:p>
        </w:tc>
        <w:tc>
          <w:tcPr>
            <w:tcW w:w="422" w:type="dxa"/>
            <w:shd w:val="clear" w:color="auto" w:fill="F2F2F2" w:themeFill="background1" w:themeFillShade="F2"/>
            <w:vAlign w:val="center"/>
          </w:tcPr>
          <w:p w14:paraId="34138B18" w14:textId="77777777" w:rsidR="00CB6100" w:rsidRPr="005A497D" w:rsidRDefault="00CB6100" w:rsidP="00D232C4">
            <w:pPr>
              <w:ind w:left="-57" w:right="-57"/>
              <w:jc w:val="center"/>
              <w:rPr>
                <w:b/>
                <w:sz w:val="16"/>
                <w:szCs w:val="16"/>
              </w:rPr>
            </w:pPr>
          </w:p>
        </w:tc>
        <w:tc>
          <w:tcPr>
            <w:tcW w:w="808" w:type="dxa"/>
            <w:vAlign w:val="center"/>
          </w:tcPr>
          <w:p w14:paraId="6CCBD86B" w14:textId="004EA605" w:rsidR="00CB6100" w:rsidRPr="005A497D" w:rsidRDefault="00A20DCC" w:rsidP="00A20DCC">
            <w:pPr>
              <w:ind w:left="-57" w:right="-57"/>
              <w:jc w:val="center"/>
              <w:rPr>
                <w:b/>
                <w:sz w:val="16"/>
                <w:szCs w:val="16"/>
              </w:rPr>
            </w:pPr>
            <w:r>
              <w:rPr>
                <w:b/>
                <w:sz w:val="16"/>
                <w:szCs w:val="16"/>
              </w:rPr>
              <w:t>B</w:t>
            </w:r>
          </w:p>
        </w:tc>
      </w:tr>
      <w:tr w:rsidR="00CB6100" w:rsidRPr="005A497D" w14:paraId="324463CC" w14:textId="77777777" w:rsidTr="00D232C4">
        <w:trPr>
          <w:trHeight w:val="288"/>
          <w:jc w:val="center"/>
        </w:trPr>
        <w:tc>
          <w:tcPr>
            <w:tcW w:w="3983" w:type="dxa"/>
            <w:gridSpan w:val="3"/>
            <w:vAlign w:val="center"/>
          </w:tcPr>
          <w:p w14:paraId="52B502F2" w14:textId="77777777" w:rsidR="00CB6100" w:rsidRPr="005A497D" w:rsidRDefault="00CB6100" w:rsidP="00CB6100">
            <w:pPr>
              <w:ind w:left="-28" w:right="-57"/>
              <w:rPr>
                <w:b/>
                <w:sz w:val="16"/>
                <w:szCs w:val="16"/>
              </w:rPr>
            </w:pPr>
            <w:r w:rsidRPr="005A497D">
              <w:rPr>
                <w:b/>
                <w:sz w:val="16"/>
                <w:szCs w:val="16"/>
              </w:rPr>
              <w:t>F – External Scrutiny and Audit</w:t>
            </w:r>
          </w:p>
        </w:tc>
        <w:tc>
          <w:tcPr>
            <w:tcW w:w="263" w:type="dxa"/>
            <w:vMerge/>
            <w:shd w:val="clear" w:color="auto" w:fill="auto"/>
            <w:vAlign w:val="center"/>
          </w:tcPr>
          <w:p w14:paraId="053EDF2D" w14:textId="77777777" w:rsidR="00CB6100" w:rsidRPr="005A497D" w:rsidRDefault="00CB6100" w:rsidP="00D232C4">
            <w:pPr>
              <w:jc w:val="center"/>
              <w:rPr>
                <w:sz w:val="16"/>
                <w:szCs w:val="16"/>
              </w:rPr>
            </w:pPr>
          </w:p>
        </w:tc>
        <w:tc>
          <w:tcPr>
            <w:tcW w:w="2492" w:type="dxa"/>
            <w:gridSpan w:val="5"/>
            <w:vAlign w:val="center"/>
          </w:tcPr>
          <w:p w14:paraId="58046BFB" w14:textId="77777777" w:rsidR="00CB6100" w:rsidRPr="005A497D" w:rsidRDefault="00CB6100" w:rsidP="00D232C4">
            <w:pPr>
              <w:ind w:left="-57" w:right="-57"/>
              <w:jc w:val="center"/>
              <w:rPr>
                <w:b/>
                <w:sz w:val="16"/>
                <w:szCs w:val="16"/>
              </w:rPr>
            </w:pPr>
          </w:p>
        </w:tc>
        <w:tc>
          <w:tcPr>
            <w:tcW w:w="266" w:type="dxa"/>
            <w:vMerge/>
            <w:shd w:val="clear" w:color="auto" w:fill="auto"/>
            <w:vAlign w:val="center"/>
          </w:tcPr>
          <w:p w14:paraId="3CAF6396" w14:textId="77777777" w:rsidR="00CB6100" w:rsidRPr="005A497D" w:rsidRDefault="00CB6100" w:rsidP="00D232C4">
            <w:pPr>
              <w:jc w:val="center"/>
              <w:rPr>
                <w:sz w:val="16"/>
                <w:szCs w:val="16"/>
              </w:rPr>
            </w:pPr>
          </w:p>
        </w:tc>
        <w:tc>
          <w:tcPr>
            <w:tcW w:w="2494" w:type="dxa"/>
            <w:gridSpan w:val="5"/>
            <w:vAlign w:val="center"/>
          </w:tcPr>
          <w:p w14:paraId="2F8C3E72" w14:textId="77777777" w:rsidR="00CB6100" w:rsidRPr="005A497D" w:rsidRDefault="00CB6100" w:rsidP="00D232C4">
            <w:pPr>
              <w:ind w:left="-57" w:right="-57"/>
              <w:jc w:val="center"/>
              <w:rPr>
                <w:b/>
                <w:sz w:val="16"/>
                <w:szCs w:val="16"/>
              </w:rPr>
            </w:pPr>
          </w:p>
        </w:tc>
      </w:tr>
      <w:tr w:rsidR="00CB6100" w:rsidRPr="005A497D" w14:paraId="129EBD97" w14:textId="77777777" w:rsidTr="00CB6100">
        <w:trPr>
          <w:trHeight w:val="288"/>
          <w:jc w:val="center"/>
        </w:trPr>
        <w:tc>
          <w:tcPr>
            <w:tcW w:w="495" w:type="dxa"/>
            <w:vAlign w:val="center"/>
          </w:tcPr>
          <w:p w14:paraId="04B54E6C" w14:textId="77777777" w:rsidR="00CB6100" w:rsidRPr="005A497D" w:rsidRDefault="00CB6100" w:rsidP="00CB6100">
            <w:pPr>
              <w:ind w:left="-28" w:right="-57"/>
              <w:rPr>
                <w:sz w:val="16"/>
                <w:szCs w:val="16"/>
              </w:rPr>
            </w:pPr>
            <w:r w:rsidRPr="005A497D">
              <w:rPr>
                <w:sz w:val="16"/>
                <w:szCs w:val="16"/>
              </w:rPr>
              <w:t>PI-26</w:t>
            </w:r>
          </w:p>
        </w:tc>
        <w:tc>
          <w:tcPr>
            <w:tcW w:w="3040" w:type="dxa"/>
            <w:vAlign w:val="center"/>
          </w:tcPr>
          <w:p w14:paraId="3A8E3963" w14:textId="77777777" w:rsidR="00CB6100" w:rsidRPr="005A497D" w:rsidRDefault="00CB6100" w:rsidP="002F43FA">
            <w:pPr>
              <w:ind w:left="-28" w:right="-57"/>
              <w:rPr>
                <w:sz w:val="16"/>
                <w:szCs w:val="16"/>
              </w:rPr>
            </w:pPr>
            <w:r w:rsidRPr="005A497D">
              <w:rPr>
                <w:sz w:val="16"/>
                <w:szCs w:val="16"/>
              </w:rPr>
              <w:t>Scope, nature and follow-up of external audit</w:t>
            </w:r>
          </w:p>
        </w:tc>
        <w:tc>
          <w:tcPr>
            <w:tcW w:w="448" w:type="dxa"/>
            <w:vAlign w:val="center"/>
          </w:tcPr>
          <w:p w14:paraId="7D3C4E9F" w14:textId="77777777" w:rsidR="00CB6100" w:rsidRPr="005A497D" w:rsidRDefault="00CB6100" w:rsidP="00D232C4">
            <w:pPr>
              <w:jc w:val="center"/>
              <w:rPr>
                <w:b/>
                <w:sz w:val="16"/>
                <w:szCs w:val="16"/>
              </w:rPr>
            </w:pPr>
            <w:r w:rsidRPr="005A497D">
              <w:rPr>
                <w:b/>
                <w:sz w:val="16"/>
                <w:szCs w:val="16"/>
              </w:rPr>
              <w:t>M1</w:t>
            </w:r>
          </w:p>
        </w:tc>
        <w:tc>
          <w:tcPr>
            <w:tcW w:w="263" w:type="dxa"/>
            <w:vMerge/>
            <w:shd w:val="clear" w:color="auto" w:fill="auto"/>
            <w:vAlign w:val="center"/>
          </w:tcPr>
          <w:p w14:paraId="0DA12ACB" w14:textId="77777777" w:rsidR="00CB6100" w:rsidRPr="005A497D" w:rsidRDefault="00CB6100" w:rsidP="00D232C4">
            <w:pPr>
              <w:jc w:val="center"/>
              <w:rPr>
                <w:sz w:val="16"/>
                <w:szCs w:val="16"/>
              </w:rPr>
            </w:pPr>
          </w:p>
        </w:tc>
        <w:tc>
          <w:tcPr>
            <w:tcW w:w="440" w:type="dxa"/>
            <w:vAlign w:val="center"/>
          </w:tcPr>
          <w:p w14:paraId="7AF35920"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64AF2758" w14:textId="77777777" w:rsidR="00CB6100" w:rsidRPr="005A497D" w:rsidRDefault="00CB6100" w:rsidP="00D232C4">
            <w:pPr>
              <w:ind w:left="-57" w:right="-57"/>
              <w:jc w:val="center"/>
              <w:rPr>
                <w:b/>
                <w:sz w:val="16"/>
                <w:szCs w:val="16"/>
              </w:rPr>
            </w:pPr>
            <w:r w:rsidRPr="005A497D">
              <w:rPr>
                <w:b/>
                <w:sz w:val="16"/>
                <w:szCs w:val="16"/>
              </w:rPr>
              <w:t>NA</w:t>
            </w:r>
          </w:p>
        </w:tc>
        <w:tc>
          <w:tcPr>
            <w:tcW w:w="440" w:type="dxa"/>
            <w:vAlign w:val="center"/>
          </w:tcPr>
          <w:p w14:paraId="2E854B96" w14:textId="77777777" w:rsidR="00CB6100" w:rsidRPr="005A497D" w:rsidRDefault="00CB6100" w:rsidP="00D232C4">
            <w:pPr>
              <w:ind w:left="-57" w:right="-57"/>
              <w:jc w:val="center"/>
              <w:rPr>
                <w:b/>
                <w:sz w:val="16"/>
                <w:szCs w:val="16"/>
              </w:rPr>
            </w:pPr>
            <w:r w:rsidRPr="005A497D">
              <w:rPr>
                <w:b/>
                <w:sz w:val="16"/>
                <w:szCs w:val="16"/>
              </w:rPr>
              <w:t>B</w:t>
            </w:r>
          </w:p>
        </w:tc>
        <w:tc>
          <w:tcPr>
            <w:tcW w:w="440" w:type="dxa"/>
            <w:shd w:val="clear" w:color="auto" w:fill="F2F2F2" w:themeFill="background1" w:themeFillShade="F2"/>
            <w:vAlign w:val="center"/>
          </w:tcPr>
          <w:p w14:paraId="4AB1938E" w14:textId="77777777" w:rsidR="00CB6100" w:rsidRPr="005A497D" w:rsidRDefault="00CB6100" w:rsidP="00D232C4">
            <w:pPr>
              <w:ind w:left="-57" w:right="-57"/>
              <w:jc w:val="center"/>
              <w:rPr>
                <w:b/>
                <w:sz w:val="16"/>
                <w:szCs w:val="16"/>
              </w:rPr>
            </w:pPr>
          </w:p>
        </w:tc>
        <w:tc>
          <w:tcPr>
            <w:tcW w:w="732" w:type="dxa"/>
            <w:vAlign w:val="center"/>
          </w:tcPr>
          <w:p w14:paraId="1976952A" w14:textId="77777777" w:rsidR="00CB6100" w:rsidRPr="005A497D" w:rsidRDefault="00CB6100" w:rsidP="00D232C4">
            <w:pPr>
              <w:jc w:val="center"/>
              <w:rPr>
                <w:b/>
                <w:sz w:val="16"/>
                <w:szCs w:val="16"/>
              </w:rPr>
            </w:pPr>
            <w:r w:rsidRPr="005A497D">
              <w:rPr>
                <w:b/>
                <w:sz w:val="16"/>
                <w:szCs w:val="16"/>
              </w:rPr>
              <w:t>B+</w:t>
            </w:r>
          </w:p>
        </w:tc>
        <w:tc>
          <w:tcPr>
            <w:tcW w:w="266" w:type="dxa"/>
            <w:vMerge/>
            <w:shd w:val="clear" w:color="auto" w:fill="auto"/>
            <w:vAlign w:val="center"/>
          </w:tcPr>
          <w:p w14:paraId="75453948" w14:textId="77777777" w:rsidR="00CB6100" w:rsidRPr="005A497D" w:rsidRDefault="00CB6100" w:rsidP="00D232C4">
            <w:pPr>
              <w:jc w:val="center"/>
              <w:rPr>
                <w:sz w:val="16"/>
                <w:szCs w:val="16"/>
              </w:rPr>
            </w:pPr>
          </w:p>
        </w:tc>
        <w:tc>
          <w:tcPr>
            <w:tcW w:w="421" w:type="dxa"/>
            <w:vAlign w:val="center"/>
          </w:tcPr>
          <w:p w14:paraId="7BB374DE"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2E975047" w14:textId="77777777" w:rsidR="00CB6100" w:rsidRPr="005A497D" w:rsidRDefault="00CB6100" w:rsidP="00D232C4">
            <w:pPr>
              <w:ind w:left="-57" w:right="-57"/>
              <w:jc w:val="center"/>
              <w:rPr>
                <w:b/>
                <w:sz w:val="16"/>
                <w:szCs w:val="16"/>
              </w:rPr>
            </w:pPr>
            <w:r w:rsidRPr="005A497D">
              <w:rPr>
                <w:b/>
                <w:sz w:val="16"/>
                <w:szCs w:val="16"/>
              </w:rPr>
              <w:t>D</w:t>
            </w:r>
          </w:p>
        </w:tc>
        <w:tc>
          <w:tcPr>
            <w:tcW w:w="421" w:type="dxa"/>
            <w:vAlign w:val="center"/>
          </w:tcPr>
          <w:p w14:paraId="7DEF6F5C" w14:textId="77777777" w:rsidR="00CB6100" w:rsidRPr="005A497D" w:rsidRDefault="00CB6100" w:rsidP="00D232C4">
            <w:pPr>
              <w:ind w:left="-57" w:right="-57"/>
              <w:jc w:val="center"/>
              <w:rPr>
                <w:b/>
                <w:sz w:val="16"/>
                <w:szCs w:val="16"/>
              </w:rPr>
            </w:pPr>
            <w:r w:rsidRPr="005A497D">
              <w:rPr>
                <w:b/>
                <w:sz w:val="16"/>
                <w:szCs w:val="16"/>
              </w:rPr>
              <w:t>B</w:t>
            </w:r>
          </w:p>
        </w:tc>
        <w:tc>
          <w:tcPr>
            <w:tcW w:w="422" w:type="dxa"/>
            <w:shd w:val="clear" w:color="auto" w:fill="F2F2F2" w:themeFill="background1" w:themeFillShade="F2"/>
            <w:vAlign w:val="center"/>
          </w:tcPr>
          <w:p w14:paraId="659005C5" w14:textId="77777777" w:rsidR="00CB6100" w:rsidRPr="005A497D" w:rsidRDefault="00CB6100" w:rsidP="00D232C4">
            <w:pPr>
              <w:ind w:left="-57" w:right="-57"/>
              <w:jc w:val="center"/>
              <w:rPr>
                <w:b/>
                <w:sz w:val="16"/>
                <w:szCs w:val="16"/>
              </w:rPr>
            </w:pPr>
          </w:p>
        </w:tc>
        <w:tc>
          <w:tcPr>
            <w:tcW w:w="808" w:type="dxa"/>
            <w:vAlign w:val="center"/>
          </w:tcPr>
          <w:p w14:paraId="613A3F64" w14:textId="166F4B04" w:rsidR="00CB6100" w:rsidRPr="005A497D" w:rsidRDefault="00A20DCC" w:rsidP="00A20DCC">
            <w:pPr>
              <w:ind w:left="-57" w:right="-57"/>
              <w:jc w:val="center"/>
              <w:rPr>
                <w:b/>
                <w:sz w:val="16"/>
                <w:szCs w:val="16"/>
              </w:rPr>
            </w:pPr>
            <w:r>
              <w:rPr>
                <w:b/>
                <w:sz w:val="16"/>
                <w:szCs w:val="16"/>
              </w:rPr>
              <w:t>B</w:t>
            </w:r>
          </w:p>
        </w:tc>
      </w:tr>
      <w:tr w:rsidR="00CB6100" w:rsidRPr="005A497D" w14:paraId="4D657C11" w14:textId="77777777" w:rsidTr="00CB6100">
        <w:trPr>
          <w:trHeight w:val="288"/>
          <w:jc w:val="center"/>
        </w:trPr>
        <w:tc>
          <w:tcPr>
            <w:tcW w:w="495" w:type="dxa"/>
            <w:vAlign w:val="center"/>
          </w:tcPr>
          <w:p w14:paraId="6EDC10A9" w14:textId="77777777" w:rsidR="00CB6100" w:rsidRPr="005A497D" w:rsidRDefault="00CB6100" w:rsidP="00CB6100">
            <w:pPr>
              <w:ind w:left="-28" w:right="-57"/>
              <w:rPr>
                <w:sz w:val="16"/>
                <w:szCs w:val="16"/>
              </w:rPr>
            </w:pPr>
            <w:r w:rsidRPr="005A497D">
              <w:rPr>
                <w:sz w:val="16"/>
                <w:szCs w:val="16"/>
              </w:rPr>
              <w:t>PI-27</w:t>
            </w:r>
          </w:p>
        </w:tc>
        <w:tc>
          <w:tcPr>
            <w:tcW w:w="3040" w:type="dxa"/>
            <w:vAlign w:val="center"/>
          </w:tcPr>
          <w:p w14:paraId="0B781630" w14:textId="77777777" w:rsidR="00CB6100" w:rsidRPr="005A497D" w:rsidRDefault="00CB6100" w:rsidP="002F43FA">
            <w:pPr>
              <w:ind w:left="-28" w:right="-57"/>
              <w:rPr>
                <w:sz w:val="16"/>
                <w:szCs w:val="16"/>
              </w:rPr>
            </w:pPr>
            <w:r w:rsidRPr="005A497D">
              <w:rPr>
                <w:sz w:val="16"/>
                <w:szCs w:val="16"/>
              </w:rPr>
              <w:t>Legislative scrutiny of the annual budget law</w:t>
            </w:r>
          </w:p>
        </w:tc>
        <w:tc>
          <w:tcPr>
            <w:tcW w:w="448" w:type="dxa"/>
            <w:vAlign w:val="center"/>
          </w:tcPr>
          <w:p w14:paraId="18F7ED68" w14:textId="77777777" w:rsidR="00CB6100" w:rsidRPr="005A497D" w:rsidRDefault="00CB6100" w:rsidP="00D232C4">
            <w:pPr>
              <w:jc w:val="center"/>
              <w:rPr>
                <w:b/>
                <w:sz w:val="16"/>
                <w:szCs w:val="16"/>
              </w:rPr>
            </w:pPr>
            <w:r w:rsidRPr="005A497D">
              <w:rPr>
                <w:b/>
                <w:sz w:val="16"/>
                <w:szCs w:val="16"/>
              </w:rPr>
              <w:t>M1</w:t>
            </w:r>
          </w:p>
        </w:tc>
        <w:tc>
          <w:tcPr>
            <w:tcW w:w="263" w:type="dxa"/>
            <w:vAlign w:val="center"/>
          </w:tcPr>
          <w:p w14:paraId="7A5B6A92" w14:textId="77777777" w:rsidR="00CB6100" w:rsidRPr="005A497D" w:rsidRDefault="00CB6100" w:rsidP="00D232C4">
            <w:pPr>
              <w:jc w:val="center"/>
              <w:rPr>
                <w:sz w:val="16"/>
                <w:szCs w:val="16"/>
              </w:rPr>
            </w:pPr>
          </w:p>
        </w:tc>
        <w:tc>
          <w:tcPr>
            <w:tcW w:w="440" w:type="dxa"/>
            <w:vAlign w:val="center"/>
          </w:tcPr>
          <w:p w14:paraId="2014614C" w14:textId="77777777" w:rsidR="00CB6100" w:rsidRPr="005A497D" w:rsidRDefault="00CB6100" w:rsidP="00D232C4">
            <w:pPr>
              <w:ind w:left="-57" w:right="-57"/>
              <w:jc w:val="center"/>
              <w:rPr>
                <w:b/>
                <w:sz w:val="16"/>
                <w:szCs w:val="16"/>
              </w:rPr>
            </w:pPr>
            <w:r w:rsidRPr="005A497D">
              <w:rPr>
                <w:b/>
                <w:sz w:val="16"/>
                <w:szCs w:val="16"/>
              </w:rPr>
              <w:t>B</w:t>
            </w:r>
          </w:p>
        </w:tc>
        <w:tc>
          <w:tcPr>
            <w:tcW w:w="440" w:type="dxa"/>
            <w:vAlign w:val="center"/>
          </w:tcPr>
          <w:p w14:paraId="48E556A2"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21395D45" w14:textId="77777777" w:rsidR="00CB6100" w:rsidRPr="005A497D" w:rsidRDefault="00CB6100" w:rsidP="00D232C4">
            <w:pPr>
              <w:ind w:left="-57" w:right="-57"/>
              <w:jc w:val="center"/>
              <w:rPr>
                <w:b/>
                <w:sz w:val="16"/>
                <w:szCs w:val="16"/>
              </w:rPr>
            </w:pPr>
            <w:r w:rsidRPr="005A497D">
              <w:rPr>
                <w:b/>
                <w:sz w:val="16"/>
                <w:szCs w:val="16"/>
              </w:rPr>
              <w:t>A</w:t>
            </w:r>
          </w:p>
        </w:tc>
        <w:tc>
          <w:tcPr>
            <w:tcW w:w="440" w:type="dxa"/>
            <w:vAlign w:val="center"/>
          </w:tcPr>
          <w:p w14:paraId="30BBE06E" w14:textId="77777777" w:rsidR="00CB6100" w:rsidRPr="005A497D" w:rsidRDefault="00CB6100" w:rsidP="00D232C4">
            <w:pPr>
              <w:ind w:left="-57" w:right="-57"/>
              <w:jc w:val="center"/>
              <w:rPr>
                <w:b/>
                <w:sz w:val="16"/>
                <w:szCs w:val="16"/>
              </w:rPr>
            </w:pPr>
            <w:r w:rsidRPr="005A497D">
              <w:rPr>
                <w:b/>
                <w:sz w:val="16"/>
                <w:szCs w:val="16"/>
              </w:rPr>
              <w:t>C</w:t>
            </w:r>
          </w:p>
        </w:tc>
        <w:tc>
          <w:tcPr>
            <w:tcW w:w="732" w:type="dxa"/>
            <w:vAlign w:val="center"/>
          </w:tcPr>
          <w:p w14:paraId="329DB6ED" w14:textId="77777777" w:rsidR="00CB6100" w:rsidRPr="005A497D" w:rsidRDefault="00CB6100" w:rsidP="00D232C4">
            <w:pPr>
              <w:jc w:val="center"/>
              <w:rPr>
                <w:b/>
                <w:sz w:val="16"/>
                <w:szCs w:val="16"/>
              </w:rPr>
            </w:pPr>
            <w:r w:rsidRPr="005A497D">
              <w:rPr>
                <w:b/>
                <w:sz w:val="16"/>
                <w:szCs w:val="16"/>
              </w:rPr>
              <w:t>C+</w:t>
            </w:r>
          </w:p>
        </w:tc>
        <w:tc>
          <w:tcPr>
            <w:tcW w:w="266" w:type="dxa"/>
            <w:vMerge/>
            <w:shd w:val="clear" w:color="auto" w:fill="auto"/>
            <w:vAlign w:val="center"/>
          </w:tcPr>
          <w:p w14:paraId="677F6934" w14:textId="77777777" w:rsidR="00CB6100" w:rsidRPr="005A497D" w:rsidRDefault="00CB6100" w:rsidP="00D232C4">
            <w:pPr>
              <w:jc w:val="center"/>
              <w:rPr>
                <w:sz w:val="16"/>
                <w:szCs w:val="16"/>
              </w:rPr>
            </w:pPr>
          </w:p>
        </w:tc>
        <w:tc>
          <w:tcPr>
            <w:tcW w:w="421" w:type="dxa"/>
            <w:vAlign w:val="center"/>
          </w:tcPr>
          <w:p w14:paraId="1DF3D831" w14:textId="77777777" w:rsidR="00CB6100" w:rsidRPr="005A497D" w:rsidRDefault="00CB6100" w:rsidP="00D232C4">
            <w:pPr>
              <w:ind w:left="-57" w:right="-57"/>
              <w:jc w:val="center"/>
              <w:rPr>
                <w:b/>
                <w:sz w:val="16"/>
                <w:szCs w:val="16"/>
              </w:rPr>
            </w:pPr>
            <w:r w:rsidRPr="005A497D">
              <w:rPr>
                <w:b/>
                <w:sz w:val="16"/>
                <w:szCs w:val="16"/>
              </w:rPr>
              <w:t>B</w:t>
            </w:r>
          </w:p>
        </w:tc>
        <w:tc>
          <w:tcPr>
            <w:tcW w:w="422" w:type="dxa"/>
            <w:vAlign w:val="center"/>
          </w:tcPr>
          <w:p w14:paraId="2EB9A3A6" w14:textId="77777777" w:rsidR="00CB6100" w:rsidRPr="005A497D" w:rsidRDefault="00CB6100" w:rsidP="00D232C4">
            <w:pPr>
              <w:ind w:left="-57" w:right="-57"/>
              <w:jc w:val="center"/>
              <w:rPr>
                <w:b/>
                <w:sz w:val="16"/>
                <w:szCs w:val="16"/>
              </w:rPr>
            </w:pPr>
            <w:r w:rsidRPr="005A497D">
              <w:rPr>
                <w:b/>
                <w:sz w:val="16"/>
                <w:szCs w:val="16"/>
              </w:rPr>
              <w:t>A</w:t>
            </w:r>
          </w:p>
        </w:tc>
        <w:tc>
          <w:tcPr>
            <w:tcW w:w="421" w:type="dxa"/>
            <w:vAlign w:val="center"/>
          </w:tcPr>
          <w:p w14:paraId="22C7D499" w14:textId="77777777" w:rsidR="00CB6100" w:rsidRPr="005A497D" w:rsidRDefault="00CB6100" w:rsidP="00D232C4">
            <w:pPr>
              <w:ind w:left="-57" w:right="-57"/>
              <w:jc w:val="center"/>
              <w:rPr>
                <w:b/>
                <w:sz w:val="16"/>
                <w:szCs w:val="16"/>
              </w:rPr>
            </w:pPr>
            <w:r w:rsidRPr="005A497D">
              <w:rPr>
                <w:b/>
                <w:sz w:val="16"/>
                <w:szCs w:val="16"/>
              </w:rPr>
              <w:t>A</w:t>
            </w:r>
          </w:p>
        </w:tc>
        <w:tc>
          <w:tcPr>
            <w:tcW w:w="422" w:type="dxa"/>
            <w:vAlign w:val="center"/>
          </w:tcPr>
          <w:p w14:paraId="6733BB62" w14:textId="77777777" w:rsidR="00CB6100" w:rsidRPr="005A497D" w:rsidRDefault="00CB6100" w:rsidP="00D232C4">
            <w:pPr>
              <w:ind w:left="-57" w:right="-57"/>
              <w:jc w:val="center"/>
              <w:rPr>
                <w:b/>
                <w:sz w:val="16"/>
                <w:szCs w:val="16"/>
              </w:rPr>
            </w:pPr>
            <w:r w:rsidRPr="005A497D">
              <w:rPr>
                <w:b/>
                <w:sz w:val="16"/>
                <w:szCs w:val="16"/>
              </w:rPr>
              <w:t>B</w:t>
            </w:r>
          </w:p>
        </w:tc>
        <w:tc>
          <w:tcPr>
            <w:tcW w:w="808" w:type="dxa"/>
            <w:vAlign w:val="center"/>
          </w:tcPr>
          <w:p w14:paraId="46A89B95" w14:textId="77777777" w:rsidR="00CB6100" w:rsidRPr="005A497D" w:rsidRDefault="00CB6100" w:rsidP="00D232C4">
            <w:pPr>
              <w:ind w:left="-57" w:right="-57"/>
              <w:jc w:val="center"/>
              <w:rPr>
                <w:b/>
                <w:sz w:val="16"/>
                <w:szCs w:val="16"/>
              </w:rPr>
            </w:pPr>
            <w:r w:rsidRPr="005A497D">
              <w:rPr>
                <w:b/>
                <w:sz w:val="16"/>
                <w:szCs w:val="16"/>
              </w:rPr>
              <w:t>B+</w:t>
            </w:r>
          </w:p>
        </w:tc>
      </w:tr>
      <w:tr w:rsidR="00CB6100" w:rsidRPr="005A497D" w14:paraId="0F51EE7F" w14:textId="77777777" w:rsidTr="00CB6100">
        <w:trPr>
          <w:trHeight w:val="288"/>
          <w:jc w:val="center"/>
        </w:trPr>
        <w:tc>
          <w:tcPr>
            <w:tcW w:w="495" w:type="dxa"/>
            <w:vAlign w:val="center"/>
          </w:tcPr>
          <w:p w14:paraId="49558951" w14:textId="77777777" w:rsidR="00CB6100" w:rsidRPr="005A497D" w:rsidRDefault="00CB6100" w:rsidP="00CB6100">
            <w:pPr>
              <w:ind w:left="-28" w:right="-57"/>
              <w:rPr>
                <w:sz w:val="16"/>
                <w:szCs w:val="16"/>
              </w:rPr>
            </w:pPr>
            <w:r w:rsidRPr="005A497D">
              <w:rPr>
                <w:sz w:val="16"/>
                <w:szCs w:val="16"/>
              </w:rPr>
              <w:t>PI-28</w:t>
            </w:r>
          </w:p>
        </w:tc>
        <w:tc>
          <w:tcPr>
            <w:tcW w:w="3040" w:type="dxa"/>
            <w:vAlign w:val="center"/>
          </w:tcPr>
          <w:p w14:paraId="7181CCE7" w14:textId="77777777" w:rsidR="00CB6100" w:rsidRPr="005A497D" w:rsidRDefault="00CB6100" w:rsidP="002F43FA">
            <w:pPr>
              <w:ind w:left="-28" w:right="-57"/>
              <w:rPr>
                <w:sz w:val="16"/>
                <w:szCs w:val="16"/>
              </w:rPr>
            </w:pPr>
            <w:r w:rsidRPr="005A497D">
              <w:rPr>
                <w:sz w:val="16"/>
                <w:szCs w:val="16"/>
              </w:rPr>
              <w:t>Legislative scrutiny of external audit reports</w:t>
            </w:r>
          </w:p>
        </w:tc>
        <w:tc>
          <w:tcPr>
            <w:tcW w:w="448" w:type="dxa"/>
            <w:vAlign w:val="center"/>
          </w:tcPr>
          <w:p w14:paraId="1B9EAA03" w14:textId="77777777" w:rsidR="00CB6100" w:rsidRPr="005A497D" w:rsidRDefault="00CB6100" w:rsidP="00D232C4">
            <w:pPr>
              <w:jc w:val="center"/>
              <w:rPr>
                <w:b/>
                <w:sz w:val="16"/>
                <w:szCs w:val="16"/>
              </w:rPr>
            </w:pPr>
            <w:r w:rsidRPr="005A497D">
              <w:rPr>
                <w:b/>
                <w:sz w:val="16"/>
                <w:szCs w:val="16"/>
              </w:rPr>
              <w:t>M1</w:t>
            </w:r>
          </w:p>
        </w:tc>
        <w:tc>
          <w:tcPr>
            <w:tcW w:w="263" w:type="dxa"/>
            <w:vAlign w:val="center"/>
          </w:tcPr>
          <w:p w14:paraId="30ED04BD" w14:textId="77777777" w:rsidR="00CB6100" w:rsidRPr="005A497D" w:rsidRDefault="00CB6100" w:rsidP="00D232C4">
            <w:pPr>
              <w:jc w:val="center"/>
              <w:rPr>
                <w:sz w:val="16"/>
                <w:szCs w:val="16"/>
              </w:rPr>
            </w:pPr>
          </w:p>
        </w:tc>
        <w:tc>
          <w:tcPr>
            <w:tcW w:w="440" w:type="dxa"/>
            <w:vAlign w:val="center"/>
          </w:tcPr>
          <w:p w14:paraId="0FDBA3B9"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7824BA9C" w14:textId="77777777" w:rsidR="00CB6100" w:rsidRPr="005A497D" w:rsidRDefault="00CB6100" w:rsidP="00D232C4">
            <w:pPr>
              <w:ind w:left="-57" w:right="-57"/>
              <w:jc w:val="center"/>
              <w:rPr>
                <w:b/>
                <w:sz w:val="16"/>
                <w:szCs w:val="16"/>
              </w:rPr>
            </w:pPr>
            <w:r w:rsidRPr="005A497D">
              <w:rPr>
                <w:b/>
                <w:sz w:val="16"/>
                <w:szCs w:val="16"/>
              </w:rPr>
              <w:t>D</w:t>
            </w:r>
          </w:p>
        </w:tc>
        <w:tc>
          <w:tcPr>
            <w:tcW w:w="440" w:type="dxa"/>
            <w:vAlign w:val="center"/>
          </w:tcPr>
          <w:p w14:paraId="3417DAAC" w14:textId="77777777" w:rsidR="00CB6100" w:rsidRPr="005A497D" w:rsidRDefault="00CB6100" w:rsidP="00D232C4">
            <w:pPr>
              <w:ind w:left="-57" w:right="-57"/>
              <w:jc w:val="center"/>
              <w:rPr>
                <w:b/>
                <w:sz w:val="16"/>
                <w:szCs w:val="16"/>
              </w:rPr>
            </w:pPr>
            <w:r w:rsidRPr="005A497D">
              <w:rPr>
                <w:b/>
                <w:sz w:val="16"/>
                <w:szCs w:val="16"/>
              </w:rPr>
              <w:t>D</w:t>
            </w:r>
          </w:p>
        </w:tc>
        <w:tc>
          <w:tcPr>
            <w:tcW w:w="440" w:type="dxa"/>
            <w:shd w:val="clear" w:color="auto" w:fill="F2F2F2" w:themeFill="background1" w:themeFillShade="F2"/>
            <w:vAlign w:val="center"/>
          </w:tcPr>
          <w:p w14:paraId="122CD6D2" w14:textId="77777777" w:rsidR="00CB6100" w:rsidRPr="005A497D" w:rsidRDefault="00CB6100" w:rsidP="00D232C4">
            <w:pPr>
              <w:ind w:left="-57" w:right="-57"/>
              <w:jc w:val="center"/>
              <w:rPr>
                <w:b/>
                <w:sz w:val="16"/>
                <w:szCs w:val="16"/>
              </w:rPr>
            </w:pPr>
          </w:p>
        </w:tc>
        <w:tc>
          <w:tcPr>
            <w:tcW w:w="732" w:type="dxa"/>
            <w:vAlign w:val="center"/>
          </w:tcPr>
          <w:p w14:paraId="5D3A0410" w14:textId="77777777" w:rsidR="00CB6100" w:rsidRPr="005A497D" w:rsidRDefault="00CB6100" w:rsidP="00D232C4">
            <w:pPr>
              <w:jc w:val="center"/>
              <w:rPr>
                <w:b/>
                <w:sz w:val="16"/>
                <w:szCs w:val="16"/>
              </w:rPr>
            </w:pPr>
            <w:r w:rsidRPr="005A497D">
              <w:rPr>
                <w:b/>
                <w:sz w:val="16"/>
                <w:szCs w:val="16"/>
              </w:rPr>
              <w:t>D</w:t>
            </w:r>
          </w:p>
        </w:tc>
        <w:tc>
          <w:tcPr>
            <w:tcW w:w="266" w:type="dxa"/>
            <w:vMerge/>
            <w:shd w:val="clear" w:color="auto" w:fill="auto"/>
            <w:vAlign w:val="center"/>
          </w:tcPr>
          <w:p w14:paraId="15BAC87C" w14:textId="77777777" w:rsidR="00CB6100" w:rsidRPr="005A497D" w:rsidRDefault="00CB6100" w:rsidP="00D232C4">
            <w:pPr>
              <w:jc w:val="center"/>
              <w:rPr>
                <w:sz w:val="16"/>
                <w:szCs w:val="16"/>
              </w:rPr>
            </w:pPr>
          </w:p>
        </w:tc>
        <w:tc>
          <w:tcPr>
            <w:tcW w:w="421" w:type="dxa"/>
            <w:vAlign w:val="center"/>
          </w:tcPr>
          <w:p w14:paraId="39A9FB63" w14:textId="77777777" w:rsidR="00CB6100" w:rsidRPr="005A497D" w:rsidRDefault="00CB6100" w:rsidP="00D232C4">
            <w:pPr>
              <w:ind w:left="-57" w:right="-57"/>
              <w:jc w:val="center"/>
              <w:rPr>
                <w:b/>
                <w:sz w:val="16"/>
                <w:szCs w:val="16"/>
              </w:rPr>
            </w:pPr>
            <w:r w:rsidRPr="005A497D">
              <w:rPr>
                <w:b/>
                <w:sz w:val="16"/>
                <w:szCs w:val="16"/>
              </w:rPr>
              <w:t>D</w:t>
            </w:r>
          </w:p>
        </w:tc>
        <w:tc>
          <w:tcPr>
            <w:tcW w:w="422" w:type="dxa"/>
            <w:vAlign w:val="center"/>
          </w:tcPr>
          <w:p w14:paraId="491DE399" w14:textId="77777777" w:rsidR="00CB6100" w:rsidRPr="005A497D" w:rsidRDefault="00CB6100" w:rsidP="00D232C4">
            <w:pPr>
              <w:ind w:left="-57" w:right="-57"/>
              <w:jc w:val="center"/>
              <w:rPr>
                <w:b/>
                <w:sz w:val="16"/>
                <w:szCs w:val="16"/>
              </w:rPr>
            </w:pPr>
            <w:r w:rsidRPr="005A497D">
              <w:rPr>
                <w:b/>
                <w:sz w:val="16"/>
                <w:szCs w:val="16"/>
              </w:rPr>
              <w:t>D</w:t>
            </w:r>
          </w:p>
        </w:tc>
        <w:tc>
          <w:tcPr>
            <w:tcW w:w="421" w:type="dxa"/>
            <w:vAlign w:val="center"/>
          </w:tcPr>
          <w:p w14:paraId="1AB14E3C" w14:textId="77777777" w:rsidR="00CB6100" w:rsidRPr="005A497D" w:rsidRDefault="00CB6100" w:rsidP="00D232C4">
            <w:pPr>
              <w:ind w:left="-57" w:right="-57"/>
              <w:jc w:val="center"/>
              <w:rPr>
                <w:b/>
                <w:sz w:val="16"/>
                <w:szCs w:val="16"/>
              </w:rPr>
            </w:pPr>
            <w:r w:rsidRPr="005A497D">
              <w:rPr>
                <w:b/>
                <w:sz w:val="16"/>
                <w:szCs w:val="16"/>
              </w:rPr>
              <w:t>D</w:t>
            </w:r>
          </w:p>
        </w:tc>
        <w:tc>
          <w:tcPr>
            <w:tcW w:w="422" w:type="dxa"/>
            <w:shd w:val="clear" w:color="auto" w:fill="F2F2F2" w:themeFill="background1" w:themeFillShade="F2"/>
            <w:vAlign w:val="center"/>
          </w:tcPr>
          <w:p w14:paraId="1F130B9F" w14:textId="77777777" w:rsidR="00CB6100" w:rsidRPr="005A497D" w:rsidRDefault="00CB6100" w:rsidP="00D232C4">
            <w:pPr>
              <w:ind w:left="-57" w:right="-57"/>
              <w:jc w:val="center"/>
              <w:rPr>
                <w:b/>
                <w:sz w:val="16"/>
                <w:szCs w:val="16"/>
              </w:rPr>
            </w:pPr>
          </w:p>
        </w:tc>
        <w:tc>
          <w:tcPr>
            <w:tcW w:w="808" w:type="dxa"/>
            <w:vAlign w:val="center"/>
          </w:tcPr>
          <w:p w14:paraId="38B1929A" w14:textId="77777777" w:rsidR="00CB6100" w:rsidRPr="005A497D" w:rsidRDefault="00CB6100" w:rsidP="00D232C4">
            <w:pPr>
              <w:jc w:val="center"/>
              <w:rPr>
                <w:b/>
                <w:sz w:val="16"/>
                <w:szCs w:val="16"/>
              </w:rPr>
            </w:pPr>
            <w:r w:rsidRPr="005A497D">
              <w:rPr>
                <w:b/>
                <w:sz w:val="16"/>
                <w:szCs w:val="16"/>
              </w:rPr>
              <w:t>D</w:t>
            </w:r>
          </w:p>
        </w:tc>
      </w:tr>
    </w:tbl>
    <w:p w14:paraId="4B72B6BE" w14:textId="1206503F" w:rsidR="00B63470" w:rsidRPr="005A497D" w:rsidRDefault="00B63470" w:rsidP="00B63470">
      <w:pPr>
        <w:pStyle w:val="PEFATable"/>
        <w:spacing w:after="40"/>
        <w:jc w:val="both"/>
        <w:rPr>
          <w:sz w:val="24"/>
          <w:szCs w:val="24"/>
        </w:rPr>
      </w:pPr>
      <w:bookmarkStart w:id="451" w:name="_Toc454889279"/>
      <w:r>
        <w:rPr>
          <w:sz w:val="24"/>
          <w:szCs w:val="24"/>
        </w:rPr>
        <w:t xml:space="preserve">Table A5.2: </w:t>
      </w:r>
      <w:r w:rsidRPr="005A497D">
        <w:rPr>
          <w:sz w:val="24"/>
          <w:szCs w:val="24"/>
        </w:rPr>
        <w:t xml:space="preserve">Distribution of </w:t>
      </w:r>
      <w:r>
        <w:rPr>
          <w:sz w:val="24"/>
          <w:szCs w:val="24"/>
        </w:rPr>
        <w:t>R</w:t>
      </w:r>
      <w:r w:rsidRPr="005A497D">
        <w:rPr>
          <w:sz w:val="24"/>
          <w:szCs w:val="24"/>
        </w:rPr>
        <w:t>atings</w:t>
      </w:r>
      <w:r>
        <w:rPr>
          <w:sz w:val="24"/>
          <w:szCs w:val="24"/>
        </w:rPr>
        <w:t xml:space="preserve"> by Indicator – </w:t>
      </w:r>
      <w:r w:rsidR="003B6382">
        <w:rPr>
          <w:sz w:val="24"/>
          <w:szCs w:val="24"/>
        </w:rPr>
        <w:t>Old Methodology</w:t>
      </w:r>
      <w:bookmarkEnd w:id="451"/>
    </w:p>
    <w:tbl>
      <w:tblPr>
        <w:tblStyle w:val="TableGrid"/>
        <w:tblW w:w="9450" w:type="dxa"/>
        <w:tblInd w:w="-105" w:type="dxa"/>
        <w:tblBorders>
          <w:top w:val="double" w:sz="4" w:space="0" w:color="auto"/>
          <w:left w:val="double" w:sz="4" w:space="0" w:color="auto"/>
          <w:bottom w:val="double" w:sz="4" w:space="0" w:color="auto"/>
          <w:right w:val="double" w:sz="4" w:space="0" w:color="auto"/>
        </w:tblBorders>
        <w:tblLayout w:type="fixed"/>
        <w:tblLook w:val="0420" w:firstRow="1" w:lastRow="0" w:firstColumn="0" w:lastColumn="0" w:noHBand="0" w:noVBand="1"/>
      </w:tblPr>
      <w:tblGrid>
        <w:gridCol w:w="4320"/>
        <w:gridCol w:w="900"/>
        <w:gridCol w:w="900"/>
        <w:gridCol w:w="990"/>
        <w:gridCol w:w="1080"/>
        <w:gridCol w:w="1260"/>
      </w:tblGrid>
      <w:tr w:rsidR="00B63470" w:rsidRPr="005A497D" w14:paraId="6775DF93" w14:textId="77777777" w:rsidTr="004D4EE0">
        <w:trPr>
          <w:trHeight w:val="340"/>
        </w:trPr>
        <w:tc>
          <w:tcPr>
            <w:tcW w:w="4320" w:type="dxa"/>
            <w:vMerge w:val="restart"/>
            <w:tcBorders>
              <w:right w:val="double" w:sz="4" w:space="0" w:color="auto"/>
            </w:tcBorders>
            <w:shd w:val="clear" w:color="auto" w:fill="D9D9D9" w:themeFill="background1" w:themeFillShade="D9"/>
            <w:vAlign w:val="center"/>
            <w:hideMark/>
          </w:tcPr>
          <w:p w14:paraId="0AD9645A" w14:textId="77777777" w:rsidR="00B63470" w:rsidRPr="005A497D" w:rsidRDefault="00B63470" w:rsidP="004D4EE0">
            <w:pPr>
              <w:pStyle w:val="NormalWeb"/>
              <w:spacing w:before="0" w:beforeAutospacing="0" w:after="0" w:afterAutospacing="0"/>
              <w:jc w:val="center"/>
              <w:rPr>
                <w:i/>
                <w:sz w:val="22"/>
                <w:szCs w:val="22"/>
              </w:rPr>
            </w:pPr>
            <w:r w:rsidRPr="005A497D">
              <w:rPr>
                <w:b/>
                <w:bCs/>
                <w:i/>
                <w:kern w:val="24"/>
                <w:sz w:val="22"/>
                <w:szCs w:val="22"/>
              </w:rPr>
              <w:t>Core Dimensions of Performance</w:t>
            </w:r>
          </w:p>
        </w:tc>
        <w:tc>
          <w:tcPr>
            <w:tcW w:w="1800" w:type="dxa"/>
            <w:gridSpan w:val="2"/>
            <w:tcBorders>
              <w:left w:val="double" w:sz="4" w:space="0" w:color="auto"/>
              <w:right w:val="double" w:sz="4" w:space="0" w:color="auto"/>
            </w:tcBorders>
            <w:shd w:val="clear" w:color="auto" w:fill="D9D9D9" w:themeFill="background1" w:themeFillShade="D9"/>
          </w:tcPr>
          <w:p w14:paraId="50EB958E" w14:textId="77777777" w:rsidR="00B63470" w:rsidRPr="005A497D" w:rsidRDefault="00B63470" w:rsidP="004D4EE0">
            <w:pPr>
              <w:pStyle w:val="NormalWeb"/>
              <w:spacing w:before="0" w:beforeAutospacing="0" w:after="0" w:afterAutospacing="0"/>
              <w:jc w:val="center"/>
              <w:rPr>
                <w:b/>
                <w:bCs/>
                <w:kern w:val="24"/>
                <w:sz w:val="22"/>
                <w:szCs w:val="22"/>
              </w:rPr>
            </w:pPr>
            <w:r>
              <w:rPr>
                <w:b/>
                <w:bCs/>
                <w:kern w:val="24"/>
                <w:sz w:val="22"/>
                <w:szCs w:val="22"/>
              </w:rPr>
              <w:t xml:space="preserve">2010 </w:t>
            </w:r>
            <w:r w:rsidRPr="005A497D">
              <w:rPr>
                <w:b/>
                <w:bCs/>
                <w:kern w:val="24"/>
                <w:sz w:val="22"/>
                <w:szCs w:val="22"/>
              </w:rPr>
              <w:t>Ratings</w:t>
            </w:r>
          </w:p>
        </w:tc>
        <w:tc>
          <w:tcPr>
            <w:tcW w:w="2070" w:type="dxa"/>
            <w:gridSpan w:val="2"/>
            <w:tcBorders>
              <w:left w:val="double" w:sz="4" w:space="0" w:color="auto"/>
              <w:right w:val="double" w:sz="4" w:space="0" w:color="auto"/>
            </w:tcBorders>
            <w:shd w:val="clear" w:color="auto" w:fill="D9D9D9" w:themeFill="background1" w:themeFillShade="D9"/>
            <w:vAlign w:val="center"/>
          </w:tcPr>
          <w:p w14:paraId="78D53FA6" w14:textId="77777777" w:rsidR="00B63470" w:rsidRPr="005A497D" w:rsidRDefault="00B63470" w:rsidP="004D4EE0">
            <w:pPr>
              <w:pStyle w:val="NormalWeb"/>
              <w:spacing w:before="0" w:beforeAutospacing="0" w:after="0" w:afterAutospacing="0"/>
              <w:jc w:val="center"/>
              <w:rPr>
                <w:b/>
                <w:bCs/>
                <w:kern w:val="24"/>
                <w:sz w:val="22"/>
                <w:szCs w:val="22"/>
              </w:rPr>
            </w:pPr>
            <w:r>
              <w:rPr>
                <w:b/>
                <w:bCs/>
                <w:kern w:val="24"/>
                <w:sz w:val="22"/>
                <w:szCs w:val="22"/>
              </w:rPr>
              <w:t xml:space="preserve">2016 </w:t>
            </w:r>
            <w:r w:rsidRPr="005A497D">
              <w:rPr>
                <w:b/>
                <w:bCs/>
                <w:kern w:val="24"/>
                <w:sz w:val="22"/>
                <w:szCs w:val="22"/>
              </w:rPr>
              <w:t>Ratings</w:t>
            </w:r>
          </w:p>
        </w:tc>
        <w:tc>
          <w:tcPr>
            <w:tcW w:w="1260" w:type="dxa"/>
            <w:vMerge w:val="restart"/>
            <w:tcBorders>
              <w:left w:val="double" w:sz="4" w:space="0" w:color="auto"/>
            </w:tcBorders>
            <w:shd w:val="clear" w:color="auto" w:fill="D9D9D9" w:themeFill="background1" w:themeFillShade="D9"/>
            <w:vAlign w:val="center"/>
            <w:hideMark/>
          </w:tcPr>
          <w:p w14:paraId="27F7C60E" w14:textId="77777777" w:rsidR="00B63470" w:rsidRPr="005A497D" w:rsidRDefault="00B63470" w:rsidP="004D4EE0">
            <w:pPr>
              <w:pStyle w:val="NormalWeb"/>
              <w:spacing w:before="0" w:beforeAutospacing="0" w:after="0" w:afterAutospacing="0"/>
              <w:jc w:val="center"/>
              <w:rPr>
                <w:sz w:val="22"/>
                <w:szCs w:val="22"/>
              </w:rPr>
            </w:pPr>
            <w:r w:rsidRPr="005A497D">
              <w:rPr>
                <w:b/>
                <w:bCs/>
                <w:kern w:val="24"/>
                <w:sz w:val="22"/>
                <w:szCs w:val="22"/>
              </w:rPr>
              <w:t>Total indicators</w:t>
            </w:r>
          </w:p>
        </w:tc>
      </w:tr>
      <w:tr w:rsidR="00B63470" w:rsidRPr="005A497D" w14:paraId="5B6A9B3B" w14:textId="77777777" w:rsidTr="004D4EE0">
        <w:trPr>
          <w:trHeight w:val="340"/>
        </w:trPr>
        <w:tc>
          <w:tcPr>
            <w:tcW w:w="4320" w:type="dxa"/>
            <w:vMerge/>
            <w:tcBorders>
              <w:bottom w:val="double" w:sz="4" w:space="0" w:color="auto"/>
              <w:right w:val="double" w:sz="4" w:space="0" w:color="auto"/>
            </w:tcBorders>
            <w:vAlign w:val="center"/>
          </w:tcPr>
          <w:p w14:paraId="300EF819" w14:textId="77777777" w:rsidR="00B63470" w:rsidRPr="005A497D" w:rsidRDefault="00B63470" w:rsidP="004D4EE0">
            <w:pPr>
              <w:pStyle w:val="NormalWeb"/>
              <w:spacing w:before="0" w:beforeAutospacing="0" w:after="0" w:afterAutospacing="0"/>
              <w:rPr>
                <w:kern w:val="24"/>
                <w:sz w:val="22"/>
                <w:szCs w:val="22"/>
              </w:rPr>
            </w:pPr>
          </w:p>
        </w:tc>
        <w:tc>
          <w:tcPr>
            <w:tcW w:w="900" w:type="dxa"/>
            <w:tcBorders>
              <w:left w:val="double" w:sz="4" w:space="0" w:color="auto"/>
              <w:bottom w:val="double" w:sz="4" w:space="0" w:color="auto"/>
            </w:tcBorders>
            <w:shd w:val="clear" w:color="auto" w:fill="D9D9D9" w:themeFill="background1" w:themeFillShade="D9"/>
          </w:tcPr>
          <w:p w14:paraId="4950ADEC"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A / B</w:t>
            </w:r>
          </w:p>
        </w:tc>
        <w:tc>
          <w:tcPr>
            <w:tcW w:w="900" w:type="dxa"/>
            <w:tcBorders>
              <w:bottom w:val="double" w:sz="4" w:space="0" w:color="auto"/>
              <w:right w:val="double" w:sz="4" w:space="0" w:color="auto"/>
            </w:tcBorders>
            <w:shd w:val="clear" w:color="auto" w:fill="D9D9D9" w:themeFill="background1" w:themeFillShade="D9"/>
            <w:vAlign w:val="center"/>
          </w:tcPr>
          <w:p w14:paraId="372D2495" w14:textId="77777777" w:rsidR="00B63470" w:rsidRPr="005A497D" w:rsidRDefault="00B63470" w:rsidP="004D4EE0">
            <w:pPr>
              <w:pStyle w:val="NormalWeb"/>
              <w:spacing w:before="0" w:beforeAutospacing="0" w:after="0" w:afterAutospacing="0"/>
              <w:jc w:val="center"/>
              <w:rPr>
                <w:b/>
                <w:kern w:val="24"/>
                <w:sz w:val="22"/>
                <w:szCs w:val="22"/>
              </w:rPr>
            </w:pPr>
            <w:r w:rsidRPr="005A497D">
              <w:rPr>
                <w:b/>
                <w:kern w:val="24"/>
                <w:sz w:val="22"/>
                <w:szCs w:val="22"/>
              </w:rPr>
              <w:t>C / D</w:t>
            </w:r>
          </w:p>
        </w:tc>
        <w:tc>
          <w:tcPr>
            <w:tcW w:w="990" w:type="dxa"/>
            <w:tcBorders>
              <w:left w:val="double" w:sz="4" w:space="0" w:color="auto"/>
              <w:bottom w:val="double" w:sz="4" w:space="0" w:color="auto"/>
            </w:tcBorders>
            <w:shd w:val="clear" w:color="auto" w:fill="D9D9D9" w:themeFill="background1" w:themeFillShade="D9"/>
            <w:vAlign w:val="center"/>
          </w:tcPr>
          <w:p w14:paraId="59E1268B" w14:textId="77777777" w:rsidR="00B63470" w:rsidRPr="005A497D" w:rsidRDefault="00B63470" w:rsidP="004D4EE0">
            <w:pPr>
              <w:pStyle w:val="NormalWeb"/>
              <w:spacing w:before="0" w:beforeAutospacing="0" w:after="0" w:afterAutospacing="0"/>
              <w:jc w:val="center"/>
              <w:rPr>
                <w:b/>
                <w:kern w:val="24"/>
                <w:sz w:val="22"/>
                <w:szCs w:val="22"/>
              </w:rPr>
            </w:pPr>
            <w:r w:rsidRPr="005A497D">
              <w:rPr>
                <w:b/>
                <w:kern w:val="24"/>
                <w:sz w:val="22"/>
                <w:szCs w:val="22"/>
              </w:rPr>
              <w:t>A / B</w:t>
            </w:r>
          </w:p>
        </w:tc>
        <w:tc>
          <w:tcPr>
            <w:tcW w:w="1080" w:type="dxa"/>
            <w:tcBorders>
              <w:bottom w:val="double" w:sz="4" w:space="0" w:color="auto"/>
              <w:right w:val="double" w:sz="4" w:space="0" w:color="auto"/>
            </w:tcBorders>
            <w:shd w:val="clear" w:color="auto" w:fill="D9D9D9" w:themeFill="background1" w:themeFillShade="D9"/>
            <w:vAlign w:val="center"/>
          </w:tcPr>
          <w:p w14:paraId="2D90881A" w14:textId="77777777" w:rsidR="00B63470" w:rsidRPr="005A497D" w:rsidRDefault="00B63470" w:rsidP="004D4EE0">
            <w:pPr>
              <w:pStyle w:val="NormalWeb"/>
              <w:spacing w:before="0" w:beforeAutospacing="0" w:after="0" w:afterAutospacing="0"/>
              <w:jc w:val="center"/>
              <w:rPr>
                <w:b/>
                <w:kern w:val="24"/>
                <w:sz w:val="22"/>
                <w:szCs w:val="22"/>
              </w:rPr>
            </w:pPr>
            <w:r w:rsidRPr="005A497D">
              <w:rPr>
                <w:b/>
                <w:kern w:val="24"/>
                <w:sz w:val="22"/>
                <w:szCs w:val="22"/>
              </w:rPr>
              <w:t>C / D</w:t>
            </w:r>
          </w:p>
        </w:tc>
        <w:tc>
          <w:tcPr>
            <w:tcW w:w="1260" w:type="dxa"/>
            <w:vMerge/>
            <w:tcBorders>
              <w:left w:val="double" w:sz="4" w:space="0" w:color="auto"/>
              <w:bottom w:val="double" w:sz="4" w:space="0" w:color="auto"/>
            </w:tcBorders>
            <w:vAlign w:val="center"/>
          </w:tcPr>
          <w:p w14:paraId="1CC20C9D" w14:textId="77777777" w:rsidR="00B63470" w:rsidRPr="005A497D" w:rsidRDefault="00B63470" w:rsidP="004D4EE0">
            <w:pPr>
              <w:pStyle w:val="NormalWeb"/>
              <w:spacing w:before="0" w:beforeAutospacing="0" w:after="0" w:afterAutospacing="0"/>
              <w:jc w:val="center"/>
              <w:rPr>
                <w:kern w:val="24"/>
                <w:sz w:val="22"/>
                <w:szCs w:val="22"/>
              </w:rPr>
            </w:pPr>
          </w:p>
        </w:tc>
      </w:tr>
      <w:tr w:rsidR="00B63470" w:rsidRPr="005A497D" w14:paraId="737C814E" w14:textId="77777777" w:rsidTr="004D4EE0">
        <w:trPr>
          <w:trHeight w:val="340"/>
        </w:trPr>
        <w:tc>
          <w:tcPr>
            <w:tcW w:w="4320" w:type="dxa"/>
            <w:tcBorders>
              <w:top w:val="double" w:sz="4" w:space="0" w:color="auto"/>
              <w:bottom w:val="single" w:sz="4" w:space="0" w:color="auto"/>
              <w:right w:val="double" w:sz="4" w:space="0" w:color="auto"/>
            </w:tcBorders>
            <w:shd w:val="clear" w:color="auto" w:fill="auto"/>
            <w:vAlign w:val="center"/>
            <w:hideMark/>
          </w:tcPr>
          <w:p w14:paraId="23D2091E" w14:textId="77777777" w:rsidR="00B63470" w:rsidRPr="005A497D" w:rsidRDefault="00B63470" w:rsidP="004D4EE0">
            <w:pPr>
              <w:pStyle w:val="NormalWeb"/>
              <w:rPr>
                <w:sz w:val="22"/>
                <w:szCs w:val="22"/>
              </w:rPr>
            </w:pPr>
            <w:r>
              <w:rPr>
                <w:sz w:val="22"/>
                <w:szCs w:val="22"/>
              </w:rPr>
              <w:t>Credibility of the budget</w:t>
            </w:r>
          </w:p>
        </w:tc>
        <w:tc>
          <w:tcPr>
            <w:tcW w:w="900" w:type="dxa"/>
            <w:tcBorders>
              <w:top w:val="double" w:sz="4" w:space="0" w:color="auto"/>
              <w:left w:val="double" w:sz="4" w:space="0" w:color="auto"/>
              <w:bottom w:val="single" w:sz="4" w:space="0" w:color="auto"/>
            </w:tcBorders>
            <w:vAlign w:val="center"/>
          </w:tcPr>
          <w:p w14:paraId="4BB47FD7" w14:textId="77777777" w:rsidR="00B63470" w:rsidRDefault="00B63470" w:rsidP="004D4EE0">
            <w:pPr>
              <w:pStyle w:val="NormalWeb"/>
              <w:spacing w:before="0" w:beforeAutospacing="0" w:after="0" w:afterAutospacing="0"/>
              <w:jc w:val="center"/>
              <w:rPr>
                <w:sz w:val="22"/>
                <w:szCs w:val="22"/>
              </w:rPr>
            </w:pPr>
            <w:r>
              <w:rPr>
                <w:sz w:val="22"/>
                <w:szCs w:val="22"/>
              </w:rPr>
              <w:t>1</w:t>
            </w:r>
          </w:p>
        </w:tc>
        <w:tc>
          <w:tcPr>
            <w:tcW w:w="900" w:type="dxa"/>
            <w:tcBorders>
              <w:top w:val="double" w:sz="4" w:space="0" w:color="auto"/>
              <w:bottom w:val="single" w:sz="4" w:space="0" w:color="auto"/>
              <w:right w:val="double" w:sz="4" w:space="0" w:color="auto"/>
            </w:tcBorders>
            <w:vAlign w:val="center"/>
          </w:tcPr>
          <w:p w14:paraId="669940EE" w14:textId="77777777" w:rsidR="00B63470" w:rsidRDefault="00B63470" w:rsidP="004D4EE0">
            <w:pPr>
              <w:pStyle w:val="NormalWeb"/>
              <w:spacing w:before="0" w:beforeAutospacing="0" w:after="0" w:afterAutospacing="0"/>
              <w:jc w:val="center"/>
              <w:rPr>
                <w:sz w:val="22"/>
                <w:szCs w:val="22"/>
              </w:rPr>
            </w:pPr>
            <w:r>
              <w:rPr>
                <w:sz w:val="22"/>
                <w:szCs w:val="22"/>
              </w:rPr>
              <w:t>3</w:t>
            </w:r>
          </w:p>
        </w:tc>
        <w:tc>
          <w:tcPr>
            <w:tcW w:w="990" w:type="dxa"/>
            <w:tcBorders>
              <w:top w:val="double" w:sz="4" w:space="0" w:color="auto"/>
              <w:left w:val="double" w:sz="4" w:space="0" w:color="auto"/>
              <w:bottom w:val="single" w:sz="4" w:space="0" w:color="auto"/>
            </w:tcBorders>
            <w:shd w:val="clear" w:color="auto" w:fill="auto"/>
            <w:vAlign w:val="center"/>
          </w:tcPr>
          <w:p w14:paraId="205CE4E5" w14:textId="77777777" w:rsidR="00B63470" w:rsidRPr="005A497D" w:rsidRDefault="00B63470" w:rsidP="004D4EE0">
            <w:pPr>
              <w:pStyle w:val="NormalWeb"/>
              <w:spacing w:before="0" w:beforeAutospacing="0" w:after="0" w:afterAutospacing="0"/>
              <w:jc w:val="center"/>
              <w:rPr>
                <w:sz w:val="22"/>
                <w:szCs w:val="22"/>
              </w:rPr>
            </w:pPr>
            <w:r>
              <w:rPr>
                <w:sz w:val="22"/>
                <w:szCs w:val="22"/>
              </w:rPr>
              <w:t>1</w:t>
            </w:r>
          </w:p>
        </w:tc>
        <w:tc>
          <w:tcPr>
            <w:tcW w:w="1080" w:type="dxa"/>
            <w:tcBorders>
              <w:top w:val="double" w:sz="4" w:space="0" w:color="auto"/>
              <w:bottom w:val="single" w:sz="4" w:space="0" w:color="auto"/>
              <w:right w:val="double" w:sz="4" w:space="0" w:color="auto"/>
            </w:tcBorders>
            <w:shd w:val="clear" w:color="auto" w:fill="auto"/>
            <w:vAlign w:val="center"/>
          </w:tcPr>
          <w:p w14:paraId="26C5F764" w14:textId="77777777" w:rsidR="00B63470" w:rsidRPr="00220DC0" w:rsidRDefault="00B63470" w:rsidP="004D4EE0">
            <w:pPr>
              <w:pStyle w:val="NormalWeb"/>
              <w:spacing w:before="0" w:beforeAutospacing="0" w:after="0" w:afterAutospacing="0"/>
              <w:jc w:val="center"/>
              <w:rPr>
                <w:sz w:val="22"/>
                <w:szCs w:val="22"/>
              </w:rPr>
            </w:pPr>
            <w:r w:rsidRPr="00220DC0">
              <w:rPr>
                <w:sz w:val="22"/>
                <w:szCs w:val="22"/>
              </w:rPr>
              <w:t>3</w:t>
            </w:r>
          </w:p>
        </w:tc>
        <w:tc>
          <w:tcPr>
            <w:tcW w:w="1260" w:type="dxa"/>
            <w:tcBorders>
              <w:top w:val="double" w:sz="4" w:space="0" w:color="auto"/>
              <w:left w:val="double" w:sz="4" w:space="0" w:color="auto"/>
              <w:bottom w:val="single" w:sz="4" w:space="0" w:color="auto"/>
            </w:tcBorders>
            <w:shd w:val="clear" w:color="auto" w:fill="auto"/>
            <w:vAlign w:val="center"/>
          </w:tcPr>
          <w:p w14:paraId="13B074C6" w14:textId="77777777" w:rsidR="00B63470" w:rsidRPr="005A497D" w:rsidRDefault="00B63470" w:rsidP="004D4EE0">
            <w:pPr>
              <w:pStyle w:val="NormalWeb"/>
              <w:spacing w:before="0" w:beforeAutospacing="0" w:after="0" w:afterAutospacing="0"/>
              <w:jc w:val="center"/>
              <w:rPr>
                <w:b/>
                <w:sz w:val="22"/>
                <w:szCs w:val="22"/>
              </w:rPr>
            </w:pPr>
            <w:r>
              <w:rPr>
                <w:b/>
                <w:sz w:val="22"/>
                <w:szCs w:val="22"/>
              </w:rPr>
              <w:t>4</w:t>
            </w:r>
          </w:p>
        </w:tc>
      </w:tr>
      <w:tr w:rsidR="00B63470" w:rsidRPr="005A497D" w14:paraId="7D62494E"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0A798214" w14:textId="77777777" w:rsidR="00B63470" w:rsidRPr="005A497D" w:rsidRDefault="00B63470" w:rsidP="004D4EE0">
            <w:pPr>
              <w:pStyle w:val="NormalWeb"/>
              <w:rPr>
                <w:sz w:val="22"/>
                <w:szCs w:val="22"/>
              </w:rPr>
            </w:pPr>
            <w:r>
              <w:rPr>
                <w:sz w:val="22"/>
                <w:szCs w:val="22"/>
              </w:rPr>
              <w:t>Comprehensiveness and transparency</w:t>
            </w:r>
          </w:p>
        </w:tc>
        <w:tc>
          <w:tcPr>
            <w:tcW w:w="900" w:type="dxa"/>
            <w:tcBorders>
              <w:top w:val="single" w:sz="4" w:space="0" w:color="auto"/>
              <w:left w:val="double" w:sz="4" w:space="0" w:color="auto"/>
              <w:bottom w:val="single" w:sz="4" w:space="0" w:color="auto"/>
            </w:tcBorders>
            <w:vAlign w:val="center"/>
          </w:tcPr>
          <w:p w14:paraId="727FECBD" w14:textId="77777777" w:rsidR="00B63470" w:rsidRDefault="00B63470" w:rsidP="004D4EE0">
            <w:pPr>
              <w:pStyle w:val="NormalWeb"/>
              <w:spacing w:before="0" w:beforeAutospacing="0" w:after="0" w:afterAutospacing="0"/>
              <w:jc w:val="center"/>
              <w:rPr>
                <w:sz w:val="22"/>
                <w:szCs w:val="22"/>
              </w:rPr>
            </w:pPr>
            <w:r>
              <w:rPr>
                <w:sz w:val="22"/>
                <w:szCs w:val="22"/>
              </w:rPr>
              <w:t>3</w:t>
            </w:r>
          </w:p>
        </w:tc>
        <w:tc>
          <w:tcPr>
            <w:tcW w:w="900" w:type="dxa"/>
            <w:tcBorders>
              <w:top w:val="single" w:sz="4" w:space="0" w:color="auto"/>
              <w:bottom w:val="single" w:sz="4" w:space="0" w:color="auto"/>
              <w:right w:val="double" w:sz="4" w:space="0" w:color="auto"/>
            </w:tcBorders>
            <w:vAlign w:val="center"/>
          </w:tcPr>
          <w:p w14:paraId="30AA06B2" w14:textId="77777777" w:rsidR="00B63470" w:rsidRDefault="00B63470" w:rsidP="004D4EE0">
            <w:pPr>
              <w:pStyle w:val="NormalWeb"/>
              <w:spacing w:before="0" w:beforeAutospacing="0" w:after="0" w:afterAutospacing="0"/>
              <w:jc w:val="center"/>
              <w:rPr>
                <w:sz w:val="22"/>
                <w:szCs w:val="22"/>
              </w:rPr>
            </w:pPr>
            <w:r>
              <w:rPr>
                <w:sz w:val="22"/>
                <w:szCs w:val="22"/>
              </w:rPr>
              <w:t>3</w:t>
            </w:r>
          </w:p>
        </w:tc>
        <w:tc>
          <w:tcPr>
            <w:tcW w:w="990" w:type="dxa"/>
            <w:tcBorders>
              <w:top w:val="single" w:sz="4" w:space="0" w:color="auto"/>
              <w:left w:val="double" w:sz="4" w:space="0" w:color="auto"/>
              <w:bottom w:val="single" w:sz="4" w:space="0" w:color="auto"/>
            </w:tcBorders>
            <w:shd w:val="clear" w:color="auto" w:fill="auto"/>
            <w:vAlign w:val="center"/>
          </w:tcPr>
          <w:p w14:paraId="05CFB435" w14:textId="77777777" w:rsidR="00B63470" w:rsidRPr="00EE2249" w:rsidRDefault="00B63470" w:rsidP="004D4EE0">
            <w:pPr>
              <w:pStyle w:val="NormalWeb"/>
              <w:spacing w:before="0" w:beforeAutospacing="0" w:after="0" w:afterAutospacing="0"/>
              <w:jc w:val="center"/>
              <w:rPr>
                <w:sz w:val="22"/>
                <w:szCs w:val="22"/>
              </w:rPr>
            </w:pPr>
            <w:r>
              <w:rPr>
                <w:sz w:val="22"/>
                <w:szCs w:val="22"/>
              </w:rPr>
              <w:t>5</w:t>
            </w:r>
          </w:p>
        </w:tc>
        <w:tc>
          <w:tcPr>
            <w:tcW w:w="1080" w:type="dxa"/>
            <w:tcBorders>
              <w:top w:val="single" w:sz="4" w:space="0" w:color="auto"/>
              <w:bottom w:val="single" w:sz="4" w:space="0" w:color="auto"/>
              <w:right w:val="double" w:sz="4" w:space="0" w:color="auto"/>
            </w:tcBorders>
            <w:shd w:val="clear" w:color="auto" w:fill="auto"/>
            <w:vAlign w:val="center"/>
          </w:tcPr>
          <w:p w14:paraId="0C410B0E" w14:textId="77777777" w:rsidR="00B63470" w:rsidRPr="00220DC0" w:rsidRDefault="00B63470" w:rsidP="004D4EE0">
            <w:pPr>
              <w:pStyle w:val="NormalWeb"/>
              <w:spacing w:before="0" w:beforeAutospacing="0" w:after="0" w:afterAutospacing="0"/>
              <w:jc w:val="center"/>
              <w:rPr>
                <w:sz w:val="22"/>
                <w:szCs w:val="22"/>
              </w:rPr>
            </w:pPr>
            <w:r>
              <w:rPr>
                <w:sz w:val="22"/>
                <w:szCs w:val="22"/>
              </w:rPr>
              <w:t>1</w:t>
            </w:r>
          </w:p>
        </w:tc>
        <w:tc>
          <w:tcPr>
            <w:tcW w:w="1260" w:type="dxa"/>
            <w:tcBorders>
              <w:top w:val="single" w:sz="4" w:space="0" w:color="auto"/>
              <w:left w:val="double" w:sz="4" w:space="0" w:color="auto"/>
              <w:bottom w:val="single" w:sz="4" w:space="0" w:color="auto"/>
            </w:tcBorders>
            <w:shd w:val="clear" w:color="auto" w:fill="auto"/>
            <w:vAlign w:val="center"/>
          </w:tcPr>
          <w:p w14:paraId="3651DB99" w14:textId="77777777" w:rsidR="00B63470" w:rsidRPr="005A497D" w:rsidRDefault="00B63470" w:rsidP="004D4EE0">
            <w:pPr>
              <w:pStyle w:val="NormalWeb"/>
              <w:spacing w:before="0" w:beforeAutospacing="0" w:after="0" w:afterAutospacing="0"/>
              <w:jc w:val="center"/>
              <w:rPr>
                <w:b/>
                <w:sz w:val="22"/>
                <w:szCs w:val="22"/>
              </w:rPr>
            </w:pPr>
            <w:r>
              <w:rPr>
                <w:b/>
                <w:sz w:val="22"/>
                <w:szCs w:val="22"/>
              </w:rPr>
              <w:t>6</w:t>
            </w:r>
          </w:p>
        </w:tc>
      </w:tr>
      <w:tr w:rsidR="00B63470" w:rsidRPr="005A497D" w14:paraId="765BA5A0"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3EA3358A" w14:textId="77777777" w:rsidR="00B63470" w:rsidRPr="005A497D" w:rsidRDefault="00B63470" w:rsidP="004D4EE0">
            <w:pPr>
              <w:pStyle w:val="NormalWeb"/>
              <w:rPr>
                <w:sz w:val="22"/>
                <w:szCs w:val="22"/>
              </w:rPr>
            </w:pPr>
            <w:r>
              <w:rPr>
                <w:sz w:val="22"/>
                <w:szCs w:val="22"/>
              </w:rPr>
              <w:t>Policy-based budgeting</w:t>
            </w:r>
          </w:p>
        </w:tc>
        <w:tc>
          <w:tcPr>
            <w:tcW w:w="900" w:type="dxa"/>
            <w:tcBorders>
              <w:top w:val="single" w:sz="4" w:space="0" w:color="auto"/>
              <w:left w:val="double" w:sz="4" w:space="0" w:color="auto"/>
              <w:bottom w:val="single" w:sz="4" w:space="0" w:color="auto"/>
            </w:tcBorders>
            <w:vAlign w:val="center"/>
          </w:tcPr>
          <w:p w14:paraId="1649C0E2" w14:textId="77777777" w:rsidR="00B63470" w:rsidRDefault="00B63470" w:rsidP="004D4EE0">
            <w:pPr>
              <w:pStyle w:val="NormalWeb"/>
              <w:spacing w:before="0" w:beforeAutospacing="0" w:after="0" w:afterAutospacing="0"/>
              <w:jc w:val="center"/>
              <w:rPr>
                <w:sz w:val="22"/>
                <w:szCs w:val="22"/>
              </w:rPr>
            </w:pPr>
            <w:r>
              <w:rPr>
                <w:sz w:val="22"/>
                <w:szCs w:val="22"/>
              </w:rPr>
              <w:t>1</w:t>
            </w:r>
          </w:p>
        </w:tc>
        <w:tc>
          <w:tcPr>
            <w:tcW w:w="900" w:type="dxa"/>
            <w:tcBorders>
              <w:top w:val="single" w:sz="4" w:space="0" w:color="auto"/>
              <w:bottom w:val="single" w:sz="4" w:space="0" w:color="auto"/>
              <w:right w:val="double" w:sz="4" w:space="0" w:color="auto"/>
            </w:tcBorders>
            <w:vAlign w:val="center"/>
          </w:tcPr>
          <w:p w14:paraId="26795819" w14:textId="77777777" w:rsidR="00B63470" w:rsidRDefault="00B63470" w:rsidP="004D4EE0">
            <w:pPr>
              <w:pStyle w:val="NormalWeb"/>
              <w:spacing w:before="0" w:beforeAutospacing="0" w:after="0" w:afterAutospacing="0"/>
              <w:jc w:val="center"/>
              <w:rPr>
                <w:sz w:val="22"/>
                <w:szCs w:val="22"/>
              </w:rPr>
            </w:pPr>
            <w:r>
              <w:rPr>
                <w:sz w:val="22"/>
                <w:szCs w:val="22"/>
              </w:rPr>
              <w:t>1</w:t>
            </w:r>
          </w:p>
        </w:tc>
        <w:tc>
          <w:tcPr>
            <w:tcW w:w="990" w:type="dxa"/>
            <w:tcBorders>
              <w:top w:val="single" w:sz="4" w:space="0" w:color="auto"/>
              <w:left w:val="double" w:sz="4" w:space="0" w:color="auto"/>
              <w:bottom w:val="single" w:sz="4" w:space="0" w:color="auto"/>
            </w:tcBorders>
            <w:shd w:val="clear" w:color="auto" w:fill="auto"/>
            <w:vAlign w:val="center"/>
          </w:tcPr>
          <w:p w14:paraId="18358130" w14:textId="77777777" w:rsidR="00B63470" w:rsidRPr="005A497D" w:rsidRDefault="00B63470" w:rsidP="004D4EE0">
            <w:pPr>
              <w:pStyle w:val="NormalWeb"/>
              <w:spacing w:before="0" w:beforeAutospacing="0" w:after="0" w:afterAutospacing="0"/>
              <w:jc w:val="center"/>
              <w:rPr>
                <w:sz w:val="22"/>
                <w:szCs w:val="22"/>
              </w:rPr>
            </w:pPr>
            <w:r>
              <w:rPr>
                <w:sz w:val="22"/>
                <w:szCs w:val="22"/>
              </w:rPr>
              <w:t>2</w:t>
            </w:r>
          </w:p>
        </w:tc>
        <w:tc>
          <w:tcPr>
            <w:tcW w:w="1080" w:type="dxa"/>
            <w:tcBorders>
              <w:top w:val="single" w:sz="4" w:space="0" w:color="auto"/>
              <w:bottom w:val="single" w:sz="4" w:space="0" w:color="auto"/>
              <w:right w:val="double" w:sz="4" w:space="0" w:color="auto"/>
            </w:tcBorders>
            <w:shd w:val="clear" w:color="auto" w:fill="auto"/>
            <w:vAlign w:val="center"/>
          </w:tcPr>
          <w:p w14:paraId="57A9DA90" w14:textId="77777777" w:rsidR="00B63470" w:rsidRPr="00220DC0" w:rsidRDefault="00B63470" w:rsidP="004D4EE0">
            <w:pPr>
              <w:pStyle w:val="NormalWeb"/>
              <w:spacing w:before="0" w:beforeAutospacing="0" w:after="0" w:afterAutospacing="0"/>
              <w:jc w:val="center"/>
              <w:rPr>
                <w:sz w:val="22"/>
                <w:szCs w:val="22"/>
              </w:rPr>
            </w:pPr>
            <w:r>
              <w:rPr>
                <w:sz w:val="22"/>
                <w:szCs w:val="22"/>
              </w:rPr>
              <w:t>-</w:t>
            </w:r>
          </w:p>
        </w:tc>
        <w:tc>
          <w:tcPr>
            <w:tcW w:w="1260" w:type="dxa"/>
            <w:tcBorders>
              <w:top w:val="single" w:sz="4" w:space="0" w:color="auto"/>
              <w:left w:val="double" w:sz="4" w:space="0" w:color="auto"/>
              <w:bottom w:val="single" w:sz="4" w:space="0" w:color="auto"/>
            </w:tcBorders>
            <w:shd w:val="clear" w:color="auto" w:fill="auto"/>
            <w:vAlign w:val="center"/>
          </w:tcPr>
          <w:p w14:paraId="2A32B522" w14:textId="77777777" w:rsidR="00B63470" w:rsidRPr="005A497D" w:rsidRDefault="00B63470" w:rsidP="004D4EE0">
            <w:pPr>
              <w:pStyle w:val="NormalWeb"/>
              <w:spacing w:before="0" w:beforeAutospacing="0" w:after="0" w:afterAutospacing="0"/>
              <w:jc w:val="center"/>
              <w:rPr>
                <w:b/>
                <w:sz w:val="22"/>
                <w:szCs w:val="22"/>
              </w:rPr>
            </w:pPr>
            <w:r>
              <w:rPr>
                <w:b/>
                <w:sz w:val="22"/>
                <w:szCs w:val="22"/>
              </w:rPr>
              <w:t>2</w:t>
            </w:r>
          </w:p>
        </w:tc>
      </w:tr>
      <w:tr w:rsidR="00B63470" w:rsidRPr="005A497D" w14:paraId="71DC4902"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34EDE7E2" w14:textId="77777777" w:rsidR="00B63470" w:rsidRPr="005A497D" w:rsidRDefault="00B63470" w:rsidP="004D4EE0">
            <w:pPr>
              <w:pStyle w:val="NormalWeb"/>
              <w:rPr>
                <w:sz w:val="22"/>
                <w:szCs w:val="22"/>
              </w:rPr>
            </w:pPr>
            <w:r w:rsidRPr="005A497D">
              <w:rPr>
                <w:sz w:val="22"/>
                <w:szCs w:val="22"/>
              </w:rPr>
              <w:t>Predictability and control in budget execution</w:t>
            </w:r>
          </w:p>
        </w:tc>
        <w:tc>
          <w:tcPr>
            <w:tcW w:w="900" w:type="dxa"/>
            <w:tcBorders>
              <w:top w:val="single" w:sz="4" w:space="0" w:color="auto"/>
              <w:left w:val="double" w:sz="4" w:space="0" w:color="auto"/>
              <w:bottom w:val="single" w:sz="4" w:space="0" w:color="auto"/>
            </w:tcBorders>
            <w:vAlign w:val="center"/>
          </w:tcPr>
          <w:p w14:paraId="25E58D37" w14:textId="77777777" w:rsidR="00B63470" w:rsidRDefault="00B63470" w:rsidP="004D4EE0">
            <w:pPr>
              <w:pStyle w:val="NormalWeb"/>
              <w:spacing w:before="0" w:beforeAutospacing="0" w:after="0" w:afterAutospacing="0"/>
              <w:jc w:val="center"/>
              <w:rPr>
                <w:sz w:val="22"/>
                <w:szCs w:val="22"/>
              </w:rPr>
            </w:pPr>
            <w:r>
              <w:rPr>
                <w:sz w:val="22"/>
                <w:szCs w:val="22"/>
              </w:rPr>
              <w:t>2</w:t>
            </w:r>
          </w:p>
        </w:tc>
        <w:tc>
          <w:tcPr>
            <w:tcW w:w="900" w:type="dxa"/>
            <w:tcBorders>
              <w:top w:val="single" w:sz="4" w:space="0" w:color="auto"/>
              <w:bottom w:val="single" w:sz="4" w:space="0" w:color="auto"/>
              <w:right w:val="double" w:sz="4" w:space="0" w:color="auto"/>
            </w:tcBorders>
            <w:vAlign w:val="center"/>
          </w:tcPr>
          <w:p w14:paraId="72672EB9" w14:textId="77777777" w:rsidR="00B63470" w:rsidRDefault="00B63470" w:rsidP="004D4EE0">
            <w:pPr>
              <w:pStyle w:val="NormalWeb"/>
              <w:spacing w:before="0" w:beforeAutospacing="0" w:after="0" w:afterAutospacing="0"/>
              <w:jc w:val="center"/>
              <w:rPr>
                <w:sz w:val="22"/>
                <w:szCs w:val="22"/>
              </w:rPr>
            </w:pPr>
            <w:r>
              <w:rPr>
                <w:sz w:val="22"/>
                <w:szCs w:val="22"/>
              </w:rPr>
              <w:t>7</w:t>
            </w:r>
          </w:p>
        </w:tc>
        <w:tc>
          <w:tcPr>
            <w:tcW w:w="990" w:type="dxa"/>
            <w:tcBorders>
              <w:top w:val="single" w:sz="4" w:space="0" w:color="auto"/>
              <w:left w:val="double" w:sz="4" w:space="0" w:color="auto"/>
              <w:bottom w:val="single" w:sz="4" w:space="0" w:color="auto"/>
            </w:tcBorders>
            <w:shd w:val="clear" w:color="auto" w:fill="auto"/>
            <w:vAlign w:val="center"/>
          </w:tcPr>
          <w:p w14:paraId="7B7874CD" w14:textId="77777777" w:rsidR="00B63470" w:rsidRPr="005A497D" w:rsidRDefault="00B63470" w:rsidP="004D4EE0">
            <w:pPr>
              <w:pStyle w:val="NormalWeb"/>
              <w:spacing w:before="0" w:beforeAutospacing="0" w:after="0" w:afterAutospacing="0"/>
              <w:jc w:val="center"/>
              <w:rPr>
                <w:sz w:val="22"/>
                <w:szCs w:val="22"/>
              </w:rPr>
            </w:pPr>
            <w:r>
              <w:rPr>
                <w:sz w:val="22"/>
                <w:szCs w:val="22"/>
              </w:rPr>
              <w:t>6</w:t>
            </w:r>
          </w:p>
        </w:tc>
        <w:tc>
          <w:tcPr>
            <w:tcW w:w="1080" w:type="dxa"/>
            <w:tcBorders>
              <w:top w:val="single" w:sz="4" w:space="0" w:color="auto"/>
              <w:bottom w:val="single" w:sz="4" w:space="0" w:color="auto"/>
              <w:right w:val="double" w:sz="4" w:space="0" w:color="auto"/>
            </w:tcBorders>
            <w:shd w:val="clear" w:color="auto" w:fill="auto"/>
            <w:vAlign w:val="center"/>
          </w:tcPr>
          <w:p w14:paraId="5725D794" w14:textId="77777777" w:rsidR="00B63470" w:rsidRPr="00220DC0" w:rsidRDefault="00B63470" w:rsidP="004D4EE0">
            <w:pPr>
              <w:pStyle w:val="NormalWeb"/>
              <w:spacing w:before="0" w:beforeAutospacing="0" w:after="0" w:afterAutospacing="0"/>
              <w:jc w:val="center"/>
              <w:rPr>
                <w:sz w:val="22"/>
                <w:szCs w:val="22"/>
              </w:rPr>
            </w:pPr>
            <w:r>
              <w:rPr>
                <w:sz w:val="22"/>
                <w:szCs w:val="22"/>
              </w:rPr>
              <w:t>3</w:t>
            </w:r>
          </w:p>
        </w:tc>
        <w:tc>
          <w:tcPr>
            <w:tcW w:w="1260" w:type="dxa"/>
            <w:tcBorders>
              <w:top w:val="single" w:sz="4" w:space="0" w:color="auto"/>
              <w:left w:val="double" w:sz="4" w:space="0" w:color="auto"/>
              <w:bottom w:val="single" w:sz="4" w:space="0" w:color="auto"/>
            </w:tcBorders>
            <w:shd w:val="clear" w:color="auto" w:fill="auto"/>
            <w:vAlign w:val="center"/>
          </w:tcPr>
          <w:p w14:paraId="61CC3363" w14:textId="77777777" w:rsidR="00B63470" w:rsidRPr="005A497D" w:rsidRDefault="00B63470" w:rsidP="004D4EE0">
            <w:pPr>
              <w:pStyle w:val="NormalWeb"/>
              <w:spacing w:before="0" w:beforeAutospacing="0" w:after="0" w:afterAutospacing="0"/>
              <w:jc w:val="center"/>
              <w:rPr>
                <w:b/>
                <w:sz w:val="22"/>
                <w:szCs w:val="22"/>
              </w:rPr>
            </w:pPr>
            <w:r>
              <w:rPr>
                <w:b/>
                <w:sz w:val="22"/>
                <w:szCs w:val="22"/>
              </w:rPr>
              <w:t>9</w:t>
            </w:r>
          </w:p>
        </w:tc>
      </w:tr>
      <w:tr w:rsidR="00B63470" w:rsidRPr="005A497D" w14:paraId="13376545"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2AE9CF15" w14:textId="77777777" w:rsidR="00B63470" w:rsidRPr="005A497D" w:rsidRDefault="00B63470" w:rsidP="004D4EE0">
            <w:pPr>
              <w:pStyle w:val="NormalWeb"/>
              <w:rPr>
                <w:sz w:val="22"/>
                <w:szCs w:val="22"/>
              </w:rPr>
            </w:pPr>
            <w:r>
              <w:rPr>
                <w:sz w:val="22"/>
                <w:szCs w:val="22"/>
              </w:rPr>
              <w:t xml:space="preserve">Accounting, recording </w:t>
            </w:r>
            <w:r w:rsidRPr="005A497D">
              <w:rPr>
                <w:sz w:val="22"/>
                <w:szCs w:val="22"/>
              </w:rPr>
              <w:t>and reporting</w:t>
            </w:r>
          </w:p>
        </w:tc>
        <w:tc>
          <w:tcPr>
            <w:tcW w:w="900" w:type="dxa"/>
            <w:tcBorders>
              <w:top w:val="single" w:sz="4" w:space="0" w:color="auto"/>
              <w:left w:val="double" w:sz="4" w:space="0" w:color="auto"/>
              <w:bottom w:val="single" w:sz="4" w:space="0" w:color="auto"/>
            </w:tcBorders>
            <w:vAlign w:val="center"/>
          </w:tcPr>
          <w:p w14:paraId="66BA2E1F" w14:textId="77777777" w:rsidR="00B63470" w:rsidRDefault="00B63470" w:rsidP="004D4EE0">
            <w:pPr>
              <w:pStyle w:val="NormalWeb"/>
              <w:spacing w:before="0" w:beforeAutospacing="0" w:after="0" w:afterAutospacing="0"/>
              <w:jc w:val="center"/>
              <w:rPr>
                <w:sz w:val="22"/>
                <w:szCs w:val="22"/>
              </w:rPr>
            </w:pPr>
            <w:r>
              <w:rPr>
                <w:sz w:val="22"/>
                <w:szCs w:val="22"/>
              </w:rPr>
              <w:t>-</w:t>
            </w:r>
          </w:p>
        </w:tc>
        <w:tc>
          <w:tcPr>
            <w:tcW w:w="900" w:type="dxa"/>
            <w:tcBorders>
              <w:top w:val="single" w:sz="4" w:space="0" w:color="auto"/>
              <w:bottom w:val="single" w:sz="4" w:space="0" w:color="auto"/>
              <w:right w:val="double" w:sz="4" w:space="0" w:color="auto"/>
            </w:tcBorders>
            <w:vAlign w:val="center"/>
          </w:tcPr>
          <w:p w14:paraId="0F883EC5" w14:textId="77777777" w:rsidR="00B63470" w:rsidRDefault="00B63470" w:rsidP="004D4EE0">
            <w:pPr>
              <w:pStyle w:val="NormalWeb"/>
              <w:spacing w:before="0" w:beforeAutospacing="0" w:after="0" w:afterAutospacing="0"/>
              <w:jc w:val="center"/>
              <w:rPr>
                <w:sz w:val="22"/>
                <w:szCs w:val="22"/>
              </w:rPr>
            </w:pPr>
            <w:r>
              <w:rPr>
                <w:sz w:val="22"/>
                <w:szCs w:val="22"/>
              </w:rPr>
              <w:t>4</w:t>
            </w:r>
          </w:p>
        </w:tc>
        <w:tc>
          <w:tcPr>
            <w:tcW w:w="990" w:type="dxa"/>
            <w:tcBorders>
              <w:top w:val="single" w:sz="4" w:space="0" w:color="auto"/>
              <w:left w:val="double" w:sz="4" w:space="0" w:color="auto"/>
              <w:bottom w:val="single" w:sz="4" w:space="0" w:color="auto"/>
            </w:tcBorders>
            <w:shd w:val="clear" w:color="auto" w:fill="auto"/>
            <w:vAlign w:val="center"/>
          </w:tcPr>
          <w:p w14:paraId="78DCC76E" w14:textId="77777777" w:rsidR="00B63470" w:rsidRPr="005A497D" w:rsidRDefault="00B63470" w:rsidP="004D4EE0">
            <w:pPr>
              <w:pStyle w:val="NormalWeb"/>
              <w:spacing w:before="0" w:beforeAutospacing="0" w:after="0" w:afterAutospacing="0"/>
              <w:jc w:val="center"/>
              <w:rPr>
                <w:sz w:val="22"/>
                <w:szCs w:val="22"/>
              </w:rPr>
            </w:pPr>
            <w:r>
              <w:rPr>
                <w:sz w:val="22"/>
                <w:szCs w:val="22"/>
              </w:rPr>
              <w:t>1</w:t>
            </w:r>
          </w:p>
        </w:tc>
        <w:tc>
          <w:tcPr>
            <w:tcW w:w="1080" w:type="dxa"/>
            <w:tcBorders>
              <w:top w:val="single" w:sz="4" w:space="0" w:color="auto"/>
              <w:bottom w:val="single" w:sz="4" w:space="0" w:color="auto"/>
              <w:right w:val="double" w:sz="4" w:space="0" w:color="auto"/>
            </w:tcBorders>
            <w:shd w:val="clear" w:color="auto" w:fill="auto"/>
            <w:vAlign w:val="center"/>
          </w:tcPr>
          <w:p w14:paraId="48DBCC2F" w14:textId="77777777" w:rsidR="00B63470" w:rsidRPr="00220DC0" w:rsidRDefault="00B63470" w:rsidP="004D4EE0">
            <w:pPr>
              <w:pStyle w:val="NormalWeb"/>
              <w:spacing w:before="0" w:beforeAutospacing="0" w:after="0" w:afterAutospacing="0"/>
              <w:jc w:val="center"/>
              <w:rPr>
                <w:sz w:val="22"/>
                <w:szCs w:val="22"/>
              </w:rPr>
            </w:pPr>
            <w:r>
              <w:rPr>
                <w:sz w:val="22"/>
                <w:szCs w:val="22"/>
              </w:rPr>
              <w:t>3</w:t>
            </w:r>
          </w:p>
        </w:tc>
        <w:tc>
          <w:tcPr>
            <w:tcW w:w="1260" w:type="dxa"/>
            <w:tcBorders>
              <w:top w:val="single" w:sz="4" w:space="0" w:color="auto"/>
              <w:left w:val="double" w:sz="4" w:space="0" w:color="auto"/>
              <w:bottom w:val="single" w:sz="4" w:space="0" w:color="auto"/>
            </w:tcBorders>
            <w:shd w:val="clear" w:color="auto" w:fill="auto"/>
            <w:vAlign w:val="center"/>
          </w:tcPr>
          <w:p w14:paraId="3334FF6A" w14:textId="77777777" w:rsidR="00B63470" w:rsidRPr="005A497D" w:rsidRDefault="00B63470" w:rsidP="004D4EE0">
            <w:pPr>
              <w:pStyle w:val="NormalWeb"/>
              <w:spacing w:before="0" w:beforeAutospacing="0" w:after="0" w:afterAutospacing="0"/>
              <w:jc w:val="center"/>
              <w:rPr>
                <w:b/>
                <w:sz w:val="22"/>
                <w:szCs w:val="22"/>
              </w:rPr>
            </w:pPr>
            <w:r>
              <w:rPr>
                <w:b/>
                <w:sz w:val="22"/>
                <w:szCs w:val="22"/>
              </w:rPr>
              <w:t>4</w:t>
            </w:r>
          </w:p>
        </w:tc>
      </w:tr>
      <w:tr w:rsidR="00B63470" w:rsidRPr="005A497D" w14:paraId="1B3DD3A2"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4F34C0C9" w14:textId="77777777" w:rsidR="00B63470" w:rsidRPr="005A497D" w:rsidRDefault="00B63470" w:rsidP="004D4EE0">
            <w:pPr>
              <w:pStyle w:val="NormalWeb"/>
              <w:rPr>
                <w:sz w:val="22"/>
                <w:szCs w:val="22"/>
              </w:rPr>
            </w:pPr>
            <w:r w:rsidRPr="005A497D">
              <w:rPr>
                <w:sz w:val="22"/>
                <w:szCs w:val="22"/>
              </w:rPr>
              <w:t>External scrutiny and audit</w:t>
            </w:r>
          </w:p>
        </w:tc>
        <w:tc>
          <w:tcPr>
            <w:tcW w:w="900" w:type="dxa"/>
            <w:tcBorders>
              <w:top w:val="single" w:sz="4" w:space="0" w:color="auto"/>
              <w:left w:val="double" w:sz="4" w:space="0" w:color="auto"/>
              <w:bottom w:val="single" w:sz="4" w:space="0" w:color="auto"/>
            </w:tcBorders>
            <w:vAlign w:val="center"/>
          </w:tcPr>
          <w:p w14:paraId="35D4CC1E" w14:textId="77777777" w:rsidR="00B63470" w:rsidRDefault="00B63470" w:rsidP="004D4EE0">
            <w:pPr>
              <w:pStyle w:val="NormalWeb"/>
              <w:spacing w:before="0" w:beforeAutospacing="0" w:after="0" w:afterAutospacing="0"/>
              <w:jc w:val="center"/>
              <w:rPr>
                <w:sz w:val="22"/>
                <w:szCs w:val="22"/>
              </w:rPr>
            </w:pPr>
            <w:r>
              <w:rPr>
                <w:sz w:val="22"/>
                <w:szCs w:val="22"/>
              </w:rPr>
              <w:t>1</w:t>
            </w:r>
          </w:p>
        </w:tc>
        <w:tc>
          <w:tcPr>
            <w:tcW w:w="900" w:type="dxa"/>
            <w:tcBorders>
              <w:top w:val="single" w:sz="4" w:space="0" w:color="auto"/>
              <w:bottom w:val="single" w:sz="4" w:space="0" w:color="auto"/>
              <w:right w:val="double" w:sz="4" w:space="0" w:color="auto"/>
            </w:tcBorders>
            <w:vAlign w:val="center"/>
          </w:tcPr>
          <w:p w14:paraId="3FA7605B" w14:textId="77777777" w:rsidR="00B63470" w:rsidRDefault="00B63470" w:rsidP="004D4EE0">
            <w:pPr>
              <w:pStyle w:val="NormalWeb"/>
              <w:spacing w:before="0" w:beforeAutospacing="0" w:after="0" w:afterAutospacing="0"/>
              <w:jc w:val="center"/>
              <w:rPr>
                <w:sz w:val="22"/>
                <w:szCs w:val="22"/>
              </w:rPr>
            </w:pPr>
            <w:r>
              <w:rPr>
                <w:sz w:val="22"/>
                <w:szCs w:val="22"/>
              </w:rPr>
              <w:t>2</w:t>
            </w:r>
          </w:p>
        </w:tc>
        <w:tc>
          <w:tcPr>
            <w:tcW w:w="990" w:type="dxa"/>
            <w:tcBorders>
              <w:top w:val="single" w:sz="4" w:space="0" w:color="auto"/>
              <w:left w:val="double" w:sz="4" w:space="0" w:color="auto"/>
              <w:bottom w:val="single" w:sz="4" w:space="0" w:color="auto"/>
            </w:tcBorders>
            <w:shd w:val="clear" w:color="auto" w:fill="auto"/>
            <w:vAlign w:val="center"/>
          </w:tcPr>
          <w:p w14:paraId="13286B83" w14:textId="77777777" w:rsidR="00B63470" w:rsidRPr="005A497D" w:rsidRDefault="00B63470" w:rsidP="004D4EE0">
            <w:pPr>
              <w:pStyle w:val="NormalWeb"/>
              <w:spacing w:before="0" w:beforeAutospacing="0" w:after="0" w:afterAutospacing="0"/>
              <w:jc w:val="center"/>
              <w:rPr>
                <w:sz w:val="22"/>
                <w:szCs w:val="22"/>
              </w:rPr>
            </w:pPr>
            <w:r>
              <w:rPr>
                <w:sz w:val="22"/>
                <w:szCs w:val="22"/>
              </w:rPr>
              <w:t>2</w:t>
            </w:r>
          </w:p>
        </w:tc>
        <w:tc>
          <w:tcPr>
            <w:tcW w:w="1080" w:type="dxa"/>
            <w:tcBorders>
              <w:top w:val="single" w:sz="4" w:space="0" w:color="auto"/>
              <w:bottom w:val="single" w:sz="4" w:space="0" w:color="auto"/>
              <w:right w:val="double" w:sz="4" w:space="0" w:color="auto"/>
            </w:tcBorders>
            <w:shd w:val="clear" w:color="auto" w:fill="auto"/>
            <w:vAlign w:val="center"/>
          </w:tcPr>
          <w:p w14:paraId="10B13C03" w14:textId="77777777" w:rsidR="00B63470" w:rsidRPr="00220DC0" w:rsidRDefault="00B63470" w:rsidP="004D4EE0">
            <w:pPr>
              <w:pStyle w:val="NormalWeb"/>
              <w:spacing w:before="0" w:beforeAutospacing="0" w:after="0" w:afterAutospacing="0"/>
              <w:jc w:val="center"/>
              <w:rPr>
                <w:sz w:val="22"/>
                <w:szCs w:val="22"/>
              </w:rPr>
            </w:pPr>
            <w:r>
              <w:rPr>
                <w:sz w:val="22"/>
                <w:szCs w:val="22"/>
              </w:rPr>
              <w:t>1</w:t>
            </w:r>
          </w:p>
        </w:tc>
        <w:tc>
          <w:tcPr>
            <w:tcW w:w="1260" w:type="dxa"/>
            <w:tcBorders>
              <w:top w:val="single" w:sz="4" w:space="0" w:color="auto"/>
              <w:left w:val="double" w:sz="4" w:space="0" w:color="auto"/>
              <w:bottom w:val="single" w:sz="4" w:space="0" w:color="auto"/>
            </w:tcBorders>
            <w:shd w:val="clear" w:color="auto" w:fill="auto"/>
            <w:vAlign w:val="center"/>
          </w:tcPr>
          <w:p w14:paraId="7A57F423" w14:textId="77777777" w:rsidR="00B63470" w:rsidRPr="005A497D" w:rsidRDefault="00B63470" w:rsidP="004D4EE0">
            <w:pPr>
              <w:pStyle w:val="NormalWeb"/>
              <w:spacing w:before="0" w:beforeAutospacing="0" w:after="0" w:afterAutospacing="0"/>
              <w:jc w:val="center"/>
              <w:rPr>
                <w:b/>
                <w:sz w:val="22"/>
                <w:szCs w:val="22"/>
              </w:rPr>
            </w:pPr>
            <w:r>
              <w:rPr>
                <w:b/>
                <w:sz w:val="22"/>
                <w:szCs w:val="22"/>
              </w:rPr>
              <w:t>3</w:t>
            </w:r>
          </w:p>
        </w:tc>
      </w:tr>
      <w:tr w:rsidR="00B63470" w:rsidRPr="005A497D" w14:paraId="756D93B9" w14:textId="77777777" w:rsidTr="004D4EE0">
        <w:trPr>
          <w:trHeight w:val="397"/>
        </w:trPr>
        <w:tc>
          <w:tcPr>
            <w:tcW w:w="4320" w:type="dxa"/>
            <w:tcBorders>
              <w:top w:val="single" w:sz="4" w:space="0" w:color="auto"/>
              <w:bottom w:val="double" w:sz="4" w:space="0" w:color="auto"/>
              <w:right w:val="double" w:sz="4" w:space="0" w:color="auto"/>
            </w:tcBorders>
            <w:vAlign w:val="center"/>
          </w:tcPr>
          <w:p w14:paraId="2DECBD80" w14:textId="77777777" w:rsidR="00B63470" w:rsidRPr="005A497D" w:rsidRDefault="00B63470" w:rsidP="004D4EE0">
            <w:pPr>
              <w:pStyle w:val="NormalWeb"/>
              <w:spacing w:before="0" w:beforeAutospacing="0" w:after="0" w:afterAutospacing="0"/>
              <w:rPr>
                <w:b/>
                <w:kern w:val="24"/>
                <w:sz w:val="22"/>
                <w:szCs w:val="22"/>
              </w:rPr>
            </w:pPr>
            <w:r w:rsidRPr="005A497D">
              <w:rPr>
                <w:b/>
                <w:kern w:val="24"/>
                <w:sz w:val="22"/>
                <w:szCs w:val="22"/>
              </w:rPr>
              <w:t>Total</w:t>
            </w:r>
          </w:p>
        </w:tc>
        <w:tc>
          <w:tcPr>
            <w:tcW w:w="900" w:type="dxa"/>
            <w:tcBorders>
              <w:top w:val="single" w:sz="4" w:space="0" w:color="auto"/>
              <w:left w:val="double" w:sz="4" w:space="0" w:color="auto"/>
              <w:bottom w:val="double" w:sz="4" w:space="0" w:color="auto"/>
            </w:tcBorders>
            <w:vAlign w:val="center"/>
          </w:tcPr>
          <w:p w14:paraId="6E2EB48F"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8</w:t>
            </w:r>
          </w:p>
        </w:tc>
        <w:tc>
          <w:tcPr>
            <w:tcW w:w="900" w:type="dxa"/>
            <w:tcBorders>
              <w:top w:val="single" w:sz="4" w:space="0" w:color="auto"/>
              <w:bottom w:val="double" w:sz="4" w:space="0" w:color="auto"/>
              <w:right w:val="double" w:sz="4" w:space="0" w:color="auto"/>
            </w:tcBorders>
            <w:vAlign w:val="center"/>
          </w:tcPr>
          <w:p w14:paraId="10D1C2B8"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20</w:t>
            </w:r>
          </w:p>
        </w:tc>
        <w:tc>
          <w:tcPr>
            <w:tcW w:w="990" w:type="dxa"/>
            <w:tcBorders>
              <w:top w:val="single" w:sz="4" w:space="0" w:color="auto"/>
              <w:left w:val="double" w:sz="4" w:space="0" w:color="auto"/>
              <w:bottom w:val="double" w:sz="4" w:space="0" w:color="auto"/>
            </w:tcBorders>
            <w:vAlign w:val="center"/>
          </w:tcPr>
          <w:p w14:paraId="5A27CE8E"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17</w:t>
            </w:r>
          </w:p>
        </w:tc>
        <w:tc>
          <w:tcPr>
            <w:tcW w:w="1080" w:type="dxa"/>
            <w:tcBorders>
              <w:top w:val="single" w:sz="4" w:space="0" w:color="auto"/>
              <w:bottom w:val="double" w:sz="4" w:space="0" w:color="auto"/>
              <w:right w:val="double" w:sz="4" w:space="0" w:color="auto"/>
            </w:tcBorders>
            <w:vAlign w:val="center"/>
          </w:tcPr>
          <w:p w14:paraId="442C02E4"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11</w:t>
            </w:r>
          </w:p>
        </w:tc>
        <w:tc>
          <w:tcPr>
            <w:tcW w:w="1260" w:type="dxa"/>
            <w:tcBorders>
              <w:top w:val="single" w:sz="4" w:space="0" w:color="auto"/>
              <w:left w:val="double" w:sz="4" w:space="0" w:color="auto"/>
              <w:bottom w:val="double" w:sz="4" w:space="0" w:color="auto"/>
            </w:tcBorders>
            <w:vAlign w:val="center"/>
          </w:tcPr>
          <w:p w14:paraId="6777AE7B"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28</w:t>
            </w:r>
          </w:p>
        </w:tc>
      </w:tr>
    </w:tbl>
    <w:p w14:paraId="07C927C2" w14:textId="77777777" w:rsidR="00B63470" w:rsidRDefault="00B63470" w:rsidP="00B63470">
      <w:pPr>
        <w:spacing w:after="40"/>
        <w:jc w:val="both"/>
        <w:rPr>
          <w:b/>
          <w:bCs/>
          <w:color w:val="4F81BD"/>
        </w:rPr>
      </w:pPr>
    </w:p>
    <w:p w14:paraId="4B06E138" w14:textId="1C2B6ED5" w:rsidR="00B63470" w:rsidRPr="005A497D" w:rsidRDefault="00B63470" w:rsidP="00B63470">
      <w:pPr>
        <w:pStyle w:val="PEFATable"/>
        <w:spacing w:after="40"/>
        <w:jc w:val="both"/>
        <w:rPr>
          <w:sz w:val="24"/>
          <w:szCs w:val="24"/>
        </w:rPr>
      </w:pPr>
      <w:bookmarkStart w:id="452" w:name="_Toc454889280"/>
      <w:r>
        <w:rPr>
          <w:sz w:val="24"/>
          <w:szCs w:val="24"/>
        </w:rPr>
        <w:t xml:space="preserve">Table A5.3: </w:t>
      </w:r>
      <w:r w:rsidRPr="005A497D">
        <w:rPr>
          <w:sz w:val="24"/>
          <w:szCs w:val="24"/>
        </w:rPr>
        <w:t xml:space="preserve">Distribution of </w:t>
      </w:r>
      <w:r>
        <w:rPr>
          <w:sz w:val="24"/>
          <w:szCs w:val="24"/>
        </w:rPr>
        <w:t>R</w:t>
      </w:r>
      <w:r w:rsidRPr="005A497D">
        <w:rPr>
          <w:sz w:val="24"/>
          <w:szCs w:val="24"/>
        </w:rPr>
        <w:t>atings</w:t>
      </w:r>
      <w:r>
        <w:rPr>
          <w:sz w:val="24"/>
          <w:szCs w:val="24"/>
        </w:rPr>
        <w:t xml:space="preserve"> by Dimensions – </w:t>
      </w:r>
      <w:r w:rsidR="003B6382">
        <w:rPr>
          <w:sz w:val="24"/>
          <w:szCs w:val="24"/>
        </w:rPr>
        <w:t>Old Methodology</w:t>
      </w:r>
      <w:bookmarkEnd w:id="452"/>
    </w:p>
    <w:tbl>
      <w:tblPr>
        <w:tblStyle w:val="TableGrid"/>
        <w:tblW w:w="9450" w:type="dxa"/>
        <w:tblInd w:w="-105" w:type="dxa"/>
        <w:tblBorders>
          <w:top w:val="double" w:sz="4" w:space="0" w:color="auto"/>
          <w:left w:val="double" w:sz="4" w:space="0" w:color="auto"/>
          <w:bottom w:val="double" w:sz="4" w:space="0" w:color="auto"/>
          <w:right w:val="double" w:sz="4" w:space="0" w:color="auto"/>
        </w:tblBorders>
        <w:tblLayout w:type="fixed"/>
        <w:tblLook w:val="0420" w:firstRow="1" w:lastRow="0" w:firstColumn="0" w:lastColumn="0" w:noHBand="0" w:noVBand="1"/>
      </w:tblPr>
      <w:tblGrid>
        <w:gridCol w:w="4320"/>
        <w:gridCol w:w="900"/>
        <w:gridCol w:w="900"/>
        <w:gridCol w:w="990"/>
        <w:gridCol w:w="1080"/>
        <w:gridCol w:w="1260"/>
      </w:tblGrid>
      <w:tr w:rsidR="00B63470" w:rsidRPr="005A497D" w14:paraId="41B71449" w14:textId="77777777" w:rsidTr="004D4EE0">
        <w:trPr>
          <w:trHeight w:val="340"/>
        </w:trPr>
        <w:tc>
          <w:tcPr>
            <w:tcW w:w="4320" w:type="dxa"/>
            <w:vMerge w:val="restart"/>
            <w:tcBorders>
              <w:right w:val="double" w:sz="4" w:space="0" w:color="auto"/>
            </w:tcBorders>
            <w:shd w:val="clear" w:color="auto" w:fill="D9D9D9" w:themeFill="background1" w:themeFillShade="D9"/>
            <w:vAlign w:val="center"/>
            <w:hideMark/>
          </w:tcPr>
          <w:p w14:paraId="61FAED78" w14:textId="77777777" w:rsidR="00B63470" w:rsidRPr="005A497D" w:rsidRDefault="00B63470" w:rsidP="004D4EE0">
            <w:pPr>
              <w:pStyle w:val="NormalWeb"/>
              <w:spacing w:before="0" w:beforeAutospacing="0" w:after="0" w:afterAutospacing="0"/>
              <w:jc w:val="center"/>
              <w:rPr>
                <w:i/>
                <w:sz w:val="22"/>
                <w:szCs w:val="22"/>
              </w:rPr>
            </w:pPr>
            <w:r w:rsidRPr="005A497D">
              <w:rPr>
                <w:b/>
                <w:bCs/>
                <w:i/>
                <w:kern w:val="24"/>
                <w:sz w:val="22"/>
                <w:szCs w:val="22"/>
              </w:rPr>
              <w:t>Core Dimensions of Performance</w:t>
            </w:r>
          </w:p>
        </w:tc>
        <w:tc>
          <w:tcPr>
            <w:tcW w:w="1800" w:type="dxa"/>
            <w:gridSpan w:val="2"/>
            <w:tcBorders>
              <w:left w:val="double" w:sz="4" w:space="0" w:color="auto"/>
              <w:right w:val="double" w:sz="4" w:space="0" w:color="auto"/>
            </w:tcBorders>
            <w:shd w:val="clear" w:color="auto" w:fill="D9D9D9" w:themeFill="background1" w:themeFillShade="D9"/>
          </w:tcPr>
          <w:p w14:paraId="72750369" w14:textId="77777777" w:rsidR="00B63470" w:rsidRPr="005A497D" w:rsidRDefault="00B63470" w:rsidP="004D4EE0">
            <w:pPr>
              <w:pStyle w:val="NormalWeb"/>
              <w:spacing w:before="0" w:beforeAutospacing="0" w:after="0" w:afterAutospacing="0"/>
              <w:jc w:val="center"/>
              <w:rPr>
                <w:b/>
                <w:bCs/>
                <w:kern w:val="24"/>
                <w:sz w:val="22"/>
                <w:szCs w:val="22"/>
              </w:rPr>
            </w:pPr>
            <w:r>
              <w:rPr>
                <w:b/>
                <w:bCs/>
                <w:kern w:val="24"/>
                <w:sz w:val="22"/>
                <w:szCs w:val="22"/>
              </w:rPr>
              <w:t xml:space="preserve">2010 </w:t>
            </w:r>
            <w:r w:rsidRPr="005A497D">
              <w:rPr>
                <w:b/>
                <w:bCs/>
                <w:kern w:val="24"/>
                <w:sz w:val="22"/>
                <w:szCs w:val="22"/>
              </w:rPr>
              <w:t>Ratings</w:t>
            </w:r>
          </w:p>
        </w:tc>
        <w:tc>
          <w:tcPr>
            <w:tcW w:w="2070" w:type="dxa"/>
            <w:gridSpan w:val="2"/>
            <w:tcBorders>
              <w:left w:val="double" w:sz="4" w:space="0" w:color="auto"/>
              <w:right w:val="double" w:sz="4" w:space="0" w:color="auto"/>
            </w:tcBorders>
            <w:shd w:val="clear" w:color="auto" w:fill="D9D9D9" w:themeFill="background1" w:themeFillShade="D9"/>
            <w:vAlign w:val="center"/>
          </w:tcPr>
          <w:p w14:paraId="0E10C5CA" w14:textId="77777777" w:rsidR="00B63470" w:rsidRPr="005A497D" w:rsidRDefault="00B63470" w:rsidP="004D4EE0">
            <w:pPr>
              <w:pStyle w:val="NormalWeb"/>
              <w:spacing w:before="0" w:beforeAutospacing="0" w:after="0" w:afterAutospacing="0"/>
              <w:jc w:val="center"/>
              <w:rPr>
                <w:b/>
                <w:bCs/>
                <w:kern w:val="24"/>
                <w:sz w:val="22"/>
                <w:szCs w:val="22"/>
              </w:rPr>
            </w:pPr>
            <w:r>
              <w:rPr>
                <w:b/>
                <w:bCs/>
                <w:kern w:val="24"/>
                <w:sz w:val="22"/>
                <w:szCs w:val="22"/>
              </w:rPr>
              <w:t xml:space="preserve">2016 </w:t>
            </w:r>
            <w:r w:rsidRPr="005A497D">
              <w:rPr>
                <w:b/>
                <w:bCs/>
                <w:kern w:val="24"/>
                <w:sz w:val="22"/>
                <w:szCs w:val="22"/>
              </w:rPr>
              <w:t>Ratings</w:t>
            </w:r>
          </w:p>
        </w:tc>
        <w:tc>
          <w:tcPr>
            <w:tcW w:w="1260" w:type="dxa"/>
            <w:vMerge w:val="restart"/>
            <w:tcBorders>
              <w:left w:val="double" w:sz="4" w:space="0" w:color="auto"/>
            </w:tcBorders>
            <w:shd w:val="clear" w:color="auto" w:fill="D9D9D9" w:themeFill="background1" w:themeFillShade="D9"/>
            <w:vAlign w:val="center"/>
            <w:hideMark/>
          </w:tcPr>
          <w:p w14:paraId="34808690" w14:textId="77777777" w:rsidR="00B63470" w:rsidRPr="005A497D" w:rsidRDefault="00B63470" w:rsidP="004D4EE0">
            <w:pPr>
              <w:pStyle w:val="NormalWeb"/>
              <w:spacing w:before="0" w:beforeAutospacing="0" w:after="0" w:afterAutospacing="0"/>
              <w:jc w:val="center"/>
              <w:rPr>
                <w:sz w:val="22"/>
                <w:szCs w:val="22"/>
              </w:rPr>
            </w:pPr>
            <w:r w:rsidRPr="005A497D">
              <w:rPr>
                <w:b/>
                <w:bCs/>
                <w:kern w:val="24"/>
                <w:sz w:val="22"/>
                <w:szCs w:val="22"/>
              </w:rPr>
              <w:t>Total indicators</w:t>
            </w:r>
          </w:p>
        </w:tc>
      </w:tr>
      <w:tr w:rsidR="00B63470" w:rsidRPr="005A497D" w14:paraId="48BA788D" w14:textId="77777777" w:rsidTr="004D4EE0">
        <w:trPr>
          <w:trHeight w:val="340"/>
        </w:trPr>
        <w:tc>
          <w:tcPr>
            <w:tcW w:w="4320" w:type="dxa"/>
            <w:vMerge/>
            <w:tcBorders>
              <w:bottom w:val="double" w:sz="4" w:space="0" w:color="auto"/>
              <w:right w:val="double" w:sz="4" w:space="0" w:color="auto"/>
            </w:tcBorders>
            <w:vAlign w:val="center"/>
          </w:tcPr>
          <w:p w14:paraId="2792036C" w14:textId="77777777" w:rsidR="00B63470" w:rsidRPr="005A497D" w:rsidRDefault="00B63470" w:rsidP="004D4EE0">
            <w:pPr>
              <w:pStyle w:val="NormalWeb"/>
              <w:spacing w:before="0" w:beforeAutospacing="0" w:after="0" w:afterAutospacing="0"/>
              <w:rPr>
                <w:kern w:val="24"/>
                <w:sz w:val="22"/>
                <w:szCs w:val="22"/>
              </w:rPr>
            </w:pPr>
          </w:p>
        </w:tc>
        <w:tc>
          <w:tcPr>
            <w:tcW w:w="900" w:type="dxa"/>
            <w:tcBorders>
              <w:left w:val="double" w:sz="4" w:space="0" w:color="auto"/>
              <w:bottom w:val="double" w:sz="4" w:space="0" w:color="auto"/>
            </w:tcBorders>
            <w:shd w:val="clear" w:color="auto" w:fill="D9D9D9" w:themeFill="background1" w:themeFillShade="D9"/>
          </w:tcPr>
          <w:p w14:paraId="279A03FA" w14:textId="77777777" w:rsidR="00B63470" w:rsidRPr="005A497D" w:rsidRDefault="00B63470" w:rsidP="004D4EE0">
            <w:pPr>
              <w:pStyle w:val="NormalWeb"/>
              <w:spacing w:before="0" w:beforeAutospacing="0" w:after="0" w:afterAutospacing="0"/>
              <w:jc w:val="center"/>
              <w:rPr>
                <w:b/>
                <w:kern w:val="24"/>
                <w:sz w:val="22"/>
                <w:szCs w:val="22"/>
              </w:rPr>
            </w:pPr>
            <w:r>
              <w:rPr>
                <w:b/>
                <w:kern w:val="24"/>
                <w:sz w:val="22"/>
                <w:szCs w:val="22"/>
              </w:rPr>
              <w:t>A / B</w:t>
            </w:r>
          </w:p>
        </w:tc>
        <w:tc>
          <w:tcPr>
            <w:tcW w:w="900" w:type="dxa"/>
            <w:tcBorders>
              <w:bottom w:val="double" w:sz="4" w:space="0" w:color="auto"/>
              <w:right w:val="double" w:sz="4" w:space="0" w:color="auto"/>
            </w:tcBorders>
            <w:shd w:val="clear" w:color="auto" w:fill="D9D9D9" w:themeFill="background1" w:themeFillShade="D9"/>
            <w:vAlign w:val="center"/>
          </w:tcPr>
          <w:p w14:paraId="5A975B12" w14:textId="77777777" w:rsidR="00B63470" w:rsidRPr="005A497D" w:rsidRDefault="00B63470" w:rsidP="004D4EE0">
            <w:pPr>
              <w:pStyle w:val="NormalWeb"/>
              <w:spacing w:before="0" w:beforeAutospacing="0" w:after="0" w:afterAutospacing="0"/>
              <w:jc w:val="center"/>
              <w:rPr>
                <w:b/>
                <w:kern w:val="24"/>
                <w:sz w:val="22"/>
                <w:szCs w:val="22"/>
              </w:rPr>
            </w:pPr>
            <w:r w:rsidRPr="005A497D">
              <w:rPr>
                <w:b/>
                <w:kern w:val="24"/>
                <w:sz w:val="22"/>
                <w:szCs w:val="22"/>
              </w:rPr>
              <w:t>C / D</w:t>
            </w:r>
          </w:p>
        </w:tc>
        <w:tc>
          <w:tcPr>
            <w:tcW w:w="990" w:type="dxa"/>
            <w:tcBorders>
              <w:left w:val="double" w:sz="4" w:space="0" w:color="auto"/>
              <w:bottom w:val="double" w:sz="4" w:space="0" w:color="auto"/>
            </w:tcBorders>
            <w:shd w:val="clear" w:color="auto" w:fill="D9D9D9" w:themeFill="background1" w:themeFillShade="D9"/>
            <w:vAlign w:val="center"/>
          </w:tcPr>
          <w:p w14:paraId="7B8DA5CA" w14:textId="77777777" w:rsidR="00B63470" w:rsidRPr="005A497D" w:rsidRDefault="00B63470" w:rsidP="004D4EE0">
            <w:pPr>
              <w:pStyle w:val="NormalWeb"/>
              <w:spacing w:before="0" w:beforeAutospacing="0" w:after="0" w:afterAutospacing="0"/>
              <w:jc w:val="center"/>
              <w:rPr>
                <w:b/>
                <w:kern w:val="24"/>
                <w:sz w:val="22"/>
                <w:szCs w:val="22"/>
              </w:rPr>
            </w:pPr>
            <w:r w:rsidRPr="005A497D">
              <w:rPr>
                <w:b/>
                <w:kern w:val="24"/>
                <w:sz w:val="22"/>
                <w:szCs w:val="22"/>
              </w:rPr>
              <w:t>A / B</w:t>
            </w:r>
          </w:p>
        </w:tc>
        <w:tc>
          <w:tcPr>
            <w:tcW w:w="1080" w:type="dxa"/>
            <w:tcBorders>
              <w:bottom w:val="double" w:sz="4" w:space="0" w:color="auto"/>
              <w:right w:val="double" w:sz="4" w:space="0" w:color="auto"/>
            </w:tcBorders>
            <w:shd w:val="clear" w:color="auto" w:fill="D9D9D9" w:themeFill="background1" w:themeFillShade="D9"/>
            <w:vAlign w:val="center"/>
          </w:tcPr>
          <w:p w14:paraId="041E37F0" w14:textId="77777777" w:rsidR="00B63470" w:rsidRPr="005A497D" w:rsidRDefault="00B63470" w:rsidP="004D4EE0">
            <w:pPr>
              <w:pStyle w:val="NormalWeb"/>
              <w:spacing w:before="0" w:beforeAutospacing="0" w:after="0" w:afterAutospacing="0"/>
              <w:jc w:val="center"/>
              <w:rPr>
                <w:b/>
                <w:kern w:val="24"/>
                <w:sz w:val="22"/>
                <w:szCs w:val="22"/>
              </w:rPr>
            </w:pPr>
            <w:r w:rsidRPr="005A497D">
              <w:rPr>
                <w:b/>
                <w:kern w:val="24"/>
                <w:sz w:val="22"/>
                <w:szCs w:val="22"/>
              </w:rPr>
              <w:t>C / D</w:t>
            </w:r>
          </w:p>
        </w:tc>
        <w:tc>
          <w:tcPr>
            <w:tcW w:w="1260" w:type="dxa"/>
            <w:vMerge/>
            <w:tcBorders>
              <w:left w:val="double" w:sz="4" w:space="0" w:color="auto"/>
              <w:bottom w:val="double" w:sz="4" w:space="0" w:color="auto"/>
            </w:tcBorders>
            <w:vAlign w:val="center"/>
          </w:tcPr>
          <w:p w14:paraId="1654A7EA" w14:textId="77777777" w:rsidR="00B63470" w:rsidRPr="005A497D" w:rsidRDefault="00B63470" w:rsidP="004D4EE0">
            <w:pPr>
              <w:pStyle w:val="NormalWeb"/>
              <w:spacing w:before="0" w:beforeAutospacing="0" w:after="0" w:afterAutospacing="0"/>
              <w:jc w:val="center"/>
              <w:rPr>
                <w:kern w:val="24"/>
                <w:sz w:val="22"/>
                <w:szCs w:val="22"/>
              </w:rPr>
            </w:pPr>
          </w:p>
        </w:tc>
      </w:tr>
      <w:tr w:rsidR="009C0F17" w:rsidRPr="005A497D" w14:paraId="6E0E3224" w14:textId="77777777" w:rsidTr="004D4EE0">
        <w:trPr>
          <w:trHeight w:val="340"/>
        </w:trPr>
        <w:tc>
          <w:tcPr>
            <w:tcW w:w="4320" w:type="dxa"/>
            <w:tcBorders>
              <w:top w:val="double" w:sz="4" w:space="0" w:color="auto"/>
              <w:bottom w:val="single" w:sz="4" w:space="0" w:color="auto"/>
              <w:right w:val="double" w:sz="4" w:space="0" w:color="auto"/>
            </w:tcBorders>
            <w:shd w:val="clear" w:color="auto" w:fill="auto"/>
            <w:vAlign w:val="center"/>
            <w:hideMark/>
          </w:tcPr>
          <w:p w14:paraId="34AF8A12" w14:textId="77777777" w:rsidR="009C0F17" w:rsidRPr="005A497D" w:rsidRDefault="009C0F17" w:rsidP="009C0F17">
            <w:pPr>
              <w:pStyle w:val="NormalWeb"/>
              <w:rPr>
                <w:sz w:val="22"/>
                <w:szCs w:val="22"/>
              </w:rPr>
            </w:pPr>
            <w:r>
              <w:rPr>
                <w:sz w:val="22"/>
                <w:szCs w:val="22"/>
              </w:rPr>
              <w:t>Credibility of the budget</w:t>
            </w:r>
          </w:p>
        </w:tc>
        <w:tc>
          <w:tcPr>
            <w:tcW w:w="900" w:type="dxa"/>
            <w:tcBorders>
              <w:top w:val="double" w:sz="4" w:space="0" w:color="auto"/>
              <w:left w:val="double" w:sz="4" w:space="0" w:color="auto"/>
              <w:bottom w:val="single" w:sz="4" w:space="0" w:color="auto"/>
            </w:tcBorders>
            <w:vAlign w:val="center"/>
          </w:tcPr>
          <w:p w14:paraId="4D50AE01" w14:textId="77777777" w:rsidR="009C0F17" w:rsidRDefault="009C0F17" w:rsidP="009C0F17">
            <w:pPr>
              <w:pStyle w:val="NormalWeb"/>
              <w:spacing w:before="0" w:beforeAutospacing="0" w:after="0" w:afterAutospacing="0"/>
              <w:jc w:val="center"/>
              <w:rPr>
                <w:sz w:val="22"/>
                <w:szCs w:val="22"/>
              </w:rPr>
            </w:pPr>
            <w:r>
              <w:rPr>
                <w:sz w:val="22"/>
                <w:szCs w:val="22"/>
              </w:rPr>
              <w:t>1</w:t>
            </w:r>
          </w:p>
        </w:tc>
        <w:tc>
          <w:tcPr>
            <w:tcW w:w="900" w:type="dxa"/>
            <w:tcBorders>
              <w:top w:val="double" w:sz="4" w:space="0" w:color="auto"/>
              <w:bottom w:val="single" w:sz="4" w:space="0" w:color="auto"/>
              <w:right w:val="double" w:sz="4" w:space="0" w:color="auto"/>
            </w:tcBorders>
            <w:vAlign w:val="center"/>
          </w:tcPr>
          <w:p w14:paraId="2B30318F" w14:textId="77777777" w:rsidR="009C0F17" w:rsidRDefault="009C0F17" w:rsidP="009C0F17">
            <w:pPr>
              <w:pStyle w:val="NormalWeb"/>
              <w:spacing w:before="0" w:beforeAutospacing="0" w:after="0" w:afterAutospacing="0"/>
              <w:jc w:val="center"/>
              <w:rPr>
                <w:sz w:val="22"/>
                <w:szCs w:val="22"/>
              </w:rPr>
            </w:pPr>
            <w:r>
              <w:rPr>
                <w:sz w:val="22"/>
                <w:szCs w:val="22"/>
              </w:rPr>
              <w:t>4</w:t>
            </w:r>
          </w:p>
        </w:tc>
        <w:tc>
          <w:tcPr>
            <w:tcW w:w="990" w:type="dxa"/>
            <w:tcBorders>
              <w:top w:val="double" w:sz="4" w:space="0" w:color="auto"/>
              <w:left w:val="double" w:sz="4" w:space="0" w:color="auto"/>
              <w:bottom w:val="single" w:sz="4" w:space="0" w:color="auto"/>
            </w:tcBorders>
            <w:shd w:val="clear" w:color="auto" w:fill="auto"/>
            <w:vAlign w:val="center"/>
          </w:tcPr>
          <w:p w14:paraId="72EA0294" w14:textId="277F156A" w:rsidR="009C0F17" w:rsidRPr="005A497D" w:rsidRDefault="009C0F17" w:rsidP="009C0F17">
            <w:pPr>
              <w:pStyle w:val="NormalWeb"/>
              <w:spacing w:before="0" w:beforeAutospacing="0" w:after="0" w:afterAutospacing="0"/>
              <w:jc w:val="center"/>
              <w:rPr>
                <w:sz w:val="22"/>
                <w:szCs w:val="22"/>
              </w:rPr>
            </w:pPr>
            <w:r>
              <w:rPr>
                <w:sz w:val="22"/>
                <w:szCs w:val="22"/>
              </w:rPr>
              <w:t>2</w:t>
            </w:r>
          </w:p>
        </w:tc>
        <w:tc>
          <w:tcPr>
            <w:tcW w:w="1080" w:type="dxa"/>
            <w:tcBorders>
              <w:top w:val="double" w:sz="4" w:space="0" w:color="auto"/>
              <w:bottom w:val="single" w:sz="4" w:space="0" w:color="auto"/>
              <w:right w:val="double" w:sz="4" w:space="0" w:color="auto"/>
            </w:tcBorders>
            <w:shd w:val="clear" w:color="auto" w:fill="auto"/>
            <w:vAlign w:val="center"/>
          </w:tcPr>
          <w:p w14:paraId="1671DA7C" w14:textId="3606302C" w:rsidR="009C0F17" w:rsidRPr="00220DC0" w:rsidRDefault="009C0F17" w:rsidP="009C0F17">
            <w:pPr>
              <w:pStyle w:val="NormalWeb"/>
              <w:spacing w:before="0" w:beforeAutospacing="0" w:after="0" w:afterAutospacing="0"/>
              <w:jc w:val="center"/>
              <w:rPr>
                <w:sz w:val="22"/>
                <w:szCs w:val="22"/>
              </w:rPr>
            </w:pPr>
            <w:r>
              <w:rPr>
                <w:sz w:val="22"/>
                <w:szCs w:val="22"/>
              </w:rPr>
              <w:t>4*</w:t>
            </w:r>
          </w:p>
        </w:tc>
        <w:tc>
          <w:tcPr>
            <w:tcW w:w="1260" w:type="dxa"/>
            <w:tcBorders>
              <w:top w:val="double" w:sz="4" w:space="0" w:color="auto"/>
              <w:left w:val="double" w:sz="4" w:space="0" w:color="auto"/>
              <w:bottom w:val="single" w:sz="4" w:space="0" w:color="auto"/>
            </w:tcBorders>
            <w:shd w:val="clear" w:color="auto" w:fill="auto"/>
            <w:vAlign w:val="center"/>
          </w:tcPr>
          <w:p w14:paraId="28D77E1F" w14:textId="77777777" w:rsidR="009C0F17" w:rsidRPr="005A497D" w:rsidRDefault="009C0F17" w:rsidP="009C0F17">
            <w:pPr>
              <w:pStyle w:val="NormalWeb"/>
              <w:spacing w:before="0" w:beforeAutospacing="0" w:after="0" w:afterAutospacing="0"/>
              <w:jc w:val="center"/>
              <w:rPr>
                <w:b/>
                <w:sz w:val="22"/>
                <w:szCs w:val="22"/>
              </w:rPr>
            </w:pPr>
            <w:r>
              <w:rPr>
                <w:b/>
                <w:sz w:val="22"/>
                <w:szCs w:val="22"/>
              </w:rPr>
              <w:t>5</w:t>
            </w:r>
          </w:p>
        </w:tc>
      </w:tr>
      <w:tr w:rsidR="009C0F17" w:rsidRPr="005A497D" w14:paraId="19573BE7"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31A688D6" w14:textId="77777777" w:rsidR="009C0F17" w:rsidRPr="005A497D" w:rsidRDefault="009C0F17" w:rsidP="009C0F17">
            <w:pPr>
              <w:pStyle w:val="NormalWeb"/>
              <w:rPr>
                <w:sz w:val="22"/>
                <w:szCs w:val="22"/>
              </w:rPr>
            </w:pPr>
            <w:r>
              <w:rPr>
                <w:sz w:val="22"/>
                <w:szCs w:val="22"/>
              </w:rPr>
              <w:t>Comprehensiveness and transparency</w:t>
            </w:r>
          </w:p>
        </w:tc>
        <w:tc>
          <w:tcPr>
            <w:tcW w:w="900" w:type="dxa"/>
            <w:tcBorders>
              <w:top w:val="single" w:sz="4" w:space="0" w:color="auto"/>
              <w:left w:val="double" w:sz="4" w:space="0" w:color="auto"/>
              <w:bottom w:val="single" w:sz="4" w:space="0" w:color="auto"/>
            </w:tcBorders>
            <w:vAlign w:val="center"/>
          </w:tcPr>
          <w:p w14:paraId="5CDC5A06" w14:textId="77777777" w:rsidR="009C0F17" w:rsidRDefault="009C0F17" w:rsidP="009C0F17">
            <w:pPr>
              <w:pStyle w:val="NormalWeb"/>
              <w:spacing w:before="0" w:beforeAutospacing="0" w:after="0" w:afterAutospacing="0"/>
              <w:jc w:val="center"/>
              <w:rPr>
                <w:sz w:val="22"/>
                <w:szCs w:val="22"/>
              </w:rPr>
            </w:pPr>
            <w:r>
              <w:rPr>
                <w:sz w:val="22"/>
                <w:szCs w:val="22"/>
              </w:rPr>
              <w:t>6</w:t>
            </w:r>
          </w:p>
        </w:tc>
        <w:tc>
          <w:tcPr>
            <w:tcW w:w="900" w:type="dxa"/>
            <w:tcBorders>
              <w:top w:val="single" w:sz="4" w:space="0" w:color="auto"/>
              <w:bottom w:val="single" w:sz="4" w:space="0" w:color="auto"/>
              <w:right w:val="double" w:sz="4" w:space="0" w:color="auto"/>
            </w:tcBorders>
            <w:vAlign w:val="center"/>
          </w:tcPr>
          <w:p w14:paraId="0C7681AF" w14:textId="77777777" w:rsidR="009C0F17" w:rsidRDefault="009C0F17" w:rsidP="009C0F17">
            <w:pPr>
              <w:pStyle w:val="NormalWeb"/>
              <w:spacing w:before="0" w:beforeAutospacing="0" w:after="0" w:afterAutospacing="0"/>
              <w:jc w:val="center"/>
              <w:rPr>
                <w:sz w:val="22"/>
                <w:szCs w:val="22"/>
              </w:rPr>
            </w:pPr>
            <w:r>
              <w:rPr>
                <w:sz w:val="22"/>
                <w:szCs w:val="22"/>
              </w:rPr>
              <w:t>4</w:t>
            </w:r>
          </w:p>
        </w:tc>
        <w:tc>
          <w:tcPr>
            <w:tcW w:w="990" w:type="dxa"/>
            <w:tcBorders>
              <w:top w:val="single" w:sz="4" w:space="0" w:color="auto"/>
              <w:left w:val="double" w:sz="4" w:space="0" w:color="auto"/>
              <w:bottom w:val="single" w:sz="4" w:space="0" w:color="auto"/>
            </w:tcBorders>
            <w:shd w:val="clear" w:color="auto" w:fill="auto"/>
            <w:vAlign w:val="center"/>
          </w:tcPr>
          <w:p w14:paraId="3959C076" w14:textId="1F991579" w:rsidR="009C0F17" w:rsidRPr="00EE2249" w:rsidRDefault="009C0F17" w:rsidP="009C0F17">
            <w:pPr>
              <w:pStyle w:val="NormalWeb"/>
              <w:spacing w:before="0" w:beforeAutospacing="0" w:after="0" w:afterAutospacing="0"/>
              <w:jc w:val="center"/>
              <w:rPr>
                <w:sz w:val="22"/>
                <w:szCs w:val="22"/>
              </w:rPr>
            </w:pPr>
            <w:r>
              <w:rPr>
                <w:sz w:val="22"/>
                <w:szCs w:val="22"/>
              </w:rPr>
              <w:t>9</w:t>
            </w:r>
          </w:p>
        </w:tc>
        <w:tc>
          <w:tcPr>
            <w:tcW w:w="1080" w:type="dxa"/>
            <w:tcBorders>
              <w:top w:val="single" w:sz="4" w:space="0" w:color="auto"/>
              <w:bottom w:val="single" w:sz="4" w:space="0" w:color="auto"/>
              <w:right w:val="double" w:sz="4" w:space="0" w:color="auto"/>
            </w:tcBorders>
            <w:shd w:val="clear" w:color="auto" w:fill="auto"/>
            <w:vAlign w:val="center"/>
          </w:tcPr>
          <w:p w14:paraId="433936F3" w14:textId="0BF9BFF3" w:rsidR="009C0F17" w:rsidRPr="00220DC0" w:rsidRDefault="009C0F17" w:rsidP="009C0F17">
            <w:pPr>
              <w:pStyle w:val="NormalWeb"/>
              <w:spacing w:before="0" w:beforeAutospacing="0" w:after="0" w:afterAutospacing="0"/>
              <w:jc w:val="center"/>
              <w:rPr>
                <w:sz w:val="22"/>
                <w:szCs w:val="22"/>
              </w:rPr>
            </w:pPr>
            <w:r>
              <w:rPr>
                <w:sz w:val="22"/>
                <w:szCs w:val="22"/>
              </w:rPr>
              <w:t>1</w:t>
            </w:r>
          </w:p>
        </w:tc>
        <w:tc>
          <w:tcPr>
            <w:tcW w:w="1260" w:type="dxa"/>
            <w:tcBorders>
              <w:top w:val="single" w:sz="4" w:space="0" w:color="auto"/>
              <w:left w:val="double" w:sz="4" w:space="0" w:color="auto"/>
              <w:bottom w:val="single" w:sz="4" w:space="0" w:color="auto"/>
            </w:tcBorders>
            <w:shd w:val="clear" w:color="auto" w:fill="auto"/>
            <w:vAlign w:val="center"/>
          </w:tcPr>
          <w:p w14:paraId="04FDD814" w14:textId="77777777" w:rsidR="009C0F17" w:rsidRPr="005A497D" w:rsidRDefault="009C0F17" w:rsidP="009C0F17">
            <w:pPr>
              <w:pStyle w:val="NormalWeb"/>
              <w:spacing w:before="0" w:beforeAutospacing="0" w:after="0" w:afterAutospacing="0"/>
              <w:jc w:val="center"/>
              <w:rPr>
                <w:b/>
                <w:sz w:val="22"/>
                <w:szCs w:val="22"/>
              </w:rPr>
            </w:pPr>
            <w:r>
              <w:rPr>
                <w:b/>
                <w:sz w:val="22"/>
                <w:szCs w:val="22"/>
              </w:rPr>
              <w:t>10</w:t>
            </w:r>
          </w:p>
        </w:tc>
      </w:tr>
      <w:tr w:rsidR="009C0F17" w:rsidRPr="005A497D" w14:paraId="464D0062"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42A1CF14" w14:textId="77777777" w:rsidR="009C0F17" w:rsidRPr="005A497D" w:rsidRDefault="009C0F17" w:rsidP="009C0F17">
            <w:pPr>
              <w:pStyle w:val="NormalWeb"/>
              <w:rPr>
                <w:sz w:val="22"/>
                <w:szCs w:val="22"/>
              </w:rPr>
            </w:pPr>
            <w:r>
              <w:rPr>
                <w:sz w:val="22"/>
                <w:szCs w:val="22"/>
              </w:rPr>
              <w:t>Policy-based budgeting</w:t>
            </w:r>
          </w:p>
        </w:tc>
        <w:tc>
          <w:tcPr>
            <w:tcW w:w="900" w:type="dxa"/>
            <w:tcBorders>
              <w:top w:val="single" w:sz="4" w:space="0" w:color="auto"/>
              <w:left w:val="double" w:sz="4" w:space="0" w:color="auto"/>
              <w:bottom w:val="single" w:sz="4" w:space="0" w:color="auto"/>
            </w:tcBorders>
            <w:vAlign w:val="center"/>
          </w:tcPr>
          <w:p w14:paraId="54921B04" w14:textId="77777777" w:rsidR="009C0F17" w:rsidRDefault="009C0F17" w:rsidP="009C0F17">
            <w:pPr>
              <w:pStyle w:val="NormalWeb"/>
              <w:spacing w:before="0" w:beforeAutospacing="0" w:after="0" w:afterAutospacing="0"/>
              <w:jc w:val="center"/>
              <w:rPr>
                <w:sz w:val="22"/>
                <w:szCs w:val="22"/>
              </w:rPr>
            </w:pPr>
            <w:r>
              <w:rPr>
                <w:sz w:val="22"/>
                <w:szCs w:val="22"/>
              </w:rPr>
              <w:t>2</w:t>
            </w:r>
          </w:p>
        </w:tc>
        <w:tc>
          <w:tcPr>
            <w:tcW w:w="900" w:type="dxa"/>
            <w:tcBorders>
              <w:top w:val="single" w:sz="4" w:space="0" w:color="auto"/>
              <w:bottom w:val="single" w:sz="4" w:space="0" w:color="auto"/>
              <w:right w:val="double" w:sz="4" w:space="0" w:color="auto"/>
            </w:tcBorders>
            <w:vAlign w:val="center"/>
          </w:tcPr>
          <w:p w14:paraId="04233FC0" w14:textId="77777777" w:rsidR="009C0F17" w:rsidRDefault="009C0F17" w:rsidP="009C0F17">
            <w:pPr>
              <w:pStyle w:val="NormalWeb"/>
              <w:spacing w:before="0" w:beforeAutospacing="0" w:after="0" w:afterAutospacing="0"/>
              <w:jc w:val="center"/>
              <w:rPr>
                <w:sz w:val="22"/>
                <w:szCs w:val="22"/>
              </w:rPr>
            </w:pPr>
            <w:r>
              <w:rPr>
                <w:sz w:val="22"/>
                <w:szCs w:val="22"/>
              </w:rPr>
              <w:t>5</w:t>
            </w:r>
          </w:p>
        </w:tc>
        <w:tc>
          <w:tcPr>
            <w:tcW w:w="990" w:type="dxa"/>
            <w:tcBorders>
              <w:top w:val="single" w:sz="4" w:space="0" w:color="auto"/>
              <w:left w:val="double" w:sz="4" w:space="0" w:color="auto"/>
              <w:bottom w:val="single" w:sz="4" w:space="0" w:color="auto"/>
            </w:tcBorders>
            <w:shd w:val="clear" w:color="auto" w:fill="auto"/>
            <w:vAlign w:val="center"/>
          </w:tcPr>
          <w:p w14:paraId="57514D50" w14:textId="12CD823E" w:rsidR="009C0F17" w:rsidRPr="005A497D" w:rsidRDefault="009C0F17" w:rsidP="009C0F17">
            <w:pPr>
              <w:pStyle w:val="NormalWeb"/>
              <w:spacing w:before="0" w:beforeAutospacing="0" w:after="0" w:afterAutospacing="0"/>
              <w:jc w:val="center"/>
              <w:rPr>
                <w:sz w:val="22"/>
                <w:szCs w:val="22"/>
              </w:rPr>
            </w:pPr>
            <w:r>
              <w:rPr>
                <w:sz w:val="22"/>
                <w:szCs w:val="22"/>
              </w:rPr>
              <w:t>7</w:t>
            </w:r>
          </w:p>
        </w:tc>
        <w:tc>
          <w:tcPr>
            <w:tcW w:w="1080" w:type="dxa"/>
            <w:tcBorders>
              <w:top w:val="single" w:sz="4" w:space="0" w:color="auto"/>
              <w:bottom w:val="single" w:sz="4" w:space="0" w:color="auto"/>
              <w:right w:val="double" w:sz="4" w:space="0" w:color="auto"/>
            </w:tcBorders>
            <w:shd w:val="clear" w:color="auto" w:fill="auto"/>
            <w:vAlign w:val="center"/>
          </w:tcPr>
          <w:p w14:paraId="650FE87A" w14:textId="30B1428F" w:rsidR="009C0F17" w:rsidRPr="00220DC0" w:rsidRDefault="009C0F17" w:rsidP="009C0F17">
            <w:pPr>
              <w:pStyle w:val="NormalWeb"/>
              <w:spacing w:before="0" w:beforeAutospacing="0" w:after="0" w:afterAutospacing="0"/>
              <w:jc w:val="center"/>
              <w:rPr>
                <w:sz w:val="22"/>
                <w:szCs w:val="22"/>
              </w:rPr>
            </w:pPr>
            <w:r>
              <w:rPr>
                <w:sz w:val="22"/>
                <w:szCs w:val="22"/>
              </w:rPr>
              <w:t>-</w:t>
            </w:r>
          </w:p>
        </w:tc>
        <w:tc>
          <w:tcPr>
            <w:tcW w:w="1260" w:type="dxa"/>
            <w:tcBorders>
              <w:top w:val="single" w:sz="4" w:space="0" w:color="auto"/>
              <w:left w:val="double" w:sz="4" w:space="0" w:color="auto"/>
              <w:bottom w:val="single" w:sz="4" w:space="0" w:color="auto"/>
            </w:tcBorders>
            <w:shd w:val="clear" w:color="auto" w:fill="auto"/>
            <w:vAlign w:val="center"/>
          </w:tcPr>
          <w:p w14:paraId="2E56782C" w14:textId="77777777" w:rsidR="009C0F17" w:rsidRPr="005A497D" w:rsidRDefault="009C0F17" w:rsidP="009C0F17">
            <w:pPr>
              <w:pStyle w:val="NormalWeb"/>
              <w:spacing w:before="0" w:beforeAutospacing="0" w:after="0" w:afterAutospacing="0"/>
              <w:jc w:val="center"/>
              <w:rPr>
                <w:b/>
                <w:sz w:val="22"/>
                <w:szCs w:val="22"/>
              </w:rPr>
            </w:pPr>
            <w:r>
              <w:rPr>
                <w:b/>
                <w:sz w:val="22"/>
                <w:szCs w:val="22"/>
              </w:rPr>
              <w:t>7</w:t>
            </w:r>
          </w:p>
        </w:tc>
      </w:tr>
      <w:tr w:rsidR="009C0F17" w:rsidRPr="005A497D" w14:paraId="2712FC68"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1314859F" w14:textId="77777777" w:rsidR="009C0F17" w:rsidRPr="005A497D" w:rsidRDefault="009C0F17" w:rsidP="009C0F17">
            <w:pPr>
              <w:pStyle w:val="NormalWeb"/>
              <w:rPr>
                <w:sz w:val="22"/>
                <w:szCs w:val="22"/>
              </w:rPr>
            </w:pPr>
            <w:r w:rsidRPr="005A497D">
              <w:rPr>
                <w:sz w:val="22"/>
                <w:szCs w:val="22"/>
              </w:rPr>
              <w:t>Predictability and control in budget execution</w:t>
            </w:r>
          </w:p>
        </w:tc>
        <w:tc>
          <w:tcPr>
            <w:tcW w:w="900" w:type="dxa"/>
            <w:tcBorders>
              <w:top w:val="single" w:sz="4" w:space="0" w:color="auto"/>
              <w:left w:val="double" w:sz="4" w:space="0" w:color="auto"/>
              <w:bottom w:val="single" w:sz="4" w:space="0" w:color="auto"/>
            </w:tcBorders>
            <w:vAlign w:val="center"/>
          </w:tcPr>
          <w:p w14:paraId="1556EC52" w14:textId="77777777" w:rsidR="009C0F17" w:rsidRDefault="009C0F17" w:rsidP="009C0F17">
            <w:pPr>
              <w:pStyle w:val="NormalWeb"/>
              <w:spacing w:before="0" w:beforeAutospacing="0" w:after="0" w:afterAutospacing="0"/>
              <w:jc w:val="center"/>
              <w:rPr>
                <w:sz w:val="22"/>
                <w:szCs w:val="22"/>
              </w:rPr>
            </w:pPr>
            <w:r>
              <w:rPr>
                <w:sz w:val="22"/>
                <w:szCs w:val="22"/>
              </w:rPr>
              <w:t>10</w:t>
            </w:r>
          </w:p>
        </w:tc>
        <w:tc>
          <w:tcPr>
            <w:tcW w:w="900" w:type="dxa"/>
            <w:tcBorders>
              <w:top w:val="single" w:sz="4" w:space="0" w:color="auto"/>
              <w:bottom w:val="single" w:sz="4" w:space="0" w:color="auto"/>
              <w:right w:val="double" w:sz="4" w:space="0" w:color="auto"/>
            </w:tcBorders>
            <w:vAlign w:val="center"/>
          </w:tcPr>
          <w:p w14:paraId="42B4CB2C" w14:textId="77777777" w:rsidR="009C0F17" w:rsidRDefault="009C0F17" w:rsidP="009C0F17">
            <w:pPr>
              <w:pStyle w:val="NormalWeb"/>
              <w:spacing w:before="0" w:beforeAutospacing="0" w:after="0" w:afterAutospacing="0"/>
              <w:jc w:val="center"/>
              <w:rPr>
                <w:sz w:val="22"/>
                <w:szCs w:val="22"/>
              </w:rPr>
            </w:pPr>
            <w:r>
              <w:rPr>
                <w:sz w:val="22"/>
                <w:szCs w:val="22"/>
              </w:rPr>
              <w:t>18</w:t>
            </w:r>
          </w:p>
        </w:tc>
        <w:tc>
          <w:tcPr>
            <w:tcW w:w="990" w:type="dxa"/>
            <w:tcBorders>
              <w:top w:val="single" w:sz="4" w:space="0" w:color="auto"/>
              <w:left w:val="double" w:sz="4" w:space="0" w:color="auto"/>
              <w:bottom w:val="single" w:sz="4" w:space="0" w:color="auto"/>
            </w:tcBorders>
            <w:shd w:val="clear" w:color="auto" w:fill="auto"/>
            <w:vAlign w:val="center"/>
          </w:tcPr>
          <w:p w14:paraId="2CE33878" w14:textId="64886E9F" w:rsidR="009C0F17" w:rsidRPr="005A497D" w:rsidRDefault="009C0F17" w:rsidP="009C0F17">
            <w:pPr>
              <w:pStyle w:val="NormalWeb"/>
              <w:spacing w:before="0" w:beforeAutospacing="0" w:after="0" w:afterAutospacing="0"/>
              <w:jc w:val="center"/>
              <w:rPr>
                <w:sz w:val="22"/>
                <w:szCs w:val="22"/>
              </w:rPr>
            </w:pPr>
            <w:r>
              <w:rPr>
                <w:sz w:val="22"/>
                <w:szCs w:val="22"/>
              </w:rPr>
              <w:t>19</w:t>
            </w:r>
          </w:p>
        </w:tc>
        <w:tc>
          <w:tcPr>
            <w:tcW w:w="1080" w:type="dxa"/>
            <w:tcBorders>
              <w:top w:val="single" w:sz="4" w:space="0" w:color="auto"/>
              <w:bottom w:val="single" w:sz="4" w:space="0" w:color="auto"/>
              <w:right w:val="double" w:sz="4" w:space="0" w:color="auto"/>
            </w:tcBorders>
            <w:shd w:val="clear" w:color="auto" w:fill="auto"/>
            <w:vAlign w:val="center"/>
          </w:tcPr>
          <w:p w14:paraId="23FA1323" w14:textId="26367D10" w:rsidR="009C0F17" w:rsidRPr="00220DC0" w:rsidRDefault="009C0F17" w:rsidP="009C0F17">
            <w:pPr>
              <w:pStyle w:val="NormalWeb"/>
              <w:spacing w:before="0" w:beforeAutospacing="0" w:after="0" w:afterAutospacing="0"/>
              <w:jc w:val="center"/>
              <w:rPr>
                <w:sz w:val="22"/>
                <w:szCs w:val="22"/>
              </w:rPr>
            </w:pPr>
            <w:r>
              <w:rPr>
                <w:sz w:val="22"/>
                <w:szCs w:val="22"/>
              </w:rPr>
              <w:t>9</w:t>
            </w:r>
          </w:p>
        </w:tc>
        <w:tc>
          <w:tcPr>
            <w:tcW w:w="1260" w:type="dxa"/>
            <w:tcBorders>
              <w:top w:val="single" w:sz="4" w:space="0" w:color="auto"/>
              <w:left w:val="double" w:sz="4" w:space="0" w:color="auto"/>
              <w:bottom w:val="single" w:sz="4" w:space="0" w:color="auto"/>
            </w:tcBorders>
            <w:shd w:val="clear" w:color="auto" w:fill="auto"/>
            <w:vAlign w:val="center"/>
          </w:tcPr>
          <w:p w14:paraId="4BBCDA64" w14:textId="77777777" w:rsidR="009C0F17" w:rsidRPr="005A497D" w:rsidRDefault="009C0F17" w:rsidP="009C0F17">
            <w:pPr>
              <w:pStyle w:val="NormalWeb"/>
              <w:spacing w:before="0" w:beforeAutospacing="0" w:after="0" w:afterAutospacing="0"/>
              <w:jc w:val="center"/>
              <w:rPr>
                <w:b/>
                <w:sz w:val="22"/>
                <w:szCs w:val="22"/>
              </w:rPr>
            </w:pPr>
            <w:r>
              <w:rPr>
                <w:b/>
                <w:sz w:val="22"/>
                <w:szCs w:val="22"/>
              </w:rPr>
              <w:t>28</w:t>
            </w:r>
          </w:p>
        </w:tc>
      </w:tr>
      <w:tr w:rsidR="009C0F17" w:rsidRPr="005A497D" w14:paraId="5DE81101"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1E69DF99" w14:textId="77777777" w:rsidR="009C0F17" w:rsidRPr="005A497D" w:rsidRDefault="009C0F17" w:rsidP="009C0F17">
            <w:pPr>
              <w:pStyle w:val="NormalWeb"/>
              <w:rPr>
                <w:sz w:val="22"/>
                <w:szCs w:val="22"/>
              </w:rPr>
            </w:pPr>
            <w:r>
              <w:rPr>
                <w:sz w:val="22"/>
                <w:szCs w:val="22"/>
              </w:rPr>
              <w:t xml:space="preserve">Accounting, recording </w:t>
            </w:r>
            <w:r w:rsidRPr="005A497D">
              <w:rPr>
                <w:sz w:val="22"/>
                <w:szCs w:val="22"/>
              </w:rPr>
              <w:t>and reporting</w:t>
            </w:r>
          </w:p>
        </w:tc>
        <w:tc>
          <w:tcPr>
            <w:tcW w:w="900" w:type="dxa"/>
            <w:tcBorders>
              <w:top w:val="single" w:sz="4" w:space="0" w:color="auto"/>
              <w:left w:val="double" w:sz="4" w:space="0" w:color="auto"/>
              <w:bottom w:val="single" w:sz="4" w:space="0" w:color="auto"/>
            </w:tcBorders>
            <w:vAlign w:val="center"/>
          </w:tcPr>
          <w:p w14:paraId="5EB3C4CD" w14:textId="77777777" w:rsidR="009C0F17" w:rsidRDefault="009C0F17" w:rsidP="009C0F17">
            <w:pPr>
              <w:pStyle w:val="NormalWeb"/>
              <w:spacing w:before="0" w:beforeAutospacing="0" w:after="0" w:afterAutospacing="0"/>
              <w:jc w:val="center"/>
              <w:rPr>
                <w:sz w:val="22"/>
                <w:szCs w:val="22"/>
              </w:rPr>
            </w:pPr>
            <w:r>
              <w:rPr>
                <w:sz w:val="22"/>
                <w:szCs w:val="22"/>
              </w:rPr>
              <w:t>2</w:t>
            </w:r>
          </w:p>
        </w:tc>
        <w:tc>
          <w:tcPr>
            <w:tcW w:w="900" w:type="dxa"/>
            <w:tcBorders>
              <w:top w:val="single" w:sz="4" w:space="0" w:color="auto"/>
              <w:bottom w:val="single" w:sz="4" w:space="0" w:color="auto"/>
              <w:right w:val="double" w:sz="4" w:space="0" w:color="auto"/>
            </w:tcBorders>
            <w:vAlign w:val="center"/>
          </w:tcPr>
          <w:p w14:paraId="3191CC9B" w14:textId="77777777" w:rsidR="009C0F17" w:rsidRDefault="009C0F17" w:rsidP="009C0F17">
            <w:pPr>
              <w:pStyle w:val="NormalWeb"/>
              <w:spacing w:before="0" w:beforeAutospacing="0" w:after="0" w:afterAutospacing="0"/>
              <w:jc w:val="center"/>
              <w:rPr>
                <w:sz w:val="22"/>
                <w:szCs w:val="22"/>
              </w:rPr>
            </w:pPr>
            <w:r>
              <w:rPr>
                <w:sz w:val="22"/>
                <w:szCs w:val="22"/>
              </w:rPr>
              <w:t>7</w:t>
            </w:r>
          </w:p>
        </w:tc>
        <w:tc>
          <w:tcPr>
            <w:tcW w:w="990" w:type="dxa"/>
            <w:tcBorders>
              <w:top w:val="single" w:sz="4" w:space="0" w:color="auto"/>
              <w:left w:val="double" w:sz="4" w:space="0" w:color="auto"/>
              <w:bottom w:val="single" w:sz="4" w:space="0" w:color="auto"/>
            </w:tcBorders>
            <w:shd w:val="clear" w:color="auto" w:fill="auto"/>
            <w:vAlign w:val="center"/>
          </w:tcPr>
          <w:p w14:paraId="416331DF" w14:textId="2FD32F16" w:rsidR="009C0F17" w:rsidRPr="005A497D" w:rsidRDefault="009C0F17" w:rsidP="009C0F17">
            <w:pPr>
              <w:pStyle w:val="NormalWeb"/>
              <w:spacing w:before="0" w:beforeAutospacing="0" w:after="0" w:afterAutospacing="0"/>
              <w:jc w:val="center"/>
              <w:rPr>
                <w:sz w:val="22"/>
                <w:szCs w:val="22"/>
              </w:rPr>
            </w:pPr>
            <w:r>
              <w:rPr>
                <w:sz w:val="22"/>
                <w:szCs w:val="22"/>
              </w:rPr>
              <w:t>4</w:t>
            </w:r>
          </w:p>
        </w:tc>
        <w:tc>
          <w:tcPr>
            <w:tcW w:w="1080" w:type="dxa"/>
            <w:tcBorders>
              <w:top w:val="single" w:sz="4" w:space="0" w:color="auto"/>
              <w:bottom w:val="single" w:sz="4" w:space="0" w:color="auto"/>
              <w:right w:val="double" w:sz="4" w:space="0" w:color="auto"/>
            </w:tcBorders>
            <w:shd w:val="clear" w:color="auto" w:fill="auto"/>
            <w:vAlign w:val="center"/>
          </w:tcPr>
          <w:p w14:paraId="157D1081" w14:textId="58A447BF" w:rsidR="009C0F17" w:rsidRPr="00220DC0" w:rsidRDefault="009C0F17" w:rsidP="009C0F17">
            <w:pPr>
              <w:pStyle w:val="NormalWeb"/>
              <w:spacing w:before="0" w:beforeAutospacing="0" w:after="0" w:afterAutospacing="0"/>
              <w:jc w:val="center"/>
              <w:rPr>
                <w:sz w:val="22"/>
                <w:szCs w:val="22"/>
              </w:rPr>
            </w:pPr>
            <w:r>
              <w:rPr>
                <w:sz w:val="22"/>
                <w:szCs w:val="22"/>
              </w:rPr>
              <w:t>5</w:t>
            </w:r>
          </w:p>
        </w:tc>
        <w:tc>
          <w:tcPr>
            <w:tcW w:w="1260" w:type="dxa"/>
            <w:tcBorders>
              <w:top w:val="single" w:sz="4" w:space="0" w:color="auto"/>
              <w:left w:val="double" w:sz="4" w:space="0" w:color="auto"/>
              <w:bottom w:val="single" w:sz="4" w:space="0" w:color="auto"/>
            </w:tcBorders>
            <w:shd w:val="clear" w:color="auto" w:fill="auto"/>
            <w:vAlign w:val="center"/>
          </w:tcPr>
          <w:p w14:paraId="79EEEC31" w14:textId="77777777" w:rsidR="009C0F17" w:rsidRPr="005A497D" w:rsidRDefault="009C0F17" w:rsidP="009C0F17">
            <w:pPr>
              <w:pStyle w:val="NormalWeb"/>
              <w:spacing w:before="0" w:beforeAutospacing="0" w:after="0" w:afterAutospacing="0"/>
              <w:jc w:val="center"/>
              <w:rPr>
                <w:b/>
                <w:sz w:val="22"/>
                <w:szCs w:val="22"/>
              </w:rPr>
            </w:pPr>
            <w:r>
              <w:rPr>
                <w:b/>
                <w:sz w:val="22"/>
                <w:szCs w:val="22"/>
              </w:rPr>
              <w:t>9</w:t>
            </w:r>
          </w:p>
        </w:tc>
      </w:tr>
      <w:tr w:rsidR="009C0F17" w:rsidRPr="005A497D" w14:paraId="1647DBB9" w14:textId="77777777" w:rsidTr="004D4EE0">
        <w:trPr>
          <w:trHeight w:val="340"/>
        </w:trPr>
        <w:tc>
          <w:tcPr>
            <w:tcW w:w="4320" w:type="dxa"/>
            <w:tcBorders>
              <w:top w:val="single" w:sz="4" w:space="0" w:color="auto"/>
              <w:bottom w:val="single" w:sz="4" w:space="0" w:color="auto"/>
              <w:right w:val="double" w:sz="4" w:space="0" w:color="auto"/>
            </w:tcBorders>
            <w:shd w:val="clear" w:color="auto" w:fill="auto"/>
            <w:vAlign w:val="center"/>
            <w:hideMark/>
          </w:tcPr>
          <w:p w14:paraId="2AE14149" w14:textId="77777777" w:rsidR="009C0F17" w:rsidRPr="005A497D" w:rsidRDefault="009C0F17" w:rsidP="009C0F17">
            <w:pPr>
              <w:pStyle w:val="NormalWeb"/>
              <w:rPr>
                <w:sz w:val="22"/>
                <w:szCs w:val="22"/>
              </w:rPr>
            </w:pPr>
            <w:r w:rsidRPr="005A497D">
              <w:rPr>
                <w:sz w:val="22"/>
                <w:szCs w:val="22"/>
              </w:rPr>
              <w:t>External scrutiny and audit</w:t>
            </w:r>
          </w:p>
        </w:tc>
        <w:tc>
          <w:tcPr>
            <w:tcW w:w="900" w:type="dxa"/>
            <w:tcBorders>
              <w:top w:val="single" w:sz="4" w:space="0" w:color="auto"/>
              <w:left w:val="double" w:sz="4" w:space="0" w:color="auto"/>
              <w:bottom w:val="single" w:sz="4" w:space="0" w:color="auto"/>
            </w:tcBorders>
            <w:vAlign w:val="center"/>
          </w:tcPr>
          <w:p w14:paraId="1E9252E8" w14:textId="77777777" w:rsidR="009C0F17" w:rsidRDefault="009C0F17" w:rsidP="009C0F17">
            <w:pPr>
              <w:pStyle w:val="NormalWeb"/>
              <w:spacing w:before="0" w:beforeAutospacing="0" w:after="0" w:afterAutospacing="0"/>
              <w:jc w:val="center"/>
              <w:rPr>
                <w:sz w:val="22"/>
                <w:szCs w:val="22"/>
              </w:rPr>
            </w:pPr>
            <w:r>
              <w:rPr>
                <w:sz w:val="22"/>
                <w:szCs w:val="22"/>
              </w:rPr>
              <w:t>5</w:t>
            </w:r>
          </w:p>
        </w:tc>
        <w:tc>
          <w:tcPr>
            <w:tcW w:w="900" w:type="dxa"/>
            <w:tcBorders>
              <w:top w:val="single" w:sz="4" w:space="0" w:color="auto"/>
              <w:bottom w:val="single" w:sz="4" w:space="0" w:color="auto"/>
              <w:right w:val="double" w:sz="4" w:space="0" w:color="auto"/>
            </w:tcBorders>
            <w:vAlign w:val="center"/>
          </w:tcPr>
          <w:p w14:paraId="6E834966" w14:textId="77777777" w:rsidR="009C0F17" w:rsidRDefault="009C0F17" w:rsidP="009C0F17">
            <w:pPr>
              <w:pStyle w:val="NormalWeb"/>
              <w:spacing w:before="0" w:beforeAutospacing="0" w:after="0" w:afterAutospacing="0"/>
              <w:jc w:val="center"/>
              <w:rPr>
                <w:sz w:val="22"/>
                <w:szCs w:val="22"/>
              </w:rPr>
            </w:pPr>
            <w:r>
              <w:rPr>
                <w:sz w:val="22"/>
                <w:szCs w:val="22"/>
              </w:rPr>
              <w:t>5</w:t>
            </w:r>
          </w:p>
        </w:tc>
        <w:tc>
          <w:tcPr>
            <w:tcW w:w="990" w:type="dxa"/>
            <w:tcBorders>
              <w:top w:val="single" w:sz="4" w:space="0" w:color="auto"/>
              <w:left w:val="double" w:sz="4" w:space="0" w:color="auto"/>
              <w:bottom w:val="single" w:sz="4" w:space="0" w:color="auto"/>
            </w:tcBorders>
            <w:shd w:val="clear" w:color="auto" w:fill="auto"/>
            <w:vAlign w:val="center"/>
          </w:tcPr>
          <w:p w14:paraId="3DA3B3F5" w14:textId="7C12F046" w:rsidR="009C0F17" w:rsidRPr="005A497D" w:rsidRDefault="009C0F17" w:rsidP="009C0F17">
            <w:pPr>
              <w:pStyle w:val="NormalWeb"/>
              <w:spacing w:before="0" w:beforeAutospacing="0" w:after="0" w:afterAutospacing="0"/>
              <w:jc w:val="center"/>
              <w:rPr>
                <w:sz w:val="22"/>
                <w:szCs w:val="22"/>
              </w:rPr>
            </w:pPr>
            <w:r>
              <w:rPr>
                <w:sz w:val="22"/>
                <w:szCs w:val="22"/>
              </w:rPr>
              <w:t>6</w:t>
            </w:r>
          </w:p>
        </w:tc>
        <w:tc>
          <w:tcPr>
            <w:tcW w:w="1080" w:type="dxa"/>
            <w:tcBorders>
              <w:top w:val="single" w:sz="4" w:space="0" w:color="auto"/>
              <w:bottom w:val="single" w:sz="4" w:space="0" w:color="auto"/>
              <w:right w:val="double" w:sz="4" w:space="0" w:color="auto"/>
            </w:tcBorders>
            <w:shd w:val="clear" w:color="auto" w:fill="auto"/>
            <w:vAlign w:val="center"/>
          </w:tcPr>
          <w:p w14:paraId="4C3B990B" w14:textId="63168AF2" w:rsidR="009C0F17" w:rsidRPr="00220DC0" w:rsidRDefault="009C0F17" w:rsidP="009C0F17">
            <w:pPr>
              <w:pStyle w:val="NormalWeb"/>
              <w:spacing w:before="0" w:beforeAutospacing="0" w:after="0" w:afterAutospacing="0"/>
              <w:jc w:val="center"/>
              <w:rPr>
                <w:sz w:val="22"/>
                <w:szCs w:val="22"/>
              </w:rPr>
            </w:pPr>
            <w:r>
              <w:rPr>
                <w:sz w:val="22"/>
                <w:szCs w:val="22"/>
              </w:rPr>
              <w:t>4</w:t>
            </w:r>
          </w:p>
        </w:tc>
        <w:tc>
          <w:tcPr>
            <w:tcW w:w="1260" w:type="dxa"/>
            <w:tcBorders>
              <w:top w:val="single" w:sz="4" w:space="0" w:color="auto"/>
              <w:left w:val="double" w:sz="4" w:space="0" w:color="auto"/>
              <w:bottom w:val="single" w:sz="4" w:space="0" w:color="auto"/>
            </w:tcBorders>
            <w:shd w:val="clear" w:color="auto" w:fill="auto"/>
            <w:vAlign w:val="center"/>
          </w:tcPr>
          <w:p w14:paraId="256B0913" w14:textId="77777777" w:rsidR="009C0F17" w:rsidRPr="005A497D" w:rsidRDefault="009C0F17" w:rsidP="009C0F17">
            <w:pPr>
              <w:pStyle w:val="NormalWeb"/>
              <w:spacing w:before="0" w:beforeAutospacing="0" w:after="0" w:afterAutospacing="0"/>
              <w:jc w:val="center"/>
              <w:rPr>
                <w:b/>
                <w:sz w:val="22"/>
                <w:szCs w:val="22"/>
              </w:rPr>
            </w:pPr>
            <w:r>
              <w:rPr>
                <w:b/>
                <w:sz w:val="22"/>
                <w:szCs w:val="22"/>
              </w:rPr>
              <w:t>10</w:t>
            </w:r>
          </w:p>
        </w:tc>
      </w:tr>
      <w:tr w:rsidR="009C0F17" w:rsidRPr="005A497D" w14:paraId="076480C1" w14:textId="77777777" w:rsidTr="004D4EE0">
        <w:trPr>
          <w:trHeight w:val="397"/>
        </w:trPr>
        <w:tc>
          <w:tcPr>
            <w:tcW w:w="4320" w:type="dxa"/>
            <w:tcBorders>
              <w:top w:val="single" w:sz="4" w:space="0" w:color="auto"/>
              <w:bottom w:val="double" w:sz="4" w:space="0" w:color="auto"/>
              <w:right w:val="double" w:sz="4" w:space="0" w:color="auto"/>
            </w:tcBorders>
            <w:vAlign w:val="center"/>
          </w:tcPr>
          <w:p w14:paraId="5DC4F610" w14:textId="77777777" w:rsidR="009C0F17" w:rsidRPr="005A497D" w:rsidRDefault="009C0F17" w:rsidP="009C0F17">
            <w:pPr>
              <w:pStyle w:val="NormalWeb"/>
              <w:spacing w:before="0" w:beforeAutospacing="0" w:after="0" w:afterAutospacing="0"/>
              <w:rPr>
                <w:b/>
                <w:kern w:val="24"/>
                <w:sz w:val="22"/>
                <w:szCs w:val="22"/>
              </w:rPr>
            </w:pPr>
            <w:r w:rsidRPr="005A497D">
              <w:rPr>
                <w:b/>
                <w:kern w:val="24"/>
                <w:sz w:val="22"/>
                <w:szCs w:val="22"/>
              </w:rPr>
              <w:t>Total</w:t>
            </w:r>
          </w:p>
        </w:tc>
        <w:tc>
          <w:tcPr>
            <w:tcW w:w="900" w:type="dxa"/>
            <w:tcBorders>
              <w:top w:val="single" w:sz="4" w:space="0" w:color="auto"/>
              <w:left w:val="double" w:sz="4" w:space="0" w:color="auto"/>
              <w:bottom w:val="double" w:sz="4" w:space="0" w:color="auto"/>
            </w:tcBorders>
            <w:vAlign w:val="center"/>
          </w:tcPr>
          <w:p w14:paraId="6820A3F2" w14:textId="77777777" w:rsidR="009C0F17" w:rsidRPr="005A497D" w:rsidRDefault="009C0F17" w:rsidP="009C0F17">
            <w:pPr>
              <w:pStyle w:val="NormalWeb"/>
              <w:spacing w:before="0" w:beforeAutospacing="0" w:after="0" w:afterAutospacing="0"/>
              <w:jc w:val="center"/>
              <w:rPr>
                <w:b/>
                <w:kern w:val="24"/>
                <w:sz w:val="22"/>
                <w:szCs w:val="22"/>
              </w:rPr>
            </w:pPr>
            <w:r>
              <w:rPr>
                <w:b/>
                <w:kern w:val="24"/>
                <w:sz w:val="22"/>
                <w:szCs w:val="22"/>
              </w:rPr>
              <w:t>26</w:t>
            </w:r>
          </w:p>
        </w:tc>
        <w:tc>
          <w:tcPr>
            <w:tcW w:w="900" w:type="dxa"/>
            <w:tcBorders>
              <w:top w:val="single" w:sz="4" w:space="0" w:color="auto"/>
              <w:bottom w:val="double" w:sz="4" w:space="0" w:color="auto"/>
              <w:right w:val="double" w:sz="4" w:space="0" w:color="auto"/>
            </w:tcBorders>
            <w:vAlign w:val="center"/>
          </w:tcPr>
          <w:p w14:paraId="473E567A" w14:textId="77777777" w:rsidR="009C0F17" w:rsidRPr="005A497D" w:rsidRDefault="009C0F17" w:rsidP="009C0F17">
            <w:pPr>
              <w:pStyle w:val="NormalWeb"/>
              <w:spacing w:before="0" w:beforeAutospacing="0" w:after="0" w:afterAutospacing="0"/>
              <w:jc w:val="center"/>
              <w:rPr>
                <w:b/>
                <w:kern w:val="24"/>
                <w:sz w:val="22"/>
                <w:szCs w:val="22"/>
              </w:rPr>
            </w:pPr>
            <w:r>
              <w:rPr>
                <w:b/>
                <w:kern w:val="24"/>
                <w:sz w:val="22"/>
                <w:szCs w:val="22"/>
              </w:rPr>
              <w:t>43</w:t>
            </w:r>
          </w:p>
        </w:tc>
        <w:tc>
          <w:tcPr>
            <w:tcW w:w="990" w:type="dxa"/>
            <w:tcBorders>
              <w:top w:val="single" w:sz="4" w:space="0" w:color="auto"/>
              <w:left w:val="double" w:sz="4" w:space="0" w:color="auto"/>
              <w:bottom w:val="double" w:sz="4" w:space="0" w:color="auto"/>
            </w:tcBorders>
            <w:vAlign w:val="center"/>
          </w:tcPr>
          <w:p w14:paraId="3D885ED0" w14:textId="2E3111C9" w:rsidR="009C0F17" w:rsidRPr="005A497D" w:rsidRDefault="009C0F17" w:rsidP="009C0F17">
            <w:pPr>
              <w:pStyle w:val="NormalWeb"/>
              <w:spacing w:before="0" w:beforeAutospacing="0" w:after="0" w:afterAutospacing="0"/>
              <w:jc w:val="center"/>
              <w:rPr>
                <w:b/>
                <w:kern w:val="24"/>
                <w:sz w:val="22"/>
                <w:szCs w:val="22"/>
              </w:rPr>
            </w:pPr>
            <w:r>
              <w:rPr>
                <w:b/>
                <w:kern w:val="24"/>
                <w:sz w:val="22"/>
                <w:szCs w:val="22"/>
              </w:rPr>
              <w:t>47</w:t>
            </w:r>
          </w:p>
        </w:tc>
        <w:tc>
          <w:tcPr>
            <w:tcW w:w="1080" w:type="dxa"/>
            <w:tcBorders>
              <w:top w:val="single" w:sz="4" w:space="0" w:color="auto"/>
              <w:bottom w:val="double" w:sz="4" w:space="0" w:color="auto"/>
              <w:right w:val="double" w:sz="4" w:space="0" w:color="auto"/>
            </w:tcBorders>
            <w:vAlign w:val="center"/>
          </w:tcPr>
          <w:p w14:paraId="33AA18E5" w14:textId="04FB59A3" w:rsidR="009C0F17" w:rsidRPr="005A497D" w:rsidRDefault="009C0F17" w:rsidP="009C0F17">
            <w:pPr>
              <w:pStyle w:val="NormalWeb"/>
              <w:spacing w:before="0" w:beforeAutospacing="0" w:after="0" w:afterAutospacing="0"/>
              <w:jc w:val="center"/>
              <w:rPr>
                <w:b/>
                <w:kern w:val="24"/>
                <w:sz w:val="22"/>
                <w:szCs w:val="22"/>
              </w:rPr>
            </w:pPr>
            <w:r>
              <w:rPr>
                <w:b/>
                <w:kern w:val="24"/>
                <w:sz w:val="22"/>
                <w:szCs w:val="22"/>
              </w:rPr>
              <w:t>23</w:t>
            </w:r>
          </w:p>
        </w:tc>
        <w:tc>
          <w:tcPr>
            <w:tcW w:w="1260" w:type="dxa"/>
            <w:tcBorders>
              <w:top w:val="single" w:sz="4" w:space="0" w:color="auto"/>
              <w:left w:val="double" w:sz="4" w:space="0" w:color="auto"/>
              <w:bottom w:val="double" w:sz="4" w:space="0" w:color="auto"/>
            </w:tcBorders>
            <w:vAlign w:val="center"/>
          </w:tcPr>
          <w:p w14:paraId="1F89E009" w14:textId="77777777" w:rsidR="009C0F17" w:rsidRPr="005A497D" w:rsidRDefault="009C0F17" w:rsidP="009C0F17">
            <w:pPr>
              <w:pStyle w:val="NormalWeb"/>
              <w:spacing w:before="0" w:beforeAutospacing="0" w:after="0" w:afterAutospacing="0"/>
              <w:jc w:val="center"/>
              <w:rPr>
                <w:b/>
                <w:kern w:val="24"/>
                <w:sz w:val="22"/>
                <w:szCs w:val="22"/>
              </w:rPr>
            </w:pPr>
            <w:r>
              <w:rPr>
                <w:b/>
                <w:kern w:val="24"/>
                <w:sz w:val="22"/>
                <w:szCs w:val="22"/>
              </w:rPr>
              <w:t>69</w:t>
            </w:r>
          </w:p>
        </w:tc>
      </w:tr>
    </w:tbl>
    <w:p w14:paraId="35AC2A88" w14:textId="39AA6CDA" w:rsidR="00B63470" w:rsidRPr="009C0F17" w:rsidRDefault="00B63470" w:rsidP="00B63470">
      <w:pPr>
        <w:spacing w:after="40"/>
        <w:jc w:val="both"/>
        <w:rPr>
          <w:bCs/>
          <w:sz w:val="20"/>
          <w:szCs w:val="20"/>
        </w:rPr>
      </w:pPr>
      <w:r w:rsidRPr="009C0F17">
        <w:rPr>
          <w:bCs/>
          <w:sz w:val="20"/>
          <w:szCs w:val="20"/>
        </w:rPr>
        <w:t>* Indicator was revised in 2011 to add a dimension.</w:t>
      </w:r>
    </w:p>
    <w:p w14:paraId="55373BBA" w14:textId="38BF77F0" w:rsidR="00B63470" w:rsidRDefault="00B63470" w:rsidP="00CB6100">
      <w:pPr>
        <w:jc w:val="both"/>
        <w:rPr>
          <w:sz w:val="22"/>
          <w:szCs w:val="22"/>
        </w:rPr>
      </w:pPr>
    </w:p>
    <w:p w14:paraId="24691312" w14:textId="77777777" w:rsidR="00B63470" w:rsidRDefault="00B63470">
      <w:pPr>
        <w:rPr>
          <w:sz w:val="22"/>
          <w:szCs w:val="22"/>
        </w:rPr>
      </w:pPr>
      <w:r>
        <w:rPr>
          <w:sz w:val="22"/>
          <w:szCs w:val="22"/>
        </w:rPr>
        <w:br w:type="page"/>
      </w:r>
    </w:p>
    <w:p w14:paraId="231D5511" w14:textId="77777777" w:rsidR="00C06157" w:rsidRDefault="00C06157" w:rsidP="00CB6100">
      <w:pPr>
        <w:jc w:val="both"/>
        <w:rPr>
          <w:b/>
          <w:bCs/>
          <w:color w:val="4F81BD" w:themeColor="accent1"/>
        </w:rPr>
        <w:sectPr w:rsidR="00C06157" w:rsidSect="00890673">
          <w:footnotePr>
            <w:numRestart w:val="eachSect"/>
          </w:footnotePr>
          <w:endnotePr>
            <w:numFmt w:val="decimal"/>
          </w:endnotePr>
          <w:pgSz w:w="12240" w:h="15840" w:code="1"/>
          <w:pgMar w:top="1152" w:right="1440" w:bottom="1080" w:left="1440" w:header="720" w:footer="720" w:gutter="0"/>
          <w:cols w:space="720"/>
          <w:noEndnote/>
        </w:sectPr>
      </w:pPr>
    </w:p>
    <w:p w14:paraId="6C7DFF7E" w14:textId="28E2E2A3" w:rsidR="00CB6100" w:rsidRPr="00B63470" w:rsidRDefault="00B63470" w:rsidP="00CB6100">
      <w:pPr>
        <w:jc w:val="both"/>
        <w:rPr>
          <w:b/>
          <w:bCs/>
          <w:color w:val="4F81BD" w:themeColor="accent1"/>
        </w:rPr>
      </w:pPr>
      <w:r w:rsidRPr="00B63470">
        <w:rPr>
          <w:b/>
          <w:bCs/>
          <w:color w:val="4F81BD" w:themeColor="accent1"/>
        </w:rPr>
        <w:t>Table A5.</w:t>
      </w:r>
      <w:r>
        <w:rPr>
          <w:b/>
          <w:bCs/>
          <w:color w:val="4F81BD" w:themeColor="accent1"/>
        </w:rPr>
        <w:t>4</w:t>
      </w:r>
      <w:r w:rsidRPr="00B63470">
        <w:rPr>
          <w:b/>
          <w:bCs/>
          <w:color w:val="4F81BD" w:themeColor="accent1"/>
        </w:rPr>
        <w:t>: D</w:t>
      </w:r>
      <w:r>
        <w:rPr>
          <w:b/>
          <w:bCs/>
          <w:color w:val="4F81BD" w:themeColor="accent1"/>
        </w:rPr>
        <w:t xml:space="preserve">escription of Assessed Scores </w:t>
      </w:r>
      <w:r w:rsidR="003B6382">
        <w:rPr>
          <w:b/>
          <w:bCs/>
          <w:color w:val="4F81BD" w:themeColor="accent1"/>
        </w:rPr>
        <w:t>– Old Methodology</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597"/>
        <w:gridCol w:w="924"/>
        <w:gridCol w:w="924"/>
        <w:gridCol w:w="3911"/>
      </w:tblGrid>
      <w:tr w:rsidR="00D232C4" w:rsidRPr="003567C3" w14:paraId="204B8DB1" w14:textId="77777777" w:rsidTr="00CB1AEB">
        <w:trPr>
          <w:tblHeader/>
        </w:trPr>
        <w:tc>
          <w:tcPr>
            <w:tcW w:w="3597" w:type="dxa"/>
            <w:vMerge w:val="restart"/>
            <w:tcBorders>
              <w:top w:val="double" w:sz="4" w:space="0" w:color="auto"/>
            </w:tcBorders>
            <w:shd w:val="clear" w:color="auto" w:fill="D9D9D9"/>
            <w:vAlign w:val="center"/>
          </w:tcPr>
          <w:p w14:paraId="42FB3440" w14:textId="77777777" w:rsidR="00D232C4" w:rsidRPr="003567C3" w:rsidRDefault="00D232C4" w:rsidP="00D232C4">
            <w:pPr>
              <w:spacing w:before="40" w:after="40"/>
              <w:jc w:val="center"/>
              <w:rPr>
                <w:b/>
                <w:i/>
                <w:sz w:val="20"/>
                <w:szCs w:val="20"/>
              </w:rPr>
            </w:pPr>
            <w:r w:rsidRPr="003567C3">
              <w:rPr>
                <w:b/>
                <w:i/>
                <w:sz w:val="20"/>
                <w:szCs w:val="20"/>
              </w:rPr>
              <w:t>Indicator / Dimension</w:t>
            </w:r>
          </w:p>
        </w:tc>
        <w:tc>
          <w:tcPr>
            <w:tcW w:w="1848" w:type="dxa"/>
            <w:gridSpan w:val="2"/>
            <w:tcBorders>
              <w:top w:val="double" w:sz="4" w:space="0" w:color="auto"/>
            </w:tcBorders>
            <w:shd w:val="clear" w:color="auto" w:fill="D9D9D9"/>
            <w:vAlign w:val="center"/>
          </w:tcPr>
          <w:p w14:paraId="3A104162" w14:textId="77777777" w:rsidR="00D232C4" w:rsidRPr="003567C3" w:rsidRDefault="00D232C4" w:rsidP="00CB1AEB">
            <w:pPr>
              <w:spacing w:before="40" w:after="40"/>
              <w:jc w:val="center"/>
              <w:rPr>
                <w:b/>
                <w:i/>
                <w:sz w:val="20"/>
                <w:szCs w:val="20"/>
              </w:rPr>
            </w:pPr>
            <w:r w:rsidRPr="003567C3">
              <w:rPr>
                <w:b/>
                <w:i/>
                <w:sz w:val="20"/>
                <w:szCs w:val="20"/>
              </w:rPr>
              <w:t>Score</w:t>
            </w:r>
          </w:p>
        </w:tc>
        <w:tc>
          <w:tcPr>
            <w:tcW w:w="3911" w:type="dxa"/>
            <w:vMerge w:val="restart"/>
            <w:tcBorders>
              <w:top w:val="double" w:sz="4" w:space="0" w:color="auto"/>
            </w:tcBorders>
            <w:shd w:val="clear" w:color="auto" w:fill="D9D9D9"/>
            <w:vAlign w:val="center"/>
          </w:tcPr>
          <w:p w14:paraId="1CA9270B" w14:textId="77777777" w:rsidR="00D232C4" w:rsidRPr="003567C3" w:rsidRDefault="00D232C4" w:rsidP="00D232C4">
            <w:pPr>
              <w:spacing w:before="40" w:after="40"/>
              <w:jc w:val="center"/>
              <w:rPr>
                <w:b/>
                <w:i/>
                <w:sz w:val="20"/>
                <w:szCs w:val="20"/>
              </w:rPr>
            </w:pPr>
            <w:r w:rsidRPr="003567C3">
              <w:rPr>
                <w:b/>
                <w:i/>
                <w:sz w:val="20"/>
                <w:szCs w:val="20"/>
              </w:rPr>
              <w:t>Brief Explanation</w:t>
            </w:r>
          </w:p>
        </w:tc>
      </w:tr>
      <w:tr w:rsidR="00D232C4" w:rsidRPr="005A497D" w14:paraId="44EE9A84" w14:textId="77777777" w:rsidTr="00CB1AEB">
        <w:trPr>
          <w:tblHeader/>
        </w:trPr>
        <w:tc>
          <w:tcPr>
            <w:tcW w:w="3597" w:type="dxa"/>
            <w:vMerge/>
            <w:tcBorders>
              <w:bottom w:val="double" w:sz="4" w:space="0" w:color="auto"/>
            </w:tcBorders>
            <w:shd w:val="clear" w:color="auto" w:fill="D9D9D9"/>
          </w:tcPr>
          <w:p w14:paraId="0D8777BA" w14:textId="77777777" w:rsidR="00D232C4" w:rsidRPr="00CB1AEB" w:rsidRDefault="00D232C4" w:rsidP="00D232C4">
            <w:pPr>
              <w:spacing w:before="40" w:after="40"/>
              <w:rPr>
                <w:b/>
                <w:sz w:val="20"/>
                <w:szCs w:val="20"/>
              </w:rPr>
            </w:pPr>
          </w:p>
        </w:tc>
        <w:tc>
          <w:tcPr>
            <w:tcW w:w="924" w:type="dxa"/>
            <w:tcBorders>
              <w:bottom w:val="double" w:sz="4" w:space="0" w:color="auto"/>
            </w:tcBorders>
            <w:shd w:val="clear" w:color="auto" w:fill="D9D9D9"/>
            <w:vAlign w:val="center"/>
          </w:tcPr>
          <w:p w14:paraId="2108C56E" w14:textId="77777777" w:rsidR="00D232C4" w:rsidRPr="00CB1AEB" w:rsidRDefault="00D232C4" w:rsidP="00CB1AEB">
            <w:pPr>
              <w:spacing w:before="40" w:after="40"/>
              <w:jc w:val="center"/>
              <w:rPr>
                <w:b/>
                <w:sz w:val="20"/>
                <w:szCs w:val="20"/>
              </w:rPr>
            </w:pPr>
            <w:r w:rsidRPr="00CB1AEB">
              <w:rPr>
                <w:b/>
                <w:sz w:val="20"/>
                <w:szCs w:val="20"/>
              </w:rPr>
              <w:t>2010</w:t>
            </w:r>
          </w:p>
        </w:tc>
        <w:tc>
          <w:tcPr>
            <w:tcW w:w="924" w:type="dxa"/>
            <w:tcBorders>
              <w:bottom w:val="double" w:sz="4" w:space="0" w:color="auto"/>
            </w:tcBorders>
            <w:shd w:val="clear" w:color="auto" w:fill="D9D9D9"/>
            <w:vAlign w:val="center"/>
          </w:tcPr>
          <w:p w14:paraId="688AE2E7" w14:textId="0CFF7243" w:rsidR="00D232C4" w:rsidRPr="00CB1AEB" w:rsidRDefault="00473EFD" w:rsidP="00CB1AEB">
            <w:pPr>
              <w:spacing w:before="40" w:after="40"/>
              <w:jc w:val="center"/>
              <w:rPr>
                <w:b/>
                <w:sz w:val="20"/>
                <w:szCs w:val="20"/>
              </w:rPr>
            </w:pPr>
            <w:r>
              <w:rPr>
                <w:b/>
                <w:sz w:val="20"/>
                <w:szCs w:val="20"/>
              </w:rPr>
              <w:t>2016</w:t>
            </w:r>
          </w:p>
        </w:tc>
        <w:tc>
          <w:tcPr>
            <w:tcW w:w="3911" w:type="dxa"/>
            <w:vMerge/>
            <w:tcBorders>
              <w:bottom w:val="double" w:sz="4" w:space="0" w:color="auto"/>
            </w:tcBorders>
            <w:shd w:val="clear" w:color="auto" w:fill="D9D9D9"/>
            <w:vAlign w:val="center"/>
          </w:tcPr>
          <w:p w14:paraId="332F9EDF" w14:textId="77777777" w:rsidR="00D232C4" w:rsidRPr="00CB1AEB" w:rsidRDefault="00D232C4" w:rsidP="00D232C4">
            <w:pPr>
              <w:spacing w:before="40" w:after="40"/>
              <w:jc w:val="center"/>
              <w:rPr>
                <w:sz w:val="20"/>
                <w:szCs w:val="20"/>
              </w:rPr>
            </w:pPr>
          </w:p>
        </w:tc>
      </w:tr>
      <w:tr w:rsidR="00D232C4" w:rsidRPr="005A497D" w14:paraId="43F3F28D" w14:textId="77777777" w:rsidTr="00CB1AEB">
        <w:tc>
          <w:tcPr>
            <w:tcW w:w="3597" w:type="dxa"/>
            <w:tcBorders>
              <w:top w:val="double" w:sz="4" w:space="0" w:color="auto"/>
              <w:bottom w:val="double" w:sz="4" w:space="0" w:color="auto"/>
            </w:tcBorders>
            <w:vAlign w:val="center"/>
          </w:tcPr>
          <w:p w14:paraId="10AA9B10" w14:textId="37428B6B" w:rsidR="00D232C4" w:rsidRPr="00CB1AEB" w:rsidRDefault="00D232C4" w:rsidP="00D232C4">
            <w:pPr>
              <w:spacing w:before="40" w:after="40"/>
              <w:rPr>
                <w:b/>
                <w:sz w:val="20"/>
                <w:szCs w:val="20"/>
              </w:rPr>
            </w:pPr>
            <w:r w:rsidRPr="00CB1AEB">
              <w:rPr>
                <w:b/>
                <w:sz w:val="20"/>
                <w:szCs w:val="20"/>
              </w:rPr>
              <w:t xml:space="preserve">PI-1 Aggregate expenditure </w:t>
            </w:r>
            <w:r w:rsidR="0047177B">
              <w:rPr>
                <w:b/>
                <w:sz w:val="20"/>
                <w:szCs w:val="20"/>
              </w:rPr>
              <w:t>outturn</w:t>
            </w:r>
            <w:r w:rsidRPr="00CB1AEB">
              <w:rPr>
                <w:b/>
                <w:sz w:val="20"/>
                <w:szCs w:val="20"/>
              </w:rPr>
              <w:t xml:space="preserve"> compared to original approved budget</w:t>
            </w:r>
          </w:p>
          <w:p w14:paraId="7C0B77DF" w14:textId="77777777" w:rsidR="00D232C4" w:rsidRPr="00CB1AEB" w:rsidRDefault="00D232C4" w:rsidP="00D232C4">
            <w:pPr>
              <w:spacing w:before="40" w:after="40"/>
              <w:rPr>
                <w:sz w:val="20"/>
                <w:szCs w:val="20"/>
              </w:rPr>
            </w:pPr>
            <w:r w:rsidRPr="00CB1AEB">
              <w:rPr>
                <w:sz w:val="20"/>
                <w:szCs w:val="20"/>
              </w:rPr>
              <w:t>(i) The difference between actual primary expenditure and the originally budgeted primary expenditure (i.e. excluding debt service charges, but also excluding externally financed project expenditure).</w:t>
            </w:r>
          </w:p>
        </w:tc>
        <w:tc>
          <w:tcPr>
            <w:tcW w:w="924" w:type="dxa"/>
            <w:tcBorders>
              <w:top w:val="double" w:sz="4" w:space="0" w:color="auto"/>
              <w:bottom w:val="double" w:sz="4" w:space="0" w:color="auto"/>
            </w:tcBorders>
            <w:vAlign w:val="center"/>
          </w:tcPr>
          <w:p w14:paraId="5F0295A7" w14:textId="77777777" w:rsidR="00D232C4" w:rsidRPr="00CB1AEB" w:rsidRDefault="00D232C4" w:rsidP="00CB1AEB">
            <w:pPr>
              <w:spacing w:before="40" w:after="40"/>
              <w:jc w:val="center"/>
              <w:rPr>
                <w:b/>
                <w:sz w:val="20"/>
                <w:szCs w:val="20"/>
              </w:rPr>
            </w:pPr>
            <w:r w:rsidRPr="00CB1AEB">
              <w:rPr>
                <w:b/>
                <w:sz w:val="20"/>
                <w:szCs w:val="20"/>
              </w:rPr>
              <w:t>NR</w:t>
            </w:r>
          </w:p>
        </w:tc>
        <w:tc>
          <w:tcPr>
            <w:tcW w:w="924" w:type="dxa"/>
            <w:tcBorders>
              <w:top w:val="double" w:sz="4" w:space="0" w:color="auto"/>
              <w:bottom w:val="double" w:sz="4" w:space="0" w:color="auto"/>
            </w:tcBorders>
            <w:vAlign w:val="center"/>
          </w:tcPr>
          <w:p w14:paraId="01341A63" w14:textId="77777777" w:rsidR="00D232C4" w:rsidRPr="00CB1AEB" w:rsidRDefault="00D232C4" w:rsidP="00CB1AEB">
            <w:pPr>
              <w:spacing w:before="40" w:after="40"/>
              <w:jc w:val="center"/>
              <w:rPr>
                <w:b/>
                <w:sz w:val="20"/>
                <w:szCs w:val="20"/>
              </w:rPr>
            </w:pPr>
            <w:r w:rsidRPr="00CB1AEB">
              <w:rPr>
                <w:b/>
                <w:sz w:val="20"/>
                <w:szCs w:val="20"/>
              </w:rPr>
              <w:t>D</w:t>
            </w:r>
          </w:p>
        </w:tc>
        <w:tc>
          <w:tcPr>
            <w:tcW w:w="3911" w:type="dxa"/>
            <w:tcBorders>
              <w:top w:val="double" w:sz="4" w:space="0" w:color="auto"/>
              <w:bottom w:val="double" w:sz="4" w:space="0" w:color="auto"/>
            </w:tcBorders>
            <w:vAlign w:val="center"/>
          </w:tcPr>
          <w:p w14:paraId="5A1609A5" w14:textId="77777777" w:rsidR="00D232C4" w:rsidRPr="00CB1AEB" w:rsidRDefault="00D232C4" w:rsidP="00D232C4">
            <w:pPr>
              <w:pStyle w:val="Default"/>
              <w:rPr>
                <w:sz w:val="20"/>
                <w:szCs w:val="20"/>
              </w:rPr>
            </w:pPr>
          </w:p>
          <w:p w14:paraId="1A7CE1ED" w14:textId="2B512E5E" w:rsidR="00D232C4" w:rsidRPr="00CB1AEB" w:rsidRDefault="009C0F17" w:rsidP="00D232C4">
            <w:pPr>
              <w:pStyle w:val="Default"/>
              <w:rPr>
                <w:sz w:val="20"/>
                <w:szCs w:val="20"/>
              </w:rPr>
            </w:pPr>
            <w:r w:rsidRPr="009C0F17">
              <w:rPr>
                <w:sz w:val="20"/>
                <w:szCs w:val="20"/>
              </w:rPr>
              <w:t>The actual expenditure in 2013 and 2014 deviate from budgeted expenditure by an amount equivalent to more than 15% of budgeted expenditure (20.9% and 27.6%).</w:t>
            </w:r>
          </w:p>
        </w:tc>
      </w:tr>
      <w:tr w:rsidR="00D232C4" w:rsidRPr="005A497D" w14:paraId="5BAB6BCD" w14:textId="77777777" w:rsidTr="00CB1AEB">
        <w:tc>
          <w:tcPr>
            <w:tcW w:w="3597" w:type="dxa"/>
            <w:tcBorders>
              <w:top w:val="double" w:sz="4" w:space="0" w:color="auto"/>
              <w:bottom w:val="single" w:sz="4" w:space="0" w:color="auto"/>
            </w:tcBorders>
            <w:vAlign w:val="center"/>
          </w:tcPr>
          <w:p w14:paraId="00ACE092" w14:textId="7B0782B5" w:rsidR="00D232C4" w:rsidRPr="00CB1AEB" w:rsidRDefault="00D232C4" w:rsidP="00D232C4">
            <w:pPr>
              <w:spacing w:before="40" w:after="40"/>
              <w:rPr>
                <w:sz w:val="20"/>
                <w:szCs w:val="20"/>
              </w:rPr>
            </w:pPr>
            <w:r w:rsidRPr="00CB1AEB">
              <w:rPr>
                <w:b/>
                <w:sz w:val="20"/>
                <w:szCs w:val="20"/>
              </w:rPr>
              <w:t xml:space="preserve">PI-2 Composition of expenditure </w:t>
            </w:r>
            <w:r w:rsidR="0047177B">
              <w:rPr>
                <w:b/>
                <w:sz w:val="20"/>
                <w:szCs w:val="20"/>
              </w:rPr>
              <w:t>outturn</w:t>
            </w:r>
            <w:r w:rsidRPr="00CB1AEB">
              <w:rPr>
                <w:b/>
                <w:sz w:val="20"/>
                <w:szCs w:val="20"/>
              </w:rPr>
              <w:t xml:space="preserve"> compared to original approved budget</w:t>
            </w:r>
          </w:p>
        </w:tc>
        <w:tc>
          <w:tcPr>
            <w:tcW w:w="924" w:type="dxa"/>
            <w:tcBorders>
              <w:top w:val="double" w:sz="4" w:space="0" w:color="auto"/>
              <w:bottom w:val="single" w:sz="4" w:space="0" w:color="auto"/>
            </w:tcBorders>
            <w:vAlign w:val="center"/>
          </w:tcPr>
          <w:p w14:paraId="032FF03F" w14:textId="77777777" w:rsidR="00D232C4" w:rsidRPr="00CB1AEB" w:rsidRDefault="00D232C4" w:rsidP="00CB1AEB">
            <w:pPr>
              <w:spacing w:before="40" w:after="40"/>
              <w:jc w:val="center"/>
              <w:rPr>
                <w:b/>
                <w:sz w:val="20"/>
                <w:szCs w:val="20"/>
              </w:rPr>
            </w:pPr>
            <w:r w:rsidRPr="00CB1AEB">
              <w:rPr>
                <w:b/>
                <w:sz w:val="20"/>
                <w:szCs w:val="20"/>
              </w:rPr>
              <w:t>NR</w:t>
            </w:r>
          </w:p>
        </w:tc>
        <w:tc>
          <w:tcPr>
            <w:tcW w:w="924" w:type="dxa"/>
            <w:tcBorders>
              <w:top w:val="double" w:sz="4" w:space="0" w:color="auto"/>
              <w:bottom w:val="single" w:sz="4" w:space="0" w:color="auto"/>
            </w:tcBorders>
            <w:vAlign w:val="center"/>
          </w:tcPr>
          <w:p w14:paraId="612064FF" w14:textId="77777777" w:rsidR="00D232C4" w:rsidRPr="00CB1AEB" w:rsidRDefault="00D232C4" w:rsidP="00CB1AEB">
            <w:pPr>
              <w:spacing w:before="40" w:after="40"/>
              <w:jc w:val="center"/>
              <w:rPr>
                <w:b/>
                <w:sz w:val="20"/>
                <w:szCs w:val="20"/>
              </w:rPr>
            </w:pPr>
            <w:r w:rsidRPr="00CB1AEB">
              <w:rPr>
                <w:b/>
                <w:sz w:val="20"/>
                <w:szCs w:val="20"/>
              </w:rPr>
              <w:t>D+</w:t>
            </w:r>
          </w:p>
        </w:tc>
        <w:tc>
          <w:tcPr>
            <w:tcW w:w="3911" w:type="dxa"/>
            <w:tcBorders>
              <w:top w:val="double" w:sz="4" w:space="0" w:color="auto"/>
              <w:bottom w:val="single" w:sz="4" w:space="0" w:color="auto"/>
            </w:tcBorders>
            <w:vAlign w:val="center"/>
          </w:tcPr>
          <w:p w14:paraId="32CF743F" w14:textId="77777777" w:rsidR="00D232C4" w:rsidRPr="00CB1AEB" w:rsidRDefault="00D232C4" w:rsidP="00D232C4">
            <w:pPr>
              <w:spacing w:before="40" w:after="40"/>
              <w:rPr>
                <w:b/>
                <w:sz w:val="20"/>
                <w:szCs w:val="20"/>
              </w:rPr>
            </w:pPr>
            <w:r w:rsidRPr="00CB1AEB">
              <w:rPr>
                <w:b/>
                <w:sz w:val="20"/>
                <w:szCs w:val="20"/>
              </w:rPr>
              <w:t>Overall rating based on M1 methodology.</w:t>
            </w:r>
          </w:p>
        </w:tc>
      </w:tr>
      <w:tr w:rsidR="009C0F17" w:rsidRPr="005A497D" w14:paraId="1539DDDA" w14:textId="77777777" w:rsidTr="00CB1AEB">
        <w:tc>
          <w:tcPr>
            <w:tcW w:w="3597" w:type="dxa"/>
            <w:tcBorders>
              <w:top w:val="single" w:sz="4" w:space="0" w:color="auto"/>
              <w:bottom w:val="single" w:sz="4" w:space="0" w:color="auto"/>
            </w:tcBorders>
            <w:vAlign w:val="center"/>
          </w:tcPr>
          <w:p w14:paraId="5A538C49" w14:textId="77777777" w:rsidR="009C0F17" w:rsidRPr="00CB1AEB" w:rsidRDefault="009C0F17" w:rsidP="009C0F17">
            <w:pPr>
              <w:spacing w:before="40" w:after="40"/>
              <w:rPr>
                <w:sz w:val="20"/>
                <w:szCs w:val="20"/>
              </w:rPr>
            </w:pPr>
            <w:r w:rsidRPr="00CB1AEB">
              <w:rPr>
                <w:sz w:val="20"/>
                <w:szCs w:val="20"/>
              </w:rPr>
              <w:t>(i) Extent of the variance in expenditure composition during the last three years, excluding contingency items.</w:t>
            </w:r>
          </w:p>
        </w:tc>
        <w:tc>
          <w:tcPr>
            <w:tcW w:w="924" w:type="dxa"/>
            <w:tcBorders>
              <w:top w:val="single" w:sz="4" w:space="0" w:color="auto"/>
              <w:bottom w:val="single" w:sz="4" w:space="0" w:color="auto"/>
            </w:tcBorders>
            <w:vAlign w:val="center"/>
          </w:tcPr>
          <w:p w14:paraId="5239AD2D" w14:textId="77777777" w:rsidR="009C0F17" w:rsidRPr="00CB1AEB" w:rsidRDefault="009C0F17" w:rsidP="009C0F17">
            <w:pPr>
              <w:spacing w:before="40" w:after="40"/>
              <w:jc w:val="center"/>
              <w:rPr>
                <w:sz w:val="20"/>
                <w:szCs w:val="20"/>
              </w:rPr>
            </w:pPr>
            <w:r w:rsidRPr="00CB1AEB">
              <w:rPr>
                <w:sz w:val="20"/>
                <w:szCs w:val="20"/>
              </w:rPr>
              <w:t>-</w:t>
            </w:r>
          </w:p>
        </w:tc>
        <w:tc>
          <w:tcPr>
            <w:tcW w:w="924" w:type="dxa"/>
            <w:tcBorders>
              <w:top w:val="single" w:sz="4" w:space="0" w:color="auto"/>
              <w:bottom w:val="single" w:sz="4" w:space="0" w:color="auto"/>
            </w:tcBorders>
            <w:vAlign w:val="center"/>
          </w:tcPr>
          <w:p w14:paraId="09B57D54" w14:textId="4F1EFFBB" w:rsidR="009C0F17" w:rsidRPr="00CB1AEB" w:rsidRDefault="009C0F17" w:rsidP="009C0F17">
            <w:pPr>
              <w:spacing w:before="40" w:after="40"/>
              <w:jc w:val="center"/>
              <w:rPr>
                <w:sz w:val="20"/>
                <w:szCs w:val="20"/>
              </w:rPr>
            </w:pPr>
            <w:r>
              <w:rPr>
                <w:sz w:val="20"/>
                <w:szCs w:val="20"/>
              </w:rPr>
              <w:t>D</w:t>
            </w:r>
          </w:p>
        </w:tc>
        <w:tc>
          <w:tcPr>
            <w:tcW w:w="3911" w:type="dxa"/>
            <w:tcBorders>
              <w:top w:val="single" w:sz="4" w:space="0" w:color="auto"/>
              <w:bottom w:val="single" w:sz="4" w:space="0" w:color="auto"/>
            </w:tcBorders>
            <w:vAlign w:val="center"/>
          </w:tcPr>
          <w:p w14:paraId="1295BB29" w14:textId="4E4C055E" w:rsidR="009C0F17" w:rsidRPr="00CB1AEB" w:rsidRDefault="009C0F17" w:rsidP="009C0F17">
            <w:pPr>
              <w:spacing w:before="40" w:after="40"/>
              <w:rPr>
                <w:sz w:val="20"/>
                <w:szCs w:val="20"/>
              </w:rPr>
            </w:pPr>
            <w:r w:rsidRPr="0061582E">
              <w:rPr>
                <w:color w:val="000000"/>
                <w:sz w:val="20"/>
                <w:szCs w:val="20"/>
              </w:rPr>
              <w:t xml:space="preserve">The composition variances (in absolute terms) were </w:t>
            </w:r>
            <w:r>
              <w:rPr>
                <w:color w:val="000000"/>
                <w:sz w:val="20"/>
                <w:szCs w:val="20"/>
              </w:rPr>
              <w:t>12.3</w:t>
            </w:r>
            <w:r w:rsidRPr="0061582E">
              <w:rPr>
                <w:color w:val="000000"/>
                <w:sz w:val="20"/>
                <w:szCs w:val="20"/>
              </w:rPr>
              <w:t xml:space="preserve">%, </w:t>
            </w:r>
            <w:r>
              <w:rPr>
                <w:color w:val="000000"/>
                <w:sz w:val="20"/>
                <w:szCs w:val="20"/>
              </w:rPr>
              <w:t>16.5</w:t>
            </w:r>
            <w:r w:rsidRPr="0061582E">
              <w:rPr>
                <w:color w:val="000000"/>
                <w:sz w:val="20"/>
                <w:szCs w:val="20"/>
              </w:rPr>
              <w:t xml:space="preserve">% and </w:t>
            </w:r>
            <w:r>
              <w:rPr>
                <w:color w:val="000000"/>
                <w:sz w:val="20"/>
                <w:szCs w:val="20"/>
              </w:rPr>
              <w:t>21.8</w:t>
            </w:r>
            <w:r w:rsidRPr="0061582E">
              <w:rPr>
                <w:color w:val="000000"/>
                <w:sz w:val="20"/>
                <w:szCs w:val="20"/>
              </w:rPr>
              <w:t>% in 2012, 2013 and 2014 respectively.</w:t>
            </w:r>
          </w:p>
        </w:tc>
      </w:tr>
      <w:tr w:rsidR="009C0F17" w:rsidRPr="005A497D" w14:paraId="6BABB3E2" w14:textId="77777777" w:rsidTr="00CB1AEB">
        <w:tc>
          <w:tcPr>
            <w:tcW w:w="3597" w:type="dxa"/>
            <w:tcBorders>
              <w:top w:val="single" w:sz="4" w:space="0" w:color="auto"/>
              <w:bottom w:val="double" w:sz="4" w:space="0" w:color="auto"/>
            </w:tcBorders>
            <w:vAlign w:val="center"/>
          </w:tcPr>
          <w:p w14:paraId="6800B262" w14:textId="77777777" w:rsidR="009C0F17" w:rsidRPr="00CB1AEB" w:rsidRDefault="009C0F17" w:rsidP="009C0F17">
            <w:pPr>
              <w:spacing w:before="40" w:after="40"/>
              <w:rPr>
                <w:sz w:val="20"/>
                <w:szCs w:val="20"/>
              </w:rPr>
            </w:pPr>
            <w:r w:rsidRPr="00CB1AEB">
              <w:rPr>
                <w:sz w:val="20"/>
                <w:szCs w:val="20"/>
              </w:rPr>
              <w:t>(ii) The average amount of expenditure actually charged to the contingency vote over the last three years</w:t>
            </w:r>
          </w:p>
        </w:tc>
        <w:tc>
          <w:tcPr>
            <w:tcW w:w="924" w:type="dxa"/>
            <w:tcBorders>
              <w:top w:val="single" w:sz="4" w:space="0" w:color="auto"/>
              <w:bottom w:val="double" w:sz="4" w:space="0" w:color="auto"/>
            </w:tcBorders>
            <w:vAlign w:val="center"/>
          </w:tcPr>
          <w:p w14:paraId="7DC850A9" w14:textId="77777777" w:rsidR="009C0F17" w:rsidRPr="00CB1AEB" w:rsidRDefault="009C0F17" w:rsidP="009C0F17">
            <w:pPr>
              <w:spacing w:before="40" w:after="40"/>
              <w:jc w:val="center"/>
              <w:rPr>
                <w:sz w:val="20"/>
                <w:szCs w:val="20"/>
              </w:rPr>
            </w:pPr>
            <w:r w:rsidRPr="00CB1AEB">
              <w:rPr>
                <w:sz w:val="20"/>
                <w:szCs w:val="20"/>
              </w:rPr>
              <w:t>-</w:t>
            </w:r>
          </w:p>
        </w:tc>
        <w:tc>
          <w:tcPr>
            <w:tcW w:w="924" w:type="dxa"/>
            <w:tcBorders>
              <w:top w:val="single" w:sz="4" w:space="0" w:color="auto"/>
              <w:bottom w:val="double" w:sz="4" w:space="0" w:color="auto"/>
            </w:tcBorders>
            <w:vAlign w:val="center"/>
          </w:tcPr>
          <w:p w14:paraId="08CB554A" w14:textId="46F085EE" w:rsidR="009C0F17" w:rsidRPr="00CB1AEB" w:rsidRDefault="009C0F17" w:rsidP="009C0F17">
            <w:pPr>
              <w:spacing w:before="40" w:after="40"/>
              <w:jc w:val="center"/>
              <w:rPr>
                <w:sz w:val="20"/>
                <w:szCs w:val="20"/>
              </w:rPr>
            </w:pPr>
            <w:r>
              <w:rPr>
                <w:sz w:val="20"/>
                <w:szCs w:val="20"/>
              </w:rPr>
              <w:t>A</w:t>
            </w:r>
          </w:p>
        </w:tc>
        <w:tc>
          <w:tcPr>
            <w:tcW w:w="3911" w:type="dxa"/>
            <w:tcBorders>
              <w:top w:val="single" w:sz="4" w:space="0" w:color="auto"/>
              <w:bottom w:val="double" w:sz="4" w:space="0" w:color="auto"/>
            </w:tcBorders>
            <w:vAlign w:val="center"/>
          </w:tcPr>
          <w:p w14:paraId="7B93AEF4" w14:textId="2CF29852" w:rsidR="009C0F17" w:rsidRPr="00CB1AEB" w:rsidRDefault="009C0F17" w:rsidP="009C0F17">
            <w:pPr>
              <w:pStyle w:val="Default"/>
              <w:rPr>
                <w:sz w:val="20"/>
                <w:szCs w:val="20"/>
              </w:rPr>
            </w:pPr>
            <w:r w:rsidRPr="0061582E">
              <w:rPr>
                <w:sz w:val="20"/>
                <w:szCs w:val="20"/>
              </w:rPr>
              <w:t xml:space="preserve">Actual expenditure charged to the contingency vote was on average </w:t>
            </w:r>
            <w:r>
              <w:rPr>
                <w:sz w:val="20"/>
                <w:szCs w:val="20"/>
              </w:rPr>
              <w:t>less</w:t>
            </w:r>
            <w:r w:rsidRPr="0061582E">
              <w:rPr>
                <w:sz w:val="20"/>
                <w:szCs w:val="20"/>
              </w:rPr>
              <w:t xml:space="preserve"> than </w:t>
            </w:r>
            <w:r>
              <w:rPr>
                <w:sz w:val="20"/>
                <w:szCs w:val="20"/>
              </w:rPr>
              <w:t>3</w:t>
            </w:r>
            <w:r w:rsidRPr="0061582E">
              <w:rPr>
                <w:sz w:val="20"/>
                <w:szCs w:val="20"/>
              </w:rPr>
              <w:t xml:space="preserve">% of the original budget </w:t>
            </w:r>
          </w:p>
        </w:tc>
      </w:tr>
      <w:tr w:rsidR="00D232C4" w:rsidRPr="005A497D" w14:paraId="5B56116B" w14:textId="77777777" w:rsidTr="00CB1AEB">
        <w:tc>
          <w:tcPr>
            <w:tcW w:w="3597" w:type="dxa"/>
            <w:tcBorders>
              <w:top w:val="double" w:sz="4" w:space="0" w:color="auto"/>
              <w:bottom w:val="double" w:sz="4" w:space="0" w:color="auto"/>
            </w:tcBorders>
            <w:vAlign w:val="center"/>
          </w:tcPr>
          <w:p w14:paraId="3520DF03" w14:textId="6A2E64BE" w:rsidR="00D232C4" w:rsidRPr="00CB1AEB" w:rsidRDefault="00D232C4" w:rsidP="00D232C4">
            <w:pPr>
              <w:spacing w:before="40" w:after="40"/>
              <w:rPr>
                <w:sz w:val="20"/>
                <w:szCs w:val="20"/>
              </w:rPr>
            </w:pPr>
            <w:r w:rsidRPr="00CB1AEB">
              <w:rPr>
                <w:b/>
                <w:sz w:val="20"/>
                <w:szCs w:val="20"/>
              </w:rPr>
              <w:t xml:space="preserve">PI-3 Aggregate revenue </w:t>
            </w:r>
            <w:r w:rsidR="0047177B">
              <w:rPr>
                <w:b/>
                <w:sz w:val="20"/>
                <w:szCs w:val="20"/>
              </w:rPr>
              <w:t>outturn</w:t>
            </w:r>
            <w:r w:rsidRPr="00CB1AEB">
              <w:rPr>
                <w:b/>
                <w:sz w:val="20"/>
                <w:szCs w:val="20"/>
              </w:rPr>
              <w:t xml:space="preserve"> compared to original approved budget</w:t>
            </w:r>
          </w:p>
          <w:p w14:paraId="49183DF2" w14:textId="77777777" w:rsidR="00D232C4" w:rsidRPr="00CB1AEB" w:rsidRDefault="00D232C4" w:rsidP="00D232C4">
            <w:pPr>
              <w:spacing w:before="40" w:after="40"/>
              <w:rPr>
                <w:sz w:val="20"/>
                <w:szCs w:val="20"/>
              </w:rPr>
            </w:pPr>
            <w:r w:rsidRPr="00CB1AEB">
              <w:rPr>
                <w:sz w:val="20"/>
                <w:szCs w:val="20"/>
              </w:rPr>
              <w:t>(i) Actual domestic revenue compared to domestic revenue in the originally approved budget.</w:t>
            </w:r>
          </w:p>
        </w:tc>
        <w:tc>
          <w:tcPr>
            <w:tcW w:w="924" w:type="dxa"/>
            <w:tcBorders>
              <w:top w:val="double" w:sz="4" w:space="0" w:color="auto"/>
              <w:bottom w:val="double" w:sz="4" w:space="0" w:color="auto"/>
            </w:tcBorders>
            <w:vAlign w:val="center"/>
          </w:tcPr>
          <w:p w14:paraId="420D4E2C" w14:textId="77777777" w:rsidR="00D232C4" w:rsidRPr="00CB1AEB" w:rsidRDefault="00D232C4" w:rsidP="00CB1AEB">
            <w:pPr>
              <w:spacing w:before="40" w:after="40"/>
              <w:jc w:val="center"/>
              <w:rPr>
                <w:b/>
                <w:sz w:val="20"/>
                <w:szCs w:val="20"/>
              </w:rPr>
            </w:pPr>
            <w:r w:rsidRPr="00CB1AEB">
              <w:rPr>
                <w:b/>
                <w:sz w:val="20"/>
                <w:szCs w:val="20"/>
              </w:rPr>
              <w:t>A</w:t>
            </w:r>
          </w:p>
        </w:tc>
        <w:tc>
          <w:tcPr>
            <w:tcW w:w="924" w:type="dxa"/>
            <w:tcBorders>
              <w:top w:val="double" w:sz="4" w:space="0" w:color="auto"/>
              <w:bottom w:val="double" w:sz="4" w:space="0" w:color="auto"/>
            </w:tcBorders>
            <w:vAlign w:val="center"/>
          </w:tcPr>
          <w:p w14:paraId="137CBEFC" w14:textId="77777777" w:rsidR="00D232C4" w:rsidRPr="00CB1AEB" w:rsidRDefault="00D232C4" w:rsidP="00CB1AEB">
            <w:pPr>
              <w:spacing w:before="40" w:after="40"/>
              <w:jc w:val="center"/>
              <w:rPr>
                <w:b/>
                <w:sz w:val="20"/>
                <w:szCs w:val="20"/>
              </w:rPr>
            </w:pPr>
            <w:r w:rsidRPr="00CB1AEB">
              <w:rPr>
                <w:b/>
                <w:sz w:val="20"/>
                <w:szCs w:val="20"/>
              </w:rPr>
              <w:t>A</w:t>
            </w:r>
          </w:p>
        </w:tc>
        <w:tc>
          <w:tcPr>
            <w:tcW w:w="3911" w:type="dxa"/>
            <w:tcBorders>
              <w:top w:val="double" w:sz="4" w:space="0" w:color="auto"/>
              <w:bottom w:val="double" w:sz="4" w:space="0" w:color="auto"/>
            </w:tcBorders>
            <w:vAlign w:val="center"/>
          </w:tcPr>
          <w:p w14:paraId="2492F36C" w14:textId="77777777" w:rsidR="007E6541" w:rsidRDefault="007E6541" w:rsidP="007E6541">
            <w:pPr>
              <w:pStyle w:val="Default"/>
              <w:rPr>
                <w:bCs/>
                <w:sz w:val="20"/>
                <w:szCs w:val="20"/>
              </w:rPr>
            </w:pPr>
            <w:r w:rsidRPr="00EF6C3A">
              <w:rPr>
                <w:bCs/>
                <w:sz w:val="20"/>
                <w:szCs w:val="20"/>
              </w:rPr>
              <w:t xml:space="preserve">Actual </w:t>
            </w:r>
            <w:r>
              <w:rPr>
                <w:bCs/>
                <w:sz w:val="20"/>
                <w:szCs w:val="20"/>
              </w:rPr>
              <w:t>domestic revenue was between 97% and 106% of budgeted domestic revenue for the fiscal years 2012 and 2013. (98.4% and 98.3%).</w:t>
            </w:r>
          </w:p>
          <w:p w14:paraId="457602CB" w14:textId="402ADA97" w:rsidR="00D232C4" w:rsidRPr="00CB1AEB" w:rsidRDefault="007E6541" w:rsidP="007E6541">
            <w:pPr>
              <w:pStyle w:val="Default"/>
              <w:rPr>
                <w:sz w:val="20"/>
                <w:szCs w:val="20"/>
              </w:rPr>
            </w:pPr>
            <w:r w:rsidRPr="00CB1AEB">
              <w:rPr>
                <w:b/>
                <w:bCs/>
                <w:sz w:val="20"/>
                <w:szCs w:val="20"/>
              </w:rPr>
              <w:t>Performance unchanged</w:t>
            </w:r>
            <w:r w:rsidRPr="00CB1AEB">
              <w:rPr>
                <w:bCs/>
                <w:sz w:val="20"/>
                <w:szCs w:val="20"/>
              </w:rPr>
              <w:t>, but reforms were introduced to improve the revenue performance</w:t>
            </w:r>
            <w:r>
              <w:rPr>
                <w:bCs/>
                <w:sz w:val="20"/>
                <w:szCs w:val="20"/>
              </w:rPr>
              <w:t>.</w:t>
            </w:r>
          </w:p>
        </w:tc>
      </w:tr>
      <w:tr w:rsidR="00D232C4" w:rsidRPr="005A497D" w14:paraId="30B1EE9B" w14:textId="77777777" w:rsidTr="00CB1AEB">
        <w:tc>
          <w:tcPr>
            <w:tcW w:w="3597" w:type="dxa"/>
            <w:tcBorders>
              <w:top w:val="double" w:sz="4" w:space="0" w:color="auto"/>
              <w:bottom w:val="single" w:sz="4" w:space="0" w:color="auto"/>
            </w:tcBorders>
            <w:vAlign w:val="center"/>
          </w:tcPr>
          <w:p w14:paraId="0FE71063" w14:textId="77777777" w:rsidR="00D232C4" w:rsidRPr="00CB1AEB" w:rsidRDefault="00D232C4" w:rsidP="00D232C4">
            <w:pPr>
              <w:spacing w:before="40" w:after="40"/>
              <w:rPr>
                <w:sz w:val="20"/>
                <w:szCs w:val="20"/>
              </w:rPr>
            </w:pPr>
            <w:r w:rsidRPr="00CB1AEB">
              <w:rPr>
                <w:b/>
                <w:sz w:val="20"/>
                <w:szCs w:val="20"/>
              </w:rPr>
              <w:t>PI-4 Stock and monitoring of expenditure payment arrears</w:t>
            </w:r>
          </w:p>
        </w:tc>
        <w:tc>
          <w:tcPr>
            <w:tcW w:w="924" w:type="dxa"/>
            <w:tcBorders>
              <w:top w:val="double" w:sz="4" w:space="0" w:color="auto"/>
              <w:bottom w:val="single" w:sz="4" w:space="0" w:color="auto"/>
            </w:tcBorders>
            <w:vAlign w:val="center"/>
          </w:tcPr>
          <w:p w14:paraId="2E6C69A0" w14:textId="77777777" w:rsidR="00D232C4" w:rsidRPr="00CB1AEB" w:rsidRDefault="00D232C4" w:rsidP="00CB1AEB">
            <w:pPr>
              <w:spacing w:before="40" w:after="40"/>
              <w:jc w:val="center"/>
              <w:rPr>
                <w:b/>
                <w:sz w:val="20"/>
                <w:szCs w:val="20"/>
              </w:rPr>
            </w:pPr>
            <w:r w:rsidRPr="00CB1AEB">
              <w:rPr>
                <w:b/>
                <w:sz w:val="20"/>
                <w:szCs w:val="20"/>
              </w:rPr>
              <w:t>D+</w:t>
            </w:r>
          </w:p>
        </w:tc>
        <w:tc>
          <w:tcPr>
            <w:tcW w:w="924" w:type="dxa"/>
            <w:tcBorders>
              <w:top w:val="double" w:sz="4" w:space="0" w:color="auto"/>
              <w:bottom w:val="single" w:sz="4" w:space="0" w:color="auto"/>
            </w:tcBorders>
            <w:vAlign w:val="center"/>
          </w:tcPr>
          <w:p w14:paraId="101CF9CB" w14:textId="77777777" w:rsidR="00D232C4" w:rsidRPr="00CB1AEB" w:rsidRDefault="00D232C4" w:rsidP="00CB1AEB">
            <w:pPr>
              <w:spacing w:before="40" w:after="40"/>
              <w:jc w:val="center"/>
              <w:rPr>
                <w:b/>
                <w:sz w:val="20"/>
                <w:szCs w:val="20"/>
              </w:rPr>
            </w:pPr>
            <w:r w:rsidRPr="00CB1AEB">
              <w:rPr>
                <w:b/>
                <w:sz w:val="20"/>
                <w:szCs w:val="20"/>
              </w:rPr>
              <w:t>D+</w:t>
            </w:r>
          </w:p>
        </w:tc>
        <w:tc>
          <w:tcPr>
            <w:tcW w:w="3911" w:type="dxa"/>
            <w:tcBorders>
              <w:top w:val="double" w:sz="4" w:space="0" w:color="auto"/>
              <w:bottom w:val="single" w:sz="4" w:space="0" w:color="auto"/>
            </w:tcBorders>
            <w:vAlign w:val="center"/>
          </w:tcPr>
          <w:p w14:paraId="42A78BFB" w14:textId="77777777" w:rsidR="00D232C4" w:rsidRPr="00CB1AEB" w:rsidRDefault="00D232C4" w:rsidP="00D232C4">
            <w:pPr>
              <w:spacing w:before="40" w:after="40"/>
              <w:rPr>
                <w:b/>
                <w:sz w:val="20"/>
                <w:szCs w:val="20"/>
              </w:rPr>
            </w:pPr>
            <w:r w:rsidRPr="00CB1AEB">
              <w:rPr>
                <w:b/>
                <w:sz w:val="20"/>
                <w:szCs w:val="20"/>
              </w:rPr>
              <w:t>Overall rating based on M1 methodology.</w:t>
            </w:r>
          </w:p>
        </w:tc>
      </w:tr>
      <w:tr w:rsidR="00D232C4" w:rsidRPr="005A497D" w14:paraId="7377096E" w14:textId="77777777" w:rsidTr="00CB1AEB">
        <w:tc>
          <w:tcPr>
            <w:tcW w:w="3597" w:type="dxa"/>
            <w:tcBorders>
              <w:top w:val="single" w:sz="4" w:space="0" w:color="auto"/>
              <w:bottom w:val="single" w:sz="4" w:space="0" w:color="auto"/>
            </w:tcBorders>
            <w:vAlign w:val="center"/>
          </w:tcPr>
          <w:p w14:paraId="351B82A8" w14:textId="77777777" w:rsidR="00D232C4" w:rsidRPr="00CB1AEB" w:rsidRDefault="00D232C4" w:rsidP="00D232C4">
            <w:pPr>
              <w:spacing w:before="40" w:after="40"/>
              <w:rPr>
                <w:sz w:val="20"/>
                <w:szCs w:val="20"/>
              </w:rPr>
            </w:pPr>
            <w:r w:rsidRPr="00CB1AEB">
              <w:rPr>
                <w:sz w:val="20"/>
                <w:szCs w:val="20"/>
              </w:rPr>
              <w:t>(i) Stock of expenditure payment arrears and any recent change in the stock</w:t>
            </w:r>
          </w:p>
        </w:tc>
        <w:tc>
          <w:tcPr>
            <w:tcW w:w="924" w:type="dxa"/>
            <w:tcBorders>
              <w:top w:val="single" w:sz="4" w:space="0" w:color="auto"/>
              <w:bottom w:val="single" w:sz="4" w:space="0" w:color="auto"/>
            </w:tcBorders>
            <w:vAlign w:val="center"/>
          </w:tcPr>
          <w:p w14:paraId="7B703268"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1A4AB5A5" w14:textId="77777777" w:rsidR="00D232C4" w:rsidRPr="00CB1AEB" w:rsidRDefault="00D232C4" w:rsidP="00CB1AEB">
            <w:pPr>
              <w:spacing w:before="40" w:after="40"/>
              <w:jc w:val="center"/>
              <w:rPr>
                <w:sz w:val="20"/>
                <w:szCs w:val="20"/>
              </w:rPr>
            </w:pPr>
            <w:r w:rsidRPr="00CB1AEB">
              <w:rPr>
                <w:sz w:val="20"/>
                <w:szCs w:val="20"/>
              </w:rPr>
              <w:t>C</w:t>
            </w:r>
          </w:p>
        </w:tc>
        <w:tc>
          <w:tcPr>
            <w:tcW w:w="3911" w:type="dxa"/>
            <w:tcBorders>
              <w:top w:val="single" w:sz="4" w:space="0" w:color="auto"/>
              <w:bottom w:val="single" w:sz="4" w:space="0" w:color="auto"/>
            </w:tcBorders>
            <w:vAlign w:val="center"/>
          </w:tcPr>
          <w:p w14:paraId="3F274A24" w14:textId="5BAF716E" w:rsidR="00D232C4" w:rsidRPr="00CB1AEB" w:rsidRDefault="00D232C4" w:rsidP="00D232C4">
            <w:pPr>
              <w:spacing w:before="40" w:after="40"/>
              <w:rPr>
                <w:bCs/>
                <w:sz w:val="20"/>
                <w:szCs w:val="20"/>
              </w:rPr>
            </w:pPr>
            <w:r w:rsidRPr="00CB1AEB">
              <w:rPr>
                <w:bCs/>
                <w:sz w:val="20"/>
                <w:szCs w:val="20"/>
              </w:rPr>
              <w:t xml:space="preserve">The stock </w:t>
            </w:r>
            <w:r w:rsidR="00AB49D6">
              <w:rPr>
                <w:bCs/>
                <w:sz w:val="20"/>
                <w:szCs w:val="20"/>
              </w:rPr>
              <w:t xml:space="preserve">of </w:t>
            </w:r>
            <w:r w:rsidRPr="00CB1AEB">
              <w:rPr>
                <w:bCs/>
                <w:sz w:val="20"/>
                <w:szCs w:val="20"/>
              </w:rPr>
              <w:t>arrears constitute 5.0% and 5.4% of the total obligations incurred for years 2012 and 2013.</w:t>
            </w:r>
            <w:r w:rsidR="00C908BE">
              <w:rPr>
                <w:bCs/>
                <w:sz w:val="20"/>
                <w:szCs w:val="20"/>
              </w:rPr>
              <w:t xml:space="preserve"> </w:t>
            </w:r>
          </w:p>
          <w:p w14:paraId="615420B1" w14:textId="192EC4D4" w:rsidR="00D232C4" w:rsidRPr="00CB1AEB" w:rsidRDefault="00D232C4" w:rsidP="00D232C4">
            <w:pPr>
              <w:spacing w:before="40" w:after="40"/>
              <w:rPr>
                <w:sz w:val="20"/>
                <w:szCs w:val="20"/>
              </w:rPr>
            </w:pPr>
            <w:r w:rsidRPr="00CB1AEB">
              <w:rPr>
                <w:b/>
                <w:bCs/>
                <w:sz w:val="20"/>
                <w:szCs w:val="20"/>
              </w:rPr>
              <w:t>Performance unchanged</w:t>
            </w:r>
            <w:r w:rsidRPr="00CB1AEB">
              <w:rPr>
                <w:bCs/>
                <w:sz w:val="20"/>
                <w:szCs w:val="20"/>
              </w:rPr>
              <w:t>, the stock</w:t>
            </w:r>
            <w:r w:rsidR="00AB49D6">
              <w:rPr>
                <w:bCs/>
                <w:sz w:val="20"/>
                <w:szCs w:val="20"/>
              </w:rPr>
              <w:t xml:space="preserve"> of</w:t>
            </w:r>
            <w:r w:rsidRPr="00CB1AEB">
              <w:rPr>
                <w:bCs/>
                <w:sz w:val="20"/>
                <w:szCs w:val="20"/>
              </w:rPr>
              <w:t xml:space="preserve"> arrears actually increased by 2%. </w:t>
            </w:r>
          </w:p>
        </w:tc>
      </w:tr>
      <w:tr w:rsidR="00D232C4" w:rsidRPr="005A497D" w14:paraId="7B3A8F35" w14:textId="77777777" w:rsidTr="00CB1AEB">
        <w:tc>
          <w:tcPr>
            <w:tcW w:w="3597" w:type="dxa"/>
            <w:tcBorders>
              <w:top w:val="single" w:sz="4" w:space="0" w:color="auto"/>
              <w:bottom w:val="double" w:sz="4" w:space="0" w:color="auto"/>
            </w:tcBorders>
            <w:vAlign w:val="center"/>
          </w:tcPr>
          <w:p w14:paraId="38B1A6B7" w14:textId="77777777" w:rsidR="00D232C4" w:rsidRPr="00CB1AEB" w:rsidRDefault="00D232C4" w:rsidP="00D232C4">
            <w:pPr>
              <w:spacing w:before="40" w:after="40"/>
              <w:rPr>
                <w:sz w:val="20"/>
                <w:szCs w:val="20"/>
              </w:rPr>
            </w:pPr>
            <w:r w:rsidRPr="00CB1AEB">
              <w:rPr>
                <w:sz w:val="20"/>
                <w:szCs w:val="20"/>
              </w:rPr>
              <w:t>(ii) Availability of data for monitoring the stock of expenditure payment arrears</w:t>
            </w:r>
          </w:p>
        </w:tc>
        <w:tc>
          <w:tcPr>
            <w:tcW w:w="924" w:type="dxa"/>
            <w:tcBorders>
              <w:top w:val="single" w:sz="4" w:space="0" w:color="auto"/>
              <w:bottom w:val="double" w:sz="4" w:space="0" w:color="auto"/>
            </w:tcBorders>
            <w:vAlign w:val="center"/>
          </w:tcPr>
          <w:p w14:paraId="125587BC" w14:textId="77777777" w:rsidR="00D232C4" w:rsidRPr="00CB1AEB" w:rsidRDefault="00D232C4" w:rsidP="00CB1AEB">
            <w:pPr>
              <w:spacing w:before="40" w:after="40"/>
              <w:jc w:val="center"/>
              <w:rPr>
                <w:sz w:val="20"/>
                <w:szCs w:val="20"/>
              </w:rPr>
            </w:pPr>
            <w:r w:rsidRPr="00CB1AEB">
              <w:rPr>
                <w:sz w:val="20"/>
                <w:szCs w:val="20"/>
              </w:rPr>
              <w:t>D</w:t>
            </w:r>
          </w:p>
        </w:tc>
        <w:tc>
          <w:tcPr>
            <w:tcW w:w="924" w:type="dxa"/>
            <w:tcBorders>
              <w:top w:val="single" w:sz="4" w:space="0" w:color="auto"/>
              <w:bottom w:val="double" w:sz="4" w:space="0" w:color="auto"/>
            </w:tcBorders>
            <w:vAlign w:val="center"/>
          </w:tcPr>
          <w:p w14:paraId="7644F52F" w14:textId="77777777" w:rsidR="00D232C4" w:rsidRPr="00CB1AEB" w:rsidRDefault="00D232C4" w:rsidP="00CB1AEB">
            <w:pPr>
              <w:spacing w:before="40" w:after="40"/>
              <w:jc w:val="center"/>
              <w:rPr>
                <w:sz w:val="20"/>
                <w:szCs w:val="20"/>
              </w:rPr>
            </w:pPr>
            <w:r w:rsidRPr="00CB1AEB">
              <w:rPr>
                <w:sz w:val="20"/>
                <w:szCs w:val="20"/>
              </w:rPr>
              <w:t>D</w:t>
            </w:r>
          </w:p>
        </w:tc>
        <w:tc>
          <w:tcPr>
            <w:tcW w:w="3911" w:type="dxa"/>
            <w:tcBorders>
              <w:top w:val="single" w:sz="4" w:space="0" w:color="auto"/>
              <w:bottom w:val="double" w:sz="4" w:space="0" w:color="auto"/>
            </w:tcBorders>
            <w:vAlign w:val="center"/>
          </w:tcPr>
          <w:p w14:paraId="4E7F0DA0" w14:textId="5B0C7F5D" w:rsidR="00D232C4" w:rsidRPr="007E6541" w:rsidRDefault="00D232C4" w:rsidP="00C908BE">
            <w:pPr>
              <w:spacing w:before="40" w:after="40"/>
              <w:rPr>
                <w:sz w:val="20"/>
                <w:szCs w:val="20"/>
              </w:rPr>
            </w:pPr>
            <w:r w:rsidRPr="007E6541">
              <w:rPr>
                <w:b/>
                <w:bCs/>
                <w:sz w:val="20"/>
                <w:szCs w:val="20"/>
              </w:rPr>
              <w:t>Performance unchanged</w:t>
            </w:r>
            <w:r w:rsidRPr="007E6541">
              <w:rPr>
                <w:bCs/>
                <w:sz w:val="20"/>
                <w:szCs w:val="20"/>
              </w:rPr>
              <w:t>, however,</w:t>
            </w:r>
            <w:r w:rsidRPr="007E6541">
              <w:rPr>
                <w:sz w:val="20"/>
                <w:szCs w:val="20"/>
              </w:rPr>
              <w:t xml:space="preserve"> </w:t>
            </w:r>
            <w:r w:rsidR="00A177AB" w:rsidRPr="007E6541">
              <w:rPr>
                <w:sz w:val="20"/>
                <w:szCs w:val="20"/>
              </w:rPr>
              <w:t>CoA</w:t>
            </w:r>
            <w:r w:rsidR="00C908BE" w:rsidRPr="007E6541">
              <w:rPr>
                <w:sz w:val="20"/>
                <w:szCs w:val="20"/>
              </w:rPr>
              <w:t xml:space="preserve"> requires submission of aging of expenditure arrears which are not consolidated for monitoring purposes.</w:t>
            </w:r>
          </w:p>
        </w:tc>
      </w:tr>
      <w:tr w:rsidR="00D232C4" w:rsidRPr="005A497D" w14:paraId="1A92A193" w14:textId="77777777" w:rsidTr="007E6541">
        <w:trPr>
          <w:trHeight w:val="1563"/>
        </w:trPr>
        <w:tc>
          <w:tcPr>
            <w:tcW w:w="3597" w:type="dxa"/>
            <w:tcBorders>
              <w:top w:val="double" w:sz="4" w:space="0" w:color="auto"/>
              <w:bottom w:val="double" w:sz="4" w:space="0" w:color="auto"/>
            </w:tcBorders>
            <w:vAlign w:val="center"/>
          </w:tcPr>
          <w:p w14:paraId="1094ED87" w14:textId="77777777" w:rsidR="00D232C4" w:rsidRPr="00CB1AEB" w:rsidRDefault="00D232C4" w:rsidP="00D232C4">
            <w:pPr>
              <w:spacing w:before="40" w:after="40"/>
              <w:rPr>
                <w:sz w:val="20"/>
                <w:szCs w:val="20"/>
              </w:rPr>
            </w:pPr>
            <w:r w:rsidRPr="00CB1AEB">
              <w:rPr>
                <w:b/>
                <w:sz w:val="20"/>
                <w:szCs w:val="20"/>
              </w:rPr>
              <w:t>PI-5 Classification of the budget</w:t>
            </w:r>
          </w:p>
          <w:p w14:paraId="3C68FE87" w14:textId="77777777" w:rsidR="00D232C4" w:rsidRPr="00CB1AEB" w:rsidRDefault="00D232C4" w:rsidP="00D232C4">
            <w:pPr>
              <w:spacing w:before="40" w:after="40"/>
              <w:rPr>
                <w:sz w:val="20"/>
                <w:szCs w:val="20"/>
              </w:rPr>
            </w:pPr>
            <w:r w:rsidRPr="00CB1AEB">
              <w:rPr>
                <w:sz w:val="20"/>
                <w:szCs w:val="20"/>
              </w:rPr>
              <w:t>(i) The classification system used for formulation, execution and reporting of the central government’s budget.</w:t>
            </w:r>
          </w:p>
        </w:tc>
        <w:tc>
          <w:tcPr>
            <w:tcW w:w="924" w:type="dxa"/>
            <w:tcBorders>
              <w:top w:val="double" w:sz="4" w:space="0" w:color="auto"/>
              <w:bottom w:val="double" w:sz="4" w:space="0" w:color="auto"/>
            </w:tcBorders>
            <w:vAlign w:val="center"/>
          </w:tcPr>
          <w:p w14:paraId="22F95A82" w14:textId="77777777" w:rsidR="00D232C4" w:rsidRPr="00CB1AEB" w:rsidRDefault="00D232C4" w:rsidP="00CB1AEB">
            <w:pPr>
              <w:spacing w:before="40" w:after="40"/>
              <w:jc w:val="center"/>
              <w:rPr>
                <w:b/>
                <w:sz w:val="20"/>
                <w:szCs w:val="20"/>
              </w:rPr>
            </w:pPr>
            <w:r w:rsidRPr="00CB1AEB">
              <w:rPr>
                <w:b/>
                <w:sz w:val="20"/>
                <w:szCs w:val="20"/>
              </w:rPr>
              <w:t>D</w:t>
            </w:r>
          </w:p>
        </w:tc>
        <w:tc>
          <w:tcPr>
            <w:tcW w:w="924" w:type="dxa"/>
            <w:tcBorders>
              <w:top w:val="double" w:sz="4" w:space="0" w:color="auto"/>
              <w:bottom w:val="double" w:sz="4" w:space="0" w:color="auto"/>
            </w:tcBorders>
            <w:vAlign w:val="center"/>
          </w:tcPr>
          <w:p w14:paraId="5312026B" w14:textId="77777777" w:rsidR="00D232C4" w:rsidRPr="00CB1AEB" w:rsidRDefault="00D232C4" w:rsidP="00CB1AEB">
            <w:pPr>
              <w:spacing w:before="40" w:after="40"/>
              <w:jc w:val="center"/>
              <w:rPr>
                <w:b/>
                <w:sz w:val="20"/>
                <w:szCs w:val="20"/>
              </w:rPr>
            </w:pPr>
            <w:r w:rsidRPr="00CB1AEB">
              <w:rPr>
                <w:b/>
                <w:sz w:val="20"/>
                <w:szCs w:val="20"/>
              </w:rPr>
              <w:t>C</w:t>
            </w:r>
          </w:p>
        </w:tc>
        <w:tc>
          <w:tcPr>
            <w:tcW w:w="3911" w:type="dxa"/>
            <w:tcBorders>
              <w:top w:val="double" w:sz="4" w:space="0" w:color="auto"/>
              <w:bottom w:val="double" w:sz="4" w:space="0" w:color="auto"/>
            </w:tcBorders>
            <w:vAlign w:val="center"/>
          </w:tcPr>
          <w:p w14:paraId="43D50100" w14:textId="77777777" w:rsidR="00D232C4" w:rsidRPr="00CB1AEB" w:rsidRDefault="00D232C4" w:rsidP="00D232C4">
            <w:pPr>
              <w:spacing w:before="40" w:after="40"/>
              <w:rPr>
                <w:b/>
                <w:bCs/>
                <w:sz w:val="20"/>
                <w:szCs w:val="20"/>
              </w:rPr>
            </w:pPr>
          </w:p>
          <w:p w14:paraId="5D943A6F" w14:textId="1AD6D64A" w:rsidR="00D232C4" w:rsidRPr="00CB1AEB" w:rsidRDefault="00D232C4" w:rsidP="00CC045E">
            <w:pPr>
              <w:spacing w:before="40" w:after="40"/>
              <w:rPr>
                <w:sz w:val="20"/>
                <w:szCs w:val="20"/>
              </w:rPr>
            </w:pPr>
            <w:r w:rsidRPr="00CB1AEB">
              <w:rPr>
                <w:b/>
                <w:bCs/>
                <w:sz w:val="20"/>
                <w:szCs w:val="20"/>
              </w:rPr>
              <w:t>Performance improved</w:t>
            </w:r>
            <w:r w:rsidRPr="00CB1AEB">
              <w:rPr>
                <w:sz w:val="20"/>
                <w:szCs w:val="20"/>
              </w:rPr>
              <w:t xml:space="preserve">. The UACS was </w:t>
            </w:r>
            <w:r w:rsidR="00CC045E">
              <w:rPr>
                <w:sz w:val="20"/>
                <w:szCs w:val="20"/>
              </w:rPr>
              <w:t>adopt</w:t>
            </w:r>
            <w:r w:rsidRPr="00CB1AEB">
              <w:rPr>
                <w:sz w:val="20"/>
                <w:szCs w:val="20"/>
              </w:rPr>
              <w:t xml:space="preserve">ed in 2014 for budget preparation, execution, and </w:t>
            </w:r>
            <w:r w:rsidR="00CC045E">
              <w:rPr>
                <w:sz w:val="20"/>
                <w:szCs w:val="20"/>
              </w:rPr>
              <w:t>reporting</w:t>
            </w:r>
            <w:r w:rsidRPr="00CB1AEB">
              <w:rPr>
                <w:sz w:val="20"/>
                <w:szCs w:val="20"/>
              </w:rPr>
              <w:t>. UACS applies the GFS administrative and economic classification.</w:t>
            </w:r>
            <w:r w:rsidR="00CC045E">
              <w:rPr>
                <w:sz w:val="20"/>
                <w:szCs w:val="20"/>
              </w:rPr>
              <w:t xml:space="preserve"> Roll-out to execution is still underway.</w:t>
            </w:r>
          </w:p>
        </w:tc>
      </w:tr>
      <w:tr w:rsidR="00D232C4" w:rsidRPr="005A497D" w14:paraId="74C01A79" w14:textId="77777777" w:rsidTr="00CB1AEB">
        <w:tc>
          <w:tcPr>
            <w:tcW w:w="3597" w:type="dxa"/>
            <w:tcBorders>
              <w:top w:val="double" w:sz="4" w:space="0" w:color="auto"/>
              <w:bottom w:val="double" w:sz="4" w:space="0" w:color="auto"/>
            </w:tcBorders>
            <w:vAlign w:val="center"/>
          </w:tcPr>
          <w:p w14:paraId="064D3170" w14:textId="77777777" w:rsidR="00D232C4" w:rsidRPr="00CB1AEB" w:rsidRDefault="00D232C4" w:rsidP="00D232C4">
            <w:pPr>
              <w:spacing w:before="40" w:after="40"/>
              <w:rPr>
                <w:sz w:val="20"/>
                <w:szCs w:val="20"/>
              </w:rPr>
            </w:pPr>
            <w:r w:rsidRPr="00CB1AEB">
              <w:rPr>
                <w:b/>
                <w:sz w:val="20"/>
                <w:szCs w:val="20"/>
              </w:rPr>
              <w:t>PI-6</w:t>
            </w:r>
            <w:r w:rsidRPr="00CB1AEB">
              <w:rPr>
                <w:sz w:val="20"/>
                <w:szCs w:val="20"/>
              </w:rPr>
              <w:t xml:space="preserve"> </w:t>
            </w:r>
            <w:r w:rsidRPr="00CB1AEB">
              <w:rPr>
                <w:b/>
                <w:sz w:val="20"/>
                <w:szCs w:val="20"/>
              </w:rPr>
              <w:t>Comprehensiveness of information included in budget documentation</w:t>
            </w:r>
          </w:p>
          <w:p w14:paraId="5A6E4F88" w14:textId="77777777" w:rsidR="00D232C4" w:rsidRPr="00CB1AEB" w:rsidRDefault="00D232C4" w:rsidP="00D232C4">
            <w:pPr>
              <w:spacing w:before="40" w:after="40"/>
              <w:rPr>
                <w:sz w:val="20"/>
                <w:szCs w:val="20"/>
              </w:rPr>
            </w:pPr>
            <w:r w:rsidRPr="00CB1AEB">
              <w:rPr>
                <w:sz w:val="20"/>
                <w:szCs w:val="20"/>
              </w:rPr>
              <w:t>(i) Share of the above listed information in the budget documentation most recently issued by the central government (in order to count in the assessment, the full specification of the information benchmark must be met).</w:t>
            </w:r>
          </w:p>
        </w:tc>
        <w:tc>
          <w:tcPr>
            <w:tcW w:w="924" w:type="dxa"/>
            <w:tcBorders>
              <w:top w:val="double" w:sz="4" w:space="0" w:color="auto"/>
              <w:bottom w:val="double" w:sz="4" w:space="0" w:color="auto"/>
            </w:tcBorders>
            <w:vAlign w:val="center"/>
          </w:tcPr>
          <w:p w14:paraId="54EDF6F0" w14:textId="77777777" w:rsidR="00D232C4" w:rsidRPr="00CB1AEB" w:rsidRDefault="00D232C4" w:rsidP="00CB1AEB">
            <w:pPr>
              <w:spacing w:before="40" w:after="40"/>
              <w:jc w:val="center"/>
              <w:rPr>
                <w:b/>
                <w:sz w:val="20"/>
                <w:szCs w:val="20"/>
              </w:rPr>
            </w:pPr>
            <w:r w:rsidRPr="00CB1AEB">
              <w:rPr>
                <w:b/>
                <w:sz w:val="20"/>
                <w:szCs w:val="20"/>
              </w:rPr>
              <w:t>B</w:t>
            </w:r>
          </w:p>
        </w:tc>
        <w:tc>
          <w:tcPr>
            <w:tcW w:w="924" w:type="dxa"/>
            <w:tcBorders>
              <w:top w:val="double" w:sz="4" w:space="0" w:color="auto"/>
              <w:bottom w:val="double" w:sz="4" w:space="0" w:color="auto"/>
            </w:tcBorders>
            <w:vAlign w:val="center"/>
          </w:tcPr>
          <w:p w14:paraId="4827298E" w14:textId="77777777" w:rsidR="00D232C4" w:rsidRPr="00CB1AEB" w:rsidRDefault="00D232C4" w:rsidP="00CB1AEB">
            <w:pPr>
              <w:spacing w:before="40" w:after="40"/>
              <w:jc w:val="center"/>
              <w:rPr>
                <w:b/>
                <w:sz w:val="20"/>
                <w:szCs w:val="20"/>
              </w:rPr>
            </w:pPr>
            <w:r w:rsidRPr="00CB1AEB">
              <w:rPr>
                <w:b/>
                <w:sz w:val="20"/>
                <w:szCs w:val="20"/>
              </w:rPr>
              <w:t>A</w:t>
            </w:r>
          </w:p>
        </w:tc>
        <w:tc>
          <w:tcPr>
            <w:tcW w:w="3911" w:type="dxa"/>
            <w:tcBorders>
              <w:top w:val="double" w:sz="4" w:space="0" w:color="auto"/>
              <w:bottom w:val="double" w:sz="4" w:space="0" w:color="auto"/>
            </w:tcBorders>
            <w:vAlign w:val="center"/>
          </w:tcPr>
          <w:p w14:paraId="01B0BFF0" w14:textId="5302679F" w:rsidR="00D232C4" w:rsidRPr="00CB1AEB" w:rsidRDefault="00D232C4" w:rsidP="00D232C4">
            <w:pPr>
              <w:spacing w:before="40" w:after="40"/>
              <w:rPr>
                <w:sz w:val="20"/>
                <w:szCs w:val="20"/>
              </w:rPr>
            </w:pPr>
            <w:r w:rsidRPr="00CB1AEB">
              <w:rPr>
                <w:b/>
                <w:bCs/>
                <w:sz w:val="20"/>
                <w:szCs w:val="20"/>
              </w:rPr>
              <w:t xml:space="preserve">Performance improved. </w:t>
            </w:r>
            <w:r w:rsidRPr="00CB1AEB">
              <w:rPr>
                <w:sz w:val="20"/>
                <w:szCs w:val="20"/>
              </w:rPr>
              <w:t>The 2016 budget documentation fulfills seven of nine information benchmarks.</w:t>
            </w:r>
            <w:r w:rsidR="00CC045E">
              <w:rPr>
                <w:sz w:val="20"/>
                <w:szCs w:val="20"/>
              </w:rPr>
              <w:t xml:space="preserve"> Details of financial assets and summarized data as per main heads of classification are not present.</w:t>
            </w:r>
          </w:p>
        </w:tc>
      </w:tr>
      <w:tr w:rsidR="00D232C4" w:rsidRPr="005A497D" w14:paraId="41961261" w14:textId="77777777" w:rsidTr="00CB1AEB">
        <w:tc>
          <w:tcPr>
            <w:tcW w:w="3597" w:type="dxa"/>
            <w:tcBorders>
              <w:top w:val="double" w:sz="4" w:space="0" w:color="auto"/>
              <w:bottom w:val="single" w:sz="4" w:space="0" w:color="auto"/>
            </w:tcBorders>
            <w:vAlign w:val="center"/>
          </w:tcPr>
          <w:p w14:paraId="08C48E52" w14:textId="77777777" w:rsidR="00D232C4" w:rsidRPr="00CB1AEB" w:rsidRDefault="00D232C4" w:rsidP="00D232C4">
            <w:pPr>
              <w:spacing w:before="40" w:after="40"/>
              <w:rPr>
                <w:sz w:val="20"/>
                <w:szCs w:val="20"/>
              </w:rPr>
            </w:pPr>
            <w:r w:rsidRPr="00CB1AEB">
              <w:rPr>
                <w:b/>
                <w:sz w:val="20"/>
                <w:szCs w:val="20"/>
              </w:rPr>
              <w:t>PI-7 Extent of unreported government operations</w:t>
            </w:r>
          </w:p>
        </w:tc>
        <w:tc>
          <w:tcPr>
            <w:tcW w:w="924" w:type="dxa"/>
            <w:tcBorders>
              <w:top w:val="double" w:sz="4" w:space="0" w:color="auto"/>
              <w:bottom w:val="single" w:sz="4" w:space="0" w:color="auto"/>
            </w:tcBorders>
            <w:vAlign w:val="center"/>
          </w:tcPr>
          <w:p w14:paraId="77949BA7" w14:textId="77777777" w:rsidR="00D232C4" w:rsidRPr="00CB1AEB" w:rsidRDefault="00D232C4" w:rsidP="00CB1AEB">
            <w:pPr>
              <w:spacing w:before="40" w:after="40"/>
              <w:jc w:val="center"/>
              <w:rPr>
                <w:b/>
                <w:sz w:val="20"/>
                <w:szCs w:val="20"/>
              </w:rPr>
            </w:pPr>
            <w:r w:rsidRPr="00CB1AEB">
              <w:rPr>
                <w:b/>
                <w:sz w:val="20"/>
                <w:szCs w:val="20"/>
              </w:rPr>
              <w:t>A</w:t>
            </w:r>
          </w:p>
        </w:tc>
        <w:tc>
          <w:tcPr>
            <w:tcW w:w="924" w:type="dxa"/>
            <w:tcBorders>
              <w:top w:val="double" w:sz="4" w:space="0" w:color="auto"/>
              <w:bottom w:val="single" w:sz="4" w:space="0" w:color="auto"/>
            </w:tcBorders>
            <w:vAlign w:val="center"/>
          </w:tcPr>
          <w:p w14:paraId="1B245AE5" w14:textId="77777777" w:rsidR="00D232C4" w:rsidRPr="00CB1AEB" w:rsidRDefault="00D232C4" w:rsidP="00CB1AEB">
            <w:pPr>
              <w:spacing w:before="40" w:after="40"/>
              <w:jc w:val="center"/>
              <w:rPr>
                <w:b/>
                <w:sz w:val="20"/>
                <w:szCs w:val="20"/>
              </w:rPr>
            </w:pPr>
            <w:r w:rsidRPr="00CB1AEB">
              <w:rPr>
                <w:b/>
                <w:sz w:val="20"/>
                <w:szCs w:val="20"/>
              </w:rPr>
              <w:t>A</w:t>
            </w:r>
          </w:p>
        </w:tc>
        <w:tc>
          <w:tcPr>
            <w:tcW w:w="3911" w:type="dxa"/>
            <w:tcBorders>
              <w:top w:val="double" w:sz="4" w:space="0" w:color="auto"/>
              <w:bottom w:val="single" w:sz="4" w:space="0" w:color="auto"/>
            </w:tcBorders>
            <w:vAlign w:val="center"/>
          </w:tcPr>
          <w:p w14:paraId="5CBFB52B" w14:textId="77777777" w:rsidR="00D232C4" w:rsidRPr="00CB1AEB" w:rsidRDefault="00D232C4" w:rsidP="00D232C4">
            <w:pPr>
              <w:spacing w:before="40" w:after="40"/>
              <w:rPr>
                <w:sz w:val="20"/>
                <w:szCs w:val="20"/>
              </w:rPr>
            </w:pPr>
            <w:r w:rsidRPr="00CB1AEB">
              <w:rPr>
                <w:b/>
                <w:sz w:val="20"/>
                <w:szCs w:val="20"/>
              </w:rPr>
              <w:t>Overall rating based on M1 methodology.</w:t>
            </w:r>
          </w:p>
        </w:tc>
      </w:tr>
      <w:tr w:rsidR="00D232C4" w:rsidRPr="005A497D" w14:paraId="0C2ECBDC" w14:textId="77777777" w:rsidTr="00CB1AEB">
        <w:tc>
          <w:tcPr>
            <w:tcW w:w="3597" w:type="dxa"/>
            <w:tcBorders>
              <w:top w:val="single" w:sz="4" w:space="0" w:color="auto"/>
              <w:bottom w:val="single" w:sz="4" w:space="0" w:color="auto"/>
            </w:tcBorders>
            <w:vAlign w:val="center"/>
          </w:tcPr>
          <w:p w14:paraId="354BF253" w14:textId="77777777" w:rsidR="00D232C4" w:rsidRPr="00CB1AEB" w:rsidRDefault="00D232C4" w:rsidP="00D232C4">
            <w:pPr>
              <w:spacing w:before="40" w:after="40"/>
              <w:rPr>
                <w:sz w:val="20"/>
                <w:szCs w:val="20"/>
              </w:rPr>
            </w:pPr>
            <w:r w:rsidRPr="00CB1AEB">
              <w:rPr>
                <w:sz w:val="20"/>
                <w:szCs w:val="20"/>
              </w:rPr>
              <w:t>(i) The level of extra-budgetary expenditure which is unreported i.e. not included in fiscal reports</w:t>
            </w:r>
          </w:p>
        </w:tc>
        <w:tc>
          <w:tcPr>
            <w:tcW w:w="924" w:type="dxa"/>
            <w:tcBorders>
              <w:top w:val="single" w:sz="4" w:space="0" w:color="auto"/>
              <w:bottom w:val="single" w:sz="4" w:space="0" w:color="auto"/>
            </w:tcBorders>
            <w:vAlign w:val="center"/>
          </w:tcPr>
          <w:p w14:paraId="3D9C20E3" w14:textId="77777777" w:rsidR="00D232C4" w:rsidRPr="00CB1AEB" w:rsidRDefault="00D232C4" w:rsidP="00CB1AEB">
            <w:pPr>
              <w:spacing w:before="40" w:after="40"/>
              <w:jc w:val="center"/>
              <w:rPr>
                <w:sz w:val="20"/>
                <w:szCs w:val="20"/>
              </w:rPr>
            </w:pPr>
            <w:r w:rsidRPr="00CB1AEB">
              <w:rPr>
                <w:sz w:val="20"/>
                <w:szCs w:val="20"/>
              </w:rPr>
              <w:t>A</w:t>
            </w:r>
          </w:p>
        </w:tc>
        <w:tc>
          <w:tcPr>
            <w:tcW w:w="924" w:type="dxa"/>
            <w:tcBorders>
              <w:top w:val="single" w:sz="4" w:space="0" w:color="auto"/>
              <w:bottom w:val="single" w:sz="4" w:space="0" w:color="auto"/>
            </w:tcBorders>
            <w:vAlign w:val="center"/>
          </w:tcPr>
          <w:p w14:paraId="29A669ED"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703A6B2F" w14:textId="1ECD5A19" w:rsidR="00D232C4" w:rsidRPr="00CB1AEB" w:rsidRDefault="00D232C4" w:rsidP="0003587B">
            <w:pPr>
              <w:spacing w:before="40" w:after="40"/>
              <w:rPr>
                <w:sz w:val="20"/>
                <w:szCs w:val="20"/>
              </w:rPr>
            </w:pPr>
            <w:r w:rsidRPr="00CB1AEB">
              <w:rPr>
                <w:b/>
                <w:sz w:val="20"/>
                <w:szCs w:val="20"/>
              </w:rPr>
              <w:t>No change in the process</w:t>
            </w:r>
            <w:r w:rsidRPr="00CB1AEB">
              <w:rPr>
                <w:sz w:val="20"/>
                <w:szCs w:val="20"/>
              </w:rPr>
              <w:t xml:space="preserve">. Per interview, all the information, activities and operations of the department/bureau are reported and disclosed in the </w:t>
            </w:r>
            <w:r w:rsidR="00B20239">
              <w:rPr>
                <w:sz w:val="20"/>
                <w:szCs w:val="20"/>
              </w:rPr>
              <w:t>annual audit reports</w:t>
            </w:r>
            <w:r w:rsidRPr="00CB1AEB">
              <w:rPr>
                <w:sz w:val="20"/>
                <w:szCs w:val="20"/>
              </w:rPr>
              <w:t xml:space="preserve"> of the respective agencies.</w:t>
            </w:r>
          </w:p>
        </w:tc>
      </w:tr>
      <w:tr w:rsidR="00D232C4" w:rsidRPr="005A497D" w14:paraId="108BB818" w14:textId="77777777" w:rsidTr="00CB1AEB">
        <w:tc>
          <w:tcPr>
            <w:tcW w:w="3597" w:type="dxa"/>
            <w:tcBorders>
              <w:top w:val="single" w:sz="4" w:space="0" w:color="auto"/>
              <w:bottom w:val="double" w:sz="4" w:space="0" w:color="auto"/>
            </w:tcBorders>
            <w:vAlign w:val="center"/>
          </w:tcPr>
          <w:p w14:paraId="7A4F6C0B" w14:textId="77777777" w:rsidR="00D232C4" w:rsidRPr="00CB1AEB" w:rsidRDefault="00D232C4" w:rsidP="00D232C4">
            <w:pPr>
              <w:spacing w:before="40" w:after="40"/>
              <w:rPr>
                <w:sz w:val="20"/>
                <w:szCs w:val="20"/>
              </w:rPr>
            </w:pPr>
            <w:r w:rsidRPr="00CB1AEB">
              <w:rPr>
                <w:sz w:val="20"/>
                <w:szCs w:val="20"/>
              </w:rPr>
              <w:t>(ii) Income/expenditure information on donor-funded projects which is included in fiscal reports.</w:t>
            </w:r>
          </w:p>
        </w:tc>
        <w:tc>
          <w:tcPr>
            <w:tcW w:w="924" w:type="dxa"/>
            <w:tcBorders>
              <w:top w:val="single" w:sz="4" w:space="0" w:color="auto"/>
              <w:bottom w:val="double" w:sz="4" w:space="0" w:color="auto"/>
            </w:tcBorders>
            <w:vAlign w:val="center"/>
          </w:tcPr>
          <w:p w14:paraId="53F0D9E1" w14:textId="77777777" w:rsidR="00D232C4" w:rsidRPr="00CB1AEB" w:rsidRDefault="00D232C4" w:rsidP="00CB1AEB">
            <w:pPr>
              <w:spacing w:before="40" w:after="40"/>
              <w:jc w:val="center"/>
              <w:rPr>
                <w:sz w:val="20"/>
                <w:szCs w:val="20"/>
              </w:rPr>
            </w:pPr>
            <w:r w:rsidRPr="00CB1AEB">
              <w:rPr>
                <w:sz w:val="20"/>
                <w:szCs w:val="20"/>
              </w:rPr>
              <w:t>A</w:t>
            </w:r>
          </w:p>
        </w:tc>
        <w:tc>
          <w:tcPr>
            <w:tcW w:w="924" w:type="dxa"/>
            <w:tcBorders>
              <w:top w:val="single" w:sz="4" w:space="0" w:color="auto"/>
              <w:bottom w:val="double" w:sz="4" w:space="0" w:color="auto"/>
            </w:tcBorders>
            <w:vAlign w:val="center"/>
          </w:tcPr>
          <w:p w14:paraId="59E37E8E"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double" w:sz="4" w:space="0" w:color="auto"/>
            </w:tcBorders>
            <w:vAlign w:val="center"/>
          </w:tcPr>
          <w:p w14:paraId="077AE40F" w14:textId="7F7E3A44" w:rsidR="00D232C4" w:rsidRPr="00CB1AEB" w:rsidRDefault="00D232C4" w:rsidP="00D232C4">
            <w:pPr>
              <w:spacing w:before="40" w:after="40"/>
              <w:rPr>
                <w:sz w:val="20"/>
                <w:szCs w:val="20"/>
              </w:rPr>
            </w:pPr>
            <w:r w:rsidRPr="00CB1AEB">
              <w:rPr>
                <w:b/>
                <w:sz w:val="20"/>
                <w:szCs w:val="20"/>
              </w:rPr>
              <w:t>No change in the process</w:t>
            </w:r>
            <w:r w:rsidRPr="00CB1AEB">
              <w:rPr>
                <w:sz w:val="20"/>
                <w:szCs w:val="20"/>
              </w:rPr>
              <w:t>. There is</w:t>
            </w:r>
            <w:r w:rsidR="00CC045E">
              <w:rPr>
                <w:sz w:val="20"/>
                <w:szCs w:val="20"/>
              </w:rPr>
              <w:t xml:space="preserve"> a separate annual audit report</w:t>
            </w:r>
            <w:r w:rsidRPr="00CB1AEB">
              <w:rPr>
                <w:sz w:val="20"/>
                <w:szCs w:val="20"/>
              </w:rPr>
              <w:t xml:space="preserve"> being undertaken by </w:t>
            </w:r>
            <w:r w:rsidR="009008FE">
              <w:rPr>
                <w:sz w:val="20"/>
                <w:szCs w:val="20"/>
              </w:rPr>
              <w:t>CoA</w:t>
            </w:r>
            <w:r w:rsidRPr="00CB1AEB">
              <w:rPr>
                <w:sz w:val="20"/>
                <w:szCs w:val="20"/>
              </w:rPr>
              <w:t xml:space="preserve"> for special projects financed by grants or donor-funding,</w:t>
            </w:r>
          </w:p>
        </w:tc>
      </w:tr>
      <w:tr w:rsidR="00D232C4" w:rsidRPr="005A497D" w14:paraId="352AE313" w14:textId="77777777" w:rsidTr="00CB1AEB">
        <w:tc>
          <w:tcPr>
            <w:tcW w:w="3597" w:type="dxa"/>
            <w:tcBorders>
              <w:top w:val="double" w:sz="4" w:space="0" w:color="auto"/>
              <w:bottom w:val="single" w:sz="4" w:space="0" w:color="auto"/>
            </w:tcBorders>
            <w:vAlign w:val="center"/>
          </w:tcPr>
          <w:p w14:paraId="5B221D60" w14:textId="77777777" w:rsidR="00D232C4" w:rsidRPr="00CB1AEB" w:rsidRDefault="00D232C4" w:rsidP="00D232C4">
            <w:pPr>
              <w:spacing w:before="40" w:after="40"/>
              <w:rPr>
                <w:sz w:val="20"/>
                <w:szCs w:val="20"/>
              </w:rPr>
            </w:pPr>
            <w:r w:rsidRPr="00CB1AEB">
              <w:rPr>
                <w:b/>
                <w:sz w:val="20"/>
                <w:szCs w:val="20"/>
              </w:rPr>
              <w:t>PI-8 Transparency of inter-governmental fiscal relations</w:t>
            </w:r>
          </w:p>
        </w:tc>
        <w:tc>
          <w:tcPr>
            <w:tcW w:w="924" w:type="dxa"/>
            <w:tcBorders>
              <w:top w:val="double" w:sz="4" w:space="0" w:color="auto"/>
              <w:bottom w:val="single" w:sz="4" w:space="0" w:color="auto"/>
            </w:tcBorders>
            <w:vAlign w:val="center"/>
          </w:tcPr>
          <w:p w14:paraId="46CDCF9B" w14:textId="77777777" w:rsidR="00D232C4" w:rsidRPr="00CB1AEB" w:rsidRDefault="00D232C4" w:rsidP="00CB1AEB">
            <w:pPr>
              <w:spacing w:before="40" w:after="40"/>
              <w:jc w:val="center"/>
              <w:rPr>
                <w:b/>
                <w:sz w:val="20"/>
                <w:szCs w:val="20"/>
              </w:rPr>
            </w:pPr>
            <w:r w:rsidRPr="00CB1AEB">
              <w:rPr>
                <w:b/>
                <w:sz w:val="20"/>
                <w:szCs w:val="20"/>
              </w:rPr>
              <w:t>B</w:t>
            </w:r>
          </w:p>
        </w:tc>
        <w:tc>
          <w:tcPr>
            <w:tcW w:w="924" w:type="dxa"/>
            <w:tcBorders>
              <w:top w:val="double" w:sz="4" w:space="0" w:color="auto"/>
              <w:bottom w:val="single" w:sz="4" w:space="0" w:color="auto"/>
            </w:tcBorders>
            <w:vAlign w:val="center"/>
          </w:tcPr>
          <w:p w14:paraId="60A23E14" w14:textId="77777777" w:rsidR="00D232C4" w:rsidRPr="00CB1AEB" w:rsidRDefault="00D232C4" w:rsidP="00CB1AEB">
            <w:pPr>
              <w:spacing w:before="40" w:after="40"/>
              <w:jc w:val="center"/>
              <w:rPr>
                <w:b/>
                <w:sz w:val="20"/>
                <w:szCs w:val="20"/>
              </w:rPr>
            </w:pPr>
            <w:r w:rsidRPr="00CB1AEB">
              <w:rPr>
                <w:b/>
                <w:sz w:val="20"/>
                <w:szCs w:val="20"/>
              </w:rPr>
              <w:t>A</w:t>
            </w:r>
          </w:p>
        </w:tc>
        <w:tc>
          <w:tcPr>
            <w:tcW w:w="3911" w:type="dxa"/>
            <w:tcBorders>
              <w:top w:val="double" w:sz="4" w:space="0" w:color="auto"/>
              <w:bottom w:val="single" w:sz="4" w:space="0" w:color="auto"/>
            </w:tcBorders>
            <w:vAlign w:val="center"/>
          </w:tcPr>
          <w:p w14:paraId="5E2E66CE" w14:textId="77777777" w:rsidR="00D232C4" w:rsidRPr="00CB1AEB" w:rsidRDefault="00D232C4" w:rsidP="00D232C4">
            <w:pPr>
              <w:spacing w:before="40" w:after="40"/>
              <w:rPr>
                <w:sz w:val="20"/>
                <w:szCs w:val="20"/>
              </w:rPr>
            </w:pPr>
            <w:r w:rsidRPr="00CB1AEB">
              <w:rPr>
                <w:b/>
                <w:bCs/>
                <w:sz w:val="20"/>
                <w:szCs w:val="20"/>
              </w:rPr>
              <w:t xml:space="preserve">Performance improved </w:t>
            </w:r>
            <w:r w:rsidRPr="00CB1AEB">
              <w:rPr>
                <w:bCs/>
                <w:sz w:val="20"/>
                <w:szCs w:val="20"/>
              </w:rPr>
              <w:t>under (iii)</w:t>
            </w:r>
            <w:r w:rsidRPr="00CB1AEB">
              <w:rPr>
                <w:b/>
                <w:bCs/>
                <w:sz w:val="20"/>
                <w:szCs w:val="20"/>
              </w:rPr>
              <w:t xml:space="preserve"> </w:t>
            </w:r>
            <w:r w:rsidRPr="00CB1AEB">
              <w:rPr>
                <w:bCs/>
                <w:sz w:val="20"/>
                <w:szCs w:val="20"/>
              </w:rPr>
              <w:t>as BLGF fiscal reporting coverage improved.</w:t>
            </w:r>
          </w:p>
        </w:tc>
      </w:tr>
      <w:tr w:rsidR="00D232C4" w:rsidRPr="005A497D" w14:paraId="25D7FCB5" w14:textId="77777777" w:rsidTr="00CB1AEB">
        <w:tc>
          <w:tcPr>
            <w:tcW w:w="3597" w:type="dxa"/>
            <w:tcBorders>
              <w:top w:val="single" w:sz="4" w:space="0" w:color="auto"/>
              <w:bottom w:val="single" w:sz="4" w:space="0" w:color="auto"/>
            </w:tcBorders>
            <w:vAlign w:val="center"/>
          </w:tcPr>
          <w:p w14:paraId="49561B81" w14:textId="77777777" w:rsidR="00D232C4" w:rsidRPr="00CB1AEB" w:rsidRDefault="00D232C4" w:rsidP="00D232C4">
            <w:pPr>
              <w:spacing w:before="40" w:after="40"/>
              <w:rPr>
                <w:sz w:val="20"/>
                <w:szCs w:val="20"/>
              </w:rPr>
            </w:pPr>
            <w:r w:rsidRPr="00CB1AEB">
              <w:rPr>
                <w:sz w:val="20"/>
                <w:szCs w:val="20"/>
              </w:rPr>
              <w:t>(i) Transparent and rules based systems in the horizontal allocation among SN governments of unconditional and conditional transfers from central government (both budgeted and actual allocations)</w:t>
            </w:r>
          </w:p>
        </w:tc>
        <w:tc>
          <w:tcPr>
            <w:tcW w:w="924" w:type="dxa"/>
            <w:tcBorders>
              <w:top w:val="single" w:sz="4" w:space="0" w:color="auto"/>
              <w:bottom w:val="single" w:sz="4" w:space="0" w:color="auto"/>
            </w:tcBorders>
            <w:vAlign w:val="center"/>
          </w:tcPr>
          <w:p w14:paraId="076A0845" w14:textId="77777777" w:rsidR="00D232C4" w:rsidRPr="00CB1AEB" w:rsidRDefault="00D232C4" w:rsidP="00CB1AEB">
            <w:pPr>
              <w:spacing w:before="40" w:after="40"/>
              <w:jc w:val="center"/>
              <w:rPr>
                <w:sz w:val="20"/>
                <w:szCs w:val="20"/>
              </w:rPr>
            </w:pPr>
            <w:r w:rsidRPr="00CB1AEB">
              <w:rPr>
                <w:sz w:val="20"/>
                <w:szCs w:val="20"/>
              </w:rPr>
              <w:t>A</w:t>
            </w:r>
          </w:p>
        </w:tc>
        <w:tc>
          <w:tcPr>
            <w:tcW w:w="924" w:type="dxa"/>
            <w:tcBorders>
              <w:top w:val="single" w:sz="4" w:space="0" w:color="auto"/>
              <w:bottom w:val="single" w:sz="4" w:space="0" w:color="auto"/>
            </w:tcBorders>
            <w:vAlign w:val="center"/>
          </w:tcPr>
          <w:p w14:paraId="09CC01D5"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726EF5C8" w14:textId="14BA33E5" w:rsidR="00D232C4" w:rsidRPr="00CB1AEB" w:rsidRDefault="00D232C4" w:rsidP="00D232C4">
            <w:pPr>
              <w:spacing w:before="40" w:after="40"/>
              <w:rPr>
                <w:sz w:val="20"/>
                <w:szCs w:val="20"/>
              </w:rPr>
            </w:pPr>
            <w:r w:rsidRPr="00CB1AEB">
              <w:rPr>
                <w:b/>
                <w:bCs/>
                <w:sz w:val="20"/>
                <w:szCs w:val="20"/>
              </w:rPr>
              <w:t>Performance unchanged</w:t>
            </w:r>
            <w:r w:rsidRPr="00CB1AEB">
              <w:rPr>
                <w:sz w:val="20"/>
                <w:szCs w:val="20"/>
              </w:rPr>
              <w:t>.</w:t>
            </w:r>
            <w:r w:rsidR="00CC045E">
              <w:rPr>
                <w:sz w:val="20"/>
                <w:szCs w:val="20"/>
              </w:rPr>
              <w:t xml:space="preserve"> System and process remains the same.</w:t>
            </w:r>
          </w:p>
        </w:tc>
      </w:tr>
      <w:tr w:rsidR="00D232C4" w:rsidRPr="005A497D" w14:paraId="77229BA3" w14:textId="77777777" w:rsidTr="00CB1AEB">
        <w:tc>
          <w:tcPr>
            <w:tcW w:w="3597" w:type="dxa"/>
            <w:tcBorders>
              <w:top w:val="single" w:sz="4" w:space="0" w:color="auto"/>
              <w:bottom w:val="single" w:sz="4" w:space="0" w:color="auto"/>
            </w:tcBorders>
            <w:vAlign w:val="center"/>
          </w:tcPr>
          <w:p w14:paraId="6A0679C1" w14:textId="77777777" w:rsidR="00D232C4" w:rsidRPr="00CB1AEB" w:rsidRDefault="00D232C4" w:rsidP="00D232C4">
            <w:pPr>
              <w:spacing w:before="40" w:after="40"/>
              <w:rPr>
                <w:sz w:val="20"/>
                <w:szCs w:val="20"/>
              </w:rPr>
            </w:pPr>
            <w:r w:rsidRPr="00CB1AEB">
              <w:rPr>
                <w:sz w:val="20"/>
                <w:szCs w:val="20"/>
              </w:rPr>
              <w:t>(ii) Timeliness of reliable information to SN governments on their allocations from central government for the coming year</w:t>
            </w:r>
          </w:p>
        </w:tc>
        <w:tc>
          <w:tcPr>
            <w:tcW w:w="924" w:type="dxa"/>
            <w:tcBorders>
              <w:top w:val="single" w:sz="4" w:space="0" w:color="auto"/>
              <w:bottom w:val="single" w:sz="4" w:space="0" w:color="auto"/>
            </w:tcBorders>
            <w:vAlign w:val="center"/>
          </w:tcPr>
          <w:p w14:paraId="1579BE54" w14:textId="77777777" w:rsidR="00D232C4" w:rsidRPr="00CB1AEB" w:rsidRDefault="00D232C4" w:rsidP="00CB1AEB">
            <w:pPr>
              <w:spacing w:before="40" w:after="40"/>
              <w:jc w:val="center"/>
              <w:rPr>
                <w:sz w:val="20"/>
                <w:szCs w:val="20"/>
              </w:rPr>
            </w:pPr>
            <w:r w:rsidRPr="00CB1AEB">
              <w:rPr>
                <w:sz w:val="20"/>
                <w:szCs w:val="20"/>
              </w:rPr>
              <w:t>B</w:t>
            </w:r>
          </w:p>
        </w:tc>
        <w:tc>
          <w:tcPr>
            <w:tcW w:w="924" w:type="dxa"/>
            <w:tcBorders>
              <w:top w:val="single" w:sz="4" w:space="0" w:color="auto"/>
              <w:bottom w:val="single" w:sz="4" w:space="0" w:color="auto"/>
            </w:tcBorders>
            <w:vAlign w:val="center"/>
          </w:tcPr>
          <w:p w14:paraId="7A874E7D"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single" w:sz="4" w:space="0" w:color="auto"/>
            </w:tcBorders>
            <w:vAlign w:val="center"/>
          </w:tcPr>
          <w:p w14:paraId="33DB1788" w14:textId="77777777" w:rsidR="00D232C4" w:rsidRPr="00CB1AEB" w:rsidRDefault="00D232C4" w:rsidP="00D232C4">
            <w:pPr>
              <w:spacing w:before="40" w:after="40"/>
              <w:rPr>
                <w:sz w:val="20"/>
                <w:szCs w:val="20"/>
              </w:rPr>
            </w:pPr>
            <w:r w:rsidRPr="00CB1AEB">
              <w:rPr>
                <w:b/>
                <w:bCs/>
                <w:sz w:val="20"/>
                <w:szCs w:val="20"/>
              </w:rPr>
              <w:t xml:space="preserve">Performance unchanged. </w:t>
            </w:r>
            <w:r w:rsidRPr="00CB1AEB">
              <w:rPr>
                <w:bCs/>
                <w:sz w:val="20"/>
                <w:szCs w:val="20"/>
              </w:rPr>
              <w:t xml:space="preserve">The information on transfers </w:t>
            </w:r>
            <w:r w:rsidRPr="00CB1AEB">
              <w:rPr>
                <w:sz w:val="20"/>
                <w:szCs w:val="20"/>
              </w:rPr>
              <w:t>is regulated by DBM and the respective allocations are provided early.</w:t>
            </w:r>
          </w:p>
        </w:tc>
      </w:tr>
      <w:tr w:rsidR="00D232C4" w:rsidRPr="005A497D" w14:paraId="0FE4C300" w14:textId="77777777" w:rsidTr="00CB1AEB">
        <w:tc>
          <w:tcPr>
            <w:tcW w:w="3597" w:type="dxa"/>
            <w:tcBorders>
              <w:top w:val="single" w:sz="4" w:space="0" w:color="auto"/>
              <w:bottom w:val="double" w:sz="4" w:space="0" w:color="auto"/>
            </w:tcBorders>
            <w:vAlign w:val="center"/>
          </w:tcPr>
          <w:p w14:paraId="05B9B740" w14:textId="77777777" w:rsidR="00D232C4" w:rsidRPr="00CB1AEB" w:rsidRDefault="00D232C4" w:rsidP="00D232C4">
            <w:pPr>
              <w:spacing w:before="40" w:after="40"/>
              <w:rPr>
                <w:sz w:val="20"/>
                <w:szCs w:val="20"/>
              </w:rPr>
            </w:pPr>
            <w:r w:rsidRPr="00CB1AEB">
              <w:rPr>
                <w:sz w:val="20"/>
                <w:szCs w:val="20"/>
              </w:rPr>
              <w:t>(iii) Extent to which consolidated fiscal data is collected and reported for general government according to sectoral categories</w:t>
            </w:r>
          </w:p>
        </w:tc>
        <w:tc>
          <w:tcPr>
            <w:tcW w:w="924" w:type="dxa"/>
            <w:tcBorders>
              <w:top w:val="single" w:sz="4" w:space="0" w:color="auto"/>
              <w:bottom w:val="double" w:sz="4" w:space="0" w:color="auto"/>
            </w:tcBorders>
            <w:vAlign w:val="center"/>
          </w:tcPr>
          <w:p w14:paraId="40B7CF9E"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double" w:sz="4" w:space="0" w:color="auto"/>
            </w:tcBorders>
            <w:vAlign w:val="center"/>
          </w:tcPr>
          <w:p w14:paraId="66A4B12B"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double" w:sz="4" w:space="0" w:color="auto"/>
            </w:tcBorders>
            <w:vAlign w:val="center"/>
          </w:tcPr>
          <w:p w14:paraId="572DB77B" w14:textId="1FD2BDA6" w:rsidR="00D232C4" w:rsidRPr="00CB1AEB" w:rsidRDefault="00D232C4" w:rsidP="007E6541">
            <w:pPr>
              <w:spacing w:before="40" w:after="40"/>
              <w:rPr>
                <w:rFonts w:asciiTheme="majorHAnsi" w:eastAsiaTheme="majorEastAsia" w:hAnsiTheme="majorHAnsi" w:cstheme="majorBidi"/>
                <w:b/>
                <w:bCs/>
                <w:color w:val="404040" w:themeColor="text1" w:themeTint="BF"/>
                <w:sz w:val="20"/>
                <w:szCs w:val="20"/>
              </w:rPr>
            </w:pPr>
            <w:r w:rsidRPr="00CB1AEB">
              <w:rPr>
                <w:b/>
                <w:bCs/>
                <w:sz w:val="20"/>
                <w:szCs w:val="20"/>
              </w:rPr>
              <w:t>Performance improved.</w:t>
            </w:r>
            <w:r w:rsidR="00C908BE">
              <w:rPr>
                <w:sz w:val="20"/>
                <w:szCs w:val="20"/>
              </w:rPr>
              <w:t xml:space="preserve"> </w:t>
            </w:r>
            <w:r w:rsidR="00C908BE" w:rsidRPr="00AB3DDD">
              <w:rPr>
                <w:sz w:val="20"/>
                <w:szCs w:val="20"/>
              </w:rPr>
              <w:t>Annual audited reports of majority LGUs are issued and published by CoA within nine months of the year-end</w:t>
            </w:r>
          </w:p>
        </w:tc>
      </w:tr>
      <w:tr w:rsidR="00D232C4" w:rsidRPr="005A497D" w14:paraId="6B9CD6EF" w14:textId="77777777" w:rsidTr="00CB1AEB">
        <w:tc>
          <w:tcPr>
            <w:tcW w:w="3597" w:type="dxa"/>
            <w:tcBorders>
              <w:top w:val="double" w:sz="4" w:space="0" w:color="auto"/>
              <w:bottom w:val="single" w:sz="4" w:space="0" w:color="auto"/>
            </w:tcBorders>
            <w:vAlign w:val="center"/>
          </w:tcPr>
          <w:p w14:paraId="56199E41" w14:textId="77777777" w:rsidR="00D232C4" w:rsidRPr="00CB1AEB" w:rsidRDefault="00D232C4" w:rsidP="00D232C4">
            <w:pPr>
              <w:spacing w:before="40" w:after="40"/>
              <w:rPr>
                <w:sz w:val="20"/>
                <w:szCs w:val="20"/>
              </w:rPr>
            </w:pPr>
            <w:r w:rsidRPr="00CB1AEB">
              <w:rPr>
                <w:b/>
                <w:sz w:val="20"/>
                <w:szCs w:val="20"/>
              </w:rPr>
              <w:t>PI-9 Oversight of aggregate fiscal risk from other public sector entities</w:t>
            </w:r>
          </w:p>
        </w:tc>
        <w:tc>
          <w:tcPr>
            <w:tcW w:w="924" w:type="dxa"/>
            <w:tcBorders>
              <w:top w:val="double" w:sz="4" w:space="0" w:color="auto"/>
              <w:bottom w:val="single" w:sz="4" w:space="0" w:color="auto"/>
            </w:tcBorders>
            <w:vAlign w:val="center"/>
          </w:tcPr>
          <w:p w14:paraId="2FD919DA" w14:textId="77777777" w:rsidR="00D232C4" w:rsidRPr="00CB1AEB" w:rsidRDefault="00D232C4" w:rsidP="00CB1AEB">
            <w:pPr>
              <w:spacing w:before="40" w:after="40"/>
              <w:jc w:val="center"/>
              <w:rPr>
                <w:b/>
                <w:sz w:val="20"/>
                <w:szCs w:val="20"/>
              </w:rPr>
            </w:pPr>
            <w:r w:rsidRPr="00CB1AEB">
              <w:rPr>
                <w:b/>
                <w:sz w:val="20"/>
                <w:szCs w:val="20"/>
              </w:rPr>
              <w:t>C+</w:t>
            </w:r>
          </w:p>
        </w:tc>
        <w:tc>
          <w:tcPr>
            <w:tcW w:w="924" w:type="dxa"/>
            <w:tcBorders>
              <w:top w:val="double" w:sz="4" w:space="0" w:color="auto"/>
              <w:bottom w:val="single" w:sz="4" w:space="0" w:color="auto"/>
            </w:tcBorders>
            <w:vAlign w:val="center"/>
          </w:tcPr>
          <w:p w14:paraId="36C18BCD" w14:textId="77777777" w:rsidR="00D232C4" w:rsidRPr="00CB1AEB" w:rsidRDefault="00D232C4" w:rsidP="00CB1AEB">
            <w:pPr>
              <w:spacing w:before="40" w:after="40"/>
              <w:jc w:val="center"/>
              <w:rPr>
                <w:b/>
                <w:sz w:val="20"/>
                <w:szCs w:val="20"/>
              </w:rPr>
            </w:pPr>
            <w:r w:rsidRPr="00CB1AEB">
              <w:rPr>
                <w:b/>
                <w:sz w:val="20"/>
                <w:szCs w:val="20"/>
              </w:rPr>
              <w:t>B</w:t>
            </w:r>
          </w:p>
        </w:tc>
        <w:tc>
          <w:tcPr>
            <w:tcW w:w="3911" w:type="dxa"/>
            <w:tcBorders>
              <w:top w:val="double" w:sz="4" w:space="0" w:color="auto"/>
              <w:bottom w:val="single" w:sz="4" w:space="0" w:color="auto"/>
            </w:tcBorders>
            <w:vAlign w:val="center"/>
          </w:tcPr>
          <w:p w14:paraId="1713BF41" w14:textId="77777777" w:rsidR="00D232C4" w:rsidRPr="00CB1AEB" w:rsidRDefault="00D232C4" w:rsidP="00D232C4">
            <w:pPr>
              <w:spacing w:before="40" w:after="40"/>
              <w:rPr>
                <w:sz w:val="20"/>
                <w:szCs w:val="20"/>
              </w:rPr>
            </w:pPr>
            <w:r w:rsidRPr="00CB1AEB">
              <w:rPr>
                <w:b/>
                <w:bCs/>
                <w:sz w:val="20"/>
                <w:szCs w:val="20"/>
              </w:rPr>
              <w:t xml:space="preserve">Performance improved </w:t>
            </w:r>
            <w:r w:rsidRPr="00CB1AEB">
              <w:rPr>
                <w:bCs/>
                <w:sz w:val="20"/>
                <w:szCs w:val="20"/>
              </w:rPr>
              <w:t>in all dimensions.</w:t>
            </w:r>
          </w:p>
        </w:tc>
      </w:tr>
      <w:tr w:rsidR="00D232C4" w:rsidRPr="005A497D" w14:paraId="55638AA2" w14:textId="77777777" w:rsidTr="00CB1AEB">
        <w:tc>
          <w:tcPr>
            <w:tcW w:w="3597" w:type="dxa"/>
            <w:tcBorders>
              <w:top w:val="single" w:sz="4" w:space="0" w:color="auto"/>
              <w:bottom w:val="single" w:sz="4" w:space="0" w:color="auto"/>
            </w:tcBorders>
            <w:vAlign w:val="center"/>
          </w:tcPr>
          <w:p w14:paraId="7AEE831C" w14:textId="72C23F07" w:rsidR="00D232C4" w:rsidRPr="00CB1AEB" w:rsidRDefault="00D232C4" w:rsidP="000A274A">
            <w:pPr>
              <w:spacing w:before="40" w:after="40"/>
              <w:rPr>
                <w:sz w:val="20"/>
                <w:szCs w:val="20"/>
              </w:rPr>
            </w:pPr>
            <w:r w:rsidRPr="00CB1AEB">
              <w:rPr>
                <w:sz w:val="20"/>
                <w:szCs w:val="20"/>
              </w:rPr>
              <w:t>(i) Extent of c</w:t>
            </w:r>
            <w:r w:rsidR="000A274A">
              <w:rPr>
                <w:sz w:val="20"/>
                <w:szCs w:val="20"/>
              </w:rPr>
              <w:t xml:space="preserve">entral government monitoring of autonomous government agencies </w:t>
            </w:r>
            <w:r w:rsidRPr="00CB1AEB">
              <w:rPr>
                <w:sz w:val="20"/>
                <w:szCs w:val="20"/>
              </w:rPr>
              <w:t xml:space="preserve">and </w:t>
            </w:r>
            <w:r w:rsidR="000A274A">
              <w:rPr>
                <w:sz w:val="20"/>
                <w:szCs w:val="20"/>
              </w:rPr>
              <w:t xml:space="preserve">public </w:t>
            </w:r>
            <w:r w:rsidR="00C908BE">
              <w:rPr>
                <w:sz w:val="20"/>
                <w:szCs w:val="20"/>
              </w:rPr>
              <w:t>enterprise</w:t>
            </w:r>
          </w:p>
        </w:tc>
        <w:tc>
          <w:tcPr>
            <w:tcW w:w="924" w:type="dxa"/>
            <w:tcBorders>
              <w:top w:val="single" w:sz="4" w:space="0" w:color="auto"/>
              <w:bottom w:val="single" w:sz="4" w:space="0" w:color="auto"/>
            </w:tcBorders>
            <w:vAlign w:val="center"/>
          </w:tcPr>
          <w:p w14:paraId="2B28C5C7"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56383FD4"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single" w:sz="4" w:space="0" w:color="auto"/>
            </w:tcBorders>
            <w:vAlign w:val="center"/>
          </w:tcPr>
          <w:p w14:paraId="46F58E5E" w14:textId="1A1E209F" w:rsidR="00D232C4" w:rsidRPr="00CB1AEB" w:rsidRDefault="00D232C4" w:rsidP="00D232C4">
            <w:pPr>
              <w:spacing w:before="40" w:after="40"/>
              <w:rPr>
                <w:sz w:val="20"/>
                <w:szCs w:val="20"/>
              </w:rPr>
            </w:pPr>
            <w:r w:rsidRPr="00CB1AEB">
              <w:rPr>
                <w:b/>
                <w:bCs/>
                <w:sz w:val="20"/>
                <w:szCs w:val="20"/>
              </w:rPr>
              <w:t xml:space="preserve">Performance improved, GCG </w:t>
            </w:r>
            <w:r w:rsidRPr="00CB1AEB">
              <w:rPr>
                <w:sz w:val="20"/>
                <w:szCs w:val="20"/>
              </w:rPr>
              <w:t xml:space="preserve">conducts an annual performance review and published these data annually. The risk information is consolidated in the </w:t>
            </w:r>
            <w:r w:rsidR="00B97E18">
              <w:rPr>
                <w:sz w:val="20"/>
                <w:szCs w:val="20"/>
              </w:rPr>
              <w:t>Government</w:t>
            </w:r>
            <w:r w:rsidRPr="00CB1AEB">
              <w:rPr>
                <w:sz w:val="20"/>
                <w:szCs w:val="20"/>
              </w:rPr>
              <w:t>-wide Fiscal Risk Statement</w:t>
            </w:r>
            <w:r w:rsidR="00C908BE">
              <w:rPr>
                <w:sz w:val="20"/>
                <w:szCs w:val="20"/>
              </w:rPr>
              <w:t xml:space="preserve"> (FRS)</w:t>
            </w:r>
            <w:r w:rsidRPr="00CB1AEB">
              <w:rPr>
                <w:sz w:val="20"/>
                <w:szCs w:val="20"/>
              </w:rPr>
              <w:t xml:space="preserve">. </w:t>
            </w:r>
          </w:p>
        </w:tc>
      </w:tr>
      <w:tr w:rsidR="00D232C4" w:rsidRPr="005A497D" w14:paraId="58A4C02B" w14:textId="77777777" w:rsidTr="00CB1AEB">
        <w:tc>
          <w:tcPr>
            <w:tcW w:w="3597" w:type="dxa"/>
            <w:tcBorders>
              <w:top w:val="single" w:sz="4" w:space="0" w:color="auto"/>
              <w:bottom w:val="double" w:sz="4" w:space="0" w:color="auto"/>
            </w:tcBorders>
            <w:vAlign w:val="center"/>
          </w:tcPr>
          <w:p w14:paraId="66CA4490" w14:textId="77777777" w:rsidR="00D232C4" w:rsidRPr="00CB1AEB" w:rsidRDefault="00D232C4" w:rsidP="00D232C4">
            <w:pPr>
              <w:spacing w:before="40" w:after="40"/>
              <w:rPr>
                <w:sz w:val="20"/>
                <w:szCs w:val="20"/>
              </w:rPr>
            </w:pPr>
            <w:r w:rsidRPr="00CB1AEB">
              <w:rPr>
                <w:sz w:val="20"/>
                <w:szCs w:val="20"/>
              </w:rPr>
              <w:t>(ii) Extent of central government monitoring of SN governments‟ fiscal position</w:t>
            </w:r>
          </w:p>
        </w:tc>
        <w:tc>
          <w:tcPr>
            <w:tcW w:w="924" w:type="dxa"/>
            <w:tcBorders>
              <w:top w:val="single" w:sz="4" w:space="0" w:color="auto"/>
              <w:bottom w:val="double" w:sz="4" w:space="0" w:color="auto"/>
            </w:tcBorders>
            <w:vAlign w:val="center"/>
          </w:tcPr>
          <w:p w14:paraId="78B52EBD" w14:textId="77777777" w:rsidR="00D232C4" w:rsidRPr="00CB1AEB" w:rsidRDefault="00D232C4" w:rsidP="00CB1AEB">
            <w:pPr>
              <w:spacing w:before="40" w:after="40"/>
              <w:jc w:val="center"/>
              <w:rPr>
                <w:sz w:val="20"/>
                <w:szCs w:val="20"/>
              </w:rPr>
            </w:pPr>
            <w:r w:rsidRPr="00CB1AEB">
              <w:rPr>
                <w:sz w:val="20"/>
                <w:szCs w:val="20"/>
              </w:rPr>
              <w:t>B</w:t>
            </w:r>
          </w:p>
        </w:tc>
        <w:tc>
          <w:tcPr>
            <w:tcW w:w="924" w:type="dxa"/>
            <w:tcBorders>
              <w:top w:val="single" w:sz="4" w:space="0" w:color="auto"/>
              <w:bottom w:val="double" w:sz="4" w:space="0" w:color="auto"/>
            </w:tcBorders>
            <w:vAlign w:val="center"/>
          </w:tcPr>
          <w:p w14:paraId="59CEEE1D"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double" w:sz="4" w:space="0" w:color="auto"/>
            </w:tcBorders>
            <w:vAlign w:val="center"/>
          </w:tcPr>
          <w:p w14:paraId="7291A646" w14:textId="01FED818" w:rsidR="00D232C4" w:rsidRPr="00CB1AEB" w:rsidRDefault="00D232C4" w:rsidP="007E6541">
            <w:pPr>
              <w:spacing w:before="40" w:after="40"/>
              <w:rPr>
                <w:sz w:val="20"/>
                <w:szCs w:val="20"/>
              </w:rPr>
            </w:pPr>
            <w:r w:rsidRPr="00CB1AEB">
              <w:rPr>
                <w:b/>
                <w:bCs/>
                <w:sz w:val="20"/>
                <w:szCs w:val="20"/>
              </w:rPr>
              <w:t xml:space="preserve">Performance </w:t>
            </w:r>
            <w:r w:rsidR="00C908BE">
              <w:rPr>
                <w:b/>
                <w:bCs/>
                <w:sz w:val="20"/>
                <w:szCs w:val="20"/>
              </w:rPr>
              <w:t>unchang</w:t>
            </w:r>
            <w:r w:rsidR="00C908BE" w:rsidRPr="00CB1AEB">
              <w:rPr>
                <w:b/>
                <w:bCs/>
                <w:sz w:val="20"/>
                <w:szCs w:val="20"/>
              </w:rPr>
              <w:t>ed</w:t>
            </w:r>
            <w:r w:rsidRPr="00CB1AEB">
              <w:rPr>
                <w:sz w:val="20"/>
                <w:szCs w:val="20"/>
              </w:rPr>
              <w:t xml:space="preserve">, </w:t>
            </w:r>
            <w:r w:rsidR="00D615CB" w:rsidRPr="00CB1AEB">
              <w:rPr>
                <w:sz w:val="20"/>
                <w:szCs w:val="20"/>
              </w:rPr>
              <w:t>BLGF</w:t>
            </w:r>
            <w:r w:rsidRPr="00CB1AEB">
              <w:rPr>
                <w:sz w:val="20"/>
                <w:szCs w:val="20"/>
              </w:rPr>
              <w:t xml:space="preserve"> monitors the fiscal position and debt of the LGUs. The information collated by BLGF </w:t>
            </w:r>
            <w:r w:rsidR="00C908BE">
              <w:rPr>
                <w:sz w:val="20"/>
                <w:szCs w:val="20"/>
              </w:rPr>
              <w:t>for inclusion into the FRS.</w:t>
            </w:r>
          </w:p>
        </w:tc>
      </w:tr>
      <w:tr w:rsidR="00D232C4" w:rsidRPr="005A497D" w14:paraId="296B8816" w14:textId="77777777" w:rsidTr="00CB1AEB">
        <w:tc>
          <w:tcPr>
            <w:tcW w:w="3597" w:type="dxa"/>
            <w:tcBorders>
              <w:top w:val="double" w:sz="4" w:space="0" w:color="auto"/>
              <w:bottom w:val="double" w:sz="4" w:space="0" w:color="auto"/>
            </w:tcBorders>
            <w:vAlign w:val="center"/>
          </w:tcPr>
          <w:p w14:paraId="436D0B76" w14:textId="77777777" w:rsidR="00D232C4" w:rsidRPr="00CB1AEB" w:rsidRDefault="00D232C4" w:rsidP="00D232C4">
            <w:pPr>
              <w:spacing w:before="40" w:after="40"/>
              <w:rPr>
                <w:sz w:val="20"/>
                <w:szCs w:val="20"/>
              </w:rPr>
            </w:pPr>
            <w:r w:rsidRPr="00CB1AEB">
              <w:rPr>
                <w:b/>
                <w:sz w:val="20"/>
                <w:szCs w:val="20"/>
              </w:rPr>
              <w:t>PI-10 Public access to key fiscal information</w:t>
            </w:r>
          </w:p>
          <w:p w14:paraId="495D7F8A" w14:textId="77777777" w:rsidR="00D232C4" w:rsidRPr="00CB1AEB" w:rsidRDefault="00D232C4" w:rsidP="00D232C4">
            <w:pPr>
              <w:spacing w:before="40" w:after="40"/>
              <w:rPr>
                <w:sz w:val="20"/>
                <w:szCs w:val="20"/>
              </w:rPr>
            </w:pPr>
            <w:r w:rsidRPr="00CB1AEB">
              <w:rPr>
                <w:sz w:val="20"/>
                <w:szCs w:val="20"/>
              </w:rPr>
              <w:t>(i) Number of the above listed elements of public access to information that is fulfilled (in order to count in the assessment, the full specification of the information benchmark must be met).</w:t>
            </w:r>
          </w:p>
        </w:tc>
        <w:tc>
          <w:tcPr>
            <w:tcW w:w="924" w:type="dxa"/>
            <w:tcBorders>
              <w:top w:val="double" w:sz="4" w:space="0" w:color="auto"/>
              <w:bottom w:val="double" w:sz="4" w:space="0" w:color="auto"/>
            </w:tcBorders>
            <w:vAlign w:val="center"/>
          </w:tcPr>
          <w:p w14:paraId="22F2AA86" w14:textId="77777777" w:rsidR="00D232C4" w:rsidRPr="00CB1AEB" w:rsidRDefault="00D232C4" w:rsidP="00CB1AEB">
            <w:pPr>
              <w:spacing w:before="40" w:after="40"/>
              <w:jc w:val="center"/>
              <w:rPr>
                <w:b/>
                <w:sz w:val="20"/>
                <w:szCs w:val="20"/>
              </w:rPr>
            </w:pPr>
            <w:r w:rsidRPr="00CB1AEB">
              <w:rPr>
                <w:b/>
                <w:sz w:val="20"/>
                <w:szCs w:val="20"/>
              </w:rPr>
              <w:t>C</w:t>
            </w:r>
          </w:p>
        </w:tc>
        <w:tc>
          <w:tcPr>
            <w:tcW w:w="924" w:type="dxa"/>
            <w:tcBorders>
              <w:top w:val="double" w:sz="4" w:space="0" w:color="auto"/>
              <w:bottom w:val="double" w:sz="4" w:space="0" w:color="auto"/>
            </w:tcBorders>
            <w:vAlign w:val="center"/>
          </w:tcPr>
          <w:p w14:paraId="5284A4E7"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double" w:sz="4" w:space="0" w:color="auto"/>
              <w:bottom w:val="double" w:sz="4" w:space="0" w:color="auto"/>
            </w:tcBorders>
            <w:vAlign w:val="center"/>
          </w:tcPr>
          <w:p w14:paraId="571706C5" w14:textId="1DCAE0B6" w:rsidR="00D232C4" w:rsidRPr="00CB1AEB" w:rsidRDefault="00D232C4" w:rsidP="00C908BE">
            <w:pPr>
              <w:spacing w:before="40" w:after="40"/>
              <w:rPr>
                <w:sz w:val="20"/>
                <w:szCs w:val="20"/>
              </w:rPr>
            </w:pPr>
            <w:r w:rsidRPr="00CB1AEB">
              <w:rPr>
                <w:sz w:val="20"/>
                <w:szCs w:val="20"/>
              </w:rPr>
              <w:t xml:space="preserve">The government makes available </w:t>
            </w:r>
            <w:r w:rsidR="00C908BE">
              <w:rPr>
                <w:sz w:val="20"/>
                <w:szCs w:val="20"/>
              </w:rPr>
              <w:t xml:space="preserve">five of the </w:t>
            </w:r>
            <w:r w:rsidRPr="00CB1AEB">
              <w:rPr>
                <w:sz w:val="20"/>
                <w:szCs w:val="20"/>
              </w:rPr>
              <w:t xml:space="preserve">listed types of information. The </w:t>
            </w:r>
            <w:r w:rsidRPr="00CB1AEB">
              <w:rPr>
                <w:b/>
                <w:bCs/>
                <w:sz w:val="20"/>
                <w:szCs w:val="20"/>
              </w:rPr>
              <w:t xml:space="preserve">performance improved </w:t>
            </w:r>
            <w:r w:rsidRPr="00CB1AEB">
              <w:rPr>
                <w:bCs/>
                <w:sz w:val="20"/>
                <w:szCs w:val="20"/>
              </w:rPr>
              <w:t>as the government made several reforms to disclose public information.</w:t>
            </w:r>
          </w:p>
        </w:tc>
      </w:tr>
      <w:tr w:rsidR="00D232C4" w:rsidRPr="005A497D" w14:paraId="7B0CF4E5" w14:textId="77777777" w:rsidTr="00CB1AEB">
        <w:tc>
          <w:tcPr>
            <w:tcW w:w="3597" w:type="dxa"/>
            <w:tcBorders>
              <w:top w:val="double" w:sz="4" w:space="0" w:color="auto"/>
              <w:bottom w:val="single" w:sz="4" w:space="0" w:color="auto"/>
            </w:tcBorders>
            <w:vAlign w:val="center"/>
          </w:tcPr>
          <w:p w14:paraId="1D5089A3" w14:textId="77777777" w:rsidR="00D232C4" w:rsidRPr="00CB1AEB" w:rsidRDefault="00D232C4" w:rsidP="00D232C4">
            <w:pPr>
              <w:spacing w:before="40" w:after="40"/>
              <w:rPr>
                <w:sz w:val="20"/>
                <w:szCs w:val="20"/>
              </w:rPr>
            </w:pPr>
            <w:r w:rsidRPr="00CB1AEB">
              <w:rPr>
                <w:b/>
                <w:sz w:val="20"/>
                <w:szCs w:val="20"/>
              </w:rPr>
              <w:t>PI-11 Orderliness and participation in the annual budget process</w:t>
            </w:r>
          </w:p>
        </w:tc>
        <w:tc>
          <w:tcPr>
            <w:tcW w:w="924" w:type="dxa"/>
            <w:tcBorders>
              <w:top w:val="double" w:sz="4" w:space="0" w:color="auto"/>
              <w:bottom w:val="single" w:sz="4" w:space="0" w:color="auto"/>
            </w:tcBorders>
            <w:vAlign w:val="center"/>
          </w:tcPr>
          <w:p w14:paraId="35BCFD4B" w14:textId="77777777" w:rsidR="00D232C4" w:rsidRPr="00CB1AEB" w:rsidRDefault="00D232C4" w:rsidP="00CB1AEB">
            <w:pPr>
              <w:spacing w:before="40" w:after="40"/>
              <w:jc w:val="center"/>
              <w:rPr>
                <w:b/>
                <w:sz w:val="20"/>
                <w:szCs w:val="20"/>
              </w:rPr>
            </w:pPr>
            <w:r w:rsidRPr="00CB1AEB">
              <w:rPr>
                <w:b/>
                <w:sz w:val="20"/>
                <w:szCs w:val="20"/>
              </w:rPr>
              <w:t>B</w:t>
            </w:r>
          </w:p>
        </w:tc>
        <w:tc>
          <w:tcPr>
            <w:tcW w:w="924" w:type="dxa"/>
            <w:tcBorders>
              <w:top w:val="double" w:sz="4" w:space="0" w:color="auto"/>
              <w:bottom w:val="single" w:sz="4" w:space="0" w:color="auto"/>
            </w:tcBorders>
            <w:vAlign w:val="center"/>
          </w:tcPr>
          <w:p w14:paraId="2E4E003D" w14:textId="77777777" w:rsidR="00D232C4" w:rsidRPr="00CB1AEB" w:rsidRDefault="00D232C4" w:rsidP="00CB1AEB">
            <w:pPr>
              <w:spacing w:before="40" w:after="40"/>
              <w:jc w:val="center"/>
              <w:rPr>
                <w:b/>
                <w:sz w:val="20"/>
                <w:szCs w:val="20"/>
              </w:rPr>
            </w:pPr>
            <w:r w:rsidRPr="00CB1AEB">
              <w:rPr>
                <w:b/>
                <w:sz w:val="20"/>
                <w:szCs w:val="20"/>
              </w:rPr>
              <w:t>A</w:t>
            </w:r>
          </w:p>
        </w:tc>
        <w:tc>
          <w:tcPr>
            <w:tcW w:w="3911" w:type="dxa"/>
            <w:tcBorders>
              <w:top w:val="double" w:sz="4" w:space="0" w:color="auto"/>
              <w:bottom w:val="single" w:sz="4" w:space="0" w:color="auto"/>
            </w:tcBorders>
            <w:vAlign w:val="center"/>
          </w:tcPr>
          <w:p w14:paraId="4E7F0C70" w14:textId="77777777" w:rsidR="00D232C4" w:rsidRPr="00CB1AEB" w:rsidRDefault="00D232C4" w:rsidP="00D232C4">
            <w:pPr>
              <w:spacing w:before="40" w:after="40"/>
              <w:rPr>
                <w:sz w:val="20"/>
                <w:szCs w:val="20"/>
              </w:rPr>
            </w:pPr>
            <w:r w:rsidRPr="00CB1AEB">
              <w:rPr>
                <w:b/>
                <w:bCs/>
                <w:sz w:val="20"/>
                <w:szCs w:val="20"/>
              </w:rPr>
              <w:t>Performance improved</w:t>
            </w:r>
            <w:r w:rsidRPr="007E6541">
              <w:rPr>
                <w:bCs/>
                <w:sz w:val="20"/>
                <w:szCs w:val="20"/>
              </w:rPr>
              <w:t xml:space="preserve"> in all dimensions.</w:t>
            </w:r>
            <w:r w:rsidRPr="00CB1AEB">
              <w:rPr>
                <w:b/>
                <w:bCs/>
                <w:sz w:val="20"/>
                <w:szCs w:val="20"/>
              </w:rPr>
              <w:t xml:space="preserve"> </w:t>
            </w:r>
          </w:p>
        </w:tc>
      </w:tr>
      <w:tr w:rsidR="00D232C4" w:rsidRPr="005A497D" w14:paraId="460C9231" w14:textId="77777777" w:rsidTr="00CB1AEB">
        <w:tc>
          <w:tcPr>
            <w:tcW w:w="3597" w:type="dxa"/>
            <w:tcBorders>
              <w:top w:val="single" w:sz="4" w:space="0" w:color="auto"/>
              <w:bottom w:val="single" w:sz="4" w:space="0" w:color="auto"/>
            </w:tcBorders>
            <w:vAlign w:val="center"/>
          </w:tcPr>
          <w:p w14:paraId="3B1BF35F" w14:textId="77777777" w:rsidR="00D232C4" w:rsidRPr="00CB1AEB" w:rsidRDefault="00D232C4" w:rsidP="00D232C4">
            <w:pPr>
              <w:spacing w:before="40" w:after="40"/>
              <w:rPr>
                <w:sz w:val="20"/>
                <w:szCs w:val="20"/>
              </w:rPr>
            </w:pPr>
            <w:r w:rsidRPr="00CB1AEB">
              <w:rPr>
                <w:sz w:val="20"/>
                <w:szCs w:val="20"/>
              </w:rPr>
              <w:t>(i) Existence of and adherence to a fixed budget calendar</w:t>
            </w:r>
          </w:p>
        </w:tc>
        <w:tc>
          <w:tcPr>
            <w:tcW w:w="924" w:type="dxa"/>
            <w:tcBorders>
              <w:top w:val="single" w:sz="4" w:space="0" w:color="auto"/>
              <w:bottom w:val="single" w:sz="4" w:space="0" w:color="auto"/>
            </w:tcBorders>
            <w:vAlign w:val="center"/>
          </w:tcPr>
          <w:p w14:paraId="3A5458DB" w14:textId="77777777" w:rsidR="00D232C4" w:rsidRPr="00CB1AEB" w:rsidRDefault="00D232C4" w:rsidP="00CB1AEB">
            <w:pPr>
              <w:spacing w:before="40" w:after="40"/>
              <w:jc w:val="center"/>
              <w:rPr>
                <w:sz w:val="20"/>
                <w:szCs w:val="20"/>
              </w:rPr>
            </w:pPr>
            <w:r w:rsidRPr="00CB1AEB">
              <w:rPr>
                <w:sz w:val="20"/>
                <w:szCs w:val="20"/>
              </w:rPr>
              <w:t>B</w:t>
            </w:r>
          </w:p>
        </w:tc>
        <w:tc>
          <w:tcPr>
            <w:tcW w:w="924" w:type="dxa"/>
            <w:tcBorders>
              <w:top w:val="single" w:sz="4" w:space="0" w:color="auto"/>
              <w:bottom w:val="single" w:sz="4" w:space="0" w:color="auto"/>
            </w:tcBorders>
            <w:vAlign w:val="center"/>
          </w:tcPr>
          <w:p w14:paraId="50E19F20"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7AA27918" w14:textId="77777777" w:rsidR="00D232C4" w:rsidRPr="00CB1AEB" w:rsidRDefault="00D232C4" w:rsidP="00D232C4">
            <w:pPr>
              <w:spacing w:before="40" w:after="40"/>
              <w:rPr>
                <w:sz w:val="20"/>
                <w:szCs w:val="20"/>
              </w:rPr>
            </w:pPr>
            <w:r w:rsidRPr="00CB1AEB">
              <w:rPr>
                <w:sz w:val="20"/>
                <w:szCs w:val="20"/>
              </w:rPr>
              <w:t>A clear annual budget calendar exists, which allows NGAs more than 10 weeks to complete their detailed estimates on time</w:t>
            </w:r>
          </w:p>
        </w:tc>
      </w:tr>
      <w:tr w:rsidR="00D232C4" w:rsidRPr="005A497D" w14:paraId="4CEE61F0" w14:textId="77777777" w:rsidTr="00CB1AEB">
        <w:tc>
          <w:tcPr>
            <w:tcW w:w="3597" w:type="dxa"/>
            <w:tcBorders>
              <w:top w:val="single" w:sz="4" w:space="0" w:color="auto"/>
              <w:bottom w:val="single" w:sz="4" w:space="0" w:color="auto"/>
            </w:tcBorders>
            <w:vAlign w:val="center"/>
          </w:tcPr>
          <w:p w14:paraId="6B514108" w14:textId="77777777" w:rsidR="00D232C4" w:rsidRPr="00CB1AEB" w:rsidRDefault="00D232C4" w:rsidP="00D232C4">
            <w:pPr>
              <w:spacing w:before="40" w:after="40"/>
              <w:rPr>
                <w:sz w:val="20"/>
                <w:szCs w:val="20"/>
              </w:rPr>
            </w:pPr>
            <w:r w:rsidRPr="00CB1AEB">
              <w:rPr>
                <w:sz w:val="20"/>
                <w:szCs w:val="20"/>
              </w:rPr>
              <w:t>(ii) Clarity/comprehensiveness of and political involvement in the guidance on the preparation of budget submissions (budget circular or equivalent)</w:t>
            </w:r>
          </w:p>
        </w:tc>
        <w:tc>
          <w:tcPr>
            <w:tcW w:w="924" w:type="dxa"/>
            <w:tcBorders>
              <w:top w:val="single" w:sz="4" w:space="0" w:color="auto"/>
              <w:bottom w:val="single" w:sz="4" w:space="0" w:color="auto"/>
            </w:tcBorders>
            <w:vAlign w:val="center"/>
          </w:tcPr>
          <w:p w14:paraId="2738CAF1" w14:textId="77777777" w:rsidR="00D232C4" w:rsidRPr="00CB1AEB" w:rsidRDefault="00D232C4" w:rsidP="00CB1AEB">
            <w:pPr>
              <w:spacing w:before="40" w:after="40"/>
              <w:jc w:val="center"/>
              <w:rPr>
                <w:sz w:val="20"/>
                <w:szCs w:val="20"/>
              </w:rPr>
            </w:pPr>
            <w:r w:rsidRPr="00CB1AEB">
              <w:rPr>
                <w:sz w:val="20"/>
                <w:szCs w:val="20"/>
              </w:rPr>
              <w:t>A</w:t>
            </w:r>
          </w:p>
        </w:tc>
        <w:tc>
          <w:tcPr>
            <w:tcW w:w="924" w:type="dxa"/>
            <w:tcBorders>
              <w:top w:val="single" w:sz="4" w:space="0" w:color="auto"/>
              <w:bottom w:val="single" w:sz="4" w:space="0" w:color="auto"/>
            </w:tcBorders>
            <w:vAlign w:val="center"/>
          </w:tcPr>
          <w:p w14:paraId="48CE3CEB"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2B03D425" w14:textId="77777777" w:rsidR="00D232C4" w:rsidRPr="00CB1AEB" w:rsidRDefault="00D232C4" w:rsidP="00D615CB">
            <w:pPr>
              <w:spacing w:before="40" w:after="40"/>
              <w:rPr>
                <w:sz w:val="20"/>
                <w:szCs w:val="20"/>
              </w:rPr>
            </w:pPr>
            <w:r w:rsidRPr="00CB1AEB">
              <w:rPr>
                <w:sz w:val="20"/>
                <w:szCs w:val="20"/>
              </w:rPr>
              <w:t>National Budget Memoranda are clear and very comprehensive. These also include the approved “hard” budget ceilings per department and agency.</w:t>
            </w:r>
          </w:p>
        </w:tc>
      </w:tr>
      <w:tr w:rsidR="00D232C4" w:rsidRPr="005A497D" w14:paraId="3977F9AB" w14:textId="77777777" w:rsidTr="00CB1AEB">
        <w:tc>
          <w:tcPr>
            <w:tcW w:w="3597" w:type="dxa"/>
            <w:tcBorders>
              <w:top w:val="single" w:sz="4" w:space="0" w:color="auto"/>
              <w:bottom w:val="double" w:sz="4" w:space="0" w:color="auto"/>
            </w:tcBorders>
            <w:vAlign w:val="center"/>
          </w:tcPr>
          <w:p w14:paraId="70300D80" w14:textId="77777777" w:rsidR="00D232C4" w:rsidRPr="00CB1AEB" w:rsidRDefault="00D232C4" w:rsidP="00D232C4">
            <w:pPr>
              <w:spacing w:before="40" w:after="40"/>
              <w:rPr>
                <w:sz w:val="20"/>
                <w:szCs w:val="20"/>
              </w:rPr>
            </w:pPr>
            <w:r w:rsidRPr="00CB1AEB">
              <w:rPr>
                <w:sz w:val="20"/>
                <w:szCs w:val="20"/>
              </w:rPr>
              <w:t>(iii) Timely budget approval by the legislature or similarly mandated body (within the last three years)</w:t>
            </w:r>
          </w:p>
        </w:tc>
        <w:tc>
          <w:tcPr>
            <w:tcW w:w="924" w:type="dxa"/>
            <w:tcBorders>
              <w:top w:val="single" w:sz="4" w:space="0" w:color="auto"/>
              <w:bottom w:val="double" w:sz="4" w:space="0" w:color="auto"/>
            </w:tcBorders>
            <w:vAlign w:val="center"/>
          </w:tcPr>
          <w:p w14:paraId="7E82D51E" w14:textId="77777777" w:rsidR="00D232C4" w:rsidRPr="00CB1AEB" w:rsidRDefault="00D232C4" w:rsidP="00CB1AEB">
            <w:pPr>
              <w:spacing w:before="40" w:after="40"/>
              <w:jc w:val="center"/>
              <w:rPr>
                <w:sz w:val="20"/>
                <w:szCs w:val="20"/>
              </w:rPr>
            </w:pPr>
            <w:r w:rsidRPr="00CB1AEB">
              <w:rPr>
                <w:sz w:val="20"/>
                <w:szCs w:val="20"/>
              </w:rPr>
              <w:t>D</w:t>
            </w:r>
          </w:p>
        </w:tc>
        <w:tc>
          <w:tcPr>
            <w:tcW w:w="924" w:type="dxa"/>
            <w:tcBorders>
              <w:top w:val="single" w:sz="4" w:space="0" w:color="auto"/>
              <w:bottom w:val="double" w:sz="4" w:space="0" w:color="auto"/>
            </w:tcBorders>
            <w:vAlign w:val="center"/>
          </w:tcPr>
          <w:p w14:paraId="7C36D635"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double" w:sz="4" w:space="0" w:color="auto"/>
            </w:tcBorders>
            <w:vAlign w:val="center"/>
          </w:tcPr>
          <w:p w14:paraId="5EC4A843" w14:textId="77777777" w:rsidR="00D232C4" w:rsidRPr="00CB1AEB" w:rsidRDefault="00D232C4" w:rsidP="00D232C4">
            <w:pPr>
              <w:spacing w:before="40" w:after="40"/>
              <w:rPr>
                <w:sz w:val="20"/>
                <w:szCs w:val="20"/>
              </w:rPr>
            </w:pPr>
            <w:r w:rsidRPr="00CB1AEB">
              <w:rPr>
                <w:sz w:val="20"/>
                <w:szCs w:val="20"/>
              </w:rPr>
              <w:t>The President has in each of the last three years approved the budget before the start of the fiscal year.</w:t>
            </w:r>
          </w:p>
        </w:tc>
      </w:tr>
      <w:tr w:rsidR="00D232C4" w:rsidRPr="005A497D" w14:paraId="4EAE5556" w14:textId="77777777" w:rsidTr="00CB1AEB">
        <w:tc>
          <w:tcPr>
            <w:tcW w:w="3597" w:type="dxa"/>
            <w:tcBorders>
              <w:top w:val="double" w:sz="4" w:space="0" w:color="auto"/>
              <w:bottom w:val="single" w:sz="4" w:space="0" w:color="auto"/>
            </w:tcBorders>
            <w:vAlign w:val="center"/>
          </w:tcPr>
          <w:p w14:paraId="4AB1DB1B" w14:textId="77777777" w:rsidR="00D232C4" w:rsidRPr="00CB1AEB" w:rsidRDefault="00D232C4" w:rsidP="00D232C4">
            <w:pPr>
              <w:spacing w:before="40" w:after="40"/>
              <w:rPr>
                <w:sz w:val="20"/>
                <w:szCs w:val="20"/>
              </w:rPr>
            </w:pPr>
            <w:r w:rsidRPr="00CB1AEB">
              <w:rPr>
                <w:b/>
                <w:sz w:val="20"/>
                <w:szCs w:val="20"/>
              </w:rPr>
              <w:t>PI-12 Multi-year perspective in fiscal planning, expenditure policy and budgeting</w:t>
            </w:r>
          </w:p>
        </w:tc>
        <w:tc>
          <w:tcPr>
            <w:tcW w:w="924" w:type="dxa"/>
            <w:tcBorders>
              <w:top w:val="double" w:sz="4" w:space="0" w:color="auto"/>
              <w:bottom w:val="single" w:sz="4" w:space="0" w:color="auto"/>
            </w:tcBorders>
            <w:vAlign w:val="center"/>
          </w:tcPr>
          <w:p w14:paraId="242F6750" w14:textId="77777777" w:rsidR="00D232C4" w:rsidRPr="00CB1AEB" w:rsidRDefault="00D232C4" w:rsidP="00CB1AEB">
            <w:pPr>
              <w:spacing w:before="40" w:after="40"/>
              <w:jc w:val="center"/>
              <w:rPr>
                <w:b/>
                <w:sz w:val="20"/>
                <w:szCs w:val="20"/>
              </w:rPr>
            </w:pPr>
            <w:r w:rsidRPr="00CB1AEB">
              <w:rPr>
                <w:b/>
                <w:sz w:val="20"/>
                <w:szCs w:val="20"/>
              </w:rPr>
              <w:t>D+</w:t>
            </w:r>
          </w:p>
        </w:tc>
        <w:tc>
          <w:tcPr>
            <w:tcW w:w="924" w:type="dxa"/>
            <w:tcBorders>
              <w:top w:val="double" w:sz="4" w:space="0" w:color="auto"/>
              <w:bottom w:val="single" w:sz="4" w:space="0" w:color="auto"/>
            </w:tcBorders>
            <w:vAlign w:val="center"/>
          </w:tcPr>
          <w:p w14:paraId="499B2CFF" w14:textId="77777777" w:rsidR="00D232C4" w:rsidRPr="00CB1AEB" w:rsidRDefault="00D232C4" w:rsidP="00CB1AEB">
            <w:pPr>
              <w:spacing w:before="40" w:after="40"/>
              <w:jc w:val="center"/>
              <w:rPr>
                <w:b/>
                <w:sz w:val="20"/>
                <w:szCs w:val="20"/>
              </w:rPr>
            </w:pPr>
            <w:r w:rsidRPr="00CB1AEB">
              <w:rPr>
                <w:b/>
                <w:sz w:val="20"/>
                <w:szCs w:val="20"/>
              </w:rPr>
              <w:t>B+</w:t>
            </w:r>
          </w:p>
        </w:tc>
        <w:tc>
          <w:tcPr>
            <w:tcW w:w="3911" w:type="dxa"/>
            <w:tcBorders>
              <w:top w:val="double" w:sz="4" w:space="0" w:color="auto"/>
              <w:bottom w:val="single" w:sz="4" w:space="0" w:color="auto"/>
            </w:tcBorders>
            <w:vAlign w:val="center"/>
          </w:tcPr>
          <w:p w14:paraId="1EEB948B" w14:textId="77777777" w:rsidR="00D232C4" w:rsidRPr="00CB1AEB" w:rsidRDefault="00D232C4" w:rsidP="00D232C4">
            <w:pPr>
              <w:spacing w:before="40" w:after="40"/>
              <w:rPr>
                <w:sz w:val="20"/>
                <w:szCs w:val="20"/>
              </w:rPr>
            </w:pPr>
            <w:r w:rsidRPr="00CB1AEB">
              <w:rPr>
                <w:b/>
                <w:sz w:val="20"/>
                <w:szCs w:val="20"/>
              </w:rPr>
              <w:t xml:space="preserve">Performance improved </w:t>
            </w:r>
            <w:r w:rsidRPr="00CB1AEB">
              <w:rPr>
                <w:sz w:val="20"/>
                <w:szCs w:val="20"/>
              </w:rPr>
              <w:t xml:space="preserve">in all dimensions. </w:t>
            </w:r>
          </w:p>
        </w:tc>
      </w:tr>
      <w:tr w:rsidR="00D232C4" w:rsidRPr="005A497D" w14:paraId="6AAFD1D4" w14:textId="77777777" w:rsidTr="001C676F">
        <w:trPr>
          <w:trHeight w:val="1070"/>
        </w:trPr>
        <w:tc>
          <w:tcPr>
            <w:tcW w:w="3597" w:type="dxa"/>
            <w:tcBorders>
              <w:top w:val="single" w:sz="4" w:space="0" w:color="auto"/>
              <w:bottom w:val="single" w:sz="4" w:space="0" w:color="auto"/>
            </w:tcBorders>
            <w:vAlign w:val="center"/>
          </w:tcPr>
          <w:p w14:paraId="110CB0F7" w14:textId="77777777" w:rsidR="00D232C4" w:rsidRPr="00CB1AEB" w:rsidRDefault="00D232C4" w:rsidP="00D232C4">
            <w:pPr>
              <w:spacing w:before="40" w:after="40"/>
              <w:rPr>
                <w:sz w:val="20"/>
                <w:szCs w:val="20"/>
              </w:rPr>
            </w:pPr>
            <w:r w:rsidRPr="00CB1AEB">
              <w:rPr>
                <w:sz w:val="20"/>
                <w:szCs w:val="20"/>
              </w:rPr>
              <w:t>(i) Preparation of multi -year fiscal forecasts and functional allocations</w:t>
            </w:r>
          </w:p>
        </w:tc>
        <w:tc>
          <w:tcPr>
            <w:tcW w:w="924" w:type="dxa"/>
            <w:tcBorders>
              <w:top w:val="single" w:sz="4" w:space="0" w:color="auto"/>
              <w:bottom w:val="single" w:sz="4" w:space="0" w:color="auto"/>
            </w:tcBorders>
            <w:vAlign w:val="center"/>
          </w:tcPr>
          <w:p w14:paraId="2EEDBCB6"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716D68CE"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single" w:sz="4" w:space="0" w:color="auto"/>
            </w:tcBorders>
            <w:vAlign w:val="center"/>
          </w:tcPr>
          <w:p w14:paraId="0D5AAD1C" w14:textId="1F18CBDB" w:rsidR="00D232C4" w:rsidRPr="00CB1AEB" w:rsidRDefault="00D232C4" w:rsidP="00D615CB">
            <w:pPr>
              <w:spacing w:before="40" w:after="40"/>
              <w:rPr>
                <w:sz w:val="20"/>
                <w:szCs w:val="20"/>
              </w:rPr>
            </w:pPr>
            <w:r w:rsidRPr="00CB1AEB">
              <w:rPr>
                <w:b/>
                <w:sz w:val="20"/>
                <w:szCs w:val="20"/>
              </w:rPr>
              <w:t xml:space="preserve">Performance improved. </w:t>
            </w:r>
            <w:r w:rsidR="00D615CB" w:rsidRPr="00CB1AEB">
              <w:rPr>
                <w:sz w:val="20"/>
                <w:szCs w:val="20"/>
              </w:rPr>
              <w:t>MTFFs</w:t>
            </w:r>
            <w:r w:rsidRPr="00CB1AEB">
              <w:rPr>
                <w:sz w:val="20"/>
                <w:szCs w:val="20"/>
              </w:rPr>
              <w:t xml:space="preserve"> were prepared for the last two years. </w:t>
            </w:r>
            <w:r w:rsidR="00D615CB" w:rsidRPr="00CB1AEB">
              <w:rPr>
                <w:sz w:val="20"/>
                <w:szCs w:val="20"/>
              </w:rPr>
              <w:t>Departments /</w:t>
            </w:r>
            <w:r w:rsidR="00280E59">
              <w:rPr>
                <w:sz w:val="20"/>
                <w:szCs w:val="20"/>
              </w:rPr>
              <w:t xml:space="preserve"> </w:t>
            </w:r>
            <w:r w:rsidR="00D615CB" w:rsidRPr="00CB1AEB">
              <w:rPr>
                <w:sz w:val="20"/>
                <w:szCs w:val="20"/>
              </w:rPr>
              <w:t>a</w:t>
            </w:r>
            <w:r w:rsidRPr="00CB1AEB">
              <w:rPr>
                <w:sz w:val="20"/>
                <w:szCs w:val="20"/>
              </w:rPr>
              <w:t>gencies prepare a three</w:t>
            </w:r>
            <w:r w:rsidR="00D615CB" w:rsidRPr="00CB1AEB">
              <w:rPr>
                <w:sz w:val="20"/>
                <w:szCs w:val="20"/>
              </w:rPr>
              <w:t>-</w:t>
            </w:r>
            <w:r w:rsidRPr="00CB1AEB">
              <w:rPr>
                <w:sz w:val="20"/>
                <w:szCs w:val="20"/>
              </w:rPr>
              <w:t xml:space="preserve">year rolling budget based on the issued hard budget ceiling. </w:t>
            </w:r>
          </w:p>
        </w:tc>
      </w:tr>
      <w:tr w:rsidR="00D232C4" w:rsidRPr="005A497D" w14:paraId="416EAEA0" w14:textId="77777777" w:rsidTr="00CB1AEB">
        <w:tc>
          <w:tcPr>
            <w:tcW w:w="3597" w:type="dxa"/>
            <w:tcBorders>
              <w:top w:val="single" w:sz="4" w:space="0" w:color="auto"/>
              <w:bottom w:val="single" w:sz="4" w:space="0" w:color="auto"/>
            </w:tcBorders>
            <w:vAlign w:val="center"/>
          </w:tcPr>
          <w:p w14:paraId="761196DE" w14:textId="77777777" w:rsidR="00D232C4" w:rsidRPr="00CB1AEB" w:rsidRDefault="00D232C4" w:rsidP="00D232C4">
            <w:pPr>
              <w:spacing w:before="40" w:after="40"/>
              <w:rPr>
                <w:sz w:val="20"/>
                <w:szCs w:val="20"/>
              </w:rPr>
            </w:pPr>
            <w:r w:rsidRPr="00CB1AEB">
              <w:rPr>
                <w:sz w:val="20"/>
                <w:szCs w:val="20"/>
              </w:rPr>
              <w:t>(ii) Scope and frequency of debt sustainability analysis</w:t>
            </w:r>
          </w:p>
        </w:tc>
        <w:tc>
          <w:tcPr>
            <w:tcW w:w="924" w:type="dxa"/>
            <w:tcBorders>
              <w:top w:val="single" w:sz="4" w:space="0" w:color="auto"/>
              <w:bottom w:val="single" w:sz="4" w:space="0" w:color="auto"/>
            </w:tcBorders>
            <w:vAlign w:val="center"/>
          </w:tcPr>
          <w:p w14:paraId="1BD5AF39" w14:textId="77777777" w:rsidR="00D232C4" w:rsidRPr="00CB1AEB" w:rsidRDefault="00D232C4" w:rsidP="00CB1AEB">
            <w:pPr>
              <w:spacing w:before="40" w:after="40"/>
              <w:jc w:val="center"/>
              <w:rPr>
                <w:sz w:val="20"/>
                <w:szCs w:val="20"/>
              </w:rPr>
            </w:pPr>
            <w:r w:rsidRPr="00CB1AEB">
              <w:rPr>
                <w:sz w:val="20"/>
                <w:szCs w:val="20"/>
              </w:rPr>
              <w:t>D</w:t>
            </w:r>
          </w:p>
        </w:tc>
        <w:tc>
          <w:tcPr>
            <w:tcW w:w="924" w:type="dxa"/>
            <w:tcBorders>
              <w:top w:val="single" w:sz="4" w:space="0" w:color="auto"/>
              <w:bottom w:val="single" w:sz="4" w:space="0" w:color="auto"/>
            </w:tcBorders>
            <w:vAlign w:val="center"/>
          </w:tcPr>
          <w:p w14:paraId="6FAFD8D3"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481DFC8E" w14:textId="22EC6223" w:rsidR="00D232C4" w:rsidRPr="00CB1AEB" w:rsidRDefault="00D232C4" w:rsidP="001C676F">
            <w:pPr>
              <w:spacing w:before="40" w:after="40"/>
              <w:rPr>
                <w:sz w:val="20"/>
                <w:szCs w:val="20"/>
              </w:rPr>
            </w:pPr>
            <w:r w:rsidRPr="00CB1AEB">
              <w:rPr>
                <w:b/>
                <w:sz w:val="20"/>
                <w:szCs w:val="20"/>
              </w:rPr>
              <w:t>Performance improved.</w:t>
            </w:r>
            <w:r w:rsidRPr="00CB1AEB">
              <w:rPr>
                <w:sz w:val="20"/>
                <w:szCs w:val="20"/>
              </w:rPr>
              <w:t xml:space="preserve"> Debt sustainability analysis</w:t>
            </w:r>
            <w:r w:rsidR="001C676F">
              <w:rPr>
                <w:sz w:val="20"/>
                <w:szCs w:val="20"/>
              </w:rPr>
              <w:t xml:space="preserve">, previously lacking, </w:t>
            </w:r>
            <w:r w:rsidRPr="00CB1AEB">
              <w:rPr>
                <w:sz w:val="20"/>
                <w:szCs w:val="20"/>
              </w:rPr>
              <w:t>is present in the Fiscal Risk Statement report.</w:t>
            </w:r>
          </w:p>
        </w:tc>
      </w:tr>
      <w:tr w:rsidR="00D232C4" w:rsidRPr="005A497D" w14:paraId="4BA8BD6B" w14:textId="77777777" w:rsidTr="00CB1AEB">
        <w:tc>
          <w:tcPr>
            <w:tcW w:w="3597" w:type="dxa"/>
            <w:tcBorders>
              <w:top w:val="single" w:sz="4" w:space="0" w:color="auto"/>
              <w:bottom w:val="single" w:sz="4" w:space="0" w:color="auto"/>
            </w:tcBorders>
            <w:vAlign w:val="center"/>
          </w:tcPr>
          <w:p w14:paraId="4E2DFE33" w14:textId="77777777" w:rsidR="00D232C4" w:rsidRPr="00CB1AEB" w:rsidRDefault="00D232C4" w:rsidP="00D232C4">
            <w:pPr>
              <w:spacing w:before="40" w:after="40"/>
              <w:rPr>
                <w:sz w:val="20"/>
                <w:szCs w:val="20"/>
              </w:rPr>
            </w:pPr>
            <w:r w:rsidRPr="00CB1AEB">
              <w:rPr>
                <w:sz w:val="20"/>
                <w:szCs w:val="20"/>
              </w:rPr>
              <w:t>(iii) Existence of sector strategies with multi-year costing of recurrent and investment expenditure</w:t>
            </w:r>
          </w:p>
        </w:tc>
        <w:tc>
          <w:tcPr>
            <w:tcW w:w="924" w:type="dxa"/>
            <w:tcBorders>
              <w:top w:val="single" w:sz="4" w:space="0" w:color="auto"/>
              <w:bottom w:val="single" w:sz="4" w:space="0" w:color="auto"/>
            </w:tcBorders>
            <w:vAlign w:val="center"/>
          </w:tcPr>
          <w:p w14:paraId="557DCEB5"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566FC9F9"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single" w:sz="4" w:space="0" w:color="auto"/>
            </w:tcBorders>
            <w:vAlign w:val="center"/>
          </w:tcPr>
          <w:p w14:paraId="19A43598" w14:textId="77777777" w:rsidR="00D232C4" w:rsidRPr="00CB1AEB" w:rsidRDefault="00D232C4" w:rsidP="00D232C4">
            <w:pPr>
              <w:spacing w:before="40" w:after="40"/>
              <w:rPr>
                <w:sz w:val="20"/>
                <w:szCs w:val="20"/>
              </w:rPr>
            </w:pPr>
            <w:r w:rsidRPr="00CB1AEB">
              <w:rPr>
                <w:b/>
                <w:bCs/>
                <w:sz w:val="20"/>
                <w:szCs w:val="20"/>
              </w:rPr>
              <w:t xml:space="preserve">Performance improved </w:t>
            </w:r>
            <w:r w:rsidRPr="00CB1AEB">
              <w:rPr>
                <w:bCs/>
                <w:sz w:val="20"/>
                <w:szCs w:val="20"/>
              </w:rPr>
              <w:t>based on the PFM reforms initiated by DBM. The budget preparation covers program budgeting which sets the priority programs and its related costs.</w:t>
            </w:r>
          </w:p>
        </w:tc>
      </w:tr>
      <w:tr w:rsidR="00D232C4" w:rsidRPr="005A497D" w14:paraId="189473CB" w14:textId="77777777" w:rsidTr="00CB1AEB">
        <w:tc>
          <w:tcPr>
            <w:tcW w:w="3597" w:type="dxa"/>
            <w:tcBorders>
              <w:top w:val="single" w:sz="4" w:space="0" w:color="auto"/>
              <w:bottom w:val="double" w:sz="4" w:space="0" w:color="auto"/>
            </w:tcBorders>
            <w:vAlign w:val="center"/>
          </w:tcPr>
          <w:p w14:paraId="23778A5D" w14:textId="77777777" w:rsidR="00D232C4" w:rsidRPr="00CB1AEB" w:rsidRDefault="00D232C4" w:rsidP="00D232C4">
            <w:pPr>
              <w:spacing w:before="40" w:after="40"/>
              <w:rPr>
                <w:sz w:val="20"/>
                <w:szCs w:val="20"/>
              </w:rPr>
            </w:pPr>
            <w:r w:rsidRPr="00CB1AEB">
              <w:rPr>
                <w:sz w:val="20"/>
                <w:szCs w:val="20"/>
              </w:rPr>
              <w:t>(iv) Linkages between investment budgets and forward expenditure estimates</w:t>
            </w:r>
          </w:p>
        </w:tc>
        <w:tc>
          <w:tcPr>
            <w:tcW w:w="924" w:type="dxa"/>
            <w:tcBorders>
              <w:top w:val="single" w:sz="4" w:space="0" w:color="auto"/>
              <w:bottom w:val="double" w:sz="4" w:space="0" w:color="auto"/>
            </w:tcBorders>
            <w:vAlign w:val="center"/>
          </w:tcPr>
          <w:p w14:paraId="3C03D91E" w14:textId="77777777" w:rsidR="00D232C4" w:rsidRPr="00CB1AEB" w:rsidRDefault="00D232C4" w:rsidP="00CB1AEB">
            <w:pPr>
              <w:spacing w:before="40" w:after="40"/>
              <w:jc w:val="center"/>
              <w:rPr>
                <w:sz w:val="20"/>
                <w:szCs w:val="20"/>
              </w:rPr>
            </w:pPr>
            <w:r w:rsidRPr="00CB1AEB">
              <w:rPr>
                <w:sz w:val="20"/>
                <w:szCs w:val="20"/>
              </w:rPr>
              <w:t>D</w:t>
            </w:r>
          </w:p>
        </w:tc>
        <w:tc>
          <w:tcPr>
            <w:tcW w:w="924" w:type="dxa"/>
            <w:tcBorders>
              <w:top w:val="single" w:sz="4" w:space="0" w:color="auto"/>
              <w:bottom w:val="double" w:sz="4" w:space="0" w:color="auto"/>
            </w:tcBorders>
            <w:vAlign w:val="center"/>
          </w:tcPr>
          <w:p w14:paraId="7AAD2ABD"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double" w:sz="4" w:space="0" w:color="auto"/>
            </w:tcBorders>
            <w:vAlign w:val="center"/>
          </w:tcPr>
          <w:p w14:paraId="604D8281" w14:textId="617D8E96" w:rsidR="00D232C4" w:rsidRPr="00CB1AEB" w:rsidRDefault="00D232C4" w:rsidP="00D232C4">
            <w:pPr>
              <w:spacing w:before="40" w:after="40"/>
              <w:rPr>
                <w:sz w:val="20"/>
                <w:szCs w:val="20"/>
              </w:rPr>
            </w:pPr>
            <w:r w:rsidRPr="00CB1AEB">
              <w:rPr>
                <w:b/>
                <w:bCs/>
                <w:sz w:val="20"/>
                <w:szCs w:val="20"/>
              </w:rPr>
              <w:t>Performance improved</w:t>
            </w:r>
            <w:r w:rsidRPr="00CB1AEB">
              <w:rPr>
                <w:bCs/>
                <w:sz w:val="20"/>
                <w:szCs w:val="20"/>
              </w:rPr>
              <w:t>, major investments are identified based on the priority programs, while recurrent costs are budgeted by the implementing agencies</w:t>
            </w:r>
            <w:r w:rsidRPr="00CB1AEB">
              <w:rPr>
                <w:sz w:val="20"/>
                <w:szCs w:val="20"/>
              </w:rPr>
              <w:t>.</w:t>
            </w:r>
            <w:r w:rsidRPr="00CB1AEB">
              <w:rPr>
                <w:bCs/>
                <w:sz w:val="20"/>
                <w:szCs w:val="20"/>
              </w:rPr>
              <w:t xml:space="preserve"> </w:t>
            </w:r>
            <w:r w:rsidR="001C676F">
              <w:rPr>
                <w:bCs/>
                <w:sz w:val="20"/>
                <w:szCs w:val="20"/>
              </w:rPr>
              <w:t>Budget ceilings are directly related to the forward estimates.</w:t>
            </w:r>
          </w:p>
        </w:tc>
      </w:tr>
      <w:tr w:rsidR="00D232C4" w:rsidRPr="005A497D" w14:paraId="3D7C48CB" w14:textId="77777777" w:rsidTr="00CB1AEB">
        <w:tc>
          <w:tcPr>
            <w:tcW w:w="3597" w:type="dxa"/>
            <w:tcBorders>
              <w:top w:val="double" w:sz="4" w:space="0" w:color="auto"/>
              <w:bottom w:val="single" w:sz="4" w:space="0" w:color="auto"/>
            </w:tcBorders>
            <w:vAlign w:val="center"/>
          </w:tcPr>
          <w:p w14:paraId="122AFFED" w14:textId="77777777" w:rsidR="00D232C4" w:rsidRPr="00CB1AEB" w:rsidRDefault="00D232C4" w:rsidP="00D232C4">
            <w:pPr>
              <w:spacing w:before="40" w:after="40"/>
              <w:rPr>
                <w:sz w:val="20"/>
                <w:szCs w:val="20"/>
              </w:rPr>
            </w:pPr>
            <w:r w:rsidRPr="00CB1AEB">
              <w:rPr>
                <w:b/>
                <w:sz w:val="20"/>
                <w:szCs w:val="20"/>
              </w:rPr>
              <w:t>PI-13 Transparency of taxpayer obligations and liabilities</w:t>
            </w:r>
          </w:p>
        </w:tc>
        <w:tc>
          <w:tcPr>
            <w:tcW w:w="924" w:type="dxa"/>
            <w:tcBorders>
              <w:top w:val="double" w:sz="4" w:space="0" w:color="auto"/>
              <w:bottom w:val="single" w:sz="4" w:space="0" w:color="auto"/>
            </w:tcBorders>
            <w:vAlign w:val="center"/>
          </w:tcPr>
          <w:p w14:paraId="16A8DE06" w14:textId="77777777" w:rsidR="00D232C4" w:rsidRPr="00CB1AEB" w:rsidRDefault="00D232C4" w:rsidP="00CB1AEB">
            <w:pPr>
              <w:spacing w:before="40" w:after="40"/>
              <w:jc w:val="center"/>
              <w:rPr>
                <w:b/>
                <w:sz w:val="20"/>
                <w:szCs w:val="20"/>
              </w:rPr>
            </w:pPr>
            <w:r w:rsidRPr="00CB1AEB">
              <w:rPr>
                <w:b/>
                <w:sz w:val="20"/>
                <w:szCs w:val="20"/>
              </w:rPr>
              <w:t>C</w:t>
            </w:r>
          </w:p>
        </w:tc>
        <w:tc>
          <w:tcPr>
            <w:tcW w:w="924" w:type="dxa"/>
            <w:tcBorders>
              <w:top w:val="double" w:sz="4" w:space="0" w:color="auto"/>
              <w:bottom w:val="single" w:sz="4" w:space="0" w:color="auto"/>
            </w:tcBorders>
            <w:vAlign w:val="center"/>
          </w:tcPr>
          <w:p w14:paraId="675A4520" w14:textId="77777777" w:rsidR="00D232C4" w:rsidRPr="00CB1AEB" w:rsidRDefault="00D232C4" w:rsidP="00CB1AEB">
            <w:pPr>
              <w:spacing w:before="40" w:after="40"/>
              <w:jc w:val="center"/>
              <w:rPr>
                <w:b/>
                <w:sz w:val="20"/>
                <w:szCs w:val="20"/>
              </w:rPr>
            </w:pPr>
            <w:r w:rsidRPr="00CB1AEB">
              <w:rPr>
                <w:b/>
                <w:sz w:val="20"/>
                <w:szCs w:val="20"/>
              </w:rPr>
              <w:t>B</w:t>
            </w:r>
          </w:p>
        </w:tc>
        <w:tc>
          <w:tcPr>
            <w:tcW w:w="3911" w:type="dxa"/>
            <w:tcBorders>
              <w:top w:val="double" w:sz="4" w:space="0" w:color="auto"/>
              <w:bottom w:val="single" w:sz="4" w:space="0" w:color="auto"/>
            </w:tcBorders>
            <w:vAlign w:val="center"/>
          </w:tcPr>
          <w:p w14:paraId="24E698AF" w14:textId="770A8DF8" w:rsidR="00D232C4" w:rsidRPr="00CB1AEB" w:rsidRDefault="00D232C4" w:rsidP="001C676F">
            <w:pPr>
              <w:spacing w:before="40" w:after="40"/>
              <w:rPr>
                <w:sz w:val="20"/>
                <w:szCs w:val="20"/>
              </w:rPr>
            </w:pPr>
            <w:r w:rsidRPr="00CB1AEB">
              <w:rPr>
                <w:b/>
                <w:bCs/>
                <w:sz w:val="20"/>
                <w:szCs w:val="20"/>
              </w:rPr>
              <w:t xml:space="preserve">Performance improved </w:t>
            </w:r>
            <w:r w:rsidR="001C676F">
              <w:rPr>
                <w:bCs/>
                <w:sz w:val="20"/>
                <w:szCs w:val="20"/>
              </w:rPr>
              <w:t xml:space="preserve">in (i) and (ii) through </w:t>
            </w:r>
            <w:r w:rsidRPr="00CB1AEB">
              <w:rPr>
                <w:bCs/>
                <w:sz w:val="20"/>
                <w:szCs w:val="20"/>
              </w:rPr>
              <w:t>the reforms made in BIR and BoC.</w:t>
            </w:r>
          </w:p>
        </w:tc>
      </w:tr>
      <w:tr w:rsidR="00D232C4" w:rsidRPr="005A497D" w14:paraId="56E07869" w14:textId="77777777" w:rsidTr="00CB1AEB">
        <w:tc>
          <w:tcPr>
            <w:tcW w:w="3597" w:type="dxa"/>
            <w:tcBorders>
              <w:top w:val="single" w:sz="4" w:space="0" w:color="auto"/>
              <w:bottom w:val="single" w:sz="4" w:space="0" w:color="auto"/>
            </w:tcBorders>
            <w:vAlign w:val="center"/>
          </w:tcPr>
          <w:p w14:paraId="640157B4" w14:textId="77777777" w:rsidR="00D232C4" w:rsidRPr="00CB1AEB" w:rsidRDefault="00D232C4" w:rsidP="00D232C4">
            <w:pPr>
              <w:spacing w:before="40" w:after="40"/>
              <w:rPr>
                <w:sz w:val="20"/>
                <w:szCs w:val="20"/>
              </w:rPr>
            </w:pPr>
            <w:r w:rsidRPr="00CB1AEB">
              <w:rPr>
                <w:sz w:val="20"/>
                <w:szCs w:val="20"/>
              </w:rPr>
              <w:t>(i) Clarity and comprehensiveness of tax liabilities</w:t>
            </w:r>
          </w:p>
        </w:tc>
        <w:tc>
          <w:tcPr>
            <w:tcW w:w="924" w:type="dxa"/>
            <w:tcBorders>
              <w:top w:val="single" w:sz="4" w:space="0" w:color="auto"/>
              <w:bottom w:val="single" w:sz="4" w:space="0" w:color="auto"/>
            </w:tcBorders>
            <w:vAlign w:val="center"/>
          </w:tcPr>
          <w:p w14:paraId="228E8AEE" w14:textId="77777777" w:rsidR="00D232C4" w:rsidRPr="00CB1AEB" w:rsidRDefault="00D232C4" w:rsidP="00CB1AEB">
            <w:pPr>
              <w:spacing w:before="40" w:after="40"/>
              <w:jc w:val="center"/>
              <w:rPr>
                <w:sz w:val="20"/>
                <w:szCs w:val="20"/>
              </w:rPr>
            </w:pPr>
            <w:r w:rsidRPr="00CB1AEB">
              <w:rPr>
                <w:sz w:val="20"/>
                <w:szCs w:val="20"/>
              </w:rPr>
              <w:t>D</w:t>
            </w:r>
          </w:p>
        </w:tc>
        <w:tc>
          <w:tcPr>
            <w:tcW w:w="924" w:type="dxa"/>
            <w:tcBorders>
              <w:top w:val="single" w:sz="4" w:space="0" w:color="auto"/>
              <w:bottom w:val="single" w:sz="4" w:space="0" w:color="auto"/>
            </w:tcBorders>
            <w:vAlign w:val="center"/>
          </w:tcPr>
          <w:p w14:paraId="51748D93"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single" w:sz="4" w:space="0" w:color="auto"/>
            </w:tcBorders>
            <w:vAlign w:val="center"/>
          </w:tcPr>
          <w:p w14:paraId="7F681452" w14:textId="63EF00C5" w:rsidR="00D232C4" w:rsidRPr="00CB1AEB" w:rsidRDefault="00D232C4" w:rsidP="00D232C4">
            <w:pPr>
              <w:spacing w:before="40" w:after="40"/>
              <w:rPr>
                <w:sz w:val="20"/>
                <w:szCs w:val="20"/>
              </w:rPr>
            </w:pPr>
            <w:r w:rsidRPr="00CB1AEB">
              <w:rPr>
                <w:b/>
                <w:bCs/>
                <w:sz w:val="20"/>
                <w:szCs w:val="20"/>
              </w:rPr>
              <w:t>Performance improved</w:t>
            </w:r>
            <w:r w:rsidRPr="00CB1AEB">
              <w:rPr>
                <w:bCs/>
                <w:sz w:val="20"/>
                <w:szCs w:val="20"/>
              </w:rPr>
              <w:t>. Laws and its related implementing rules and regulations for most major taxes are comprehensive and updated online, however, these, are still complex for the taxpayers/importers</w:t>
            </w:r>
            <w:r w:rsidRPr="00CB1AEB" w:rsidDel="004B321F">
              <w:rPr>
                <w:bCs/>
                <w:sz w:val="20"/>
                <w:szCs w:val="20"/>
              </w:rPr>
              <w:t xml:space="preserve"> </w:t>
            </w:r>
            <w:r w:rsidRPr="00CB1AEB">
              <w:rPr>
                <w:bCs/>
                <w:sz w:val="20"/>
                <w:szCs w:val="20"/>
              </w:rPr>
              <w:t>and the assigned bureaus have fair</w:t>
            </w:r>
            <w:r w:rsidR="001C676F">
              <w:rPr>
                <w:bCs/>
                <w:sz w:val="20"/>
                <w:szCs w:val="20"/>
              </w:rPr>
              <w:t>ly limited discretionary powers.</w:t>
            </w:r>
          </w:p>
        </w:tc>
      </w:tr>
      <w:tr w:rsidR="00D232C4" w:rsidRPr="005A497D" w14:paraId="244C5740" w14:textId="77777777" w:rsidTr="00CB1AEB">
        <w:tc>
          <w:tcPr>
            <w:tcW w:w="3597" w:type="dxa"/>
            <w:tcBorders>
              <w:top w:val="single" w:sz="4" w:space="0" w:color="auto"/>
              <w:bottom w:val="single" w:sz="4" w:space="0" w:color="auto"/>
            </w:tcBorders>
            <w:vAlign w:val="center"/>
          </w:tcPr>
          <w:p w14:paraId="7C784043" w14:textId="77777777" w:rsidR="00D232C4" w:rsidRPr="00CB1AEB" w:rsidRDefault="00D232C4" w:rsidP="00D232C4">
            <w:pPr>
              <w:spacing w:before="40" w:after="40"/>
              <w:rPr>
                <w:sz w:val="20"/>
                <w:szCs w:val="20"/>
              </w:rPr>
            </w:pPr>
            <w:r w:rsidRPr="00CB1AEB">
              <w:rPr>
                <w:sz w:val="20"/>
                <w:szCs w:val="20"/>
              </w:rPr>
              <w:t>(ii) Taxpayer access to information on tax liabilities and administrative procedures</w:t>
            </w:r>
          </w:p>
        </w:tc>
        <w:tc>
          <w:tcPr>
            <w:tcW w:w="924" w:type="dxa"/>
            <w:tcBorders>
              <w:top w:val="single" w:sz="4" w:space="0" w:color="auto"/>
              <w:bottom w:val="single" w:sz="4" w:space="0" w:color="auto"/>
            </w:tcBorders>
            <w:vAlign w:val="center"/>
          </w:tcPr>
          <w:p w14:paraId="2C464EAA"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2044A135"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single" w:sz="4" w:space="0" w:color="auto"/>
            </w:tcBorders>
            <w:vAlign w:val="center"/>
          </w:tcPr>
          <w:p w14:paraId="03E932BE" w14:textId="77777777" w:rsidR="00D232C4" w:rsidRPr="00CB1AEB" w:rsidRDefault="00D232C4" w:rsidP="00D232C4">
            <w:pPr>
              <w:spacing w:before="40" w:after="40"/>
              <w:rPr>
                <w:sz w:val="20"/>
                <w:szCs w:val="20"/>
              </w:rPr>
            </w:pPr>
            <w:r w:rsidRPr="00CB1AEB">
              <w:rPr>
                <w:b/>
                <w:bCs/>
                <w:sz w:val="20"/>
                <w:szCs w:val="20"/>
              </w:rPr>
              <w:t xml:space="preserve">Performance improved </w:t>
            </w:r>
            <w:r w:rsidRPr="00CB1AEB">
              <w:rPr>
                <w:bCs/>
                <w:sz w:val="20"/>
                <w:szCs w:val="20"/>
              </w:rPr>
              <w:t>as the BIR and BOC are disclosing comprehensive and updated information through their respective websites, though this information is not always user-friendly to the public/user.</w:t>
            </w:r>
          </w:p>
        </w:tc>
      </w:tr>
      <w:tr w:rsidR="00D232C4" w:rsidRPr="005A497D" w14:paraId="268CA692" w14:textId="77777777" w:rsidTr="00CB1AEB">
        <w:tc>
          <w:tcPr>
            <w:tcW w:w="3597" w:type="dxa"/>
            <w:tcBorders>
              <w:top w:val="single" w:sz="4" w:space="0" w:color="auto"/>
              <w:bottom w:val="double" w:sz="4" w:space="0" w:color="auto"/>
            </w:tcBorders>
            <w:vAlign w:val="center"/>
          </w:tcPr>
          <w:p w14:paraId="1FBBFCE2" w14:textId="77777777" w:rsidR="00D232C4" w:rsidRPr="00CB1AEB" w:rsidRDefault="00D232C4" w:rsidP="00D232C4">
            <w:pPr>
              <w:spacing w:before="40" w:after="40"/>
              <w:rPr>
                <w:sz w:val="20"/>
                <w:szCs w:val="20"/>
              </w:rPr>
            </w:pPr>
            <w:r w:rsidRPr="00CB1AEB">
              <w:rPr>
                <w:sz w:val="20"/>
                <w:szCs w:val="20"/>
              </w:rPr>
              <w:t>(iii) Existence and functioning of a tax appeals mechanism</w:t>
            </w:r>
          </w:p>
        </w:tc>
        <w:tc>
          <w:tcPr>
            <w:tcW w:w="924" w:type="dxa"/>
            <w:tcBorders>
              <w:top w:val="single" w:sz="4" w:space="0" w:color="auto"/>
              <w:bottom w:val="double" w:sz="4" w:space="0" w:color="auto"/>
            </w:tcBorders>
            <w:vAlign w:val="center"/>
          </w:tcPr>
          <w:p w14:paraId="09E11A49" w14:textId="77777777" w:rsidR="00D232C4" w:rsidRPr="00CB1AEB" w:rsidRDefault="00D232C4" w:rsidP="00CB1AEB">
            <w:pPr>
              <w:spacing w:before="40" w:after="40"/>
              <w:jc w:val="center"/>
              <w:rPr>
                <w:sz w:val="20"/>
                <w:szCs w:val="20"/>
              </w:rPr>
            </w:pPr>
            <w:r w:rsidRPr="00CB1AEB">
              <w:rPr>
                <w:sz w:val="20"/>
                <w:szCs w:val="20"/>
              </w:rPr>
              <w:t>B</w:t>
            </w:r>
          </w:p>
        </w:tc>
        <w:tc>
          <w:tcPr>
            <w:tcW w:w="924" w:type="dxa"/>
            <w:tcBorders>
              <w:top w:val="single" w:sz="4" w:space="0" w:color="auto"/>
              <w:bottom w:val="double" w:sz="4" w:space="0" w:color="auto"/>
            </w:tcBorders>
            <w:vAlign w:val="center"/>
          </w:tcPr>
          <w:p w14:paraId="1BBA0E21"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double" w:sz="4" w:space="0" w:color="auto"/>
            </w:tcBorders>
            <w:vAlign w:val="center"/>
          </w:tcPr>
          <w:p w14:paraId="4BBCD6E3" w14:textId="77777777" w:rsidR="00D232C4" w:rsidRPr="00CB1AEB" w:rsidRDefault="00D232C4" w:rsidP="00D232C4">
            <w:pPr>
              <w:spacing w:before="40" w:after="40"/>
              <w:rPr>
                <w:sz w:val="20"/>
                <w:szCs w:val="20"/>
              </w:rPr>
            </w:pPr>
            <w:r w:rsidRPr="00CB1AEB">
              <w:rPr>
                <w:b/>
                <w:sz w:val="20"/>
                <w:szCs w:val="20"/>
              </w:rPr>
              <w:t>No change in the process</w:t>
            </w:r>
            <w:r w:rsidRPr="00CB1AEB">
              <w:rPr>
                <w:sz w:val="20"/>
                <w:szCs w:val="20"/>
              </w:rPr>
              <w:t>. Additional information was provided by the BIR in the website thr</w:t>
            </w:r>
            <w:r w:rsidR="00D615CB" w:rsidRPr="00CB1AEB">
              <w:rPr>
                <w:sz w:val="20"/>
                <w:szCs w:val="20"/>
              </w:rPr>
              <w:t>o</w:t>
            </w:r>
            <w:r w:rsidRPr="00CB1AEB">
              <w:rPr>
                <w:sz w:val="20"/>
                <w:szCs w:val="20"/>
              </w:rPr>
              <w:t>u</w:t>
            </w:r>
            <w:r w:rsidR="00D615CB" w:rsidRPr="00CB1AEB">
              <w:rPr>
                <w:sz w:val="20"/>
                <w:szCs w:val="20"/>
              </w:rPr>
              <w:t>gh</w:t>
            </w:r>
            <w:r w:rsidRPr="00CB1AEB">
              <w:rPr>
                <w:sz w:val="20"/>
                <w:szCs w:val="20"/>
              </w:rPr>
              <w:t xml:space="preserve"> rulings and circular.</w:t>
            </w:r>
          </w:p>
        </w:tc>
      </w:tr>
      <w:tr w:rsidR="00D232C4" w:rsidRPr="005A497D" w14:paraId="455A4B02" w14:textId="77777777" w:rsidTr="00CB1AEB">
        <w:trPr>
          <w:trHeight w:val="850"/>
        </w:trPr>
        <w:tc>
          <w:tcPr>
            <w:tcW w:w="3597" w:type="dxa"/>
            <w:tcBorders>
              <w:top w:val="double" w:sz="4" w:space="0" w:color="auto"/>
              <w:bottom w:val="single" w:sz="4" w:space="0" w:color="auto"/>
            </w:tcBorders>
            <w:vAlign w:val="center"/>
          </w:tcPr>
          <w:p w14:paraId="7CDEFC49" w14:textId="77777777" w:rsidR="00D232C4" w:rsidRPr="00CB1AEB" w:rsidRDefault="00D232C4" w:rsidP="00D232C4">
            <w:pPr>
              <w:spacing w:before="40" w:after="40"/>
              <w:rPr>
                <w:sz w:val="20"/>
                <w:szCs w:val="20"/>
              </w:rPr>
            </w:pPr>
            <w:r w:rsidRPr="00CB1AEB">
              <w:rPr>
                <w:b/>
                <w:sz w:val="20"/>
                <w:szCs w:val="20"/>
              </w:rPr>
              <w:t>PI-14 Effectiveness of measures for taxpayer registration and tax assessment</w:t>
            </w:r>
          </w:p>
        </w:tc>
        <w:tc>
          <w:tcPr>
            <w:tcW w:w="924" w:type="dxa"/>
            <w:tcBorders>
              <w:top w:val="double" w:sz="4" w:space="0" w:color="auto"/>
              <w:bottom w:val="single" w:sz="4" w:space="0" w:color="auto"/>
            </w:tcBorders>
            <w:vAlign w:val="center"/>
          </w:tcPr>
          <w:p w14:paraId="11818724" w14:textId="77777777" w:rsidR="00D232C4" w:rsidRPr="00CB1AEB" w:rsidRDefault="00D232C4" w:rsidP="00CB1AEB">
            <w:pPr>
              <w:spacing w:before="40" w:after="40"/>
              <w:jc w:val="center"/>
              <w:rPr>
                <w:b/>
                <w:sz w:val="20"/>
                <w:szCs w:val="20"/>
              </w:rPr>
            </w:pPr>
            <w:r w:rsidRPr="00CB1AEB">
              <w:rPr>
                <w:b/>
                <w:sz w:val="20"/>
                <w:szCs w:val="20"/>
              </w:rPr>
              <w:t>C</w:t>
            </w:r>
          </w:p>
        </w:tc>
        <w:tc>
          <w:tcPr>
            <w:tcW w:w="924" w:type="dxa"/>
            <w:tcBorders>
              <w:top w:val="double" w:sz="4" w:space="0" w:color="auto"/>
              <w:bottom w:val="single" w:sz="4" w:space="0" w:color="auto"/>
            </w:tcBorders>
            <w:vAlign w:val="center"/>
          </w:tcPr>
          <w:p w14:paraId="312A250E" w14:textId="53AAED63" w:rsidR="00D232C4" w:rsidRPr="00CB1AEB" w:rsidRDefault="00D232C4" w:rsidP="00CB1AEB">
            <w:pPr>
              <w:spacing w:before="40" w:after="40"/>
              <w:jc w:val="center"/>
              <w:rPr>
                <w:b/>
                <w:sz w:val="20"/>
                <w:szCs w:val="20"/>
              </w:rPr>
            </w:pPr>
            <w:r w:rsidRPr="00CB1AEB">
              <w:rPr>
                <w:b/>
                <w:sz w:val="20"/>
                <w:szCs w:val="20"/>
              </w:rPr>
              <w:t>B</w:t>
            </w:r>
            <w:r w:rsidR="00184F0A">
              <w:rPr>
                <w:b/>
                <w:sz w:val="20"/>
                <w:szCs w:val="20"/>
              </w:rPr>
              <w:t>+</w:t>
            </w:r>
          </w:p>
        </w:tc>
        <w:tc>
          <w:tcPr>
            <w:tcW w:w="3911" w:type="dxa"/>
            <w:tcBorders>
              <w:top w:val="double" w:sz="4" w:space="0" w:color="auto"/>
              <w:bottom w:val="single" w:sz="4" w:space="0" w:color="auto"/>
            </w:tcBorders>
            <w:vAlign w:val="center"/>
          </w:tcPr>
          <w:p w14:paraId="6FC7216D" w14:textId="77777777" w:rsidR="00D232C4" w:rsidRPr="00CB1AEB" w:rsidRDefault="00D232C4" w:rsidP="00D232C4">
            <w:pPr>
              <w:spacing w:before="40" w:after="40"/>
              <w:rPr>
                <w:sz w:val="20"/>
                <w:szCs w:val="20"/>
              </w:rPr>
            </w:pPr>
            <w:r w:rsidRPr="00CB1AEB">
              <w:rPr>
                <w:b/>
                <w:sz w:val="20"/>
                <w:szCs w:val="20"/>
              </w:rPr>
              <w:t xml:space="preserve">Performance improved </w:t>
            </w:r>
            <w:r w:rsidRPr="00CB1AEB">
              <w:rPr>
                <w:sz w:val="20"/>
                <w:szCs w:val="20"/>
              </w:rPr>
              <w:t>in (ii) and (iii) through BIR process reforms.</w:t>
            </w:r>
          </w:p>
        </w:tc>
      </w:tr>
      <w:tr w:rsidR="00D232C4" w:rsidRPr="005A497D" w14:paraId="496F51C7" w14:textId="77777777" w:rsidTr="00CB1AEB">
        <w:tc>
          <w:tcPr>
            <w:tcW w:w="3597" w:type="dxa"/>
            <w:tcBorders>
              <w:top w:val="single" w:sz="4" w:space="0" w:color="auto"/>
              <w:bottom w:val="single" w:sz="4" w:space="0" w:color="auto"/>
            </w:tcBorders>
            <w:vAlign w:val="center"/>
          </w:tcPr>
          <w:p w14:paraId="33FC61AC" w14:textId="77777777" w:rsidR="00D232C4" w:rsidRPr="00CB1AEB" w:rsidRDefault="00D232C4" w:rsidP="00D232C4">
            <w:pPr>
              <w:spacing w:before="40" w:after="40"/>
              <w:rPr>
                <w:sz w:val="20"/>
                <w:szCs w:val="20"/>
              </w:rPr>
            </w:pPr>
            <w:r w:rsidRPr="00CB1AEB">
              <w:rPr>
                <w:sz w:val="20"/>
                <w:szCs w:val="20"/>
              </w:rPr>
              <w:t>(i) Controls in the taxpayer registration system</w:t>
            </w:r>
          </w:p>
        </w:tc>
        <w:tc>
          <w:tcPr>
            <w:tcW w:w="924" w:type="dxa"/>
            <w:tcBorders>
              <w:top w:val="single" w:sz="4" w:space="0" w:color="auto"/>
              <w:bottom w:val="single" w:sz="4" w:space="0" w:color="auto"/>
            </w:tcBorders>
            <w:vAlign w:val="center"/>
          </w:tcPr>
          <w:p w14:paraId="743BC412"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33DDD668" w14:textId="28B4C2EC" w:rsidR="00D232C4" w:rsidRPr="00CB1AEB" w:rsidRDefault="00C908BE" w:rsidP="00C908BE">
            <w:pPr>
              <w:spacing w:before="40" w:after="40"/>
              <w:jc w:val="center"/>
              <w:rPr>
                <w:sz w:val="20"/>
                <w:szCs w:val="20"/>
              </w:rPr>
            </w:pPr>
            <w:r>
              <w:rPr>
                <w:sz w:val="20"/>
                <w:szCs w:val="20"/>
              </w:rPr>
              <w:t>B</w:t>
            </w:r>
          </w:p>
        </w:tc>
        <w:tc>
          <w:tcPr>
            <w:tcW w:w="3911" w:type="dxa"/>
            <w:tcBorders>
              <w:top w:val="single" w:sz="4" w:space="0" w:color="auto"/>
              <w:bottom w:val="single" w:sz="4" w:space="0" w:color="auto"/>
            </w:tcBorders>
            <w:vAlign w:val="center"/>
          </w:tcPr>
          <w:p w14:paraId="607734F6" w14:textId="77777777" w:rsidR="00D232C4" w:rsidRPr="00CB1AEB" w:rsidRDefault="00D232C4" w:rsidP="00D232C4">
            <w:pPr>
              <w:spacing w:before="40" w:after="40"/>
              <w:rPr>
                <w:sz w:val="20"/>
                <w:szCs w:val="20"/>
              </w:rPr>
            </w:pPr>
            <w:r w:rsidRPr="00CB1AEB">
              <w:rPr>
                <w:b/>
                <w:sz w:val="20"/>
                <w:szCs w:val="20"/>
              </w:rPr>
              <w:t>Performance improved</w:t>
            </w:r>
            <w:r w:rsidRPr="00CB1AEB">
              <w:rPr>
                <w:sz w:val="20"/>
                <w:szCs w:val="20"/>
              </w:rPr>
              <w:t xml:space="preserve">, per interview the BIR system is currently linked to </w:t>
            </w:r>
          </w:p>
          <w:p w14:paraId="5837B1C2" w14:textId="5A3B062A" w:rsidR="00D232C4" w:rsidRPr="00CB1AEB" w:rsidRDefault="00D232C4" w:rsidP="00D232C4">
            <w:pPr>
              <w:spacing w:before="40" w:after="40"/>
              <w:rPr>
                <w:sz w:val="20"/>
                <w:szCs w:val="20"/>
              </w:rPr>
            </w:pPr>
            <w:r w:rsidRPr="00CB1AEB">
              <w:rPr>
                <w:sz w:val="20"/>
                <w:szCs w:val="20"/>
              </w:rPr>
              <w:t>(i) Securities and Exchange Commission,</w:t>
            </w:r>
          </w:p>
          <w:p w14:paraId="6BAB4AFF" w14:textId="0E92D8A9" w:rsidR="00D232C4" w:rsidRPr="00CB1AEB" w:rsidRDefault="00D232C4" w:rsidP="00D232C4">
            <w:pPr>
              <w:spacing w:before="40" w:after="40"/>
              <w:rPr>
                <w:sz w:val="20"/>
                <w:szCs w:val="20"/>
              </w:rPr>
            </w:pPr>
            <w:r w:rsidRPr="00CB1AEB">
              <w:rPr>
                <w:sz w:val="20"/>
                <w:szCs w:val="20"/>
              </w:rPr>
              <w:t>(ii) Department of Trade and Industry, and</w:t>
            </w:r>
          </w:p>
          <w:p w14:paraId="25690B94" w14:textId="13797541" w:rsidR="00D232C4" w:rsidRPr="00CB1AEB" w:rsidRDefault="00D232C4" w:rsidP="00D232C4">
            <w:pPr>
              <w:spacing w:before="40" w:after="40"/>
              <w:rPr>
                <w:sz w:val="20"/>
                <w:szCs w:val="20"/>
              </w:rPr>
            </w:pPr>
            <w:r w:rsidRPr="00CB1AEB">
              <w:rPr>
                <w:sz w:val="20"/>
                <w:szCs w:val="20"/>
              </w:rPr>
              <w:t>(iii) Land Registration Authority</w:t>
            </w:r>
            <w:r w:rsidR="00B73C85" w:rsidRPr="00CB1AEB">
              <w:rPr>
                <w:sz w:val="20"/>
                <w:szCs w:val="20"/>
              </w:rPr>
              <w:t>.</w:t>
            </w:r>
          </w:p>
          <w:p w14:paraId="49EDF8D1" w14:textId="6AF2FB88" w:rsidR="00D232C4" w:rsidRPr="00CB1AEB" w:rsidRDefault="00D232C4" w:rsidP="00D232C4">
            <w:pPr>
              <w:spacing w:before="40" w:after="40"/>
              <w:rPr>
                <w:sz w:val="20"/>
                <w:szCs w:val="20"/>
              </w:rPr>
            </w:pPr>
            <w:r w:rsidRPr="00CB1AEB">
              <w:rPr>
                <w:sz w:val="20"/>
                <w:szCs w:val="20"/>
              </w:rPr>
              <w:t>The BIR is coordinating with other agencies in linking their system</w:t>
            </w:r>
            <w:r w:rsidR="001C676F">
              <w:rPr>
                <w:sz w:val="20"/>
                <w:szCs w:val="20"/>
              </w:rPr>
              <w:t xml:space="preserve"> for registration.</w:t>
            </w:r>
          </w:p>
        </w:tc>
      </w:tr>
      <w:tr w:rsidR="00D232C4" w:rsidRPr="005A497D" w14:paraId="450C80F6" w14:textId="77777777" w:rsidTr="00CB1AEB">
        <w:tc>
          <w:tcPr>
            <w:tcW w:w="3597" w:type="dxa"/>
            <w:tcBorders>
              <w:top w:val="single" w:sz="4" w:space="0" w:color="auto"/>
              <w:bottom w:val="single" w:sz="4" w:space="0" w:color="auto"/>
            </w:tcBorders>
            <w:vAlign w:val="center"/>
          </w:tcPr>
          <w:p w14:paraId="4EA10FB1" w14:textId="77777777" w:rsidR="00D232C4" w:rsidRPr="00CB1AEB" w:rsidRDefault="00D232C4" w:rsidP="00D232C4">
            <w:pPr>
              <w:spacing w:before="40" w:after="40"/>
              <w:rPr>
                <w:sz w:val="20"/>
                <w:szCs w:val="20"/>
              </w:rPr>
            </w:pPr>
            <w:r w:rsidRPr="00CB1AEB">
              <w:rPr>
                <w:sz w:val="20"/>
                <w:szCs w:val="20"/>
              </w:rPr>
              <w:t>(ii) Effectiveness of penalties for non-compliance with registration and declaration obligations</w:t>
            </w:r>
          </w:p>
        </w:tc>
        <w:tc>
          <w:tcPr>
            <w:tcW w:w="924" w:type="dxa"/>
            <w:tcBorders>
              <w:top w:val="single" w:sz="4" w:space="0" w:color="auto"/>
              <w:bottom w:val="single" w:sz="4" w:space="0" w:color="auto"/>
            </w:tcBorders>
            <w:vAlign w:val="center"/>
          </w:tcPr>
          <w:p w14:paraId="13E3CF52"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25954459"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6A6BCFB7" w14:textId="1AC61E20" w:rsidR="00D232C4" w:rsidRPr="00CB1AEB" w:rsidRDefault="00D232C4" w:rsidP="00D46430">
            <w:pPr>
              <w:spacing w:before="40" w:after="40"/>
              <w:rPr>
                <w:sz w:val="20"/>
                <w:szCs w:val="20"/>
              </w:rPr>
            </w:pPr>
            <w:r w:rsidRPr="00CB1AEB">
              <w:rPr>
                <w:b/>
                <w:sz w:val="20"/>
                <w:szCs w:val="20"/>
              </w:rPr>
              <w:t>Performance improved</w:t>
            </w:r>
            <w:r w:rsidRPr="00CB1AEB">
              <w:rPr>
                <w:sz w:val="20"/>
                <w:szCs w:val="20"/>
              </w:rPr>
              <w:t xml:space="preserve">, RMO </w:t>
            </w:r>
            <w:r w:rsidR="00123FDC">
              <w:rPr>
                <w:sz w:val="20"/>
                <w:szCs w:val="20"/>
              </w:rPr>
              <w:t>N</w:t>
            </w:r>
            <w:r w:rsidRPr="00CB1AEB">
              <w:rPr>
                <w:sz w:val="20"/>
                <w:szCs w:val="20"/>
              </w:rPr>
              <w:t>o. 7-2015 prescribes and implements the revised consolidated Schedule of Compromise Penalties for Violations of the National Internal Revenue Code</w:t>
            </w:r>
            <w:r w:rsidR="001C676F">
              <w:rPr>
                <w:sz w:val="20"/>
                <w:szCs w:val="20"/>
              </w:rPr>
              <w:t xml:space="preserve"> and introduction of </w:t>
            </w:r>
            <w:r w:rsidR="00123FDC">
              <w:rPr>
                <w:sz w:val="20"/>
                <w:szCs w:val="20"/>
              </w:rPr>
              <w:t xml:space="preserve">eFiling </w:t>
            </w:r>
            <w:r w:rsidR="001C676F">
              <w:rPr>
                <w:sz w:val="20"/>
                <w:szCs w:val="20"/>
              </w:rPr>
              <w:t xml:space="preserve">has improved monitoring and enforcement ability. </w:t>
            </w:r>
          </w:p>
        </w:tc>
      </w:tr>
      <w:tr w:rsidR="00D232C4" w:rsidRPr="005A497D" w14:paraId="137B2661" w14:textId="77777777" w:rsidTr="00CB1AEB">
        <w:tc>
          <w:tcPr>
            <w:tcW w:w="3597" w:type="dxa"/>
            <w:tcBorders>
              <w:top w:val="single" w:sz="4" w:space="0" w:color="auto"/>
              <w:bottom w:val="double" w:sz="4" w:space="0" w:color="auto"/>
            </w:tcBorders>
            <w:vAlign w:val="center"/>
          </w:tcPr>
          <w:p w14:paraId="0BBC4346" w14:textId="77777777" w:rsidR="00D232C4" w:rsidRPr="00CB1AEB" w:rsidRDefault="00D232C4" w:rsidP="00D232C4">
            <w:pPr>
              <w:spacing w:before="40" w:after="40"/>
              <w:rPr>
                <w:sz w:val="20"/>
                <w:szCs w:val="20"/>
              </w:rPr>
            </w:pPr>
            <w:r w:rsidRPr="00CB1AEB">
              <w:rPr>
                <w:sz w:val="20"/>
                <w:szCs w:val="20"/>
              </w:rPr>
              <w:t>(iii) Planning and monitoring of tax audit and fraud investigation programs</w:t>
            </w:r>
          </w:p>
        </w:tc>
        <w:tc>
          <w:tcPr>
            <w:tcW w:w="924" w:type="dxa"/>
            <w:tcBorders>
              <w:top w:val="single" w:sz="4" w:space="0" w:color="auto"/>
              <w:bottom w:val="double" w:sz="4" w:space="0" w:color="auto"/>
            </w:tcBorders>
            <w:vAlign w:val="center"/>
          </w:tcPr>
          <w:p w14:paraId="506D891B"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double" w:sz="4" w:space="0" w:color="auto"/>
            </w:tcBorders>
            <w:vAlign w:val="center"/>
          </w:tcPr>
          <w:p w14:paraId="15319EE3" w14:textId="77777777" w:rsidR="00D232C4" w:rsidRPr="00CB1AEB" w:rsidRDefault="00D232C4" w:rsidP="00CB1AEB">
            <w:pPr>
              <w:spacing w:before="40" w:after="40"/>
              <w:jc w:val="center"/>
              <w:rPr>
                <w:sz w:val="20"/>
                <w:szCs w:val="20"/>
              </w:rPr>
            </w:pPr>
            <w:r w:rsidRPr="00CB1AEB">
              <w:rPr>
                <w:sz w:val="20"/>
                <w:szCs w:val="20"/>
              </w:rPr>
              <w:t>B</w:t>
            </w:r>
          </w:p>
        </w:tc>
        <w:tc>
          <w:tcPr>
            <w:tcW w:w="3911" w:type="dxa"/>
            <w:tcBorders>
              <w:top w:val="single" w:sz="4" w:space="0" w:color="auto"/>
              <w:bottom w:val="double" w:sz="4" w:space="0" w:color="auto"/>
            </w:tcBorders>
            <w:vAlign w:val="center"/>
          </w:tcPr>
          <w:p w14:paraId="2BA92848" w14:textId="631B752F" w:rsidR="00D232C4" w:rsidRPr="00CB1AEB" w:rsidRDefault="00D232C4" w:rsidP="00D232C4">
            <w:pPr>
              <w:spacing w:before="40" w:after="40"/>
              <w:rPr>
                <w:sz w:val="20"/>
                <w:szCs w:val="20"/>
              </w:rPr>
            </w:pPr>
            <w:r w:rsidRPr="00CB1AEB">
              <w:rPr>
                <w:b/>
                <w:sz w:val="20"/>
                <w:szCs w:val="20"/>
              </w:rPr>
              <w:t xml:space="preserve">Performance improved, </w:t>
            </w:r>
            <w:r w:rsidRPr="00CB1AEB">
              <w:rPr>
                <w:sz w:val="20"/>
                <w:szCs w:val="20"/>
              </w:rPr>
              <w:t>as the BIR sets an annual audit program and issues special guid</w:t>
            </w:r>
            <w:r w:rsidR="001C676F">
              <w:rPr>
                <w:sz w:val="20"/>
                <w:szCs w:val="20"/>
              </w:rPr>
              <w:t>elines to audit value added tax. This was not done before.</w:t>
            </w:r>
          </w:p>
        </w:tc>
      </w:tr>
      <w:tr w:rsidR="00D232C4" w:rsidRPr="005A497D" w14:paraId="279C2DE1" w14:textId="77777777" w:rsidTr="00CB1AEB">
        <w:trPr>
          <w:trHeight w:val="680"/>
        </w:trPr>
        <w:tc>
          <w:tcPr>
            <w:tcW w:w="3597" w:type="dxa"/>
            <w:tcBorders>
              <w:top w:val="double" w:sz="4" w:space="0" w:color="auto"/>
              <w:bottom w:val="single" w:sz="4" w:space="0" w:color="auto"/>
            </w:tcBorders>
            <w:vAlign w:val="center"/>
          </w:tcPr>
          <w:p w14:paraId="767C1101" w14:textId="77777777" w:rsidR="00D232C4" w:rsidRPr="00CB1AEB" w:rsidRDefault="00D232C4" w:rsidP="00D232C4">
            <w:pPr>
              <w:spacing w:before="40" w:after="40"/>
              <w:rPr>
                <w:b/>
                <w:sz w:val="20"/>
                <w:szCs w:val="20"/>
              </w:rPr>
            </w:pPr>
            <w:r w:rsidRPr="00CB1AEB">
              <w:rPr>
                <w:b/>
                <w:sz w:val="20"/>
                <w:szCs w:val="20"/>
              </w:rPr>
              <w:t>PI-15 Effectiveness in collection of tax payments</w:t>
            </w:r>
          </w:p>
        </w:tc>
        <w:tc>
          <w:tcPr>
            <w:tcW w:w="924" w:type="dxa"/>
            <w:tcBorders>
              <w:top w:val="double" w:sz="4" w:space="0" w:color="auto"/>
              <w:bottom w:val="single" w:sz="4" w:space="0" w:color="auto"/>
            </w:tcBorders>
            <w:vAlign w:val="center"/>
          </w:tcPr>
          <w:p w14:paraId="10A5554B" w14:textId="77777777" w:rsidR="00D232C4" w:rsidRPr="00CB1AEB" w:rsidRDefault="00D232C4" w:rsidP="00CB1AEB">
            <w:pPr>
              <w:spacing w:before="40" w:after="40"/>
              <w:jc w:val="center"/>
              <w:rPr>
                <w:b/>
                <w:sz w:val="20"/>
                <w:szCs w:val="20"/>
              </w:rPr>
            </w:pPr>
            <w:r w:rsidRPr="00CB1AEB">
              <w:rPr>
                <w:b/>
                <w:sz w:val="20"/>
                <w:szCs w:val="20"/>
              </w:rPr>
              <w:t>D+</w:t>
            </w:r>
          </w:p>
        </w:tc>
        <w:tc>
          <w:tcPr>
            <w:tcW w:w="924" w:type="dxa"/>
            <w:tcBorders>
              <w:top w:val="double" w:sz="4" w:space="0" w:color="auto"/>
              <w:bottom w:val="single" w:sz="4" w:space="0" w:color="auto"/>
            </w:tcBorders>
            <w:vAlign w:val="center"/>
          </w:tcPr>
          <w:p w14:paraId="31C5D086" w14:textId="77777777" w:rsidR="00D232C4" w:rsidRPr="00CB1AEB" w:rsidRDefault="00D232C4" w:rsidP="00CB1AEB">
            <w:pPr>
              <w:spacing w:before="40" w:after="40"/>
              <w:jc w:val="center"/>
              <w:rPr>
                <w:b/>
                <w:sz w:val="20"/>
                <w:szCs w:val="20"/>
              </w:rPr>
            </w:pPr>
            <w:r w:rsidRPr="00CB1AEB">
              <w:rPr>
                <w:b/>
                <w:sz w:val="20"/>
                <w:szCs w:val="20"/>
              </w:rPr>
              <w:t>A</w:t>
            </w:r>
          </w:p>
        </w:tc>
        <w:tc>
          <w:tcPr>
            <w:tcW w:w="3911" w:type="dxa"/>
            <w:tcBorders>
              <w:top w:val="double" w:sz="4" w:space="0" w:color="auto"/>
              <w:bottom w:val="single" w:sz="4" w:space="0" w:color="auto"/>
            </w:tcBorders>
            <w:vAlign w:val="center"/>
          </w:tcPr>
          <w:p w14:paraId="0CDD79F4" w14:textId="77777777" w:rsidR="00D232C4" w:rsidRPr="00CB1AEB" w:rsidRDefault="00D232C4" w:rsidP="00D232C4">
            <w:pPr>
              <w:spacing w:before="40" w:after="40"/>
              <w:rPr>
                <w:b/>
                <w:sz w:val="20"/>
                <w:szCs w:val="20"/>
              </w:rPr>
            </w:pPr>
            <w:r w:rsidRPr="00CB1AEB">
              <w:rPr>
                <w:b/>
                <w:sz w:val="20"/>
                <w:szCs w:val="20"/>
              </w:rPr>
              <w:t>Overall rating based on M1 methodology.</w:t>
            </w:r>
          </w:p>
        </w:tc>
      </w:tr>
      <w:tr w:rsidR="00D232C4" w:rsidRPr="005A497D" w14:paraId="4767A9D0" w14:textId="77777777" w:rsidTr="00CB1AEB">
        <w:tc>
          <w:tcPr>
            <w:tcW w:w="3597" w:type="dxa"/>
            <w:tcBorders>
              <w:top w:val="single" w:sz="4" w:space="0" w:color="auto"/>
              <w:bottom w:val="single" w:sz="4" w:space="0" w:color="auto"/>
            </w:tcBorders>
            <w:vAlign w:val="center"/>
          </w:tcPr>
          <w:p w14:paraId="2D98D8F8" w14:textId="77777777" w:rsidR="00D232C4" w:rsidRPr="00CB1AEB" w:rsidRDefault="00D232C4" w:rsidP="00D232C4">
            <w:pPr>
              <w:spacing w:before="40" w:after="40"/>
              <w:rPr>
                <w:sz w:val="20"/>
                <w:szCs w:val="20"/>
              </w:rPr>
            </w:pPr>
            <w:r w:rsidRPr="00CB1AEB">
              <w:rPr>
                <w:sz w:val="20"/>
                <w:szCs w:val="20"/>
              </w:rPr>
              <w:t>(i) Collection ratio for gross tax arrears, being the percentage of tax arrears at the beginning of a fiscal year, which was collected during that fiscal year (average of the last two fiscal years)</w:t>
            </w:r>
          </w:p>
        </w:tc>
        <w:tc>
          <w:tcPr>
            <w:tcW w:w="924" w:type="dxa"/>
            <w:tcBorders>
              <w:top w:val="single" w:sz="4" w:space="0" w:color="auto"/>
              <w:bottom w:val="single" w:sz="4" w:space="0" w:color="auto"/>
            </w:tcBorders>
            <w:vAlign w:val="center"/>
          </w:tcPr>
          <w:p w14:paraId="5BC87FD4" w14:textId="77777777" w:rsidR="00D232C4" w:rsidRPr="00CB1AEB" w:rsidRDefault="00E51AD3" w:rsidP="00CB1AEB">
            <w:pPr>
              <w:spacing w:before="40" w:after="40"/>
              <w:jc w:val="center"/>
              <w:rPr>
                <w:sz w:val="20"/>
                <w:szCs w:val="20"/>
              </w:rPr>
            </w:pPr>
            <w:r w:rsidRPr="00CB1AEB">
              <w:rPr>
                <w:sz w:val="20"/>
                <w:szCs w:val="20"/>
              </w:rPr>
              <w:t>A</w:t>
            </w:r>
          </w:p>
        </w:tc>
        <w:tc>
          <w:tcPr>
            <w:tcW w:w="924" w:type="dxa"/>
            <w:tcBorders>
              <w:top w:val="single" w:sz="4" w:space="0" w:color="auto"/>
              <w:bottom w:val="single" w:sz="4" w:space="0" w:color="auto"/>
            </w:tcBorders>
            <w:vAlign w:val="center"/>
          </w:tcPr>
          <w:p w14:paraId="35DCCAC6" w14:textId="77777777" w:rsidR="00D232C4" w:rsidRPr="00CB1AEB" w:rsidRDefault="000D24CA"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725BD0D7" w14:textId="77777777" w:rsidR="00D232C4" w:rsidRPr="00CB1AEB" w:rsidRDefault="000D24CA" w:rsidP="004A28F0">
            <w:pPr>
              <w:spacing w:before="40" w:after="40"/>
              <w:rPr>
                <w:sz w:val="20"/>
                <w:szCs w:val="20"/>
              </w:rPr>
            </w:pPr>
            <w:r w:rsidRPr="00CB1AEB">
              <w:rPr>
                <w:sz w:val="20"/>
                <w:szCs w:val="20"/>
              </w:rPr>
              <w:t>The process of recording and monitoring has improved. This can be noted in the percentage of the total tax arrears against the total revenue for the past three years. The percentages were 4%, 6% and 6% for 2012, 2013 and 2014, respectively.</w:t>
            </w:r>
          </w:p>
        </w:tc>
      </w:tr>
      <w:tr w:rsidR="00D232C4" w:rsidRPr="005A497D" w14:paraId="2634DF01" w14:textId="77777777" w:rsidTr="00CB1AEB">
        <w:tc>
          <w:tcPr>
            <w:tcW w:w="3597" w:type="dxa"/>
            <w:tcBorders>
              <w:top w:val="single" w:sz="4" w:space="0" w:color="auto"/>
              <w:bottom w:val="single" w:sz="4" w:space="0" w:color="auto"/>
            </w:tcBorders>
            <w:vAlign w:val="center"/>
          </w:tcPr>
          <w:p w14:paraId="6EEA6501" w14:textId="77777777" w:rsidR="00D232C4" w:rsidRPr="00CB1AEB" w:rsidRDefault="00D232C4" w:rsidP="00D232C4">
            <w:pPr>
              <w:spacing w:before="40" w:after="40"/>
              <w:rPr>
                <w:sz w:val="20"/>
                <w:szCs w:val="20"/>
              </w:rPr>
            </w:pPr>
            <w:r w:rsidRPr="00CB1AEB">
              <w:rPr>
                <w:sz w:val="20"/>
                <w:szCs w:val="20"/>
              </w:rPr>
              <w:t>(ii) Effectiveness of transfer of tax collections to the Treasury by the revenue administration</w:t>
            </w:r>
          </w:p>
        </w:tc>
        <w:tc>
          <w:tcPr>
            <w:tcW w:w="924" w:type="dxa"/>
            <w:tcBorders>
              <w:top w:val="single" w:sz="4" w:space="0" w:color="auto"/>
              <w:bottom w:val="single" w:sz="4" w:space="0" w:color="auto"/>
            </w:tcBorders>
            <w:vAlign w:val="center"/>
          </w:tcPr>
          <w:p w14:paraId="3131CC67" w14:textId="77777777" w:rsidR="00D232C4" w:rsidRPr="00CB1AEB" w:rsidRDefault="00D232C4" w:rsidP="00CB1AEB">
            <w:pPr>
              <w:spacing w:before="40" w:after="40"/>
              <w:jc w:val="center"/>
              <w:rPr>
                <w:sz w:val="20"/>
                <w:szCs w:val="20"/>
              </w:rPr>
            </w:pPr>
            <w:r w:rsidRPr="00CB1AEB">
              <w:rPr>
                <w:sz w:val="20"/>
                <w:szCs w:val="20"/>
              </w:rPr>
              <w:t>C</w:t>
            </w:r>
          </w:p>
        </w:tc>
        <w:tc>
          <w:tcPr>
            <w:tcW w:w="924" w:type="dxa"/>
            <w:tcBorders>
              <w:top w:val="single" w:sz="4" w:space="0" w:color="auto"/>
              <w:bottom w:val="single" w:sz="4" w:space="0" w:color="auto"/>
            </w:tcBorders>
            <w:vAlign w:val="center"/>
          </w:tcPr>
          <w:p w14:paraId="5E7B5AC4"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single" w:sz="4" w:space="0" w:color="auto"/>
            </w:tcBorders>
            <w:vAlign w:val="center"/>
          </w:tcPr>
          <w:p w14:paraId="3D55F8C1" w14:textId="67A834CF" w:rsidR="00D232C4" w:rsidRPr="00CB1AEB" w:rsidRDefault="00D232C4" w:rsidP="001C676F">
            <w:pPr>
              <w:spacing w:before="40" w:after="40"/>
              <w:rPr>
                <w:sz w:val="20"/>
                <w:szCs w:val="20"/>
              </w:rPr>
            </w:pPr>
            <w:r w:rsidRPr="00CB1AEB">
              <w:rPr>
                <w:b/>
                <w:sz w:val="20"/>
                <w:szCs w:val="20"/>
              </w:rPr>
              <w:t>Performance improved</w:t>
            </w:r>
            <w:r w:rsidR="001C676F">
              <w:rPr>
                <w:sz w:val="20"/>
                <w:szCs w:val="20"/>
              </w:rPr>
              <w:t xml:space="preserve"> through the roll-out of the TSA reform which is now fully implemented on revenue side</w:t>
            </w:r>
            <w:r w:rsidRPr="00CB1AEB">
              <w:rPr>
                <w:sz w:val="20"/>
                <w:szCs w:val="20"/>
              </w:rPr>
              <w:t>.</w:t>
            </w:r>
          </w:p>
        </w:tc>
      </w:tr>
      <w:tr w:rsidR="00D232C4" w:rsidRPr="005A497D" w14:paraId="54BC48A9" w14:textId="77777777" w:rsidTr="00CB1AEB">
        <w:tc>
          <w:tcPr>
            <w:tcW w:w="3597" w:type="dxa"/>
            <w:tcBorders>
              <w:top w:val="single" w:sz="4" w:space="0" w:color="auto"/>
              <w:bottom w:val="double" w:sz="4" w:space="0" w:color="auto"/>
            </w:tcBorders>
            <w:vAlign w:val="center"/>
          </w:tcPr>
          <w:p w14:paraId="555BE980" w14:textId="77777777" w:rsidR="00D232C4" w:rsidRPr="00CB1AEB" w:rsidRDefault="00D232C4" w:rsidP="00D232C4">
            <w:pPr>
              <w:spacing w:before="40" w:after="40"/>
              <w:rPr>
                <w:sz w:val="20"/>
                <w:szCs w:val="20"/>
              </w:rPr>
            </w:pPr>
            <w:r w:rsidRPr="00CB1AEB">
              <w:rPr>
                <w:sz w:val="20"/>
                <w:szCs w:val="20"/>
              </w:rPr>
              <w:t>(iii) Frequency of complete accounts reconciliation between tax assessments, collections, arrears records and receipts by the Treasury</w:t>
            </w:r>
          </w:p>
        </w:tc>
        <w:tc>
          <w:tcPr>
            <w:tcW w:w="924" w:type="dxa"/>
            <w:tcBorders>
              <w:top w:val="single" w:sz="4" w:space="0" w:color="auto"/>
              <w:bottom w:val="double" w:sz="4" w:space="0" w:color="auto"/>
            </w:tcBorders>
            <w:vAlign w:val="center"/>
          </w:tcPr>
          <w:p w14:paraId="4219BFEC" w14:textId="77777777" w:rsidR="00D232C4" w:rsidRPr="00CB1AEB" w:rsidRDefault="00D232C4" w:rsidP="00CB1AEB">
            <w:pPr>
              <w:spacing w:before="40" w:after="40"/>
              <w:jc w:val="center"/>
              <w:rPr>
                <w:sz w:val="20"/>
                <w:szCs w:val="20"/>
              </w:rPr>
            </w:pPr>
            <w:r w:rsidRPr="00CB1AEB">
              <w:rPr>
                <w:sz w:val="20"/>
                <w:szCs w:val="20"/>
              </w:rPr>
              <w:t>D</w:t>
            </w:r>
          </w:p>
        </w:tc>
        <w:tc>
          <w:tcPr>
            <w:tcW w:w="924" w:type="dxa"/>
            <w:tcBorders>
              <w:top w:val="single" w:sz="4" w:space="0" w:color="auto"/>
              <w:bottom w:val="double" w:sz="4" w:space="0" w:color="auto"/>
            </w:tcBorders>
            <w:vAlign w:val="center"/>
          </w:tcPr>
          <w:p w14:paraId="70E49434" w14:textId="77777777" w:rsidR="00D232C4" w:rsidRPr="00CB1AEB" w:rsidRDefault="00D232C4" w:rsidP="00CB1AEB">
            <w:pPr>
              <w:spacing w:before="40" w:after="40"/>
              <w:jc w:val="center"/>
              <w:rPr>
                <w:sz w:val="20"/>
                <w:szCs w:val="20"/>
              </w:rPr>
            </w:pPr>
            <w:r w:rsidRPr="00CB1AEB">
              <w:rPr>
                <w:sz w:val="20"/>
                <w:szCs w:val="20"/>
              </w:rPr>
              <w:t>A</w:t>
            </w:r>
          </w:p>
        </w:tc>
        <w:tc>
          <w:tcPr>
            <w:tcW w:w="3911" w:type="dxa"/>
            <w:tcBorders>
              <w:top w:val="single" w:sz="4" w:space="0" w:color="auto"/>
              <w:bottom w:val="double" w:sz="4" w:space="0" w:color="auto"/>
            </w:tcBorders>
            <w:vAlign w:val="center"/>
          </w:tcPr>
          <w:p w14:paraId="0C167612" w14:textId="5CFCEC3D" w:rsidR="00D232C4" w:rsidRPr="00CB1AEB" w:rsidRDefault="001C676F" w:rsidP="00D232C4">
            <w:pPr>
              <w:spacing w:before="40" w:after="40"/>
              <w:rPr>
                <w:sz w:val="20"/>
                <w:szCs w:val="20"/>
              </w:rPr>
            </w:pPr>
            <w:r w:rsidRPr="00CB1AEB">
              <w:rPr>
                <w:b/>
                <w:sz w:val="20"/>
                <w:szCs w:val="20"/>
              </w:rPr>
              <w:t>Performance improved</w:t>
            </w:r>
            <w:r>
              <w:rPr>
                <w:sz w:val="20"/>
                <w:szCs w:val="20"/>
              </w:rPr>
              <w:t xml:space="preserve"> </w:t>
            </w:r>
            <w:r w:rsidR="00D232C4" w:rsidRPr="00CB1AEB">
              <w:rPr>
                <w:sz w:val="20"/>
                <w:szCs w:val="20"/>
              </w:rPr>
              <w:t>Reconciliations with the BTr of the collections of the BIR and BOC are being done monthly</w:t>
            </w:r>
            <w:r w:rsidR="004A28F0" w:rsidRPr="00CB1AEB">
              <w:rPr>
                <w:sz w:val="20"/>
                <w:szCs w:val="20"/>
              </w:rPr>
              <w:t>.</w:t>
            </w:r>
          </w:p>
        </w:tc>
      </w:tr>
      <w:tr w:rsidR="00D232C4" w:rsidRPr="005A497D" w14:paraId="591610E8"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563C571B" w14:textId="77777777" w:rsidR="00D232C4" w:rsidRPr="00CB1AEB" w:rsidRDefault="00D232C4" w:rsidP="00D232C4">
            <w:pPr>
              <w:pStyle w:val="Body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40" w:after="40"/>
              <w:rPr>
                <w:rFonts w:ascii="Times New Roman" w:hAnsi="Times New Roman"/>
                <w:b/>
                <w:sz w:val="20"/>
              </w:rPr>
            </w:pPr>
            <w:r w:rsidRPr="00CB1AEB">
              <w:rPr>
                <w:rFonts w:ascii="Times New Roman" w:hAnsi="Times New Roman"/>
                <w:b/>
                <w:sz w:val="20"/>
              </w:rPr>
              <w:t>PI-16 Predictability in the availability of funds for commitment of expenditures</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63E68D3C" w14:textId="77777777" w:rsidR="00D232C4" w:rsidRPr="00CB1AEB" w:rsidRDefault="00D232C4" w:rsidP="00CB1AEB">
            <w:pPr>
              <w:pStyle w:val="BodyBA"/>
              <w:spacing w:before="40" w:after="40"/>
              <w:jc w:val="center"/>
              <w:rPr>
                <w:rFonts w:ascii="Times New Roman" w:hAnsi="Times New Roman"/>
                <w:b/>
                <w:sz w:val="20"/>
              </w:rPr>
            </w:pPr>
            <w:r w:rsidRPr="00CB1AEB">
              <w:rPr>
                <w:rFonts w:ascii="Times New Roman" w:hAnsi="Times New Roman"/>
                <w:b/>
                <w:sz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1EC51C41" w14:textId="77777777" w:rsidR="00D232C4" w:rsidRPr="00CB1AEB" w:rsidRDefault="00D615CB" w:rsidP="00CB1AEB">
            <w:pPr>
              <w:pStyle w:val="BodyB"/>
              <w:spacing w:before="40" w:after="40"/>
              <w:jc w:val="center"/>
              <w:rPr>
                <w:rFonts w:ascii="Times New Roman" w:hAnsi="Times New Roman"/>
                <w:b/>
                <w:sz w:val="20"/>
              </w:rPr>
            </w:pPr>
            <w:r w:rsidRPr="00CB1AEB">
              <w:rPr>
                <w:rFonts w:ascii="Times New Roman" w:hAnsi="Times New Roman"/>
                <w:b/>
                <w:sz w:val="20"/>
              </w:rPr>
              <w:t>A</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0AD99AD8" w14:textId="77777777" w:rsidR="00D232C4" w:rsidRPr="00CB1AEB" w:rsidRDefault="00D232C4" w:rsidP="00D232C4">
            <w:pPr>
              <w:spacing w:before="40" w:after="40"/>
              <w:rPr>
                <w:b/>
                <w:sz w:val="20"/>
                <w:szCs w:val="20"/>
              </w:rPr>
            </w:pPr>
            <w:r w:rsidRPr="00CB1AEB">
              <w:rPr>
                <w:b/>
                <w:sz w:val="20"/>
                <w:szCs w:val="20"/>
              </w:rPr>
              <w:t>Overall rating based on M1 methodology.</w:t>
            </w:r>
          </w:p>
        </w:tc>
      </w:tr>
      <w:tr w:rsidR="00D232C4" w:rsidRPr="005A497D" w14:paraId="0F3A8ADC"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742"/>
        </w:trPr>
        <w:tc>
          <w:tcPr>
            <w:tcW w:w="3597" w:type="dxa"/>
            <w:tcBorders>
              <w:top w:val="single" w:sz="8" w:space="0" w:color="000000"/>
              <w:left w:val="double" w:sz="4" w:space="0" w:color="auto"/>
              <w:bottom w:val="single" w:sz="8" w:space="0" w:color="000000"/>
              <w:right w:val="single" w:sz="8" w:space="0" w:color="000000"/>
            </w:tcBorders>
            <w:shd w:val="clear" w:color="auto" w:fill="FFFFFF"/>
            <w:vAlign w:val="center"/>
          </w:tcPr>
          <w:p w14:paraId="3E937637"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Extent to which cash flows are forecast and monitored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A2ADEF8"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A</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19B89268"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58D5701A" w14:textId="77777777"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A cash flow forecast is prepared for the fiscal year and updated monthly based on actual cash inflows and outflows.</w:t>
            </w:r>
          </w:p>
        </w:tc>
      </w:tr>
      <w:tr w:rsidR="00D232C4" w:rsidRPr="005A497D" w14:paraId="1FCCC529"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691"/>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53EDE599"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Reliability and horizon of periodic in-year information to departments on ceilings for expenditure commitment</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688E09F4"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C20BAA5"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7EA52015" w14:textId="2EAD7F5D" w:rsidR="00D232C4" w:rsidRPr="00CB1AEB" w:rsidRDefault="00D232C4" w:rsidP="001C676F">
            <w:pPr>
              <w:pStyle w:val="BodyB"/>
              <w:tabs>
                <w:tab w:val="left" w:pos="287"/>
              </w:tabs>
              <w:spacing w:before="40" w:after="40"/>
              <w:rPr>
                <w:rFonts w:ascii="Times New Roman" w:hAnsi="Times New Roman"/>
                <w:color w:val="0E0E0E"/>
                <w:sz w:val="20"/>
              </w:rPr>
            </w:pPr>
            <w:r w:rsidRPr="00CB1AEB">
              <w:rPr>
                <w:rFonts w:ascii="Times New Roman" w:hAnsi="Times New Roman"/>
                <w:b/>
                <w:sz w:val="20"/>
              </w:rPr>
              <w:t>Performance improved</w:t>
            </w:r>
            <w:r w:rsidRPr="00CB1AEB">
              <w:rPr>
                <w:rFonts w:ascii="Times New Roman" w:hAnsi="Times New Roman"/>
                <w:sz w:val="20"/>
              </w:rPr>
              <w:t xml:space="preserve">. </w:t>
            </w:r>
            <w:r w:rsidR="001C676F">
              <w:rPr>
                <w:rFonts w:ascii="Times New Roman" w:hAnsi="Times New Roman"/>
                <w:sz w:val="20"/>
              </w:rPr>
              <w:t>Since</w:t>
            </w:r>
            <w:r w:rsidRPr="00CB1AEB">
              <w:rPr>
                <w:rFonts w:ascii="Times New Roman" w:hAnsi="Times New Roman"/>
                <w:sz w:val="20"/>
              </w:rPr>
              <w:t xml:space="preserve"> 2014, the GAA stands as the government’s primary budget release document. </w:t>
            </w:r>
            <w:r w:rsidRPr="00CB1AEB">
              <w:rPr>
                <w:rFonts w:ascii="Times New Roman" w:hAnsi="Times New Roman"/>
                <w:color w:val="0E0E0E"/>
                <w:sz w:val="20"/>
              </w:rPr>
              <w:t xml:space="preserve">An agency can begin obligating funds as soon as the GAA is </w:t>
            </w:r>
            <w:r w:rsidR="001C676F">
              <w:rPr>
                <w:rFonts w:ascii="Times New Roman" w:hAnsi="Times New Roman"/>
                <w:color w:val="0E0E0E"/>
                <w:sz w:val="20"/>
              </w:rPr>
              <w:t>enact</w:t>
            </w:r>
            <w:r w:rsidRPr="00CB1AEB">
              <w:rPr>
                <w:rFonts w:ascii="Times New Roman" w:hAnsi="Times New Roman"/>
                <w:color w:val="0E0E0E"/>
                <w:sz w:val="20"/>
              </w:rPr>
              <w:t xml:space="preserve">ed on the very first working day of the fiscal year. For multi-year </w:t>
            </w:r>
            <w:r w:rsidR="00D615CB" w:rsidRPr="00CB1AEB">
              <w:rPr>
                <w:rFonts w:ascii="Times New Roman" w:hAnsi="Times New Roman"/>
                <w:color w:val="0E0E0E"/>
                <w:sz w:val="20"/>
              </w:rPr>
              <w:t>PPAs</w:t>
            </w:r>
            <w:r w:rsidRPr="00CB1AEB">
              <w:rPr>
                <w:rFonts w:ascii="Times New Roman" w:hAnsi="Times New Roman"/>
                <w:color w:val="0E0E0E"/>
                <w:sz w:val="20"/>
              </w:rPr>
              <w:t>, Multi Year Obligation Authority is necessary prior to entering into contracts. Cash allotment is made every six months.</w:t>
            </w:r>
          </w:p>
        </w:tc>
      </w:tr>
      <w:tr w:rsidR="00D232C4" w:rsidRPr="005A497D" w14:paraId="3CA6DBC7"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643"/>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0DB46F5E"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Frequency and transparency of adjustments to budget allocations, which are decided above the level of management  of departments</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5E2128D6"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392882B8"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622B92AD" w14:textId="77777777"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sz w:val="20"/>
              </w:rPr>
              <w:t>Performance improved</w:t>
            </w:r>
            <w:r w:rsidRPr="00CB1AEB">
              <w:rPr>
                <w:rFonts w:ascii="Times New Roman" w:hAnsi="Times New Roman"/>
                <w:sz w:val="20"/>
              </w:rPr>
              <w:t>. In 2015, DBM issued National Budget Circular No. 559 dated June 26, 2015 to provide guidelines in the realignment of funds</w:t>
            </w:r>
            <w:r w:rsidRPr="00CB1AEB" w:rsidDel="007E0A92">
              <w:rPr>
                <w:rFonts w:ascii="Times New Roman" w:hAnsi="Times New Roman"/>
                <w:sz w:val="20"/>
              </w:rPr>
              <w:t xml:space="preserve"> </w:t>
            </w:r>
          </w:p>
        </w:tc>
      </w:tr>
      <w:tr w:rsidR="00404E52" w:rsidRPr="005A497D" w14:paraId="67CB2198"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684A2E78" w14:textId="77777777" w:rsidR="00404E52" w:rsidRPr="00CB1AEB" w:rsidRDefault="00404E52" w:rsidP="00D232C4">
            <w:pPr>
              <w:pStyle w:val="Body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40" w:after="40"/>
              <w:rPr>
                <w:rFonts w:ascii="Times New Roman" w:hAnsi="Times New Roman"/>
                <w:b/>
                <w:sz w:val="20"/>
              </w:rPr>
            </w:pPr>
            <w:r w:rsidRPr="00CB1AEB">
              <w:rPr>
                <w:rFonts w:ascii="Times New Roman" w:hAnsi="Times New Roman"/>
                <w:b/>
                <w:sz w:val="20"/>
              </w:rPr>
              <w:t>PI-17 Recording and management of cash balances, debt and guarantees</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00E58EE2" w14:textId="77777777" w:rsidR="00404E52" w:rsidRPr="00CB1AEB" w:rsidRDefault="00404E52" w:rsidP="00CB1AEB">
            <w:pPr>
              <w:pStyle w:val="BodyBA"/>
              <w:spacing w:before="40" w:after="40"/>
              <w:jc w:val="center"/>
              <w:rPr>
                <w:rFonts w:ascii="Times New Roman" w:hAnsi="Times New Roman"/>
                <w:b/>
                <w:sz w:val="20"/>
              </w:rPr>
            </w:pPr>
            <w:r w:rsidRPr="00CB1AEB">
              <w:rPr>
                <w:rFonts w:ascii="Times New Roman" w:hAnsi="Times New Roman"/>
                <w:b/>
                <w:sz w:val="20"/>
              </w:rPr>
              <w:t>B</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01A72D0D" w14:textId="77777777" w:rsidR="00404E52" w:rsidRPr="00CB1AEB" w:rsidRDefault="00404E52" w:rsidP="00CB1AEB">
            <w:pPr>
              <w:pStyle w:val="BodyB"/>
              <w:spacing w:before="40" w:after="40"/>
              <w:jc w:val="center"/>
              <w:rPr>
                <w:rFonts w:ascii="Times New Roman" w:hAnsi="Times New Roman"/>
                <w:b/>
                <w:sz w:val="20"/>
              </w:rPr>
            </w:pPr>
            <w:r w:rsidRPr="00CB1AEB">
              <w:rPr>
                <w:rFonts w:ascii="Times New Roman" w:hAnsi="Times New Roman"/>
                <w:b/>
                <w:sz w:val="20"/>
              </w:rPr>
              <w:t>B</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05780100" w14:textId="77777777" w:rsidR="00404E52" w:rsidRPr="00CB1AEB" w:rsidRDefault="00404E52" w:rsidP="00750A0F">
            <w:pPr>
              <w:spacing w:before="40" w:after="40"/>
              <w:rPr>
                <w:b/>
                <w:sz w:val="20"/>
                <w:szCs w:val="20"/>
              </w:rPr>
            </w:pPr>
            <w:r w:rsidRPr="00CB1AEB">
              <w:rPr>
                <w:b/>
                <w:sz w:val="20"/>
                <w:szCs w:val="20"/>
              </w:rPr>
              <w:t>Overall rating based on M2 methodology.</w:t>
            </w:r>
          </w:p>
        </w:tc>
      </w:tr>
      <w:tr w:rsidR="00404E52" w:rsidRPr="005A497D" w14:paraId="5ABBA477"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20"/>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6D4A572" w14:textId="77777777" w:rsidR="00404E52" w:rsidRPr="00CB1AEB" w:rsidRDefault="00404E52" w:rsidP="00255D02">
            <w:pPr>
              <w:pStyle w:val="BodyBA"/>
              <w:spacing w:before="40" w:after="40"/>
              <w:rPr>
                <w:rFonts w:ascii="Times New Roman" w:hAnsi="Times New Roman"/>
                <w:sz w:val="20"/>
              </w:rPr>
            </w:pPr>
            <w:r w:rsidRPr="00CB1AEB">
              <w:rPr>
                <w:rFonts w:ascii="Times New Roman" w:hAnsi="Times New Roman"/>
                <w:sz w:val="20"/>
              </w:rPr>
              <w:t>(i) Quality of debt data recording and reporting</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56DBF65B" w14:textId="77777777" w:rsidR="00404E52" w:rsidRPr="00CB1AEB" w:rsidRDefault="00404E52"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4F86E949" w14:textId="77777777" w:rsidR="00404E52" w:rsidRPr="00CB1AEB" w:rsidRDefault="00404E52"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05B06266" w14:textId="39A6A60A" w:rsidR="00404E52" w:rsidRPr="00CB1AEB" w:rsidRDefault="00404E52" w:rsidP="00184F0A">
            <w:pPr>
              <w:pStyle w:val="BodyB"/>
              <w:spacing w:before="40" w:after="40"/>
              <w:rPr>
                <w:rFonts w:ascii="Times New Roman" w:hAnsi="Times New Roman"/>
                <w:sz w:val="20"/>
              </w:rPr>
            </w:pPr>
            <w:r w:rsidRPr="00CB1AEB">
              <w:rPr>
                <w:rFonts w:ascii="Times New Roman" w:hAnsi="Times New Roman"/>
                <w:b/>
                <w:sz w:val="20"/>
              </w:rPr>
              <w:t xml:space="preserve">Performance </w:t>
            </w:r>
            <w:r w:rsidR="00184F0A">
              <w:rPr>
                <w:rFonts w:ascii="Times New Roman" w:hAnsi="Times New Roman"/>
                <w:b/>
                <w:sz w:val="20"/>
              </w:rPr>
              <w:t>unchanged</w:t>
            </w:r>
            <w:r w:rsidRPr="00CB1AEB">
              <w:rPr>
                <w:rFonts w:ascii="Times New Roman" w:hAnsi="Times New Roman"/>
                <w:sz w:val="20"/>
              </w:rPr>
              <w:t>, debt records are complete, updated and reconciled on a monthly basis. Mid-year reports present the National Government debt information.</w:t>
            </w:r>
          </w:p>
        </w:tc>
      </w:tr>
      <w:tr w:rsidR="00404E52" w:rsidRPr="005A497D" w14:paraId="00953768"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20"/>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6BA15905" w14:textId="77777777" w:rsidR="00404E52" w:rsidRPr="00CB1AEB" w:rsidRDefault="00404E52" w:rsidP="00255D02">
            <w:pPr>
              <w:pStyle w:val="BodyBA"/>
              <w:spacing w:before="40" w:after="40"/>
              <w:rPr>
                <w:rFonts w:ascii="Times New Roman" w:hAnsi="Times New Roman"/>
                <w:sz w:val="20"/>
              </w:rPr>
            </w:pPr>
            <w:r w:rsidRPr="00CB1AEB">
              <w:rPr>
                <w:rFonts w:ascii="Times New Roman" w:hAnsi="Times New Roman"/>
                <w:sz w:val="20"/>
              </w:rPr>
              <w:t>(ii) Extent of consolidation of the government’s cash balances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7E11552" w14:textId="77777777" w:rsidR="00404E52" w:rsidRPr="00CB1AEB" w:rsidRDefault="00404E52"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00FBB20D" w14:textId="77777777" w:rsidR="00404E52" w:rsidRPr="00CB1AEB" w:rsidRDefault="00404E52"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52EA463B" w14:textId="630B5E1F" w:rsidR="00404E52" w:rsidRPr="00CB1AEB" w:rsidRDefault="00404E52" w:rsidP="004A15DD">
            <w:pPr>
              <w:pStyle w:val="BodyB"/>
              <w:tabs>
                <w:tab w:val="left" w:pos="287"/>
              </w:tabs>
              <w:spacing w:before="40" w:after="40"/>
              <w:rPr>
                <w:rFonts w:ascii="Times New Roman" w:hAnsi="Times New Roman"/>
                <w:color w:val="0E0E0E"/>
                <w:sz w:val="20"/>
              </w:rPr>
            </w:pPr>
            <w:r w:rsidRPr="00CB1AEB">
              <w:rPr>
                <w:rFonts w:ascii="Times New Roman" w:hAnsi="Times New Roman"/>
                <w:b/>
                <w:color w:val="0E0E0E"/>
                <w:sz w:val="20"/>
              </w:rPr>
              <w:t xml:space="preserve">Performance </w:t>
            </w:r>
            <w:r w:rsidR="004A15DD">
              <w:rPr>
                <w:rFonts w:ascii="Times New Roman" w:hAnsi="Times New Roman"/>
                <w:b/>
                <w:color w:val="0E0E0E"/>
                <w:sz w:val="20"/>
              </w:rPr>
              <w:t>unchang</w:t>
            </w:r>
            <w:r w:rsidRPr="00CB1AEB">
              <w:rPr>
                <w:rFonts w:ascii="Times New Roman" w:hAnsi="Times New Roman"/>
                <w:b/>
                <w:color w:val="0E0E0E"/>
                <w:sz w:val="20"/>
              </w:rPr>
              <w:t>ed</w:t>
            </w:r>
            <w:r w:rsidRPr="00CB1AEB">
              <w:rPr>
                <w:rFonts w:ascii="Times New Roman" w:hAnsi="Times New Roman"/>
                <w:color w:val="0E0E0E"/>
                <w:sz w:val="20"/>
              </w:rPr>
              <w:t>, daily cash balances data are consolidated when reports are received from different authorized banks.</w:t>
            </w:r>
          </w:p>
        </w:tc>
      </w:tr>
      <w:tr w:rsidR="00404E52" w:rsidRPr="005A497D" w14:paraId="4F11E34D"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20"/>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77B33EB" w14:textId="77777777" w:rsidR="00404E52" w:rsidRPr="00CB1AEB" w:rsidRDefault="00404E52" w:rsidP="00255D02">
            <w:pPr>
              <w:pStyle w:val="BodyBA"/>
              <w:spacing w:before="40" w:after="40"/>
              <w:rPr>
                <w:rFonts w:ascii="Times New Roman" w:hAnsi="Times New Roman"/>
                <w:sz w:val="20"/>
              </w:rPr>
            </w:pPr>
            <w:r w:rsidRPr="00CB1AEB">
              <w:rPr>
                <w:rFonts w:ascii="Times New Roman" w:hAnsi="Times New Roman"/>
                <w:sz w:val="20"/>
              </w:rPr>
              <w:t>(iii) Systems for contracting loans and issuance of guarantees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4C83C5D8" w14:textId="77777777" w:rsidR="00404E52" w:rsidRPr="00CB1AEB" w:rsidRDefault="00404E52"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649BE11" w14:textId="77777777" w:rsidR="00404E52" w:rsidRPr="00CB1AEB" w:rsidRDefault="00404E52"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060D80C6" w14:textId="77777777" w:rsidR="00404E52" w:rsidRPr="00CB1AEB" w:rsidRDefault="00404E52" w:rsidP="00750A0F">
            <w:pPr>
              <w:pStyle w:val="BodyB"/>
              <w:spacing w:before="40" w:after="40"/>
              <w:rPr>
                <w:rFonts w:ascii="Times New Roman" w:hAnsi="Times New Roman"/>
                <w:sz w:val="20"/>
              </w:rPr>
            </w:pPr>
            <w:r w:rsidRPr="00CB1AEB">
              <w:rPr>
                <w:rFonts w:ascii="Times New Roman" w:hAnsi="Times New Roman"/>
                <w:sz w:val="20"/>
              </w:rPr>
              <w:t xml:space="preserve">No change in the process, loan contracting and issuance of guarantee still follows the same guideline and procedure </w:t>
            </w:r>
          </w:p>
        </w:tc>
      </w:tr>
      <w:tr w:rsidR="00D232C4" w:rsidRPr="00CB1AEB" w14:paraId="14B42950"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51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7C49E3BA" w14:textId="77777777" w:rsidR="00D232C4" w:rsidRPr="00CB1AEB" w:rsidRDefault="00D232C4" w:rsidP="00CB1AEB">
            <w:pPr>
              <w:rPr>
                <w:b/>
                <w:sz w:val="20"/>
                <w:szCs w:val="20"/>
              </w:rPr>
            </w:pPr>
            <w:r w:rsidRPr="00CB1AEB">
              <w:rPr>
                <w:b/>
                <w:sz w:val="20"/>
                <w:szCs w:val="20"/>
              </w:rPr>
              <w:t>PI-18 Effectiveness of payroll controls</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39B23FD8" w14:textId="77777777" w:rsidR="00D232C4" w:rsidRPr="00CB1AEB" w:rsidRDefault="00D232C4" w:rsidP="00CB1AEB">
            <w:pPr>
              <w:jc w:val="center"/>
              <w:rPr>
                <w:b/>
                <w:sz w:val="20"/>
                <w:szCs w:val="20"/>
              </w:rPr>
            </w:pPr>
            <w:r w:rsidRPr="00CB1AEB">
              <w:rPr>
                <w:b/>
                <w:sz w:val="20"/>
                <w:szCs w:val="20"/>
              </w:rPr>
              <w:t>C+</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06482341" w14:textId="77777777" w:rsidR="00D232C4" w:rsidRPr="00CB1AEB" w:rsidRDefault="00D232C4" w:rsidP="00CB1AEB">
            <w:pPr>
              <w:jc w:val="center"/>
              <w:rPr>
                <w:b/>
                <w:sz w:val="20"/>
                <w:szCs w:val="20"/>
              </w:rPr>
            </w:pPr>
            <w:r w:rsidRPr="00CB1AEB">
              <w:rPr>
                <w:b/>
                <w:sz w:val="20"/>
                <w:szCs w:val="20"/>
              </w:rPr>
              <w:t>C+</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187D29AA" w14:textId="77777777" w:rsidR="00D232C4" w:rsidRPr="00CB1AEB" w:rsidRDefault="00D232C4" w:rsidP="00CB1AEB">
            <w:pPr>
              <w:rPr>
                <w:b/>
                <w:sz w:val="20"/>
                <w:szCs w:val="20"/>
              </w:rPr>
            </w:pPr>
            <w:bookmarkStart w:id="453" w:name="_Toc433828455"/>
            <w:r w:rsidRPr="00CB1AEB">
              <w:rPr>
                <w:b/>
                <w:sz w:val="20"/>
                <w:szCs w:val="20"/>
              </w:rPr>
              <w:t>Overall rating based on M1 methodology.</w:t>
            </w:r>
            <w:bookmarkEnd w:id="453"/>
          </w:p>
        </w:tc>
      </w:tr>
      <w:tr w:rsidR="00D232C4" w:rsidRPr="005A497D" w14:paraId="014565BD"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461"/>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5EA1B1A3" w14:textId="493C90FE"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 xml:space="preserve">(i) Degree of integration and reconciliation between </w:t>
            </w:r>
            <w:r w:rsidR="009D0CBA">
              <w:rPr>
                <w:rFonts w:ascii="Times New Roman" w:hAnsi="Times New Roman"/>
                <w:sz w:val="20"/>
              </w:rPr>
              <w:t>personnel</w:t>
            </w:r>
            <w:r w:rsidRPr="00CB1AEB">
              <w:rPr>
                <w:rFonts w:ascii="Times New Roman" w:hAnsi="Times New Roman"/>
                <w:sz w:val="20"/>
              </w:rPr>
              <w:t xml:space="preserve"> records and payroll data</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C28904E"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B34F53A" w14:textId="4A8ADD64" w:rsidR="00D232C4" w:rsidRPr="00CB1AEB" w:rsidRDefault="00A0363F" w:rsidP="00CB1AEB">
            <w:pPr>
              <w:pStyle w:val="BodyC"/>
              <w:spacing w:before="40" w:after="40"/>
              <w:jc w:val="center"/>
              <w:rPr>
                <w:rFonts w:ascii="Times New Roman" w:hAnsi="Times New Roman"/>
                <w:sz w:val="20"/>
              </w:rPr>
            </w:pPr>
            <w:r>
              <w:rPr>
                <w:rFonts w:ascii="Times New Roman" w:hAnsi="Times New Roman"/>
                <w:sz w:val="20"/>
              </w:rPr>
              <w:t>C</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79B07354" w14:textId="3D7E773C" w:rsidR="00D232C4" w:rsidRPr="00CB1AEB" w:rsidRDefault="00D232C4" w:rsidP="00A0363F">
            <w:pPr>
              <w:pStyle w:val="BodyB"/>
              <w:spacing w:before="40" w:after="40"/>
              <w:rPr>
                <w:rFonts w:ascii="Times New Roman" w:hAnsi="Times New Roman"/>
                <w:sz w:val="20"/>
              </w:rPr>
            </w:pPr>
            <w:r w:rsidRPr="00CB1AEB">
              <w:rPr>
                <w:rFonts w:ascii="Times New Roman" w:hAnsi="Times New Roman"/>
                <w:b/>
                <w:sz w:val="20"/>
              </w:rPr>
              <w:t xml:space="preserve">Performance </w:t>
            </w:r>
            <w:r w:rsidR="00A0363F">
              <w:rPr>
                <w:rFonts w:ascii="Times New Roman" w:hAnsi="Times New Roman"/>
                <w:b/>
                <w:sz w:val="20"/>
              </w:rPr>
              <w:t>unchang</w:t>
            </w:r>
            <w:r w:rsidRPr="00CB1AEB">
              <w:rPr>
                <w:rFonts w:ascii="Times New Roman" w:hAnsi="Times New Roman"/>
                <w:b/>
                <w:sz w:val="20"/>
              </w:rPr>
              <w:t>ed</w:t>
            </w:r>
            <w:r w:rsidRPr="00CB1AEB">
              <w:rPr>
                <w:rFonts w:ascii="Times New Roman" w:hAnsi="Times New Roman"/>
                <w:sz w:val="20"/>
              </w:rPr>
              <w:t xml:space="preserve">. DBM maintains GMIS at the central level; however, this is not linked to each agency’s personnel records and payroll data, which is paid at the regional level. DepEd, for instance, adopts a decentralized system allowing the Regional Offices to manage their own records and process their payroll through the </w:t>
            </w:r>
            <w:r w:rsidR="000F035C" w:rsidRPr="008B6071">
              <w:rPr>
                <w:rFonts w:ascii="Times New Roman" w:hAnsi="Times New Roman"/>
                <w:sz w:val="20"/>
              </w:rPr>
              <w:t>Regional Payroll Service Unit</w:t>
            </w:r>
            <w:r w:rsidRPr="000F035C">
              <w:rPr>
                <w:rFonts w:ascii="Times New Roman" w:hAnsi="Times New Roman"/>
                <w:sz w:val="20"/>
              </w:rPr>
              <w:t>.</w:t>
            </w:r>
          </w:p>
        </w:tc>
      </w:tr>
      <w:tr w:rsidR="00D232C4" w:rsidRPr="005A497D" w14:paraId="1E8BC759"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69"/>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5E5CBFD3" w14:textId="3393456D"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 xml:space="preserve">(ii) Timeliness of changes to </w:t>
            </w:r>
            <w:r w:rsidR="009D0CBA">
              <w:rPr>
                <w:rFonts w:ascii="Times New Roman" w:hAnsi="Times New Roman"/>
                <w:sz w:val="20"/>
              </w:rPr>
              <w:t>personnel</w:t>
            </w:r>
            <w:r w:rsidRPr="00CB1AEB">
              <w:rPr>
                <w:rFonts w:ascii="Times New Roman" w:hAnsi="Times New Roman"/>
                <w:sz w:val="20"/>
              </w:rPr>
              <w:t xml:space="preserve"> records and the payroll</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737FC63"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9DA3523"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33354B05" w14:textId="77777777"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Delays occur in processing changes to payroll for some and not the majority of instances.</w:t>
            </w:r>
          </w:p>
        </w:tc>
      </w:tr>
      <w:tr w:rsidR="00D232C4" w:rsidRPr="005A497D" w14:paraId="4A683CCD"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555"/>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36B7493" w14:textId="33DB48AE"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 xml:space="preserve">(iii) Internal controls of changes to </w:t>
            </w:r>
            <w:r w:rsidR="009D0CBA">
              <w:rPr>
                <w:rFonts w:ascii="Times New Roman" w:hAnsi="Times New Roman"/>
                <w:sz w:val="20"/>
              </w:rPr>
              <w:t>personnel</w:t>
            </w:r>
            <w:r w:rsidRPr="00CB1AEB">
              <w:rPr>
                <w:rFonts w:ascii="Times New Roman" w:hAnsi="Times New Roman"/>
                <w:sz w:val="20"/>
              </w:rPr>
              <w:t xml:space="preserve"> records and the payroll</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C642409"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8C75832"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028F3170" w14:textId="1A558D56"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w:t>
            </w:r>
            <w:r w:rsidR="009008FE">
              <w:rPr>
                <w:rFonts w:ascii="Times New Roman" w:hAnsi="Times New Roman"/>
                <w:sz w:val="20"/>
              </w:rPr>
              <w:t>CoA</w:t>
            </w:r>
            <w:r w:rsidRPr="00CB1AEB">
              <w:rPr>
                <w:rFonts w:ascii="Times New Roman" w:hAnsi="Times New Roman"/>
                <w:sz w:val="20"/>
              </w:rPr>
              <w:t xml:space="preserve">’s audit observations include payroll system deficiencies, including lapses in the controls and procedural practices that resulted in the double issuance of pay slips, inclusion in the database of </w:t>
            </w:r>
            <w:r w:rsidR="00BF3274" w:rsidRPr="00CB1AEB">
              <w:rPr>
                <w:rFonts w:ascii="Times New Roman" w:hAnsi="Times New Roman"/>
                <w:sz w:val="20"/>
              </w:rPr>
              <w:t>transferred</w:t>
            </w:r>
            <w:r w:rsidRPr="00CB1AEB">
              <w:rPr>
                <w:rFonts w:ascii="Times New Roman" w:hAnsi="Times New Roman"/>
                <w:sz w:val="20"/>
              </w:rPr>
              <w:t>, retired, resigned and deceased personnel, rejected payrolls and canceled payroll checks, among others.</w:t>
            </w:r>
          </w:p>
        </w:tc>
      </w:tr>
      <w:tr w:rsidR="00D232C4" w:rsidRPr="005A497D" w14:paraId="04C997A7"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752"/>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1BF15746" w14:textId="77777777" w:rsidR="00D232C4" w:rsidRPr="00CB1AEB" w:rsidRDefault="00D232C4" w:rsidP="00D232C4">
            <w:pPr>
              <w:pStyle w:val="BodyBB"/>
              <w:spacing w:before="40" w:after="40"/>
              <w:rPr>
                <w:rFonts w:ascii="Times New Roman" w:hAnsi="Times New Roman"/>
                <w:sz w:val="20"/>
              </w:rPr>
            </w:pPr>
            <w:r w:rsidRPr="00CB1AEB">
              <w:rPr>
                <w:rFonts w:ascii="Times New Roman" w:hAnsi="Times New Roman"/>
                <w:sz w:val="20"/>
              </w:rPr>
              <w:t>(iv) Existence of payroll audits to identify control weaknesses and/or ghost workers</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14ADD7E6"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6C404042"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77EE1C88" w14:textId="5652496A" w:rsidR="00D232C4" w:rsidRPr="00CB1AEB" w:rsidRDefault="00D232C4" w:rsidP="00280E59">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While payroll audits are performed by </w:t>
            </w:r>
            <w:r w:rsidR="009008FE">
              <w:rPr>
                <w:rFonts w:ascii="Times New Roman" w:hAnsi="Times New Roman"/>
                <w:sz w:val="20"/>
              </w:rPr>
              <w:t>CoA</w:t>
            </w:r>
            <w:r w:rsidRPr="00CB1AEB">
              <w:rPr>
                <w:rFonts w:ascii="Times New Roman" w:hAnsi="Times New Roman"/>
                <w:sz w:val="20"/>
              </w:rPr>
              <w:t xml:space="preserve"> as part of their regular audit of </w:t>
            </w:r>
            <w:r w:rsidR="00D615CB" w:rsidRPr="00CB1AEB">
              <w:rPr>
                <w:rFonts w:ascii="Times New Roman" w:hAnsi="Times New Roman"/>
                <w:sz w:val="20"/>
              </w:rPr>
              <w:t>an a</w:t>
            </w:r>
            <w:r w:rsidRPr="00CB1AEB">
              <w:rPr>
                <w:rFonts w:ascii="Times New Roman" w:hAnsi="Times New Roman"/>
                <w:sz w:val="20"/>
              </w:rPr>
              <w:t xml:space="preserve">gency’s financial statements, there is little evidence that checks for ghost workers are being conducted. </w:t>
            </w:r>
          </w:p>
        </w:tc>
      </w:tr>
      <w:tr w:rsidR="00D232C4" w:rsidRPr="00CB1AEB" w14:paraId="18227B43"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44CB9A17" w14:textId="2D8E59AE" w:rsidR="00D232C4" w:rsidRPr="00CB1AEB" w:rsidRDefault="00D232C4" w:rsidP="006F1244">
            <w:pPr>
              <w:rPr>
                <w:b/>
                <w:sz w:val="20"/>
                <w:szCs w:val="20"/>
              </w:rPr>
            </w:pPr>
            <w:r w:rsidRPr="00CB1AEB">
              <w:rPr>
                <w:b/>
                <w:sz w:val="20"/>
                <w:szCs w:val="20"/>
              </w:rPr>
              <w:t xml:space="preserve">PI-19 </w:t>
            </w:r>
            <w:r w:rsidR="006F1244">
              <w:rPr>
                <w:b/>
                <w:sz w:val="20"/>
                <w:szCs w:val="20"/>
              </w:rPr>
              <w:t>C</w:t>
            </w:r>
            <w:r w:rsidRPr="00CB1AEB">
              <w:rPr>
                <w:b/>
                <w:sz w:val="20"/>
                <w:szCs w:val="20"/>
              </w:rPr>
              <w:t>ompetition</w:t>
            </w:r>
            <w:r w:rsidR="006F1244">
              <w:rPr>
                <w:b/>
                <w:sz w:val="20"/>
                <w:szCs w:val="20"/>
              </w:rPr>
              <w:t xml:space="preserve">, value for money and controls </w:t>
            </w:r>
            <w:r w:rsidRPr="00CB1AEB">
              <w:rPr>
                <w:b/>
                <w:sz w:val="20"/>
                <w:szCs w:val="20"/>
              </w:rPr>
              <w:t>in procurement</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51E33594" w14:textId="6217D04F" w:rsidR="00D232C4" w:rsidRPr="00CB1AEB" w:rsidRDefault="00D232C4" w:rsidP="00680452">
            <w:pPr>
              <w:jc w:val="center"/>
              <w:rPr>
                <w:b/>
                <w:sz w:val="20"/>
                <w:szCs w:val="20"/>
                <w:highlight w:val="yellow"/>
              </w:rPr>
            </w:pPr>
            <w:r w:rsidRPr="00CB1AEB">
              <w:rPr>
                <w:b/>
                <w:sz w:val="20"/>
                <w:szCs w:val="20"/>
              </w:rPr>
              <w:t>B</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148B44B6" w14:textId="269CABD1" w:rsidR="00D232C4" w:rsidRPr="00A24996" w:rsidRDefault="00A24996" w:rsidP="00CB1AEB">
            <w:pPr>
              <w:jc w:val="center"/>
              <w:rPr>
                <w:b/>
                <w:sz w:val="20"/>
                <w:szCs w:val="20"/>
              </w:rPr>
            </w:pPr>
            <w:r>
              <w:rPr>
                <w:b/>
                <w:sz w:val="20"/>
                <w:szCs w:val="20"/>
              </w:rPr>
              <w:t>B</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3DD7BAB5" w14:textId="77777777" w:rsidR="00D232C4" w:rsidRPr="00A24996" w:rsidRDefault="00D232C4" w:rsidP="00CB1AEB">
            <w:pPr>
              <w:rPr>
                <w:b/>
                <w:sz w:val="20"/>
                <w:szCs w:val="20"/>
              </w:rPr>
            </w:pPr>
            <w:bookmarkStart w:id="454" w:name="_Toc433828456"/>
            <w:r w:rsidRPr="00A24996">
              <w:rPr>
                <w:b/>
                <w:sz w:val="20"/>
                <w:szCs w:val="20"/>
              </w:rPr>
              <w:t>Overall rating based on M2 methodology.</w:t>
            </w:r>
            <w:bookmarkEnd w:id="454"/>
          </w:p>
        </w:tc>
      </w:tr>
      <w:tr w:rsidR="00A24996" w:rsidRPr="005A497D" w14:paraId="545C4C83"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806"/>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DDF7415" w14:textId="0AEF0E73" w:rsidR="00A24996" w:rsidRPr="00CB1AEB" w:rsidRDefault="00A24996" w:rsidP="00A24996">
            <w:pPr>
              <w:pStyle w:val="BodyBA"/>
              <w:spacing w:before="40" w:after="40"/>
              <w:rPr>
                <w:rFonts w:ascii="Times New Roman" w:hAnsi="Times New Roman"/>
                <w:sz w:val="20"/>
              </w:rPr>
            </w:pPr>
            <w:r w:rsidRPr="00CB1AEB">
              <w:rPr>
                <w:rFonts w:ascii="Times New Roman" w:hAnsi="Times New Roman"/>
                <w:sz w:val="20"/>
              </w:rPr>
              <w:t xml:space="preserve">(i) </w:t>
            </w:r>
            <w:r>
              <w:rPr>
                <w:rFonts w:ascii="Times New Roman" w:hAnsi="Times New Roman"/>
                <w:sz w:val="20"/>
              </w:rPr>
              <w:t>Use of open competition for award of contracts that exceed the nationally established monetary threshold for small purchases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0075330F" w14:textId="6A44CE1F" w:rsidR="00A24996" w:rsidRPr="00680452" w:rsidRDefault="00A24996" w:rsidP="00A24996">
            <w:pPr>
              <w:pStyle w:val="BodyC"/>
              <w:spacing w:before="40" w:after="40"/>
              <w:jc w:val="center"/>
              <w:rPr>
                <w:rFonts w:ascii="Times New Roman" w:hAnsi="Times New Roman"/>
                <w:sz w:val="20"/>
              </w:rPr>
            </w:pPr>
            <w:r w:rsidRPr="00680452">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B346971" w14:textId="14E26088" w:rsidR="00A24996" w:rsidRPr="00A24996" w:rsidRDefault="00A24996" w:rsidP="00A24996">
            <w:pPr>
              <w:pStyle w:val="BodyC"/>
              <w:spacing w:before="40" w:after="40"/>
              <w:jc w:val="center"/>
              <w:rPr>
                <w:rFonts w:ascii="Times New Roman" w:hAnsi="Times New Roman"/>
                <w:sz w:val="20"/>
              </w:rPr>
            </w:pPr>
            <w:r>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14BDE73A" w14:textId="4C606498" w:rsidR="00A24996" w:rsidRPr="00790AEC" w:rsidRDefault="00A24996" w:rsidP="007E6541">
            <w:pPr>
              <w:pStyle w:val="BodyB"/>
              <w:spacing w:before="40" w:after="40"/>
              <w:rPr>
                <w:rFonts w:ascii="Times New Roman" w:hAnsi="Times New Roman"/>
                <w:bCs/>
                <w:sz w:val="20"/>
              </w:rPr>
            </w:pPr>
            <w:r w:rsidRPr="00790AEC">
              <w:rPr>
                <w:rFonts w:ascii="Times New Roman" w:hAnsi="Times New Roman"/>
                <w:bCs/>
                <w:sz w:val="20"/>
              </w:rPr>
              <w:t xml:space="preserve">The total value of contracts awarded through competitive methods in 2014 was </w:t>
            </w:r>
            <w:r w:rsidR="00AD0E14">
              <w:rPr>
                <w:rFonts w:ascii="Times New Roman" w:hAnsi="Times New Roman"/>
                <w:bCs/>
                <w:sz w:val="20"/>
              </w:rPr>
              <w:t xml:space="preserve">PhP </w:t>
            </w:r>
            <w:r w:rsidRPr="00790AEC">
              <w:rPr>
                <w:rFonts w:ascii="Times New Roman" w:hAnsi="Times New Roman"/>
                <w:bCs/>
                <w:sz w:val="20"/>
              </w:rPr>
              <w:t>35.4</w:t>
            </w:r>
            <w:r w:rsidR="007E6541">
              <w:rPr>
                <w:rFonts w:ascii="Times New Roman" w:hAnsi="Times New Roman"/>
                <w:bCs/>
                <w:sz w:val="20"/>
              </w:rPr>
              <w:t xml:space="preserve"> </w:t>
            </w:r>
            <w:r w:rsidRPr="00790AEC">
              <w:rPr>
                <w:rFonts w:ascii="Times New Roman" w:hAnsi="Times New Roman"/>
                <w:bCs/>
                <w:sz w:val="20"/>
              </w:rPr>
              <w:t xml:space="preserve">billion for central government agencies and </w:t>
            </w:r>
            <w:r w:rsidR="00AD0E14">
              <w:rPr>
                <w:rFonts w:ascii="Times New Roman" w:hAnsi="Times New Roman"/>
                <w:bCs/>
                <w:sz w:val="20"/>
              </w:rPr>
              <w:t xml:space="preserve">PhP </w:t>
            </w:r>
            <w:r w:rsidRPr="00790AEC">
              <w:rPr>
                <w:rFonts w:ascii="Times New Roman" w:hAnsi="Times New Roman"/>
                <w:bCs/>
                <w:sz w:val="20"/>
              </w:rPr>
              <w:t xml:space="preserve">26.2billion or 74% was done through competitive bidding.  </w:t>
            </w:r>
          </w:p>
        </w:tc>
      </w:tr>
      <w:tr w:rsidR="00A24996" w:rsidRPr="005A497D" w14:paraId="2890ABF4"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806"/>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3F014C4" w14:textId="14E3AA43" w:rsidR="00A24996" w:rsidRPr="00CB1AEB" w:rsidRDefault="00A24996" w:rsidP="00A24996">
            <w:pPr>
              <w:pStyle w:val="BodyBA"/>
              <w:spacing w:before="40" w:after="40"/>
              <w:rPr>
                <w:rFonts w:ascii="Times New Roman" w:hAnsi="Times New Roman"/>
                <w:sz w:val="20"/>
              </w:rPr>
            </w:pPr>
            <w:r w:rsidRPr="00CB1AEB">
              <w:rPr>
                <w:rFonts w:ascii="Times New Roman" w:hAnsi="Times New Roman"/>
                <w:sz w:val="20"/>
              </w:rPr>
              <w:t xml:space="preserve">(ii) </w:t>
            </w:r>
            <w:r>
              <w:rPr>
                <w:rFonts w:ascii="Times New Roman" w:hAnsi="Times New Roman"/>
                <w:sz w:val="20"/>
              </w:rPr>
              <w:t>Justification for u</w:t>
            </w:r>
            <w:r w:rsidRPr="00CB1AEB">
              <w:rPr>
                <w:rFonts w:ascii="Times New Roman" w:hAnsi="Times New Roman"/>
                <w:sz w:val="20"/>
              </w:rPr>
              <w:t xml:space="preserve">se of </w:t>
            </w:r>
            <w:r>
              <w:rPr>
                <w:rFonts w:ascii="Times New Roman" w:hAnsi="Times New Roman"/>
                <w:sz w:val="20"/>
              </w:rPr>
              <w:t xml:space="preserve">less </w:t>
            </w:r>
            <w:r w:rsidRPr="00CB1AEB">
              <w:rPr>
                <w:rFonts w:ascii="Times New Roman" w:hAnsi="Times New Roman"/>
                <w:sz w:val="20"/>
              </w:rPr>
              <w:t>competitive procurement methods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5C599D2F" w14:textId="71B808DF" w:rsidR="00A24996" w:rsidRPr="00680452" w:rsidRDefault="00A24996" w:rsidP="00A24996">
            <w:pPr>
              <w:pStyle w:val="BodyB"/>
              <w:spacing w:before="40" w:after="40"/>
              <w:jc w:val="center"/>
              <w:rPr>
                <w:rFonts w:ascii="Times New Roman" w:hAnsi="Times New Roman"/>
                <w:sz w:val="20"/>
              </w:rPr>
            </w:pPr>
            <w:r>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4F0092F" w14:textId="054139DB" w:rsidR="00A24996" w:rsidRPr="00A24996" w:rsidRDefault="00A24996" w:rsidP="00A24996">
            <w:pPr>
              <w:pStyle w:val="BodyB"/>
              <w:spacing w:before="40" w:after="40"/>
              <w:jc w:val="center"/>
              <w:rPr>
                <w:rFonts w:ascii="Times New Roman" w:hAnsi="Times New Roman"/>
                <w:sz w:val="20"/>
              </w:rPr>
            </w:pPr>
            <w:r>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379D4C9B" w14:textId="2DD752F5" w:rsidR="00A24996" w:rsidRPr="00790AEC" w:rsidRDefault="00A24996" w:rsidP="00280E59">
            <w:pPr>
              <w:pStyle w:val="BodyB"/>
              <w:spacing w:before="40" w:after="40"/>
              <w:rPr>
                <w:rFonts w:ascii="Times New Roman" w:hAnsi="Times New Roman"/>
                <w:bCs/>
                <w:sz w:val="20"/>
              </w:rPr>
            </w:pPr>
            <w:r w:rsidRPr="00790AEC">
              <w:rPr>
                <w:rFonts w:ascii="Times New Roman" w:hAnsi="Times New Roman"/>
                <w:bCs/>
                <w:sz w:val="20"/>
              </w:rPr>
              <w:t xml:space="preserve">Results of APCPI Indicator 2 on Alternative Mode showed that there </w:t>
            </w:r>
            <w:r w:rsidR="00280E59">
              <w:rPr>
                <w:rFonts w:ascii="Times New Roman" w:hAnsi="Times New Roman"/>
                <w:bCs/>
                <w:sz w:val="20"/>
              </w:rPr>
              <w:t>is</w:t>
            </w:r>
            <w:r w:rsidRPr="00790AEC">
              <w:rPr>
                <w:rFonts w:ascii="Times New Roman" w:hAnsi="Times New Roman"/>
                <w:bCs/>
                <w:sz w:val="20"/>
              </w:rPr>
              <w:t xml:space="preserve"> justification for more than 70% of the contracts procured through alternative methods.</w:t>
            </w:r>
          </w:p>
        </w:tc>
      </w:tr>
      <w:tr w:rsidR="00A24996" w:rsidRPr="005A497D" w14:paraId="04842415"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806"/>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1047134F" w14:textId="14029837" w:rsidR="00A24996" w:rsidRPr="00CB1AEB" w:rsidRDefault="00A24996" w:rsidP="00A24996">
            <w:pPr>
              <w:pStyle w:val="BodyBB"/>
              <w:spacing w:before="40" w:after="40"/>
              <w:rPr>
                <w:rFonts w:ascii="Times New Roman" w:hAnsi="Times New Roman"/>
                <w:sz w:val="20"/>
              </w:rPr>
            </w:pPr>
            <w:r w:rsidRPr="00CB1AEB">
              <w:rPr>
                <w:rFonts w:ascii="Times New Roman" w:hAnsi="Times New Roman"/>
                <w:sz w:val="20"/>
              </w:rPr>
              <w:t xml:space="preserve">(iv) Existence </w:t>
            </w:r>
            <w:r>
              <w:rPr>
                <w:rFonts w:ascii="Times New Roman" w:hAnsi="Times New Roman"/>
                <w:sz w:val="20"/>
              </w:rPr>
              <w:t xml:space="preserve">and operation of a </w:t>
            </w:r>
            <w:r w:rsidRPr="00CB1AEB">
              <w:rPr>
                <w:rFonts w:ascii="Times New Roman" w:hAnsi="Times New Roman"/>
                <w:sz w:val="20"/>
              </w:rPr>
              <w:t>procurement complaints m</w:t>
            </w:r>
            <w:r>
              <w:rPr>
                <w:rFonts w:ascii="Times New Roman" w:hAnsi="Times New Roman"/>
                <w:sz w:val="20"/>
              </w:rPr>
              <w:t>echanism</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11BC86D5" w14:textId="3B00A355" w:rsidR="00A24996" w:rsidRPr="00680452" w:rsidRDefault="00A24996" w:rsidP="00A24996">
            <w:pPr>
              <w:pStyle w:val="BodyB"/>
              <w:spacing w:before="40" w:after="40"/>
              <w:jc w:val="center"/>
              <w:rPr>
                <w:rFonts w:ascii="Times New Roman" w:hAnsi="Times New Roman"/>
                <w:sz w:val="20"/>
              </w:rPr>
            </w:pPr>
            <w:r>
              <w:rPr>
                <w:rFonts w:ascii="Times New Roman" w:hAnsi="Times New Roman"/>
                <w:sz w:val="20"/>
              </w:rPr>
              <w:t>B</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088D57A6" w14:textId="0AD6DA7D" w:rsidR="00A24996" w:rsidRPr="00A24996" w:rsidRDefault="00A24996" w:rsidP="00A24996">
            <w:pPr>
              <w:pStyle w:val="BodyB"/>
              <w:spacing w:before="40" w:after="40"/>
              <w:jc w:val="center"/>
              <w:rPr>
                <w:rFonts w:ascii="Times New Roman" w:hAnsi="Times New Roman"/>
                <w:sz w:val="20"/>
              </w:rPr>
            </w:pPr>
            <w:r>
              <w:rPr>
                <w:rFonts w:ascii="Times New Roman" w:hAnsi="Times New Roman"/>
                <w:sz w:val="20"/>
              </w:rPr>
              <w:t>B</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31682C9C" w14:textId="7DF9CD89" w:rsidR="00A24996" w:rsidRPr="00790AEC" w:rsidRDefault="00A24996" w:rsidP="00A24996">
            <w:pPr>
              <w:pStyle w:val="BodyB"/>
              <w:spacing w:before="40" w:after="40"/>
              <w:rPr>
                <w:rFonts w:ascii="Times New Roman" w:hAnsi="Times New Roman"/>
                <w:bCs/>
                <w:sz w:val="20"/>
              </w:rPr>
            </w:pPr>
            <w:r w:rsidRPr="00790AEC">
              <w:rPr>
                <w:rFonts w:ascii="Times New Roman" w:hAnsi="Times New Roman"/>
                <w:bCs/>
                <w:sz w:val="20"/>
              </w:rPr>
              <w:t>The procurement law, R</w:t>
            </w:r>
            <w:r w:rsidR="00F34AC3">
              <w:rPr>
                <w:rFonts w:ascii="Times New Roman" w:hAnsi="Times New Roman"/>
                <w:bCs/>
                <w:sz w:val="20"/>
              </w:rPr>
              <w:t>epublic Act No. 9184 has a well-</w:t>
            </w:r>
            <w:r w:rsidRPr="00790AEC">
              <w:rPr>
                <w:rFonts w:ascii="Times New Roman" w:hAnsi="Times New Roman"/>
                <w:bCs/>
                <w:sz w:val="20"/>
              </w:rPr>
              <w:t xml:space="preserve">defined procurement complaint mechanism.  However, there is no independent administrative body that resolves complaints. </w:t>
            </w:r>
          </w:p>
        </w:tc>
      </w:tr>
      <w:tr w:rsidR="00D232C4" w:rsidRPr="00CB1AEB" w14:paraId="6190554C"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5C68F113" w14:textId="77777777" w:rsidR="00D232C4" w:rsidRPr="00CB1AEB" w:rsidRDefault="00D232C4" w:rsidP="00CB1AEB">
            <w:pPr>
              <w:rPr>
                <w:b/>
                <w:sz w:val="20"/>
                <w:szCs w:val="20"/>
              </w:rPr>
            </w:pPr>
            <w:r w:rsidRPr="00CB1AEB">
              <w:rPr>
                <w:b/>
                <w:sz w:val="20"/>
                <w:szCs w:val="20"/>
              </w:rPr>
              <w:t>PI-20 Effectiveness of internal controls for non-salary expenditure</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40F54FA0" w14:textId="77777777" w:rsidR="00D232C4" w:rsidRPr="00CB1AEB" w:rsidRDefault="00D232C4" w:rsidP="00CB1AEB">
            <w:pPr>
              <w:jc w:val="center"/>
              <w:rPr>
                <w:b/>
                <w:sz w:val="20"/>
                <w:szCs w:val="20"/>
              </w:rPr>
            </w:pPr>
            <w:r w:rsidRPr="00CB1AEB">
              <w:rPr>
                <w:b/>
                <w:sz w:val="20"/>
                <w:szCs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1DFC9248" w14:textId="469DA362" w:rsidR="00D232C4" w:rsidRPr="00CB1AEB" w:rsidRDefault="000C68D1" w:rsidP="00CB1AEB">
            <w:pPr>
              <w:jc w:val="center"/>
              <w:rPr>
                <w:b/>
                <w:sz w:val="20"/>
                <w:szCs w:val="20"/>
              </w:rPr>
            </w:pPr>
            <w:r>
              <w:rPr>
                <w:b/>
                <w:sz w:val="20"/>
                <w:szCs w:val="20"/>
              </w:rPr>
              <w:t>C</w:t>
            </w:r>
            <w:r w:rsidR="00D232C4" w:rsidRPr="00CB1AEB">
              <w:rPr>
                <w:b/>
                <w:sz w:val="20"/>
                <w:szCs w:val="20"/>
              </w:rPr>
              <w:t>+</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7D848FDF" w14:textId="77777777" w:rsidR="00D232C4" w:rsidRPr="00CB1AEB" w:rsidRDefault="00D232C4" w:rsidP="00CB1AEB">
            <w:pPr>
              <w:rPr>
                <w:b/>
                <w:sz w:val="20"/>
                <w:szCs w:val="20"/>
              </w:rPr>
            </w:pPr>
            <w:bookmarkStart w:id="455" w:name="_Toc433828457"/>
            <w:r w:rsidRPr="00CB1AEB">
              <w:rPr>
                <w:b/>
                <w:sz w:val="20"/>
                <w:szCs w:val="20"/>
              </w:rPr>
              <w:t>Overall rating based on M1 methodology.</w:t>
            </w:r>
            <w:bookmarkEnd w:id="455"/>
          </w:p>
        </w:tc>
      </w:tr>
      <w:tr w:rsidR="00D232C4" w:rsidRPr="005A497D" w14:paraId="6A994BD6"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424"/>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925250A"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Effectiveness of expenditure commitment controls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10AE812"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A75C2B2"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52BAFD6E" w14:textId="00995FD3" w:rsidR="00D232C4" w:rsidRPr="00CB1AEB" w:rsidRDefault="00D232C4" w:rsidP="00D46430">
            <w:pPr>
              <w:pStyle w:val="BodyC"/>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Agencies commit based on the GAA and </w:t>
            </w:r>
            <w:r w:rsidR="00D615CB" w:rsidRPr="00CB1AEB">
              <w:rPr>
                <w:rFonts w:ascii="Times New Roman" w:hAnsi="Times New Roman"/>
                <w:sz w:val="20"/>
              </w:rPr>
              <w:t xml:space="preserve">in </w:t>
            </w:r>
            <w:r w:rsidRPr="00CB1AEB">
              <w:rPr>
                <w:rFonts w:ascii="Times New Roman" w:hAnsi="Times New Roman"/>
                <w:sz w:val="20"/>
              </w:rPr>
              <w:t>some instances, through</w:t>
            </w:r>
            <w:r w:rsidR="00D21FD5">
              <w:rPr>
                <w:rFonts w:ascii="Times New Roman" w:hAnsi="Times New Roman"/>
                <w:sz w:val="20"/>
              </w:rPr>
              <w:t xml:space="preserve"> DBM-issued Special Allotment Release Orders</w:t>
            </w:r>
            <w:r w:rsidRPr="00CB1AEB">
              <w:rPr>
                <w:rFonts w:ascii="Times New Roman" w:hAnsi="Times New Roman"/>
                <w:sz w:val="20"/>
              </w:rPr>
              <w:t xml:space="preserve">; thus limiting the expenditures that can be incurred. </w:t>
            </w:r>
            <w:r w:rsidR="00D21FD5">
              <w:rPr>
                <w:rFonts w:ascii="Times New Roman" w:hAnsi="Times New Roman"/>
                <w:sz w:val="20"/>
              </w:rPr>
              <w:t>N</w:t>
            </w:r>
            <w:r w:rsidR="005E5BDD">
              <w:rPr>
                <w:rFonts w:ascii="Times New Roman" w:hAnsi="Times New Roman"/>
                <w:sz w:val="20"/>
              </w:rPr>
              <w:t xml:space="preserve">otice of </w:t>
            </w:r>
            <w:r w:rsidR="00D21FD5">
              <w:rPr>
                <w:rFonts w:ascii="Times New Roman" w:hAnsi="Times New Roman"/>
                <w:sz w:val="20"/>
              </w:rPr>
              <w:t>C</w:t>
            </w:r>
            <w:r w:rsidR="005E5BDD">
              <w:rPr>
                <w:rFonts w:ascii="Times New Roman" w:hAnsi="Times New Roman"/>
                <w:sz w:val="20"/>
              </w:rPr>
              <w:t xml:space="preserve">ash </w:t>
            </w:r>
            <w:r w:rsidR="00D21FD5">
              <w:rPr>
                <w:rFonts w:ascii="Times New Roman" w:hAnsi="Times New Roman"/>
                <w:sz w:val="20"/>
              </w:rPr>
              <w:t>A</w:t>
            </w:r>
            <w:r w:rsidR="005E5BDD">
              <w:rPr>
                <w:rFonts w:ascii="Times New Roman" w:hAnsi="Times New Roman"/>
                <w:sz w:val="20"/>
              </w:rPr>
              <w:t>llocation</w:t>
            </w:r>
            <w:r w:rsidR="00D615CB" w:rsidRPr="00CB1AEB">
              <w:rPr>
                <w:rFonts w:ascii="Times New Roman" w:hAnsi="Times New Roman"/>
                <w:sz w:val="20"/>
              </w:rPr>
              <w:t>s</w:t>
            </w:r>
            <w:r w:rsidRPr="00CB1AEB">
              <w:rPr>
                <w:rFonts w:ascii="Times New Roman" w:hAnsi="Times New Roman"/>
                <w:sz w:val="20"/>
              </w:rPr>
              <w:t xml:space="preserve">, on the other hand, constrains the </w:t>
            </w:r>
            <w:r w:rsidR="00D21FD5">
              <w:rPr>
                <w:rFonts w:ascii="Times New Roman" w:hAnsi="Times New Roman"/>
                <w:sz w:val="20"/>
              </w:rPr>
              <w:t>a</w:t>
            </w:r>
            <w:r w:rsidR="00D21FD5" w:rsidRPr="00CB1AEB">
              <w:rPr>
                <w:rFonts w:ascii="Times New Roman" w:hAnsi="Times New Roman"/>
                <w:sz w:val="20"/>
              </w:rPr>
              <w:t xml:space="preserve">gency </w:t>
            </w:r>
            <w:r w:rsidRPr="00CB1AEB">
              <w:rPr>
                <w:rFonts w:ascii="Times New Roman" w:hAnsi="Times New Roman"/>
                <w:sz w:val="20"/>
              </w:rPr>
              <w:t>from releasing funds due to cash availability which essentially</w:t>
            </w:r>
            <w:r w:rsidR="00A0363F">
              <w:rPr>
                <w:rFonts w:ascii="Times New Roman" w:hAnsi="Times New Roman"/>
                <w:sz w:val="20"/>
              </w:rPr>
              <w:t xml:space="preserve"> is </w:t>
            </w:r>
            <w:r w:rsidRPr="00CB1AEB">
              <w:rPr>
                <w:rFonts w:ascii="Times New Roman" w:hAnsi="Times New Roman"/>
                <w:sz w:val="20"/>
              </w:rPr>
              <w:t xml:space="preserve">not linked with commitment control. </w:t>
            </w:r>
            <w:r w:rsidR="009008FE">
              <w:rPr>
                <w:rFonts w:ascii="Times New Roman" w:hAnsi="Times New Roman"/>
                <w:sz w:val="20"/>
              </w:rPr>
              <w:t>CoA</w:t>
            </w:r>
            <w:r w:rsidRPr="00CB1AEB">
              <w:rPr>
                <w:rFonts w:ascii="Times New Roman" w:hAnsi="Times New Roman"/>
                <w:sz w:val="20"/>
              </w:rPr>
              <w:t xml:space="preserve"> reports indicate expenditures in excess of obligations. </w:t>
            </w:r>
          </w:p>
        </w:tc>
      </w:tr>
      <w:tr w:rsidR="00D232C4" w:rsidRPr="005A497D" w14:paraId="0936DE41" w14:textId="77777777" w:rsidTr="000B0F5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213"/>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15FF39A5"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Comprehensiveness, relevance and understanding of other internal control rules/procedures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B532DCE"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411120E3" w14:textId="2891B2A8" w:rsidR="00D232C4" w:rsidRPr="00CB1AEB" w:rsidRDefault="00B2563A" w:rsidP="00B2563A">
            <w:pPr>
              <w:pStyle w:val="BodyC"/>
              <w:spacing w:before="40" w:after="40"/>
              <w:jc w:val="center"/>
              <w:rPr>
                <w:rFonts w:ascii="Times New Roman" w:hAnsi="Times New Roman"/>
                <w:sz w:val="20"/>
              </w:rPr>
            </w:pPr>
            <w:r>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4927716A" w14:textId="0D274311" w:rsidR="00D232C4" w:rsidRPr="00CB1AEB" w:rsidRDefault="00D232C4" w:rsidP="000C68D1">
            <w:pPr>
              <w:pStyle w:val="BodyC"/>
              <w:spacing w:before="40" w:after="40"/>
              <w:rPr>
                <w:rFonts w:ascii="Times New Roman" w:hAnsi="Times New Roman"/>
                <w:sz w:val="20"/>
              </w:rPr>
            </w:pPr>
            <w:r w:rsidRPr="00CB1AEB">
              <w:rPr>
                <w:rFonts w:ascii="Times New Roman" w:hAnsi="Times New Roman"/>
                <w:b/>
                <w:bCs/>
                <w:sz w:val="20"/>
              </w:rPr>
              <w:t xml:space="preserve">Performance </w:t>
            </w:r>
            <w:r w:rsidR="00B2563A">
              <w:rPr>
                <w:rFonts w:ascii="Times New Roman" w:hAnsi="Times New Roman"/>
                <w:b/>
                <w:bCs/>
                <w:sz w:val="20"/>
              </w:rPr>
              <w:t>improved</w:t>
            </w:r>
            <w:r w:rsidRPr="00CB1AEB">
              <w:rPr>
                <w:rFonts w:ascii="Times New Roman" w:hAnsi="Times New Roman"/>
                <w:sz w:val="20"/>
              </w:rPr>
              <w:t xml:space="preserve">. </w:t>
            </w:r>
            <w:r w:rsidR="00B2563A">
              <w:rPr>
                <w:rFonts w:ascii="Times New Roman" w:hAnsi="Times New Roman"/>
                <w:sz w:val="20"/>
              </w:rPr>
              <w:t xml:space="preserve">In October 2008, DBM issued </w:t>
            </w:r>
            <w:r w:rsidR="00B77229">
              <w:rPr>
                <w:rFonts w:ascii="Times New Roman" w:hAnsi="Times New Roman"/>
                <w:sz w:val="20"/>
              </w:rPr>
              <w:t>circular (No. 2008-8) on</w:t>
            </w:r>
            <w:r w:rsidR="00B2563A">
              <w:rPr>
                <w:rFonts w:ascii="Times New Roman" w:hAnsi="Times New Roman"/>
                <w:sz w:val="20"/>
              </w:rPr>
              <w:t xml:space="preserve"> National Guidelines on Internal Control Systems (NGICS)</w:t>
            </w:r>
            <w:r w:rsidR="00B77229">
              <w:rPr>
                <w:rFonts w:ascii="Times New Roman" w:hAnsi="Times New Roman"/>
                <w:sz w:val="20"/>
              </w:rPr>
              <w:t xml:space="preserve"> </w:t>
            </w:r>
            <w:r w:rsidR="00661213">
              <w:rPr>
                <w:rFonts w:ascii="Times New Roman" w:hAnsi="Times New Roman"/>
                <w:sz w:val="20"/>
              </w:rPr>
              <w:t xml:space="preserve">which serve as a guide to the heads of MDAs in designing, installing, implementing, and monitoring their respective </w:t>
            </w:r>
            <w:r w:rsidR="00B77229">
              <w:rPr>
                <w:rFonts w:ascii="Times New Roman" w:hAnsi="Times New Roman"/>
                <w:sz w:val="20"/>
              </w:rPr>
              <w:t>i</w:t>
            </w:r>
            <w:r w:rsidR="00661213">
              <w:rPr>
                <w:rFonts w:ascii="Times New Roman" w:hAnsi="Times New Roman"/>
                <w:sz w:val="20"/>
              </w:rPr>
              <w:t xml:space="preserve">nternal </w:t>
            </w:r>
            <w:r w:rsidR="00B77229">
              <w:rPr>
                <w:rFonts w:ascii="Times New Roman" w:hAnsi="Times New Roman"/>
                <w:sz w:val="20"/>
              </w:rPr>
              <w:t>c</w:t>
            </w:r>
            <w:r w:rsidR="00661213">
              <w:rPr>
                <w:rFonts w:ascii="Times New Roman" w:hAnsi="Times New Roman"/>
                <w:sz w:val="20"/>
              </w:rPr>
              <w:t xml:space="preserve">ontrol </w:t>
            </w:r>
            <w:r w:rsidR="00B77229">
              <w:rPr>
                <w:rFonts w:ascii="Times New Roman" w:hAnsi="Times New Roman"/>
                <w:sz w:val="20"/>
              </w:rPr>
              <w:t>s</w:t>
            </w:r>
            <w:r w:rsidR="00661213">
              <w:rPr>
                <w:rFonts w:ascii="Times New Roman" w:hAnsi="Times New Roman"/>
                <w:sz w:val="20"/>
              </w:rPr>
              <w:t xml:space="preserve">ystem. </w:t>
            </w:r>
            <w:r w:rsidR="00B77229">
              <w:rPr>
                <w:rFonts w:ascii="Times New Roman" w:hAnsi="Times New Roman"/>
                <w:sz w:val="20"/>
              </w:rPr>
              <w:t>Further in May 2011, DBM issued circular (No. 2011-5) on the Philippine Government Internal Audit Manual to complement NGICS and serve as a guide to the MDAs in strengthening their internal control systems. Trainings and workshops on NGICS and PGIAM implementation had been conducted to MDAs</w:t>
            </w:r>
            <w:r w:rsidRPr="00CB1AEB">
              <w:rPr>
                <w:rFonts w:ascii="Times New Roman" w:hAnsi="Times New Roman"/>
                <w:sz w:val="20"/>
              </w:rPr>
              <w:t>.</w:t>
            </w:r>
          </w:p>
        </w:tc>
      </w:tr>
      <w:tr w:rsidR="00D232C4" w:rsidRPr="005A497D" w14:paraId="7BE2A34B"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57"/>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18F928ED" w14:textId="4E8533CC"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Degree of compliance with rules for processing and recording transactions</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29A3C040"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0A131AEA" w14:textId="2A27360D" w:rsidR="00D232C4" w:rsidRPr="00CB1AEB" w:rsidRDefault="000E0691" w:rsidP="00B51E29">
            <w:pPr>
              <w:pStyle w:val="BodyC"/>
              <w:spacing w:before="40" w:after="40"/>
              <w:jc w:val="center"/>
              <w:rPr>
                <w:rFonts w:ascii="Times New Roman" w:hAnsi="Times New Roman"/>
                <w:sz w:val="20"/>
              </w:rPr>
            </w:pPr>
            <w:r>
              <w:rPr>
                <w:rFonts w:ascii="Times New Roman" w:hAnsi="Times New Roman"/>
                <w:sz w:val="20"/>
              </w:rPr>
              <w:t>C</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19FC374F" w14:textId="3896469D" w:rsidR="00D232C4" w:rsidRPr="00CB1AEB" w:rsidRDefault="00D232C4" w:rsidP="000C68D1">
            <w:pPr>
              <w:pStyle w:val="BodyC"/>
              <w:spacing w:before="40" w:after="40"/>
              <w:rPr>
                <w:rFonts w:ascii="Times New Roman" w:hAnsi="Times New Roman"/>
                <w:sz w:val="20"/>
              </w:rPr>
            </w:pPr>
            <w:r w:rsidRPr="00CB1AEB">
              <w:rPr>
                <w:rFonts w:ascii="Times New Roman" w:hAnsi="Times New Roman"/>
                <w:b/>
                <w:bCs/>
                <w:sz w:val="20"/>
              </w:rPr>
              <w:t xml:space="preserve">Performance </w:t>
            </w:r>
            <w:r w:rsidR="000C68D1">
              <w:rPr>
                <w:rFonts w:ascii="Times New Roman" w:hAnsi="Times New Roman"/>
                <w:b/>
                <w:bCs/>
                <w:sz w:val="20"/>
              </w:rPr>
              <w:t>improved</w:t>
            </w:r>
            <w:r w:rsidRPr="00CB1AEB">
              <w:rPr>
                <w:rFonts w:ascii="Times New Roman" w:hAnsi="Times New Roman"/>
                <w:sz w:val="20"/>
              </w:rPr>
              <w:t xml:space="preserve">. </w:t>
            </w:r>
            <w:r w:rsidR="000C68D1">
              <w:rPr>
                <w:rFonts w:ascii="Times New Roman" w:hAnsi="Times New Roman"/>
                <w:sz w:val="20"/>
              </w:rPr>
              <w:t xml:space="preserve">Number of unmodified opinion increased and adverse opinion decreased based on CY2013 audit reports (compared to previous assessment). However, despite NGICS and PGIAM implementation, </w:t>
            </w:r>
            <w:r w:rsidR="009008FE">
              <w:rPr>
                <w:rFonts w:ascii="Times New Roman" w:hAnsi="Times New Roman"/>
                <w:sz w:val="20"/>
              </w:rPr>
              <w:t>CoA</w:t>
            </w:r>
            <w:r w:rsidR="00661213" w:rsidRPr="00CB1AEB">
              <w:rPr>
                <w:rFonts w:ascii="Times New Roman" w:hAnsi="Times New Roman"/>
                <w:sz w:val="20"/>
              </w:rPr>
              <w:t xml:space="preserve"> audit reports </w:t>
            </w:r>
            <w:r w:rsidR="000C68D1">
              <w:rPr>
                <w:rFonts w:ascii="Times New Roman" w:hAnsi="Times New Roman"/>
                <w:sz w:val="20"/>
              </w:rPr>
              <w:t xml:space="preserve">still </w:t>
            </w:r>
            <w:r w:rsidR="00661213" w:rsidRPr="00CB1AEB">
              <w:rPr>
                <w:rFonts w:ascii="Times New Roman" w:hAnsi="Times New Roman"/>
                <w:sz w:val="20"/>
              </w:rPr>
              <w:t>indicate</w:t>
            </w:r>
            <w:r w:rsidR="000C68D1">
              <w:rPr>
                <w:rFonts w:ascii="Times New Roman" w:hAnsi="Times New Roman"/>
                <w:sz w:val="20"/>
              </w:rPr>
              <w:t>d</w:t>
            </w:r>
            <w:r w:rsidR="00661213" w:rsidRPr="00CB1AEB">
              <w:rPr>
                <w:rFonts w:ascii="Times New Roman" w:hAnsi="Times New Roman"/>
                <w:sz w:val="20"/>
              </w:rPr>
              <w:t xml:space="preserve"> a substantial number of findings concerning lapses in internal control resulting in significant misstatements in the financial statements as well as occurrences of transactions not compliant with existing rules and regulations. Also, due to maintaining financial records in spreadsheet format, there is little evidence that controls over access to financial information exist</w:t>
            </w:r>
            <w:r w:rsidR="000C68D1">
              <w:rPr>
                <w:rFonts w:ascii="Times New Roman" w:hAnsi="Times New Roman"/>
                <w:sz w:val="20"/>
              </w:rPr>
              <w:t>.</w:t>
            </w:r>
          </w:p>
        </w:tc>
      </w:tr>
      <w:tr w:rsidR="00D232C4" w:rsidRPr="00CB1AEB" w14:paraId="0A095C0F"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51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409F6D08" w14:textId="77777777" w:rsidR="00D232C4" w:rsidRPr="00CB1AEB" w:rsidRDefault="00D232C4" w:rsidP="00CB1AEB">
            <w:pPr>
              <w:rPr>
                <w:b/>
                <w:sz w:val="20"/>
                <w:szCs w:val="20"/>
              </w:rPr>
            </w:pPr>
            <w:r w:rsidRPr="00CB1AEB">
              <w:rPr>
                <w:b/>
                <w:sz w:val="20"/>
                <w:szCs w:val="20"/>
              </w:rPr>
              <w:t>PI-21 Effectiveness of internal audit</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3F269E41" w14:textId="77777777" w:rsidR="00D232C4" w:rsidRPr="00CB1AEB" w:rsidRDefault="00D232C4" w:rsidP="00CB1AEB">
            <w:pPr>
              <w:jc w:val="center"/>
              <w:rPr>
                <w:b/>
                <w:sz w:val="20"/>
                <w:szCs w:val="20"/>
              </w:rPr>
            </w:pPr>
            <w:r w:rsidRPr="00CB1AEB">
              <w:rPr>
                <w:b/>
                <w:sz w:val="20"/>
                <w:szCs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4791EEFE" w14:textId="77777777" w:rsidR="00D232C4" w:rsidRPr="00CB1AEB" w:rsidRDefault="00D232C4" w:rsidP="00CB1AEB">
            <w:pPr>
              <w:jc w:val="center"/>
              <w:rPr>
                <w:b/>
                <w:sz w:val="20"/>
                <w:szCs w:val="20"/>
              </w:rPr>
            </w:pPr>
            <w:r w:rsidRPr="00CB1AEB">
              <w:rPr>
                <w:b/>
                <w:sz w:val="20"/>
                <w:szCs w:val="20"/>
              </w:rPr>
              <w:t>C</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448A55C6" w14:textId="77777777" w:rsidR="00D232C4" w:rsidRPr="00CB1AEB" w:rsidRDefault="00D232C4" w:rsidP="00CB1AEB">
            <w:pPr>
              <w:rPr>
                <w:b/>
                <w:sz w:val="20"/>
                <w:szCs w:val="20"/>
              </w:rPr>
            </w:pPr>
            <w:bookmarkStart w:id="456" w:name="_Toc433828458"/>
            <w:r w:rsidRPr="00CB1AEB">
              <w:rPr>
                <w:b/>
                <w:sz w:val="20"/>
                <w:szCs w:val="20"/>
              </w:rPr>
              <w:t>Overall rating based on M1 methodology.</w:t>
            </w:r>
            <w:bookmarkEnd w:id="456"/>
          </w:p>
        </w:tc>
      </w:tr>
      <w:tr w:rsidR="00D232C4" w:rsidRPr="005A497D" w14:paraId="7D4F65C2"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767"/>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241D57BC"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Coverage and quality of the internal audit function</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14BB8830"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9645873"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19A22AC4" w14:textId="4F906964" w:rsidR="00D232C4" w:rsidRPr="00CB1AEB" w:rsidRDefault="00D232C4" w:rsidP="00D615CB">
            <w:pPr>
              <w:pStyle w:val="BodyC"/>
              <w:spacing w:before="40" w:after="40"/>
              <w:rPr>
                <w:rFonts w:ascii="Times New Roman" w:hAnsi="Times New Roman"/>
                <w:sz w:val="20"/>
              </w:rPr>
            </w:pPr>
            <w:r w:rsidRPr="00CB1AEB">
              <w:rPr>
                <w:rFonts w:ascii="Times New Roman" w:hAnsi="Times New Roman"/>
                <w:b/>
                <w:sz w:val="20"/>
              </w:rPr>
              <w:t>Performance improved</w:t>
            </w:r>
            <w:r w:rsidRPr="00CB1AEB">
              <w:rPr>
                <w:rFonts w:ascii="Times New Roman" w:hAnsi="Times New Roman"/>
                <w:sz w:val="20"/>
              </w:rPr>
              <w:t xml:space="preserve">. </w:t>
            </w:r>
            <w:r w:rsidR="00D615CB" w:rsidRPr="00CB1AEB">
              <w:rPr>
                <w:rFonts w:ascii="Times New Roman" w:hAnsi="Times New Roman"/>
                <w:sz w:val="20"/>
              </w:rPr>
              <w:t xml:space="preserve"> </w:t>
            </w:r>
            <w:r w:rsidR="008B0256">
              <w:rPr>
                <w:rFonts w:ascii="Times New Roman" w:hAnsi="Times New Roman"/>
                <w:sz w:val="20"/>
              </w:rPr>
              <w:t>Internal Audit Service</w:t>
            </w:r>
            <w:r w:rsidR="00D615CB" w:rsidRPr="00CB1AEB">
              <w:rPr>
                <w:rFonts w:ascii="Times New Roman" w:hAnsi="Times New Roman"/>
                <w:sz w:val="20"/>
              </w:rPr>
              <w:t>/</w:t>
            </w:r>
            <w:r w:rsidR="008B0256">
              <w:rPr>
                <w:rFonts w:ascii="Times New Roman" w:hAnsi="Times New Roman"/>
                <w:sz w:val="20"/>
              </w:rPr>
              <w:t>Internal Audit Unit</w:t>
            </w:r>
            <w:r w:rsidR="00D615CB" w:rsidRPr="00CB1AEB">
              <w:rPr>
                <w:rFonts w:ascii="Times New Roman" w:hAnsi="Times New Roman"/>
                <w:sz w:val="20"/>
              </w:rPr>
              <w:t xml:space="preserve">s </w:t>
            </w:r>
            <w:r w:rsidRPr="00CB1AEB">
              <w:rPr>
                <w:rFonts w:ascii="Times New Roman" w:hAnsi="Times New Roman"/>
                <w:sz w:val="20"/>
              </w:rPr>
              <w:t xml:space="preserve">have now been established in most government agencies; although not efficiently and effectively functioning due to lack of substantial trainings to further develop competencies of audit personnel. In DOTC, there is non-adherence to independence since </w:t>
            </w:r>
            <w:r w:rsidR="008B0256">
              <w:rPr>
                <w:rFonts w:ascii="Times New Roman" w:hAnsi="Times New Roman"/>
                <w:sz w:val="20"/>
              </w:rPr>
              <w:t>Internal Audit Service</w:t>
            </w:r>
            <w:r w:rsidR="00D615CB" w:rsidRPr="00CB1AEB">
              <w:rPr>
                <w:rFonts w:ascii="Times New Roman" w:hAnsi="Times New Roman"/>
                <w:sz w:val="20"/>
              </w:rPr>
              <w:t>/</w:t>
            </w:r>
            <w:r w:rsidR="008B0256">
              <w:rPr>
                <w:rFonts w:ascii="Times New Roman" w:hAnsi="Times New Roman"/>
                <w:sz w:val="20"/>
              </w:rPr>
              <w:t>Internal Audit Unit</w:t>
            </w:r>
            <w:r w:rsidR="00D615CB" w:rsidRPr="00CB1AEB">
              <w:rPr>
                <w:rFonts w:ascii="Times New Roman" w:hAnsi="Times New Roman"/>
                <w:sz w:val="20"/>
              </w:rPr>
              <w:t xml:space="preserve">s </w:t>
            </w:r>
            <w:r w:rsidRPr="00CB1AEB">
              <w:rPr>
                <w:rFonts w:ascii="Times New Roman" w:hAnsi="Times New Roman"/>
                <w:sz w:val="20"/>
              </w:rPr>
              <w:t xml:space="preserve">is reporting to the Undersecretary of Operations. </w:t>
            </w:r>
          </w:p>
        </w:tc>
      </w:tr>
      <w:tr w:rsidR="00D232C4" w:rsidRPr="005A497D" w14:paraId="5FED592A"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585"/>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69FFCB65"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Frequency and distribution of reports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152ACEB7"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64900F9"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59B716AA" w14:textId="29000671" w:rsidR="00D232C4" w:rsidRPr="00CB1AEB" w:rsidRDefault="00A0363F" w:rsidP="00A0363F">
            <w:pPr>
              <w:pStyle w:val="BodyB"/>
              <w:tabs>
                <w:tab w:val="left" w:pos="287"/>
              </w:tabs>
              <w:spacing w:before="40" w:after="40"/>
              <w:rPr>
                <w:rFonts w:ascii="Times New Roman" w:hAnsi="Times New Roman"/>
                <w:sz w:val="20"/>
              </w:rPr>
            </w:pPr>
            <w:r w:rsidRPr="00CB1AEB">
              <w:rPr>
                <w:rFonts w:ascii="Times New Roman" w:hAnsi="Times New Roman"/>
                <w:b/>
                <w:sz w:val="20"/>
              </w:rPr>
              <w:t>Performance improved</w:t>
            </w:r>
            <w:r w:rsidRPr="00CB1AEB">
              <w:rPr>
                <w:rFonts w:ascii="Times New Roman" w:hAnsi="Times New Roman"/>
                <w:sz w:val="20"/>
              </w:rPr>
              <w:t xml:space="preserve">. </w:t>
            </w:r>
            <w:r w:rsidR="00D232C4" w:rsidRPr="00CB1AEB">
              <w:rPr>
                <w:rFonts w:ascii="Times New Roman" w:hAnsi="Times New Roman"/>
                <w:sz w:val="20"/>
              </w:rPr>
              <w:t xml:space="preserve">DPWH and DOTC completed their respective audit plans during 2014 and were able to issue internal audit reports. </w:t>
            </w:r>
            <w:r w:rsidR="008B0256">
              <w:rPr>
                <w:rFonts w:ascii="Times New Roman" w:hAnsi="Times New Roman"/>
                <w:sz w:val="20"/>
              </w:rPr>
              <w:t>Internal Audit Unit</w:t>
            </w:r>
            <w:r>
              <w:rPr>
                <w:rFonts w:ascii="Times New Roman" w:hAnsi="Times New Roman"/>
                <w:sz w:val="20"/>
              </w:rPr>
              <w:t xml:space="preserve">s established in all NGAs regularly issue reports to the head of the entity but not to DBM or </w:t>
            </w:r>
            <w:r w:rsidR="00A177AB">
              <w:rPr>
                <w:rFonts w:ascii="Times New Roman" w:hAnsi="Times New Roman"/>
                <w:sz w:val="20"/>
              </w:rPr>
              <w:t>CoA</w:t>
            </w:r>
            <w:r w:rsidR="00D232C4" w:rsidRPr="00CB1AEB">
              <w:rPr>
                <w:rFonts w:ascii="Times New Roman" w:hAnsi="Times New Roman"/>
                <w:sz w:val="20"/>
              </w:rPr>
              <w:t>.</w:t>
            </w:r>
          </w:p>
        </w:tc>
      </w:tr>
      <w:tr w:rsidR="00D232C4" w:rsidRPr="005A497D" w14:paraId="53534133"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425"/>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2F827F31"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Extent of management response to internal audit findings</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3C5659F6"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57C60011"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61FD73E0" w14:textId="5E81008E" w:rsidR="00D232C4" w:rsidRPr="00CB1AEB" w:rsidRDefault="00D232C4" w:rsidP="00D232C4">
            <w:pPr>
              <w:pStyle w:val="BodyB"/>
              <w:tabs>
                <w:tab w:val="left" w:pos="287"/>
              </w:tabs>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In every internal audit report issued, </w:t>
            </w:r>
            <w:r w:rsidR="008B0256">
              <w:rPr>
                <w:rFonts w:ascii="Times New Roman" w:hAnsi="Times New Roman"/>
                <w:sz w:val="20"/>
              </w:rPr>
              <w:t>Internal Audit Service</w:t>
            </w:r>
            <w:r w:rsidRPr="00CB1AEB">
              <w:rPr>
                <w:rFonts w:ascii="Times New Roman" w:hAnsi="Times New Roman"/>
                <w:sz w:val="20"/>
              </w:rPr>
              <w:t>/</w:t>
            </w:r>
            <w:r w:rsidR="008B0256">
              <w:rPr>
                <w:rFonts w:ascii="Times New Roman" w:hAnsi="Times New Roman"/>
                <w:sz w:val="20"/>
              </w:rPr>
              <w:t>Internal Audit Unit</w:t>
            </w:r>
            <w:r w:rsidRPr="00CB1AEB">
              <w:rPr>
                <w:rFonts w:ascii="Times New Roman" w:hAnsi="Times New Roman"/>
                <w:sz w:val="20"/>
              </w:rPr>
              <w:t>s provide recommendations that are presented to the Head of the audited unit and the Department Secretary. Management response is solicited to indicate corresponding action plan that will be undertaken. However, no validation is completed to verify actions have been completed.</w:t>
            </w:r>
          </w:p>
        </w:tc>
      </w:tr>
      <w:tr w:rsidR="00D232C4" w:rsidRPr="00CB1AEB" w14:paraId="42881B36"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3BF91FCA" w14:textId="77777777" w:rsidR="00D232C4" w:rsidRPr="00CB1AEB" w:rsidRDefault="00D232C4" w:rsidP="00CB1AEB">
            <w:pPr>
              <w:rPr>
                <w:b/>
                <w:sz w:val="20"/>
                <w:szCs w:val="20"/>
              </w:rPr>
            </w:pPr>
            <w:r w:rsidRPr="00CB1AEB">
              <w:rPr>
                <w:b/>
                <w:sz w:val="20"/>
                <w:szCs w:val="20"/>
              </w:rPr>
              <w:t>PI-22 Timeliness and regularity of accounts reconciliation</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5F454F30" w14:textId="77777777" w:rsidR="00D232C4" w:rsidRPr="00CB1AEB" w:rsidRDefault="00D232C4" w:rsidP="00CB1AEB">
            <w:pPr>
              <w:jc w:val="center"/>
              <w:rPr>
                <w:b/>
                <w:sz w:val="20"/>
                <w:szCs w:val="20"/>
              </w:rPr>
            </w:pPr>
            <w:r w:rsidRPr="00CB1AEB">
              <w:rPr>
                <w:b/>
                <w:sz w:val="20"/>
                <w:szCs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00FBD73B" w14:textId="77777777" w:rsidR="00D232C4" w:rsidRPr="00CB1AEB" w:rsidRDefault="00D232C4" w:rsidP="00CB1AEB">
            <w:pPr>
              <w:jc w:val="center"/>
              <w:rPr>
                <w:b/>
                <w:sz w:val="20"/>
                <w:szCs w:val="20"/>
              </w:rPr>
            </w:pPr>
            <w:r w:rsidRPr="00CB1AEB">
              <w:rPr>
                <w:b/>
                <w:sz w:val="20"/>
                <w:szCs w:val="20"/>
              </w:rPr>
              <w:t>D</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587CB066" w14:textId="77777777" w:rsidR="00D232C4" w:rsidRPr="00CB1AEB" w:rsidRDefault="00D232C4" w:rsidP="00CB1AEB">
            <w:pPr>
              <w:rPr>
                <w:b/>
                <w:sz w:val="20"/>
                <w:szCs w:val="20"/>
              </w:rPr>
            </w:pPr>
            <w:bookmarkStart w:id="457" w:name="_Toc433828459"/>
            <w:r w:rsidRPr="00CB1AEB">
              <w:rPr>
                <w:b/>
                <w:sz w:val="20"/>
                <w:szCs w:val="20"/>
              </w:rPr>
              <w:t>Overall rating based on M2 methodology.</w:t>
            </w:r>
            <w:bookmarkEnd w:id="457"/>
          </w:p>
        </w:tc>
      </w:tr>
      <w:tr w:rsidR="00D232C4" w:rsidRPr="005A497D" w14:paraId="289CA2D8"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327"/>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A88C9F8"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Regularity of bank reconciliation</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6CB929C0"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168391EE"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50820F95" w14:textId="308CAE50"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w:t>
            </w:r>
            <w:r w:rsidR="00D615CB" w:rsidRPr="00CB1AEB">
              <w:rPr>
                <w:rFonts w:ascii="Times New Roman" w:hAnsi="Times New Roman"/>
                <w:sz w:val="20"/>
              </w:rPr>
              <w:t xml:space="preserve"> </w:t>
            </w:r>
            <w:r w:rsidR="009008FE">
              <w:rPr>
                <w:rFonts w:ascii="Times New Roman" w:hAnsi="Times New Roman"/>
                <w:sz w:val="20"/>
              </w:rPr>
              <w:t>CoA</w:t>
            </w:r>
            <w:r w:rsidRPr="00CB1AEB">
              <w:rPr>
                <w:rFonts w:ascii="Times New Roman" w:hAnsi="Times New Roman"/>
                <w:sz w:val="20"/>
              </w:rPr>
              <w:t xml:space="preserve"> audit reports cite unreliable cash balances and include a significant number of findings and observations concerning non-preparation or delayed submission of bank reconciliation statements. </w:t>
            </w:r>
          </w:p>
        </w:tc>
      </w:tr>
      <w:tr w:rsidR="00D232C4" w:rsidRPr="005A497D" w14:paraId="6F1FA342"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874"/>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1C1FF889"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Regularity of reconciliation and clearance of suspense accounts and advances</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118E5EDD"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1DD9F584"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4DAC8964" w14:textId="6E291F81" w:rsidR="00D232C4" w:rsidRPr="00CB1AEB" w:rsidRDefault="00D232C4" w:rsidP="00D615CB">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Based on </w:t>
            </w:r>
            <w:r w:rsidR="009008FE">
              <w:rPr>
                <w:rFonts w:ascii="Times New Roman" w:hAnsi="Times New Roman"/>
                <w:sz w:val="20"/>
              </w:rPr>
              <w:t>CoA</w:t>
            </w:r>
            <w:r w:rsidRPr="00CB1AEB">
              <w:rPr>
                <w:rFonts w:ascii="Times New Roman" w:hAnsi="Times New Roman"/>
                <w:sz w:val="20"/>
              </w:rPr>
              <w:t xml:space="preserve"> audit observations, long outstanding unliquidated advances run to millions of pesos. For the suspense account, D</w:t>
            </w:r>
            <w:r w:rsidR="00D615CB" w:rsidRPr="00CB1AEB">
              <w:rPr>
                <w:rFonts w:ascii="Times New Roman" w:hAnsi="Times New Roman"/>
                <w:sz w:val="20"/>
              </w:rPr>
              <w:t>o</w:t>
            </w:r>
            <w:r w:rsidRPr="00CB1AEB">
              <w:rPr>
                <w:rFonts w:ascii="Times New Roman" w:hAnsi="Times New Roman"/>
                <w:sz w:val="20"/>
              </w:rPr>
              <w:t>J maintains Other Property, Plant and Equipment which is captioned as “for reclassification” since 2012. DOTC, on the other hand, created suspense payable accounts to lodge prior year balances subject to reconciliation.</w:t>
            </w:r>
          </w:p>
        </w:tc>
      </w:tr>
      <w:tr w:rsidR="00D232C4" w:rsidRPr="00CB1AEB" w14:paraId="63716525"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4270"/>
        </w:trPr>
        <w:tc>
          <w:tcPr>
            <w:tcW w:w="3597" w:type="dxa"/>
            <w:tcBorders>
              <w:top w:val="double" w:sz="4" w:space="0" w:color="auto"/>
              <w:left w:val="double" w:sz="4" w:space="0" w:color="auto"/>
              <w:right w:val="single" w:sz="8" w:space="0" w:color="000000"/>
            </w:tcBorders>
            <w:shd w:val="clear" w:color="auto" w:fill="FFFFFF"/>
            <w:tcMar>
              <w:top w:w="0" w:type="dxa"/>
              <w:bottom w:w="0" w:type="dxa"/>
            </w:tcMar>
            <w:vAlign w:val="center"/>
          </w:tcPr>
          <w:p w14:paraId="2BC70454" w14:textId="77777777" w:rsidR="00D232C4" w:rsidRPr="00CB1AEB" w:rsidRDefault="00D232C4" w:rsidP="00D232C4">
            <w:pPr>
              <w:pStyle w:val="Body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40" w:after="40"/>
              <w:rPr>
                <w:rFonts w:ascii="Times New Roman" w:hAnsi="Times New Roman"/>
                <w:b/>
                <w:sz w:val="20"/>
              </w:rPr>
            </w:pPr>
            <w:r w:rsidRPr="00CB1AEB">
              <w:rPr>
                <w:rFonts w:ascii="Times New Roman" w:hAnsi="Times New Roman"/>
                <w:b/>
                <w:sz w:val="20"/>
              </w:rPr>
              <w:t>PI-23 Availability of information on resources received by service delivery units</w:t>
            </w:r>
          </w:p>
          <w:p w14:paraId="0CFDCCFB" w14:textId="77777777" w:rsidR="00D232C4" w:rsidRPr="00CB1AEB" w:rsidRDefault="00D232C4" w:rsidP="00D232C4">
            <w:pPr>
              <w:pStyle w:val="BodyBA"/>
              <w:spacing w:before="40" w:after="40"/>
              <w:rPr>
                <w:rFonts w:ascii="Times New Roman" w:hAnsi="Times New Roman"/>
                <w:b/>
                <w:sz w:val="20"/>
              </w:rPr>
            </w:pPr>
            <w:r w:rsidRPr="00CB1AEB">
              <w:rPr>
                <w:rFonts w:ascii="Times New Roman" w:hAnsi="Times New Roman"/>
                <w:sz w:val="20"/>
              </w:rPr>
              <w:t>(i) Collection and processing of information to demonstrate that resources were actually received (in cash and in kind) by the most common front-line service delivery units (focus on primary schools and primary health clinics) in relation to the overall resources made available to the sector(s), irrespective of which level of government is responsible for the operation and funding of those units</w:t>
            </w:r>
          </w:p>
        </w:tc>
        <w:tc>
          <w:tcPr>
            <w:tcW w:w="924" w:type="dxa"/>
            <w:tcBorders>
              <w:top w:val="double" w:sz="4" w:space="0" w:color="auto"/>
              <w:left w:val="single" w:sz="8" w:space="0" w:color="000000"/>
              <w:right w:val="single" w:sz="8" w:space="0" w:color="000000"/>
            </w:tcBorders>
            <w:shd w:val="clear" w:color="auto" w:fill="FFFFFF"/>
            <w:tcMar>
              <w:top w:w="0" w:type="dxa"/>
              <w:bottom w:w="0" w:type="dxa"/>
            </w:tcMar>
            <w:vAlign w:val="center"/>
          </w:tcPr>
          <w:p w14:paraId="7FAD7114" w14:textId="77777777" w:rsidR="00D232C4" w:rsidRPr="00CB1AEB" w:rsidRDefault="00D232C4" w:rsidP="00CB1AEB">
            <w:pPr>
              <w:pStyle w:val="BodyBA"/>
              <w:spacing w:before="40" w:after="40"/>
              <w:jc w:val="center"/>
              <w:rPr>
                <w:rFonts w:ascii="Times New Roman" w:hAnsi="Times New Roman"/>
                <w:b/>
                <w:sz w:val="20"/>
              </w:rPr>
            </w:pPr>
            <w:r w:rsidRPr="00CB1AEB">
              <w:rPr>
                <w:rFonts w:ascii="Times New Roman" w:hAnsi="Times New Roman"/>
                <w:b/>
                <w:sz w:val="20"/>
              </w:rPr>
              <w:t>D</w:t>
            </w:r>
          </w:p>
        </w:tc>
        <w:tc>
          <w:tcPr>
            <w:tcW w:w="924" w:type="dxa"/>
            <w:tcBorders>
              <w:top w:val="double" w:sz="4" w:space="0" w:color="auto"/>
              <w:left w:val="single" w:sz="8" w:space="0" w:color="000000"/>
              <w:right w:val="single" w:sz="8" w:space="0" w:color="000000"/>
            </w:tcBorders>
            <w:shd w:val="clear" w:color="auto" w:fill="FFFFFF"/>
            <w:tcMar>
              <w:top w:w="0" w:type="dxa"/>
              <w:bottom w:w="0" w:type="dxa"/>
            </w:tcMar>
            <w:vAlign w:val="center"/>
          </w:tcPr>
          <w:p w14:paraId="3BD7F970" w14:textId="7950739A" w:rsidR="00D232C4" w:rsidRPr="00CB1AEB" w:rsidRDefault="003102A4" w:rsidP="00CB1AEB">
            <w:pPr>
              <w:pStyle w:val="BodyB"/>
              <w:spacing w:before="40" w:after="40"/>
              <w:jc w:val="center"/>
              <w:rPr>
                <w:rFonts w:ascii="Times New Roman" w:hAnsi="Times New Roman"/>
                <w:b/>
                <w:sz w:val="20"/>
              </w:rPr>
            </w:pPr>
            <w:r>
              <w:rPr>
                <w:rFonts w:ascii="Times New Roman" w:hAnsi="Times New Roman"/>
                <w:b/>
                <w:sz w:val="20"/>
              </w:rPr>
              <w:t>C</w:t>
            </w:r>
          </w:p>
        </w:tc>
        <w:tc>
          <w:tcPr>
            <w:tcW w:w="3911" w:type="dxa"/>
            <w:tcBorders>
              <w:top w:val="double" w:sz="4" w:space="0" w:color="auto"/>
              <w:left w:val="single" w:sz="8" w:space="0" w:color="000000"/>
              <w:right w:val="double" w:sz="4" w:space="0" w:color="auto"/>
            </w:tcBorders>
            <w:shd w:val="clear" w:color="auto" w:fill="FFFFFF"/>
            <w:tcMar>
              <w:top w:w="0" w:type="dxa"/>
              <w:bottom w:w="0" w:type="dxa"/>
            </w:tcMar>
            <w:vAlign w:val="center"/>
          </w:tcPr>
          <w:p w14:paraId="67890A30" w14:textId="77777777" w:rsidR="00D232C4" w:rsidRPr="00CB1AEB" w:rsidRDefault="00D232C4" w:rsidP="00CB1AEB">
            <w:pPr>
              <w:rPr>
                <w:b/>
                <w:sz w:val="20"/>
                <w:szCs w:val="20"/>
              </w:rPr>
            </w:pPr>
            <w:bookmarkStart w:id="458" w:name="_Toc433828460"/>
            <w:r w:rsidRPr="00CB1AEB">
              <w:rPr>
                <w:b/>
                <w:sz w:val="20"/>
                <w:szCs w:val="20"/>
              </w:rPr>
              <w:t>Overall rating based on M1 methodology.</w:t>
            </w:r>
            <w:bookmarkEnd w:id="458"/>
          </w:p>
          <w:p w14:paraId="0F58BEBD" w14:textId="77777777" w:rsidR="00CB1AEB" w:rsidRPr="00CB1AEB" w:rsidRDefault="00CB1AEB" w:rsidP="00CB1AEB">
            <w:pPr>
              <w:rPr>
                <w:b/>
                <w:bCs/>
                <w:sz w:val="20"/>
                <w:szCs w:val="20"/>
              </w:rPr>
            </w:pPr>
          </w:p>
          <w:p w14:paraId="5A9A1055" w14:textId="15FF1E5B" w:rsidR="00D232C4" w:rsidRPr="00CB1AEB" w:rsidRDefault="00D232C4" w:rsidP="00052982">
            <w:pPr>
              <w:rPr>
                <w:sz w:val="20"/>
                <w:szCs w:val="20"/>
              </w:rPr>
            </w:pPr>
            <w:r w:rsidRPr="00CB1AEB">
              <w:rPr>
                <w:b/>
                <w:bCs/>
                <w:sz w:val="20"/>
                <w:szCs w:val="20"/>
              </w:rPr>
              <w:t xml:space="preserve">Performance </w:t>
            </w:r>
            <w:r w:rsidR="00052982">
              <w:rPr>
                <w:b/>
                <w:bCs/>
                <w:sz w:val="20"/>
                <w:szCs w:val="20"/>
              </w:rPr>
              <w:t>improved</w:t>
            </w:r>
            <w:r w:rsidRPr="00CB1AEB">
              <w:rPr>
                <w:sz w:val="20"/>
                <w:szCs w:val="20"/>
              </w:rPr>
              <w:t xml:space="preserve">. </w:t>
            </w:r>
            <w:r w:rsidR="00052982">
              <w:rPr>
                <w:sz w:val="20"/>
                <w:szCs w:val="20"/>
              </w:rPr>
              <w:t>MDAs</w:t>
            </w:r>
            <w:r w:rsidR="00052982" w:rsidRPr="00052982">
              <w:rPr>
                <w:sz w:val="20"/>
                <w:szCs w:val="20"/>
              </w:rPr>
              <w:t xml:space="preserve"> </w:t>
            </w:r>
            <w:r w:rsidR="00052982">
              <w:rPr>
                <w:sz w:val="20"/>
                <w:szCs w:val="20"/>
              </w:rPr>
              <w:t xml:space="preserve">(which includes DepEd and </w:t>
            </w:r>
            <w:r w:rsidR="007E4D1F">
              <w:rPr>
                <w:sz w:val="20"/>
                <w:szCs w:val="20"/>
              </w:rPr>
              <w:t>DoH</w:t>
            </w:r>
            <w:r w:rsidR="00052982">
              <w:rPr>
                <w:sz w:val="20"/>
                <w:szCs w:val="20"/>
              </w:rPr>
              <w:t xml:space="preserve">) </w:t>
            </w:r>
            <w:r w:rsidR="00052982" w:rsidRPr="00052982">
              <w:rPr>
                <w:sz w:val="20"/>
                <w:szCs w:val="20"/>
              </w:rPr>
              <w:t>submit a consolidated Statement of Appropriations, Allotments, Obligations, Disbursements and Balances (SAAODB) on a quarterly basis to Department of Budget and Management. This report reflects information on resources received by the frontline service delivery units whether sub-allotted by the Central Office or directly released by DBM</w:t>
            </w:r>
            <w:r w:rsidR="00052982">
              <w:rPr>
                <w:sz w:val="20"/>
                <w:szCs w:val="20"/>
              </w:rPr>
              <w:t xml:space="preserve"> to Regional Offices</w:t>
            </w:r>
            <w:r w:rsidR="00052982" w:rsidRPr="00052982">
              <w:rPr>
                <w:sz w:val="20"/>
                <w:szCs w:val="20"/>
              </w:rPr>
              <w:t xml:space="preserve">. </w:t>
            </w:r>
            <w:r w:rsidR="00052982">
              <w:rPr>
                <w:sz w:val="20"/>
                <w:szCs w:val="20"/>
              </w:rPr>
              <w:t xml:space="preserve">However, there is no evidence that in-kind resources received by service delivery units are compiled at least annually. </w:t>
            </w:r>
            <w:r w:rsidR="009008FE">
              <w:rPr>
                <w:sz w:val="20"/>
                <w:szCs w:val="20"/>
              </w:rPr>
              <w:t>CoA</w:t>
            </w:r>
            <w:r w:rsidRPr="00CB1AEB">
              <w:rPr>
                <w:sz w:val="20"/>
                <w:szCs w:val="20"/>
              </w:rPr>
              <w:t>’s audit reports</w:t>
            </w:r>
            <w:r w:rsidR="00052982">
              <w:rPr>
                <w:sz w:val="20"/>
                <w:szCs w:val="20"/>
              </w:rPr>
              <w:t xml:space="preserve"> also</w:t>
            </w:r>
            <w:r w:rsidRPr="00CB1AEB">
              <w:rPr>
                <w:sz w:val="20"/>
                <w:szCs w:val="20"/>
              </w:rPr>
              <w:t xml:space="preserve"> indicate lack of efficient monitoring of resources for service delivery units. </w:t>
            </w:r>
          </w:p>
        </w:tc>
      </w:tr>
      <w:tr w:rsidR="00D232C4" w:rsidRPr="00CB1AEB" w14:paraId="4D73B050"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1042153C" w14:textId="77777777" w:rsidR="00D232C4" w:rsidRPr="00CB1AEB" w:rsidRDefault="00D232C4" w:rsidP="00CB1AEB">
            <w:pPr>
              <w:rPr>
                <w:b/>
                <w:sz w:val="20"/>
                <w:szCs w:val="20"/>
              </w:rPr>
            </w:pPr>
            <w:r w:rsidRPr="00CB1AEB">
              <w:rPr>
                <w:b/>
                <w:sz w:val="20"/>
                <w:szCs w:val="20"/>
              </w:rPr>
              <w:t>PI-24 Quality and timeliness of in-year budget reports</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52355BA3" w14:textId="77777777" w:rsidR="00D232C4" w:rsidRPr="00CB1AEB" w:rsidRDefault="00D232C4" w:rsidP="00CB1AEB">
            <w:pPr>
              <w:jc w:val="center"/>
              <w:rPr>
                <w:b/>
                <w:sz w:val="20"/>
                <w:szCs w:val="20"/>
              </w:rPr>
            </w:pPr>
            <w:r w:rsidRPr="00CB1AEB">
              <w:rPr>
                <w:b/>
                <w:sz w:val="20"/>
                <w:szCs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640968EF" w14:textId="77777777" w:rsidR="00D232C4" w:rsidRPr="00CB1AEB" w:rsidRDefault="00D232C4" w:rsidP="00CB1AEB">
            <w:pPr>
              <w:jc w:val="center"/>
              <w:rPr>
                <w:b/>
                <w:sz w:val="20"/>
                <w:szCs w:val="20"/>
              </w:rPr>
            </w:pPr>
            <w:r w:rsidRPr="00CB1AEB">
              <w:rPr>
                <w:b/>
                <w:sz w:val="20"/>
                <w:szCs w:val="20"/>
              </w:rPr>
              <w:t>D+</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580B882B" w14:textId="77777777" w:rsidR="00D232C4" w:rsidRPr="00CB1AEB" w:rsidRDefault="00D232C4" w:rsidP="00CB1AEB">
            <w:pPr>
              <w:rPr>
                <w:b/>
                <w:sz w:val="20"/>
                <w:szCs w:val="20"/>
              </w:rPr>
            </w:pPr>
            <w:bookmarkStart w:id="459" w:name="_Toc433828461"/>
            <w:r w:rsidRPr="00CB1AEB">
              <w:rPr>
                <w:b/>
                <w:sz w:val="20"/>
                <w:szCs w:val="20"/>
              </w:rPr>
              <w:t>Overall rating based on M1 methodology.</w:t>
            </w:r>
            <w:bookmarkEnd w:id="459"/>
          </w:p>
        </w:tc>
      </w:tr>
      <w:tr w:rsidR="00D232C4" w:rsidRPr="005A497D" w14:paraId="18B0C72E"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066"/>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6A3FCCF8"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Scope of reports in terms of coverage and comparability with budget estimates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CA7331E"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560C464"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0C5AF68A" w14:textId="47E0B65F" w:rsidR="00D232C4" w:rsidRPr="00CB1AEB" w:rsidRDefault="00D232C4" w:rsidP="00C8558E">
            <w:pPr>
              <w:pStyle w:val="BodyB"/>
              <w:tabs>
                <w:tab w:val="left" w:pos="287"/>
              </w:tabs>
              <w:spacing w:before="40" w:after="40"/>
              <w:rPr>
                <w:rFonts w:ascii="Times New Roman" w:hAnsi="Times New Roman"/>
                <w:sz w:val="20"/>
              </w:rPr>
            </w:pPr>
            <w:r w:rsidRPr="00CB1AEB">
              <w:rPr>
                <w:rFonts w:ascii="Times New Roman" w:hAnsi="Times New Roman"/>
                <w:b/>
                <w:sz w:val="20"/>
              </w:rPr>
              <w:t>Performance improved</w:t>
            </w:r>
            <w:r w:rsidRPr="00CB1AEB">
              <w:rPr>
                <w:rFonts w:ascii="Times New Roman" w:hAnsi="Times New Roman"/>
                <w:sz w:val="20"/>
              </w:rPr>
              <w:t xml:space="preserve">. Numerous reports </w:t>
            </w:r>
            <w:r w:rsidR="00A0363F">
              <w:rPr>
                <w:rFonts w:ascii="Times New Roman" w:hAnsi="Times New Roman"/>
                <w:sz w:val="20"/>
              </w:rPr>
              <w:t xml:space="preserve">with a new format </w:t>
            </w:r>
            <w:r w:rsidRPr="00CB1AEB">
              <w:rPr>
                <w:rFonts w:ascii="Times New Roman" w:hAnsi="Times New Roman"/>
                <w:sz w:val="20"/>
              </w:rPr>
              <w:t xml:space="preserve">are required to be submitted by the line departments and agencies to both </w:t>
            </w:r>
            <w:r w:rsidR="00A177AB">
              <w:rPr>
                <w:rFonts w:ascii="Times New Roman" w:hAnsi="Times New Roman"/>
                <w:sz w:val="20"/>
              </w:rPr>
              <w:t>CoA</w:t>
            </w:r>
            <w:r w:rsidRPr="00CB1AEB">
              <w:rPr>
                <w:rFonts w:ascii="Times New Roman" w:hAnsi="Times New Roman"/>
                <w:sz w:val="20"/>
              </w:rPr>
              <w:t xml:space="preserve"> and DBM. DBM requires </w:t>
            </w:r>
            <w:r w:rsidR="00C8558E">
              <w:rPr>
                <w:rFonts w:ascii="Times New Roman" w:hAnsi="Times New Roman"/>
                <w:sz w:val="20"/>
              </w:rPr>
              <w:t>4</w:t>
            </w:r>
            <w:r w:rsidR="00C8558E" w:rsidRPr="00CB1AEB">
              <w:rPr>
                <w:rFonts w:ascii="Times New Roman" w:hAnsi="Times New Roman"/>
                <w:sz w:val="20"/>
              </w:rPr>
              <w:t xml:space="preserve"> </w:t>
            </w:r>
            <w:r w:rsidRPr="00CB1AEB">
              <w:rPr>
                <w:rFonts w:ascii="Times New Roman" w:hAnsi="Times New Roman"/>
                <w:sz w:val="20"/>
              </w:rPr>
              <w:t xml:space="preserve">Budget Execution Documents and </w:t>
            </w:r>
            <w:r w:rsidR="00C8558E">
              <w:rPr>
                <w:rFonts w:ascii="Times New Roman" w:hAnsi="Times New Roman"/>
                <w:sz w:val="20"/>
              </w:rPr>
              <w:t>10</w:t>
            </w:r>
            <w:r w:rsidR="00C8558E" w:rsidRPr="00CB1AEB">
              <w:rPr>
                <w:rFonts w:ascii="Times New Roman" w:hAnsi="Times New Roman"/>
                <w:sz w:val="20"/>
              </w:rPr>
              <w:t xml:space="preserve"> </w:t>
            </w:r>
            <w:r w:rsidRPr="00CB1AEB">
              <w:rPr>
                <w:rFonts w:ascii="Times New Roman" w:hAnsi="Times New Roman"/>
                <w:sz w:val="20"/>
              </w:rPr>
              <w:t>Budget and Financial Accountability Reports.</w:t>
            </w:r>
          </w:p>
        </w:tc>
      </w:tr>
      <w:tr w:rsidR="00D232C4" w:rsidRPr="005A497D" w14:paraId="6E144DF9"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253"/>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50D5E848"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Timeliness of the issue of reports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93CF151"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2027E20"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64AD7953" w14:textId="12C138B3" w:rsidR="00D232C4" w:rsidRPr="00CB1AEB" w:rsidRDefault="00D232C4" w:rsidP="00C8558E">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Timely submission remained to be a challenge among a number of line departments and agencies. As of September 11, 2015, there are still a number of line departments and agencies that are flagged pending on their submission of the March and June </w:t>
            </w:r>
            <w:r w:rsidR="00C8558E">
              <w:rPr>
                <w:rFonts w:ascii="Times New Roman" w:hAnsi="Times New Roman"/>
                <w:sz w:val="20"/>
              </w:rPr>
              <w:t xml:space="preserve">Budget and Financial Accountability Reports. </w:t>
            </w:r>
          </w:p>
        </w:tc>
      </w:tr>
      <w:tr w:rsidR="00D232C4" w:rsidRPr="005A497D" w14:paraId="097DB3DA"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076"/>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1C004E15" w14:textId="77777777" w:rsidR="00CB1AEB" w:rsidRPr="00CB1AEB" w:rsidRDefault="00D232C4" w:rsidP="00CB1AEB">
            <w:pPr>
              <w:pStyle w:val="BodyBA"/>
              <w:spacing w:before="40" w:after="40"/>
              <w:rPr>
                <w:rFonts w:ascii="Times New Roman" w:hAnsi="Times New Roman"/>
                <w:sz w:val="20"/>
              </w:rPr>
            </w:pPr>
            <w:r w:rsidRPr="00CB1AEB">
              <w:rPr>
                <w:rFonts w:ascii="Times New Roman" w:hAnsi="Times New Roman"/>
                <w:sz w:val="20"/>
              </w:rPr>
              <w:t>(iii) Quality of information</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52C04296"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34C74EDB" w14:textId="77777777" w:rsidR="00D232C4" w:rsidRPr="00CB1AEB" w:rsidRDefault="00D232C4" w:rsidP="00CB1AEB">
            <w:pPr>
              <w:pStyle w:val="BodyC"/>
              <w:spacing w:before="40" w:after="40"/>
              <w:jc w:val="center"/>
              <w:rPr>
                <w:rFonts w:ascii="Times New Roman" w:hAnsi="Times New Roman"/>
                <w:sz w:val="20"/>
              </w:rPr>
            </w:pPr>
            <w:r w:rsidRPr="00CB1AEB">
              <w:rPr>
                <w:rFonts w:ascii="Times New Roman" w:hAnsi="Times New Roman"/>
                <w:sz w:val="20"/>
              </w:rPr>
              <w:t>C</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5D2903A5" w14:textId="77777777"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sz w:val="20"/>
              </w:rPr>
              <w:t>Performance improved</w:t>
            </w:r>
            <w:r w:rsidRPr="00CB1AEB">
              <w:rPr>
                <w:rFonts w:ascii="Times New Roman" w:hAnsi="Times New Roman"/>
                <w:sz w:val="20"/>
              </w:rPr>
              <w:t>. Delay in the submission compromised the relevance of the information. In addition, reliability may prove questionable considering the lack of appropriate control mechanisms to ensure accuracy and validity of financial data.</w:t>
            </w:r>
          </w:p>
        </w:tc>
      </w:tr>
      <w:tr w:rsidR="00D232C4" w:rsidRPr="00CB1AEB" w14:paraId="0463A6D9"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36695CAE" w14:textId="77777777" w:rsidR="00D232C4" w:rsidRPr="00CB1AEB" w:rsidRDefault="00D232C4" w:rsidP="00CB1AEB">
            <w:pPr>
              <w:rPr>
                <w:b/>
                <w:sz w:val="20"/>
                <w:szCs w:val="20"/>
              </w:rPr>
            </w:pPr>
            <w:r w:rsidRPr="00CB1AEB">
              <w:rPr>
                <w:b/>
                <w:sz w:val="20"/>
                <w:szCs w:val="20"/>
              </w:rPr>
              <w:t>PI-25 Quality and timeliness of financial statements</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031558AE" w14:textId="77777777" w:rsidR="00D232C4" w:rsidRPr="00CB1AEB" w:rsidRDefault="00D232C4" w:rsidP="00CB1AEB">
            <w:pPr>
              <w:jc w:val="center"/>
              <w:rPr>
                <w:b/>
                <w:sz w:val="20"/>
                <w:szCs w:val="20"/>
              </w:rPr>
            </w:pPr>
            <w:r w:rsidRPr="00CB1AEB">
              <w:rPr>
                <w:b/>
                <w:sz w:val="20"/>
                <w:szCs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64F7BA0A" w14:textId="60B6B458" w:rsidR="00D232C4" w:rsidRPr="00CB1AEB" w:rsidRDefault="00052982" w:rsidP="00052982">
            <w:pPr>
              <w:jc w:val="center"/>
              <w:rPr>
                <w:b/>
                <w:sz w:val="20"/>
                <w:szCs w:val="20"/>
              </w:rPr>
            </w:pPr>
            <w:r>
              <w:rPr>
                <w:b/>
                <w:sz w:val="20"/>
                <w:szCs w:val="20"/>
              </w:rPr>
              <w:t>B</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0EA8FFA2" w14:textId="77777777" w:rsidR="00D232C4" w:rsidRPr="00CB1AEB" w:rsidRDefault="00D232C4" w:rsidP="00CB1AEB">
            <w:pPr>
              <w:rPr>
                <w:b/>
                <w:sz w:val="20"/>
                <w:szCs w:val="20"/>
              </w:rPr>
            </w:pPr>
            <w:bookmarkStart w:id="460" w:name="_Toc433828462"/>
            <w:r w:rsidRPr="00CB1AEB">
              <w:rPr>
                <w:b/>
                <w:sz w:val="20"/>
                <w:szCs w:val="20"/>
              </w:rPr>
              <w:t>Overall rating based on M1 methodology.</w:t>
            </w:r>
            <w:bookmarkEnd w:id="460"/>
          </w:p>
        </w:tc>
      </w:tr>
      <w:tr w:rsidR="00D232C4" w:rsidRPr="005A497D" w14:paraId="42F17D0A"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780"/>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7E0480C2"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Completeness of the financial statements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0DCC9FF2"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E20B7FD" w14:textId="5C317AB2" w:rsidR="00D232C4" w:rsidRPr="00CB1AEB" w:rsidRDefault="00052982" w:rsidP="00CB1AEB">
            <w:pPr>
              <w:pStyle w:val="BodyB"/>
              <w:spacing w:before="40" w:after="40"/>
              <w:jc w:val="center"/>
              <w:rPr>
                <w:rFonts w:ascii="Times New Roman" w:hAnsi="Times New Roman"/>
                <w:sz w:val="20"/>
              </w:rPr>
            </w:pPr>
            <w:r>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483F6423" w14:textId="476C2579" w:rsidR="00D232C4" w:rsidRPr="00CB1AEB" w:rsidRDefault="00D232C4" w:rsidP="00052982">
            <w:pPr>
              <w:pStyle w:val="BodyB"/>
              <w:spacing w:before="40" w:after="40"/>
              <w:rPr>
                <w:rFonts w:ascii="Times New Roman" w:hAnsi="Times New Roman"/>
                <w:sz w:val="20"/>
              </w:rPr>
            </w:pPr>
            <w:r w:rsidRPr="00CB1AEB">
              <w:rPr>
                <w:rFonts w:ascii="Times New Roman" w:hAnsi="Times New Roman"/>
                <w:b/>
                <w:bCs/>
                <w:sz w:val="20"/>
              </w:rPr>
              <w:t xml:space="preserve">Performance </w:t>
            </w:r>
            <w:r w:rsidR="00052982">
              <w:rPr>
                <w:rFonts w:ascii="Times New Roman" w:hAnsi="Times New Roman"/>
                <w:b/>
                <w:bCs/>
                <w:sz w:val="20"/>
              </w:rPr>
              <w:t>unchanged</w:t>
            </w:r>
            <w:r w:rsidRPr="00CB1AEB">
              <w:rPr>
                <w:rFonts w:ascii="Times New Roman" w:hAnsi="Times New Roman"/>
                <w:sz w:val="20"/>
              </w:rPr>
              <w:t xml:space="preserve">. </w:t>
            </w:r>
            <w:r w:rsidR="00A177AB">
              <w:rPr>
                <w:rFonts w:ascii="Times New Roman" w:hAnsi="Times New Roman"/>
                <w:sz w:val="20"/>
              </w:rPr>
              <w:t>CoA</w:t>
            </w:r>
            <w:r w:rsidR="00052982">
              <w:rPr>
                <w:rFonts w:ascii="Times New Roman" w:hAnsi="Times New Roman"/>
                <w:sz w:val="20"/>
              </w:rPr>
              <w:t xml:space="preserve"> </w:t>
            </w:r>
            <w:r w:rsidRPr="00CB1AEB">
              <w:rPr>
                <w:rFonts w:ascii="Times New Roman" w:hAnsi="Times New Roman"/>
                <w:sz w:val="20"/>
              </w:rPr>
              <w:t>Annual</w:t>
            </w:r>
            <w:r w:rsidR="00052982">
              <w:rPr>
                <w:rFonts w:ascii="Times New Roman" w:hAnsi="Times New Roman"/>
                <w:sz w:val="20"/>
              </w:rPr>
              <w:t xml:space="preserve"> F</w:t>
            </w:r>
            <w:r w:rsidRPr="00CB1AEB">
              <w:rPr>
                <w:rFonts w:ascii="Times New Roman" w:hAnsi="Times New Roman"/>
                <w:sz w:val="20"/>
              </w:rPr>
              <w:t xml:space="preserve">inancial </w:t>
            </w:r>
            <w:r w:rsidR="00052982">
              <w:rPr>
                <w:rFonts w:ascii="Times New Roman" w:hAnsi="Times New Roman"/>
                <w:sz w:val="20"/>
              </w:rPr>
              <w:t xml:space="preserve">Reports provides relative complete information for national and local government and GOCCs. </w:t>
            </w:r>
            <w:r w:rsidRPr="00CB1AEB">
              <w:rPr>
                <w:rFonts w:ascii="Times New Roman" w:hAnsi="Times New Roman"/>
                <w:sz w:val="20"/>
              </w:rPr>
              <w:t xml:space="preserve">Qualified audit opinion on BTr - </w:t>
            </w:r>
            <w:r w:rsidR="00DB59D9">
              <w:rPr>
                <w:rFonts w:ascii="Times New Roman" w:hAnsi="Times New Roman"/>
                <w:sz w:val="20"/>
              </w:rPr>
              <w:t xml:space="preserve">national </w:t>
            </w:r>
            <w:r w:rsidR="00655AA4">
              <w:rPr>
                <w:rFonts w:ascii="Times New Roman" w:hAnsi="Times New Roman"/>
                <w:sz w:val="20"/>
              </w:rPr>
              <w:t>government</w:t>
            </w:r>
            <w:r w:rsidR="00655AA4" w:rsidRPr="00CB1AEB">
              <w:rPr>
                <w:rFonts w:ascii="Times New Roman" w:hAnsi="Times New Roman"/>
                <w:sz w:val="20"/>
              </w:rPr>
              <w:t xml:space="preserve"> Books</w:t>
            </w:r>
            <w:r w:rsidRPr="00CB1AEB">
              <w:rPr>
                <w:rFonts w:ascii="Times New Roman" w:hAnsi="Times New Roman"/>
                <w:sz w:val="20"/>
              </w:rPr>
              <w:t xml:space="preserve"> indicating incomplete financial statements. Annual financial statements of Agencies, which are the bases of consolidation, are mostly given a qualified opinion.</w:t>
            </w:r>
          </w:p>
        </w:tc>
      </w:tr>
      <w:tr w:rsidR="00D232C4" w:rsidRPr="005A497D" w14:paraId="30FB3BE2"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720"/>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4556B8CE"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Timeliness of the submission of the financial statements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AFC9E50"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85236FC"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451425CE" w14:textId="2CBE8869"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sz w:val="20"/>
              </w:rPr>
              <w:t>Performance improved</w:t>
            </w:r>
            <w:r w:rsidRPr="00CB1AEB">
              <w:rPr>
                <w:rFonts w:ascii="Times New Roman" w:hAnsi="Times New Roman"/>
                <w:sz w:val="20"/>
              </w:rPr>
              <w:t xml:space="preserve">. Based on the information obtained from </w:t>
            </w:r>
            <w:r w:rsidR="009008FE">
              <w:rPr>
                <w:rFonts w:ascii="Times New Roman" w:hAnsi="Times New Roman"/>
                <w:sz w:val="20"/>
              </w:rPr>
              <w:t>CoA</w:t>
            </w:r>
            <w:r w:rsidRPr="00CB1AEB">
              <w:rPr>
                <w:rFonts w:ascii="Times New Roman" w:hAnsi="Times New Roman"/>
                <w:sz w:val="20"/>
              </w:rPr>
              <w:t>, submission of Agency financial statements are submitted between February and May</w:t>
            </w:r>
          </w:p>
        </w:tc>
      </w:tr>
      <w:tr w:rsidR="00D232C4" w:rsidRPr="005A497D" w14:paraId="2224186F"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580"/>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31352418"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Accounting standards used</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5EB68223"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1AAB5541"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39F25E9A" w14:textId="767FC08B" w:rsidR="00D232C4" w:rsidRPr="00CB1AEB" w:rsidRDefault="00D232C4" w:rsidP="00D232C4">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In 2014, </w:t>
            </w:r>
            <w:r w:rsidR="009008FE">
              <w:rPr>
                <w:rFonts w:ascii="Times New Roman" w:hAnsi="Times New Roman"/>
                <w:sz w:val="20"/>
              </w:rPr>
              <w:t>CoA</w:t>
            </w:r>
            <w:r w:rsidRPr="00CB1AEB">
              <w:rPr>
                <w:rFonts w:ascii="Times New Roman" w:hAnsi="Times New Roman"/>
                <w:sz w:val="20"/>
              </w:rPr>
              <w:t xml:space="preserve"> adopted PPSAS, which is based on IPSAS with some exceptions. In the previous years, NGAS was applied. </w:t>
            </w:r>
          </w:p>
        </w:tc>
      </w:tr>
      <w:tr w:rsidR="00D232C4" w:rsidRPr="00CB1AEB" w14:paraId="7BAC1648"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72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5DCA0FAC" w14:textId="77777777" w:rsidR="00D232C4" w:rsidRPr="00CB1AEB" w:rsidRDefault="00D232C4" w:rsidP="00CB1AEB">
            <w:pPr>
              <w:rPr>
                <w:b/>
                <w:sz w:val="20"/>
                <w:szCs w:val="20"/>
              </w:rPr>
            </w:pPr>
            <w:r w:rsidRPr="00CB1AEB">
              <w:rPr>
                <w:b/>
                <w:sz w:val="20"/>
                <w:szCs w:val="20"/>
              </w:rPr>
              <w:t>PI-26 Scope, nature and follow-up of external audit</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2BC81FEA" w14:textId="77777777" w:rsidR="00D232C4" w:rsidRPr="00CB1AEB" w:rsidRDefault="00D232C4" w:rsidP="00CB1AEB">
            <w:pPr>
              <w:jc w:val="center"/>
              <w:rPr>
                <w:b/>
                <w:sz w:val="20"/>
                <w:szCs w:val="20"/>
              </w:rPr>
            </w:pPr>
            <w:r w:rsidRPr="00CB1AEB">
              <w:rPr>
                <w:b/>
                <w:sz w:val="20"/>
                <w:szCs w:val="20"/>
              </w:rPr>
              <w:t>C+</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377D1319" w14:textId="77777777" w:rsidR="00D232C4" w:rsidRPr="00CB1AEB" w:rsidRDefault="00D232C4" w:rsidP="00CB1AEB">
            <w:pPr>
              <w:jc w:val="center"/>
              <w:rPr>
                <w:b/>
                <w:sz w:val="20"/>
                <w:szCs w:val="20"/>
              </w:rPr>
            </w:pPr>
            <w:r w:rsidRPr="00CB1AEB">
              <w:rPr>
                <w:b/>
                <w:sz w:val="20"/>
                <w:szCs w:val="20"/>
              </w:rPr>
              <w:t>B+</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54527DAC" w14:textId="77777777" w:rsidR="00D232C4" w:rsidRPr="00CB1AEB" w:rsidRDefault="00D232C4" w:rsidP="00CB1AEB">
            <w:pPr>
              <w:rPr>
                <w:b/>
                <w:sz w:val="20"/>
                <w:szCs w:val="20"/>
              </w:rPr>
            </w:pPr>
            <w:bookmarkStart w:id="461" w:name="_Toc433828463"/>
            <w:r w:rsidRPr="00CB1AEB">
              <w:rPr>
                <w:b/>
                <w:sz w:val="20"/>
                <w:szCs w:val="20"/>
              </w:rPr>
              <w:t>Overall rating based on M1 methodology.</w:t>
            </w:r>
            <w:bookmarkEnd w:id="461"/>
          </w:p>
        </w:tc>
      </w:tr>
      <w:tr w:rsidR="00D232C4" w:rsidRPr="005A497D" w14:paraId="0C4B11F1"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726"/>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13DFD074"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Scope/nature of audit performed (including adherence to auditing standards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0C4CB534"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5D0552B"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5460452F" w14:textId="17DD2048" w:rsidR="00D232C4" w:rsidRPr="00CB1AEB" w:rsidRDefault="00D232C4" w:rsidP="00D232C4">
            <w:pPr>
              <w:pStyle w:val="BodyBA"/>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PPSSA was adopted on January 29, 2013. In 2011, a</w:t>
            </w:r>
            <w:r w:rsidR="00722ABC">
              <w:rPr>
                <w:rFonts w:ascii="Times New Roman" w:hAnsi="Times New Roman"/>
                <w:sz w:val="20"/>
              </w:rPr>
              <w:t>n integrated results and</w:t>
            </w:r>
            <w:r w:rsidRPr="00CB1AEB">
              <w:rPr>
                <w:rFonts w:ascii="Times New Roman" w:hAnsi="Times New Roman"/>
                <w:sz w:val="20"/>
              </w:rPr>
              <w:t xml:space="preserve"> risk-based audit methodology was adopted.</w:t>
            </w:r>
          </w:p>
        </w:tc>
      </w:tr>
      <w:tr w:rsidR="00D232C4" w:rsidRPr="005A497D" w14:paraId="1FD0F564"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531"/>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36FBF350"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Timeliness of submission of audit reports to legislature</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AB216B5" w14:textId="77777777" w:rsidR="00D232C4" w:rsidRPr="00CB1AEB" w:rsidRDefault="00E51AD3" w:rsidP="00CB1AEB">
            <w:pPr>
              <w:pStyle w:val="BodyB"/>
              <w:spacing w:before="40" w:after="40"/>
              <w:jc w:val="center"/>
              <w:rPr>
                <w:rFonts w:ascii="Times New Roman" w:hAnsi="Times New Roman"/>
                <w:sz w:val="20"/>
              </w:rPr>
            </w:pPr>
            <w:r w:rsidRPr="00CB1AEB">
              <w:rPr>
                <w:rFonts w:ascii="Times New Roman" w:hAnsi="Times New Roman"/>
                <w:sz w:val="20"/>
              </w:rPr>
              <w:t>-</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1D1E0502" w14:textId="77777777" w:rsidR="00D232C4" w:rsidRPr="00CB1AEB" w:rsidRDefault="000D24CA" w:rsidP="00CB1AEB">
            <w:pPr>
              <w:pStyle w:val="BodyB"/>
              <w:spacing w:before="40" w:after="40"/>
              <w:jc w:val="center"/>
              <w:rPr>
                <w:rFonts w:ascii="Times New Roman" w:hAnsi="Times New Roman"/>
                <w:sz w:val="20"/>
              </w:rPr>
            </w:pPr>
            <w:r w:rsidRPr="00CB1AEB">
              <w:rPr>
                <w:rFonts w:ascii="Times New Roman" w:hAnsi="Times New Roman"/>
                <w:sz w:val="20"/>
              </w:rPr>
              <w:t>D</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23B2DCE5" w14:textId="192C38C2" w:rsidR="00D232C4" w:rsidRPr="00CB1AEB" w:rsidRDefault="009008FE" w:rsidP="008527F8">
            <w:pPr>
              <w:pStyle w:val="BodyBA"/>
              <w:spacing w:before="40" w:after="40"/>
              <w:rPr>
                <w:rFonts w:ascii="Times New Roman" w:hAnsi="Times New Roman"/>
                <w:sz w:val="20"/>
              </w:rPr>
            </w:pPr>
            <w:r>
              <w:rPr>
                <w:rFonts w:ascii="Times New Roman" w:hAnsi="Times New Roman"/>
                <w:sz w:val="20"/>
              </w:rPr>
              <w:t>CoA</w:t>
            </w:r>
            <w:r w:rsidR="00E51AD3" w:rsidRPr="00CB1AEB">
              <w:rPr>
                <w:rFonts w:ascii="Times New Roman" w:hAnsi="Times New Roman"/>
                <w:sz w:val="20"/>
              </w:rPr>
              <w:t xml:space="preserve"> is not mandated by law to submit the annual audited financial statements to Congress; although, it submits a copy of the report upon request by the latter. 2014 audit reports have not yet been received by both </w:t>
            </w:r>
            <w:r w:rsidR="008527F8">
              <w:rPr>
                <w:rFonts w:ascii="Times New Roman" w:hAnsi="Times New Roman"/>
                <w:sz w:val="20"/>
              </w:rPr>
              <w:t>House</w:t>
            </w:r>
            <w:r w:rsidR="00E51AD3" w:rsidRPr="00CB1AEB">
              <w:rPr>
                <w:rFonts w:ascii="Times New Roman" w:hAnsi="Times New Roman"/>
                <w:sz w:val="20"/>
              </w:rPr>
              <w:t xml:space="preserve"> and Senate. Furthermore</w:t>
            </w:r>
            <w:r w:rsidR="00D615CB" w:rsidRPr="00CB1AEB">
              <w:rPr>
                <w:rFonts w:ascii="Times New Roman" w:hAnsi="Times New Roman"/>
                <w:sz w:val="20"/>
              </w:rPr>
              <w:t>,</w:t>
            </w:r>
            <w:r w:rsidR="00D232C4" w:rsidRPr="00CB1AEB">
              <w:rPr>
                <w:rFonts w:ascii="Times New Roman" w:hAnsi="Times New Roman"/>
                <w:sz w:val="20"/>
              </w:rPr>
              <w:t xml:space="preserve"> </w:t>
            </w:r>
            <w:r w:rsidR="008527F8">
              <w:rPr>
                <w:rFonts w:ascii="Times New Roman" w:hAnsi="Times New Roman"/>
                <w:sz w:val="20"/>
              </w:rPr>
              <w:t>the House</w:t>
            </w:r>
            <w:r w:rsidR="00D232C4" w:rsidRPr="00CB1AEB">
              <w:rPr>
                <w:rFonts w:ascii="Times New Roman" w:hAnsi="Times New Roman"/>
                <w:sz w:val="20"/>
              </w:rPr>
              <w:t xml:space="preserve"> confirmed that 2013 audit reports were received only in 2015. </w:t>
            </w:r>
            <w:r w:rsidR="00722ABC">
              <w:rPr>
                <w:rFonts w:ascii="Times New Roman" w:hAnsi="Times New Roman"/>
                <w:sz w:val="20"/>
              </w:rPr>
              <w:t>Annual audit reports are uploaded on CoA website.</w:t>
            </w:r>
          </w:p>
        </w:tc>
      </w:tr>
      <w:tr w:rsidR="00D232C4" w:rsidRPr="005A497D" w14:paraId="12ECCE6C" w14:textId="77777777" w:rsidTr="00A03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132"/>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2E62B9A6"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Evidence of follow up on audit recommendations</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1C78D140"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620043B6"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3F32978D" w14:textId="77777777" w:rsidR="00D232C4" w:rsidRPr="00CB1AEB" w:rsidRDefault="00D232C4" w:rsidP="00D615CB">
            <w:pPr>
              <w:pStyle w:val="BodyBA"/>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A formal response as well as full/partial implementation of recommendations was in place for majority of the observations raised. </w:t>
            </w:r>
          </w:p>
        </w:tc>
      </w:tr>
      <w:tr w:rsidR="00D232C4" w:rsidRPr="00CB1AEB" w14:paraId="05F3395D"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21B7C2AE" w14:textId="77777777" w:rsidR="00D232C4" w:rsidRPr="00CB1AEB" w:rsidRDefault="00D232C4" w:rsidP="00CB1AEB">
            <w:pPr>
              <w:rPr>
                <w:b/>
                <w:sz w:val="20"/>
                <w:szCs w:val="20"/>
              </w:rPr>
            </w:pPr>
            <w:r w:rsidRPr="00CB1AEB">
              <w:rPr>
                <w:b/>
                <w:sz w:val="20"/>
                <w:szCs w:val="20"/>
              </w:rPr>
              <w:t xml:space="preserve">PI-27 Legislative scrutiny of the annual budget law </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21B43E97" w14:textId="77777777" w:rsidR="00D232C4" w:rsidRPr="00CB1AEB" w:rsidRDefault="00E51AD3" w:rsidP="00CB1AEB">
            <w:pPr>
              <w:jc w:val="center"/>
              <w:rPr>
                <w:b/>
                <w:sz w:val="20"/>
                <w:szCs w:val="20"/>
              </w:rPr>
            </w:pPr>
            <w:r w:rsidRPr="00CB1AEB">
              <w:rPr>
                <w:b/>
                <w:sz w:val="20"/>
                <w:szCs w:val="20"/>
              </w:rPr>
              <w:t>C+</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1AD1F53C" w14:textId="77777777" w:rsidR="00D232C4" w:rsidRPr="00CB1AEB" w:rsidRDefault="000D24CA" w:rsidP="00CB1AEB">
            <w:pPr>
              <w:jc w:val="center"/>
              <w:rPr>
                <w:b/>
                <w:sz w:val="20"/>
                <w:szCs w:val="20"/>
              </w:rPr>
            </w:pPr>
            <w:r w:rsidRPr="00CB1AEB">
              <w:rPr>
                <w:b/>
                <w:sz w:val="20"/>
                <w:szCs w:val="20"/>
              </w:rPr>
              <w:t>B+</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03B9B220" w14:textId="77777777" w:rsidR="00D232C4" w:rsidRPr="00CB1AEB" w:rsidRDefault="00E51AD3" w:rsidP="00CB1AEB">
            <w:pPr>
              <w:rPr>
                <w:b/>
                <w:sz w:val="20"/>
                <w:szCs w:val="20"/>
              </w:rPr>
            </w:pPr>
            <w:bookmarkStart w:id="462" w:name="_Toc433828464"/>
            <w:r w:rsidRPr="00CB1AEB">
              <w:rPr>
                <w:b/>
                <w:sz w:val="20"/>
                <w:szCs w:val="20"/>
              </w:rPr>
              <w:t>Overall rating based on M1 methodology.</w:t>
            </w:r>
            <w:bookmarkEnd w:id="462"/>
          </w:p>
        </w:tc>
      </w:tr>
      <w:tr w:rsidR="00D232C4" w:rsidRPr="005A497D" w14:paraId="5A02D0C5" w14:textId="77777777" w:rsidTr="00A03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942"/>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5EEC600D"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Scope of legislature’s scrutiny</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D2DC690"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5027551C"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0FF8E200" w14:textId="77777777" w:rsidR="00D232C4" w:rsidRPr="00CB1AEB" w:rsidRDefault="00D232C4" w:rsidP="00D615CB">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The legislature’s review covers fiscal policies and aggregates for the coming year as well as detailed estimates of expenditure and revenue. Legislative scrutiny is limited to what is submitted by the Executive in their budget proposal. </w:t>
            </w:r>
          </w:p>
        </w:tc>
      </w:tr>
      <w:tr w:rsidR="00D232C4" w:rsidRPr="005A497D" w14:paraId="555946E8" w14:textId="77777777" w:rsidTr="00A03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880"/>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39100D4D"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Extent to which the legislature’s procedures are well-established and respected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7DB26DA"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6D6E57E7"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3D2F2989" w14:textId="281246DE" w:rsidR="00D232C4" w:rsidRPr="00CB1AEB" w:rsidRDefault="00D232C4" w:rsidP="008527F8">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The </w:t>
            </w:r>
            <w:r w:rsidR="008527F8">
              <w:rPr>
                <w:rFonts w:ascii="Times New Roman" w:hAnsi="Times New Roman"/>
                <w:sz w:val="20"/>
              </w:rPr>
              <w:t>House of Representatives</w:t>
            </w:r>
            <w:r w:rsidRPr="00CB1AEB">
              <w:rPr>
                <w:rFonts w:ascii="Times New Roman" w:hAnsi="Times New Roman"/>
                <w:sz w:val="20"/>
              </w:rPr>
              <w:t xml:space="preserve"> through the Congressional Policy and Budget Research Department issued “A Legislator’s Guide in Analyzing the National Budget”.</w:t>
            </w:r>
          </w:p>
        </w:tc>
      </w:tr>
      <w:tr w:rsidR="00D232C4" w:rsidRPr="005A497D" w14:paraId="2C7DEF0E"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1468"/>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5D021FD3"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Adequacy of time for the legislature to provide response to budget proposals both detailed estimates, and where applicable, for proposals on macro-fiscal aggregates earlier in the budget preparation cycle (time allowed in practice for all stages combined)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358BD0EC"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4FDABD75" w14:textId="77777777" w:rsidR="00D232C4" w:rsidRPr="00CB1AEB" w:rsidRDefault="00D232C4" w:rsidP="00CB1AEB">
            <w:pPr>
              <w:pStyle w:val="BodyB"/>
              <w:spacing w:before="40" w:after="40"/>
              <w:jc w:val="center"/>
              <w:rPr>
                <w:rFonts w:ascii="Times New Roman" w:hAnsi="Times New Roman"/>
                <w:sz w:val="20"/>
              </w:rPr>
            </w:pPr>
            <w:r w:rsidRPr="00CB1AEB">
              <w:rPr>
                <w:rFonts w:ascii="Times New Roman" w:hAnsi="Times New Roman"/>
                <w:sz w:val="20"/>
              </w:rPr>
              <w:t>A</w:t>
            </w:r>
          </w:p>
        </w:tc>
        <w:tc>
          <w:tcPr>
            <w:tcW w:w="3911" w:type="dxa"/>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15A31589" w14:textId="7E19CE95" w:rsidR="00D232C4" w:rsidRPr="00CB1AEB" w:rsidRDefault="00D232C4" w:rsidP="008527F8">
            <w:pPr>
              <w:pStyle w:val="BodyB"/>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Timely approval by </w:t>
            </w:r>
            <w:r w:rsidR="008527F8">
              <w:rPr>
                <w:rFonts w:ascii="Times New Roman" w:hAnsi="Times New Roman"/>
                <w:sz w:val="20"/>
              </w:rPr>
              <w:t>the House</w:t>
            </w:r>
            <w:r w:rsidRPr="00CB1AEB">
              <w:rPr>
                <w:rFonts w:ascii="Times New Roman" w:hAnsi="Times New Roman"/>
                <w:sz w:val="20"/>
              </w:rPr>
              <w:t xml:space="preserve"> and Senate of and endorsement to the President of the GAA.</w:t>
            </w:r>
          </w:p>
        </w:tc>
      </w:tr>
      <w:tr w:rsidR="00D232C4" w:rsidRPr="005A497D" w14:paraId="29B4B8D9"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880"/>
        </w:trPr>
        <w:tc>
          <w:tcPr>
            <w:tcW w:w="3597" w:type="dxa"/>
            <w:tcBorders>
              <w:top w:val="single" w:sz="8" w:space="0" w:color="000000"/>
              <w:left w:val="double" w:sz="4" w:space="0" w:color="auto"/>
              <w:bottom w:val="double" w:sz="4" w:space="0" w:color="auto"/>
              <w:right w:val="single" w:sz="8" w:space="0" w:color="000000"/>
            </w:tcBorders>
            <w:shd w:val="clear" w:color="auto" w:fill="FFFFFF"/>
            <w:tcMar>
              <w:top w:w="0" w:type="dxa"/>
              <w:bottom w:w="0" w:type="dxa"/>
            </w:tcMar>
            <w:vAlign w:val="center"/>
          </w:tcPr>
          <w:p w14:paraId="7648AE18" w14:textId="77777777" w:rsidR="00D232C4" w:rsidRPr="00CB1AEB" w:rsidRDefault="00D232C4" w:rsidP="00D232C4">
            <w:pPr>
              <w:pStyle w:val="BodyBB"/>
              <w:spacing w:before="40" w:after="40"/>
              <w:rPr>
                <w:rFonts w:ascii="Times New Roman" w:hAnsi="Times New Roman"/>
                <w:sz w:val="20"/>
              </w:rPr>
            </w:pPr>
            <w:r w:rsidRPr="00CB1AEB">
              <w:rPr>
                <w:rFonts w:ascii="Times New Roman" w:hAnsi="Times New Roman"/>
                <w:sz w:val="20"/>
              </w:rPr>
              <w:t xml:space="preserve">(iv) Rules for in-year amendments to the budget without ex-ante approval by the </w:t>
            </w:r>
            <w:r w:rsidR="00E51AD3" w:rsidRPr="00CB1AEB">
              <w:rPr>
                <w:rFonts w:ascii="Times New Roman" w:hAnsi="Times New Roman"/>
                <w:sz w:val="20"/>
              </w:rPr>
              <w:t>legislature</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5D4BCFE5" w14:textId="77777777" w:rsidR="00D232C4" w:rsidRPr="00CB1AEB" w:rsidRDefault="00E51AD3" w:rsidP="00CB1AEB">
            <w:pPr>
              <w:pStyle w:val="BodyB"/>
              <w:spacing w:before="40" w:after="40"/>
              <w:jc w:val="center"/>
              <w:rPr>
                <w:rFonts w:ascii="Times New Roman" w:hAnsi="Times New Roman"/>
                <w:sz w:val="20"/>
              </w:rPr>
            </w:pPr>
            <w:r w:rsidRPr="00CB1AEB">
              <w:rPr>
                <w:rFonts w:ascii="Times New Roman" w:hAnsi="Times New Roman"/>
                <w:sz w:val="20"/>
              </w:rPr>
              <w:t>C</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bottom w:w="0" w:type="dxa"/>
            </w:tcMar>
            <w:vAlign w:val="center"/>
          </w:tcPr>
          <w:p w14:paraId="407363BA" w14:textId="77777777" w:rsidR="00D232C4" w:rsidRPr="00CB1AEB" w:rsidRDefault="000D24CA" w:rsidP="00CB1AEB">
            <w:pPr>
              <w:pStyle w:val="BodyB"/>
              <w:spacing w:before="40" w:after="40"/>
              <w:jc w:val="center"/>
              <w:rPr>
                <w:rFonts w:ascii="Times New Roman" w:hAnsi="Times New Roman"/>
                <w:sz w:val="20"/>
              </w:rPr>
            </w:pPr>
            <w:r w:rsidRPr="00CB1AEB">
              <w:rPr>
                <w:rFonts w:ascii="Times New Roman" w:hAnsi="Times New Roman"/>
                <w:sz w:val="20"/>
              </w:rPr>
              <w:t>B</w:t>
            </w:r>
          </w:p>
        </w:tc>
        <w:tc>
          <w:tcPr>
            <w:tcW w:w="3911" w:type="dxa"/>
            <w:tcBorders>
              <w:top w:val="single" w:sz="8" w:space="0" w:color="000000"/>
              <w:left w:val="single" w:sz="8" w:space="0" w:color="000000"/>
              <w:bottom w:val="double" w:sz="4" w:space="0" w:color="auto"/>
              <w:right w:val="double" w:sz="4" w:space="0" w:color="auto"/>
            </w:tcBorders>
            <w:shd w:val="clear" w:color="auto" w:fill="FFFFFF"/>
            <w:tcMar>
              <w:top w:w="0" w:type="dxa"/>
              <w:bottom w:w="0" w:type="dxa"/>
            </w:tcMar>
            <w:vAlign w:val="center"/>
          </w:tcPr>
          <w:p w14:paraId="25C5A0C0" w14:textId="5EDF4EF0" w:rsidR="00D232C4" w:rsidRPr="00CB1AEB" w:rsidRDefault="00E51AD3" w:rsidP="00D46430">
            <w:pPr>
              <w:pStyle w:val="BodyB"/>
              <w:spacing w:before="40" w:after="40"/>
              <w:rPr>
                <w:rFonts w:ascii="Times New Roman" w:hAnsi="Times New Roman"/>
                <w:sz w:val="20"/>
              </w:rPr>
            </w:pPr>
            <w:r w:rsidRPr="00CB1AEB">
              <w:rPr>
                <w:rFonts w:ascii="Times New Roman" w:hAnsi="Times New Roman"/>
                <w:b/>
                <w:bCs/>
                <w:sz w:val="20"/>
              </w:rPr>
              <w:t xml:space="preserve">Performance improved. </w:t>
            </w:r>
            <w:r w:rsidRPr="00CB1AEB">
              <w:rPr>
                <w:rFonts w:ascii="Times New Roman" w:hAnsi="Times New Roman"/>
                <w:bCs/>
                <w:sz w:val="20"/>
              </w:rPr>
              <w:t>Per EO 292, the President has extensive authority for budget reallocations, expansion is not allowed. In year administrativ</w:t>
            </w:r>
            <w:r w:rsidR="00CE3E28">
              <w:rPr>
                <w:rFonts w:ascii="Times New Roman" w:hAnsi="Times New Roman"/>
                <w:bCs/>
                <w:sz w:val="20"/>
              </w:rPr>
              <w:t>e reallocations are transparent and processes have been improved subsequent to decision</w:t>
            </w:r>
            <w:r w:rsidR="00CA6F1A">
              <w:rPr>
                <w:rFonts w:ascii="Times New Roman" w:hAnsi="Times New Roman"/>
                <w:bCs/>
                <w:sz w:val="20"/>
              </w:rPr>
              <w:t xml:space="preserve"> on the </w:t>
            </w:r>
            <w:r w:rsidR="00CA6F1A" w:rsidRPr="00C37621">
              <w:rPr>
                <w:rFonts w:ascii="Times New Roman" w:hAnsi="Times New Roman"/>
                <w:sz w:val="20"/>
              </w:rPr>
              <w:t>Disbursement Acceleration Program</w:t>
            </w:r>
            <w:r w:rsidR="00CE3E28" w:rsidRPr="00D46430">
              <w:rPr>
                <w:rFonts w:ascii="Times New Roman" w:hAnsi="Times New Roman"/>
                <w:bCs/>
                <w:sz w:val="20"/>
              </w:rPr>
              <w:t>.</w:t>
            </w:r>
          </w:p>
        </w:tc>
      </w:tr>
      <w:tr w:rsidR="00D232C4" w:rsidRPr="00CB1AEB" w14:paraId="5212B238"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680"/>
        </w:trPr>
        <w:tc>
          <w:tcPr>
            <w:tcW w:w="3597" w:type="dxa"/>
            <w:tcBorders>
              <w:top w:val="double" w:sz="4" w:space="0" w:color="auto"/>
              <w:left w:val="double" w:sz="4" w:space="0" w:color="auto"/>
              <w:bottom w:val="single" w:sz="8" w:space="0" w:color="000000"/>
              <w:right w:val="single" w:sz="8" w:space="0" w:color="000000"/>
            </w:tcBorders>
            <w:shd w:val="clear" w:color="auto" w:fill="FFFFFF"/>
            <w:tcMar>
              <w:top w:w="0" w:type="dxa"/>
              <w:bottom w:w="0" w:type="dxa"/>
            </w:tcMar>
            <w:vAlign w:val="center"/>
          </w:tcPr>
          <w:p w14:paraId="1524212B" w14:textId="77777777" w:rsidR="00D232C4" w:rsidRPr="00CB1AEB" w:rsidRDefault="00D232C4" w:rsidP="00CB1AEB">
            <w:pPr>
              <w:rPr>
                <w:b/>
                <w:sz w:val="20"/>
                <w:szCs w:val="20"/>
              </w:rPr>
            </w:pPr>
            <w:r w:rsidRPr="00CB1AEB">
              <w:rPr>
                <w:b/>
                <w:sz w:val="20"/>
                <w:szCs w:val="20"/>
              </w:rPr>
              <w:t xml:space="preserve">PI-28 Legislative scrutiny of external audit reports </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26193B46" w14:textId="77777777" w:rsidR="00D232C4" w:rsidRPr="00CB1AEB" w:rsidRDefault="00D232C4" w:rsidP="00CB1AEB">
            <w:pPr>
              <w:jc w:val="center"/>
              <w:rPr>
                <w:b/>
                <w:sz w:val="20"/>
                <w:szCs w:val="20"/>
              </w:rPr>
            </w:pPr>
            <w:r w:rsidRPr="00CB1AEB">
              <w:rPr>
                <w:b/>
                <w:sz w:val="20"/>
                <w:szCs w:val="20"/>
              </w:rPr>
              <w:t>D</w:t>
            </w:r>
          </w:p>
        </w:tc>
        <w:tc>
          <w:tcPr>
            <w:tcW w:w="924" w:type="dxa"/>
            <w:tcBorders>
              <w:top w:val="double" w:sz="4" w:space="0" w:color="auto"/>
              <w:left w:val="single" w:sz="8" w:space="0" w:color="000000"/>
              <w:bottom w:val="single" w:sz="8" w:space="0" w:color="000000"/>
              <w:right w:val="single" w:sz="8" w:space="0" w:color="000000"/>
            </w:tcBorders>
            <w:shd w:val="clear" w:color="auto" w:fill="FFFFFF"/>
            <w:tcMar>
              <w:top w:w="0" w:type="dxa"/>
              <w:bottom w:w="0" w:type="dxa"/>
            </w:tcMar>
            <w:vAlign w:val="center"/>
          </w:tcPr>
          <w:p w14:paraId="3103BF4D" w14:textId="77777777" w:rsidR="00D232C4" w:rsidRPr="00CB1AEB" w:rsidRDefault="00D232C4" w:rsidP="00CB1AEB">
            <w:pPr>
              <w:jc w:val="center"/>
              <w:rPr>
                <w:b/>
                <w:sz w:val="20"/>
                <w:szCs w:val="20"/>
              </w:rPr>
            </w:pPr>
            <w:r w:rsidRPr="00CB1AEB">
              <w:rPr>
                <w:b/>
                <w:sz w:val="20"/>
                <w:szCs w:val="20"/>
              </w:rPr>
              <w:t>D</w:t>
            </w:r>
          </w:p>
        </w:tc>
        <w:tc>
          <w:tcPr>
            <w:tcW w:w="3911" w:type="dxa"/>
            <w:tcBorders>
              <w:top w:val="double" w:sz="4" w:space="0" w:color="auto"/>
              <w:left w:val="single" w:sz="8" w:space="0" w:color="000000"/>
              <w:bottom w:val="single" w:sz="8" w:space="0" w:color="000000"/>
              <w:right w:val="double" w:sz="4" w:space="0" w:color="auto"/>
            </w:tcBorders>
            <w:shd w:val="clear" w:color="auto" w:fill="FFFFFF"/>
            <w:tcMar>
              <w:top w:w="0" w:type="dxa"/>
              <w:bottom w:w="0" w:type="dxa"/>
            </w:tcMar>
            <w:vAlign w:val="center"/>
          </w:tcPr>
          <w:p w14:paraId="77CEC2C3" w14:textId="77777777" w:rsidR="00D232C4" w:rsidRPr="00CB1AEB" w:rsidRDefault="00D232C4" w:rsidP="00CB1AEB">
            <w:pPr>
              <w:rPr>
                <w:b/>
                <w:sz w:val="20"/>
                <w:szCs w:val="20"/>
              </w:rPr>
            </w:pPr>
            <w:bookmarkStart w:id="463" w:name="_Toc433828465"/>
            <w:r w:rsidRPr="00CB1AEB">
              <w:rPr>
                <w:b/>
                <w:sz w:val="20"/>
                <w:szCs w:val="20"/>
              </w:rPr>
              <w:t>Overall rating based on M1 methodology.</w:t>
            </w:r>
            <w:bookmarkEnd w:id="463"/>
          </w:p>
        </w:tc>
      </w:tr>
      <w:tr w:rsidR="00D232C4" w:rsidRPr="005A497D" w14:paraId="743CEA37"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917"/>
        </w:trPr>
        <w:tc>
          <w:tcPr>
            <w:tcW w:w="3597" w:type="dxa"/>
            <w:tcBorders>
              <w:top w:val="single" w:sz="8" w:space="0" w:color="000000"/>
              <w:left w:val="double" w:sz="4" w:space="0" w:color="auto"/>
              <w:bottom w:val="single" w:sz="8" w:space="0" w:color="000000"/>
              <w:right w:val="single" w:sz="8" w:space="0" w:color="000000"/>
            </w:tcBorders>
            <w:shd w:val="clear" w:color="auto" w:fill="FFFFFF"/>
            <w:tcMar>
              <w:top w:w="0" w:type="dxa"/>
              <w:bottom w:w="0" w:type="dxa"/>
            </w:tcMar>
            <w:vAlign w:val="center"/>
          </w:tcPr>
          <w:p w14:paraId="324BE017"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 Timeliness of examination of audit reports by the legislature (for reports received within the last three years)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23E0B2B7" w14:textId="77777777" w:rsidR="00D232C4" w:rsidRPr="00CB1AEB" w:rsidRDefault="00D232C4" w:rsidP="00CB1AEB">
            <w:pPr>
              <w:pStyle w:val="BodyBA"/>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bottom w:w="0" w:type="dxa"/>
            </w:tcMar>
            <w:vAlign w:val="center"/>
          </w:tcPr>
          <w:p w14:paraId="7E34E095" w14:textId="77777777" w:rsidR="00D232C4" w:rsidRPr="00CB1AEB" w:rsidRDefault="00D232C4" w:rsidP="00CB1AEB">
            <w:pPr>
              <w:pStyle w:val="BodyBA"/>
              <w:spacing w:before="40" w:after="40"/>
              <w:jc w:val="center"/>
              <w:rPr>
                <w:rFonts w:ascii="Times New Roman" w:hAnsi="Times New Roman"/>
                <w:sz w:val="20"/>
              </w:rPr>
            </w:pPr>
            <w:r w:rsidRPr="00CB1AEB">
              <w:rPr>
                <w:rFonts w:ascii="Times New Roman" w:hAnsi="Times New Roman"/>
                <w:sz w:val="20"/>
              </w:rPr>
              <w:t>D</w:t>
            </w:r>
          </w:p>
        </w:tc>
        <w:tc>
          <w:tcPr>
            <w:tcW w:w="3911" w:type="dxa"/>
            <w:vMerge w:val="restart"/>
            <w:tcBorders>
              <w:top w:val="single" w:sz="8" w:space="0" w:color="000000"/>
              <w:left w:val="single" w:sz="8" w:space="0" w:color="000000"/>
              <w:bottom w:val="single" w:sz="8" w:space="0" w:color="000000"/>
              <w:right w:val="double" w:sz="4" w:space="0" w:color="auto"/>
            </w:tcBorders>
            <w:shd w:val="clear" w:color="auto" w:fill="FFFFFF"/>
            <w:tcMar>
              <w:top w:w="0" w:type="dxa"/>
              <w:bottom w:w="0" w:type="dxa"/>
            </w:tcMar>
            <w:vAlign w:val="center"/>
          </w:tcPr>
          <w:p w14:paraId="4D98A69E" w14:textId="639B0E1C" w:rsidR="00D232C4" w:rsidRPr="00CB1AEB" w:rsidRDefault="00D232C4" w:rsidP="008527F8">
            <w:pPr>
              <w:pStyle w:val="BodyD"/>
              <w:keepNext/>
              <w:spacing w:before="40" w:after="40"/>
              <w:rPr>
                <w:rFonts w:ascii="Times New Roman" w:hAnsi="Times New Roman"/>
                <w:sz w:val="20"/>
              </w:rPr>
            </w:pPr>
            <w:r w:rsidRPr="00CB1AEB">
              <w:rPr>
                <w:rFonts w:ascii="Times New Roman" w:hAnsi="Times New Roman"/>
                <w:b/>
                <w:bCs/>
                <w:sz w:val="20"/>
              </w:rPr>
              <w:t>Performance unchanged</w:t>
            </w:r>
            <w:r w:rsidRPr="00CB1AEB">
              <w:rPr>
                <w:rFonts w:ascii="Times New Roman" w:hAnsi="Times New Roman"/>
                <w:sz w:val="20"/>
              </w:rPr>
              <w:t xml:space="preserve">. </w:t>
            </w:r>
            <w:r w:rsidR="008527F8">
              <w:rPr>
                <w:rFonts w:ascii="Times New Roman" w:hAnsi="Times New Roman"/>
                <w:sz w:val="20"/>
              </w:rPr>
              <w:t>Based on the discussion with House</w:t>
            </w:r>
            <w:r w:rsidRPr="00CB1AEB">
              <w:rPr>
                <w:rFonts w:ascii="Times New Roman" w:hAnsi="Times New Roman"/>
                <w:sz w:val="20"/>
              </w:rPr>
              <w:t xml:space="preserve">’s Committee of Appropriation’s Secretariat and Senate’s Legislative Budget Research and Monitoring Office, there is no designated committee in both Senate and </w:t>
            </w:r>
            <w:r w:rsidR="008527F8">
              <w:rPr>
                <w:rFonts w:ascii="Times New Roman" w:hAnsi="Times New Roman"/>
                <w:sz w:val="20"/>
              </w:rPr>
              <w:t>House</w:t>
            </w:r>
            <w:r w:rsidRPr="00CB1AEB">
              <w:rPr>
                <w:rFonts w:ascii="Times New Roman" w:hAnsi="Times New Roman"/>
                <w:sz w:val="20"/>
              </w:rPr>
              <w:t xml:space="preserve"> that carries out the function of reviewing and scrutinizing the external audit reports for the purpose of issuing recommended actions based on </w:t>
            </w:r>
            <w:r w:rsidR="009008FE">
              <w:rPr>
                <w:rFonts w:ascii="Times New Roman" w:hAnsi="Times New Roman"/>
                <w:sz w:val="20"/>
              </w:rPr>
              <w:t>CoA</w:t>
            </w:r>
            <w:r w:rsidRPr="00CB1AEB">
              <w:rPr>
                <w:rFonts w:ascii="Times New Roman" w:hAnsi="Times New Roman"/>
                <w:sz w:val="20"/>
              </w:rPr>
              <w:t xml:space="preserve"> observations. There may be instances when </w:t>
            </w:r>
            <w:r w:rsidR="009008FE">
              <w:rPr>
                <w:rFonts w:ascii="Times New Roman" w:hAnsi="Times New Roman"/>
                <w:sz w:val="20"/>
              </w:rPr>
              <w:t>CoA</w:t>
            </w:r>
            <w:r w:rsidRPr="00CB1AEB">
              <w:rPr>
                <w:rFonts w:ascii="Times New Roman" w:hAnsi="Times New Roman"/>
                <w:sz w:val="20"/>
              </w:rPr>
              <w:t xml:space="preserve"> auditors are called for </w:t>
            </w:r>
          </w:p>
        </w:tc>
      </w:tr>
      <w:tr w:rsidR="00D232C4" w:rsidRPr="005A497D" w14:paraId="492DF8B0"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405"/>
        </w:trPr>
        <w:tc>
          <w:tcPr>
            <w:tcW w:w="3597" w:type="dxa"/>
            <w:tcBorders>
              <w:top w:val="single" w:sz="8" w:space="0" w:color="000000"/>
              <w:left w:val="double" w:sz="4" w:space="0" w:color="auto"/>
              <w:bottom w:val="single" w:sz="8" w:space="0" w:color="000000"/>
              <w:right w:val="single" w:sz="8" w:space="0" w:color="000000"/>
            </w:tcBorders>
            <w:shd w:val="clear" w:color="auto" w:fill="FFFFFF"/>
            <w:vAlign w:val="center"/>
          </w:tcPr>
          <w:p w14:paraId="5FF2329F"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 Extent of hearings on key findings undertaken by the legislature</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8CD44D" w14:textId="77777777" w:rsidR="00D232C4" w:rsidRPr="00CB1AEB" w:rsidRDefault="00D232C4" w:rsidP="00CB1AEB">
            <w:pPr>
              <w:pStyle w:val="BodyBA"/>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B9864E" w14:textId="77777777" w:rsidR="00D232C4" w:rsidRPr="00CB1AEB" w:rsidRDefault="00D232C4" w:rsidP="00CB1AEB">
            <w:pPr>
              <w:pStyle w:val="BodyBA"/>
              <w:spacing w:before="40" w:after="40"/>
              <w:jc w:val="center"/>
              <w:rPr>
                <w:rFonts w:ascii="Times New Roman" w:hAnsi="Times New Roman"/>
                <w:sz w:val="20"/>
              </w:rPr>
            </w:pPr>
            <w:r w:rsidRPr="00CB1AEB">
              <w:rPr>
                <w:rFonts w:ascii="Times New Roman" w:hAnsi="Times New Roman"/>
                <w:sz w:val="20"/>
              </w:rPr>
              <w:t>D</w:t>
            </w:r>
          </w:p>
        </w:tc>
        <w:tc>
          <w:tcPr>
            <w:tcW w:w="3911" w:type="dxa"/>
            <w:vMerge/>
            <w:tcBorders>
              <w:top w:val="single" w:sz="8" w:space="0" w:color="000000"/>
              <w:left w:val="single" w:sz="8" w:space="0" w:color="000000"/>
              <w:bottom w:val="single" w:sz="8" w:space="0" w:color="000000"/>
              <w:right w:val="double" w:sz="4" w:space="0" w:color="auto"/>
            </w:tcBorders>
            <w:shd w:val="clear" w:color="auto" w:fill="FFFFFF"/>
            <w:tcMar>
              <w:top w:w="0" w:type="dxa"/>
              <w:left w:w="0" w:type="dxa"/>
              <w:bottom w:w="0" w:type="dxa"/>
              <w:right w:w="0" w:type="dxa"/>
            </w:tcMar>
            <w:vAlign w:val="center"/>
          </w:tcPr>
          <w:p w14:paraId="1A62539A" w14:textId="77777777" w:rsidR="00D232C4" w:rsidRPr="00CB1AEB" w:rsidRDefault="00D232C4" w:rsidP="00D232C4">
            <w:pPr>
              <w:pStyle w:val="BodyD"/>
              <w:keepNext/>
              <w:spacing w:before="40" w:after="40"/>
              <w:rPr>
                <w:rFonts w:ascii="Times New Roman" w:hAnsi="Times New Roman"/>
                <w:sz w:val="20"/>
              </w:rPr>
            </w:pPr>
          </w:p>
        </w:tc>
      </w:tr>
      <w:tr w:rsidR="00D232C4" w:rsidRPr="005A497D" w14:paraId="101ACD2D" w14:textId="77777777" w:rsidTr="00CB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000" w:firstRow="0" w:lastRow="0" w:firstColumn="0" w:lastColumn="0" w:noHBand="0" w:noVBand="0"/>
        </w:tblPrEx>
        <w:trPr>
          <w:trHeight w:val="513"/>
        </w:trPr>
        <w:tc>
          <w:tcPr>
            <w:tcW w:w="3597" w:type="dxa"/>
            <w:tcBorders>
              <w:top w:val="single" w:sz="8" w:space="0" w:color="000000"/>
              <w:left w:val="double" w:sz="4" w:space="0" w:color="auto"/>
              <w:bottom w:val="double" w:sz="4" w:space="0" w:color="auto"/>
              <w:right w:val="single" w:sz="8" w:space="0" w:color="000000"/>
            </w:tcBorders>
            <w:shd w:val="clear" w:color="auto" w:fill="FFFFFF"/>
            <w:vAlign w:val="center"/>
          </w:tcPr>
          <w:p w14:paraId="03AA4531" w14:textId="77777777" w:rsidR="00D232C4" w:rsidRPr="00CB1AEB" w:rsidRDefault="00D232C4" w:rsidP="00D232C4">
            <w:pPr>
              <w:pStyle w:val="BodyBA"/>
              <w:spacing w:before="40" w:after="40"/>
              <w:rPr>
                <w:rFonts w:ascii="Times New Roman" w:hAnsi="Times New Roman"/>
                <w:sz w:val="20"/>
              </w:rPr>
            </w:pPr>
            <w:r w:rsidRPr="00CB1AEB">
              <w:rPr>
                <w:rFonts w:ascii="Times New Roman" w:hAnsi="Times New Roman"/>
                <w:sz w:val="20"/>
              </w:rPr>
              <w:t>(iii) Issuance of recommended actions by the legislature and implementation by the executive</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left w:w="0" w:type="dxa"/>
              <w:bottom w:w="0" w:type="dxa"/>
              <w:right w:w="0" w:type="dxa"/>
            </w:tcMar>
            <w:vAlign w:val="center"/>
          </w:tcPr>
          <w:p w14:paraId="362D26B1" w14:textId="77777777" w:rsidR="00D232C4" w:rsidRPr="00CB1AEB" w:rsidRDefault="00D232C4" w:rsidP="00CB1AEB">
            <w:pPr>
              <w:pStyle w:val="BodyBA"/>
              <w:spacing w:before="40" w:after="40"/>
              <w:jc w:val="center"/>
              <w:rPr>
                <w:rFonts w:ascii="Times New Roman" w:hAnsi="Times New Roman"/>
                <w:sz w:val="20"/>
              </w:rPr>
            </w:pPr>
            <w:r w:rsidRPr="00CB1AEB">
              <w:rPr>
                <w:rFonts w:ascii="Times New Roman" w:hAnsi="Times New Roman"/>
                <w:sz w:val="20"/>
              </w:rPr>
              <w:t>D</w:t>
            </w:r>
          </w:p>
        </w:tc>
        <w:tc>
          <w:tcPr>
            <w:tcW w:w="924" w:type="dxa"/>
            <w:tcBorders>
              <w:top w:val="single" w:sz="8" w:space="0" w:color="000000"/>
              <w:left w:val="single" w:sz="8" w:space="0" w:color="000000"/>
              <w:bottom w:val="double" w:sz="4" w:space="0" w:color="auto"/>
              <w:right w:val="single" w:sz="8" w:space="0" w:color="000000"/>
            </w:tcBorders>
            <w:shd w:val="clear" w:color="auto" w:fill="FFFFFF"/>
            <w:tcMar>
              <w:top w:w="0" w:type="dxa"/>
              <w:left w:w="0" w:type="dxa"/>
              <w:bottom w:w="0" w:type="dxa"/>
              <w:right w:w="0" w:type="dxa"/>
            </w:tcMar>
            <w:vAlign w:val="center"/>
          </w:tcPr>
          <w:p w14:paraId="7D322F7C" w14:textId="77777777" w:rsidR="00D232C4" w:rsidRPr="00CB1AEB" w:rsidRDefault="00D232C4" w:rsidP="00CB1AEB">
            <w:pPr>
              <w:pStyle w:val="BodyBA"/>
              <w:spacing w:before="40" w:after="40"/>
              <w:jc w:val="center"/>
              <w:rPr>
                <w:rFonts w:ascii="Times New Roman" w:hAnsi="Times New Roman"/>
                <w:sz w:val="20"/>
              </w:rPr>
            </w:pPr>
            <w:r w:rsidRPr="00CB1AEB">
              <w:rPr>
                <w:rFonts w:ascii="Times New Roman" w:hAnsi="Times New Roman"/>
                <w:sz w:val="20"/>
              </w:rPr>
              <w:t>D</w:t>
            </w:r>
          </w:p>
        </w:tc>
        <w:tc>
          <w:tcPr>
            <w:tcW w:w="3911" w:type="dxa"/>
            <w:vMerge/>
            <w:tcBorders>
              <w:top w:val="single" w:sz="8" w:space="0" w:color="000000"/>
              <w:left w:val="single" w:sz="8" w:space="0" w:color="000000"/>
              <w:bottom w:val="double" w:sz="4" w:space="0" w:color="auto"/>
              <w:right w:val="double" w:sz="4" w:space="0" w:color="auto"/>
            </w:tcBorders>
            <w:shd w:val="clear" w:color="auto" w:fill="FFFFFF"/>
            <w:tcMar>
              <w:top w:w="0" w:type="dxa"/>
              <w:left w:w="0" w:type="dxa"/>
              <w:bottom w:w="0" w:type="dxa"/>
              <w:right w:w="0" w:type="dxa"/>
            </w:tcMar>
            <w:vAlign w:val="center"/>
          </w:tcPr>
          <w:p w14:paraId="0954AA6D" w14:textId="77777777" w:rsidR="00D232C4" w:rsidRPr="00CB1AEB" w:rsidRDefault="00D232C4" w:rsidP="00D232C4">
            <w:pPr>
              <w:pStyle w:val="BodyD"/>
              <w:keepNext/>
              <w:spacing w:before="40" w:after="40"/>
              <w:rPr>
                <w:rFonts w:ascii="Times New Roman" w:hAnsi="Times New Roman"/>
                <w:sz w:val="20"/>
              </w:rPr>
            </w:pPr>
          </w:p>
        </w:tc>
      </w:tr>
    </w:tbl>
    <w:p w14:paraId="6F3DE5F3" w14:textId="77777777" w:rsidR="0074394B" w:rsidRPr="005A497D" w:rsidRDefault="0074394B" w:rsidP="009A012D">
      <w:pPr>
        <w:autoSpaceDE w:val="0"/>
        <w:autoSpaceDN w:val="0"/>
        <w:adjustRightInd w:val="0"/>
        <w:contextualSpacing/>
        <w:jc w:val="both"/>
      </w:pPr>
    </w:p>
    <w:p w14:paraId="7B632C69" w14:textId="77777777" w:rsidR="002C4408" w:rsidRPr="005A497D" w:rsidRDefault="002C4408" w:rsidP="00747348">
      <w:pPr>
        <w:pStyle w:val="Heading2"/>
        <w:jc w:val="left"/>
        <w:rPr>
          <w:rFonts w:ascii="Times New Roman" w:hAnsi="Times New Roman"/>
        </w:rPr>
        <w:sectPr w:rsidR="002C4408" w:rsidRPr="005A497D" w:rsidSect="00890673">
          <w:footnotePr>
            <w:numRestart w:val="eachSect"/>
          </w:footnotePr>
          <w:endnotePr>
            <w:numFmt w:val="decimal"/>
          </w:endnotePr>
          <w:pgSz w:w="12240" w:h="15840" w:code="1"/>
          <w:pgMar w:top="1152" w:right="1440" w:bottom="1080" w:left="1440" w:header="720" w:footer="720" w:gutter="0"/>
          <w:cols w:space="720"/>
          <w:noEndnote/>
        </w:sectPr>
      </w:pPr>
    </w:p>
    <w:p w14:paraId="08192D52" w14:textId="704A39B4" w:rsidR="005D2FF3" w:rsidRDefault="001762EE" w:rsidP="00747348">
      <w:pPr>
        <w:pStyle w:val="Heading2"/>
        <w:jc w:val="left"/>
        <w:rPr>
          <w:rFonts w:ascii="Times New Roman" w:hAnsi="Times New Roman"/>
          <w:sz w:val="32"/>
          <w:szCs w:val="32"/>
        </w:rPr>
      </w:pPr>
      <w:bookmarkStart w:id="464" w:name="_Toc454811804"/>
      <w:bookmarkStart w:id="465" w:name="_Toc454888948"/>
      <w:r>
        <w:rPr>
          <w:rFonts w:ascii="Times New Roman" w:hAnsi="Times New Roman"/>
          <w:sz w:val="32"/>
          <w:szCs w:val="32"/>
        </w:rPr>
        <w:t>Endnotes</w:t>
      </w:r>
      <w:bookmarkEnd w:id="464"/>
      <w:bookmarkEnd w:id="465"/>
    </w:p>
    <w:p w14:paraId="58E9D134" w14:textId="77777777" w:rsidR="001762EE" w:rsidRPr="001762EE" w:rsidRDefault="001762EE" w:rsidP="001762EE"/>
    <w:sectPr w:rsidR="001762EE" w:rsidRPr="001762EE" w:rsidSect="00D238EB">
      <w:footnotePr>
        <w:numRestart w:val="eachSect"/>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C061A" w14:textId="77777777" w:rsidR="007608B2" w:rsidRDefault="007608B2">
      <w:r>
        <w:separator/>
      </w:r>
    </w:p>
  </w:endnote>
  <w:endnote w:type="continuationSeparator" w:id="0">
    <w:p w14:paraId="7A3A9DEC" w14:textId="77777777" w:rsidR="007608B2" w:rsidRDefault="007608B2">
      <w:r>
        <w:continuationSeparator/>
      </w:r>
    </w:p>
  </w:endnote>
  <w:endnote w:id="1">
    <w:p w14:paraId="1AED5718" w14:textId="0365C448" w:rsidR="00431213" w:rsidRPr="00A01F66" w:rsidRDefault="00431213" w:rsidP="00835656">
      <w:pPr>
        <w:pStyle w:val="EndnoteText"/>
        <w:jc w:val="both"/>
        <w:rPr>
          <w:sz w:val="18"/>
          <w:szCs w:val="18"/>
        </w:rPr>
      </w:pPr>
      <w:r w:rsidRPr="00A01F66">
        <w:rPr>
          <w:rStyle w:val="EndnoteReference"/>
          <w:sz w:val="18"/>
          <w:szCs w:val="18"/>
        </w:rPr>
        <w:endnoteRef/>
      </w:r>
      <w:r w:rsidRPr="00A01F66">
        <w:rPr>
          <w:sz w:val="18"/>
          <w:szCs w:val="18"/>
        </w:rPr>
        <w:t xml:space="preserve"> World Bank, Philippines, Public Expenditure and Financial Accountability (Report No. 54584-PH, May 2010).</w:t>
      </w:r>
    </w:p>
  </w:endnote>
  <w:endnote w:id="2">
    <w:p w14:paraId="40E28D95" w14:textId="1B2CF1E5" w:rsidR="00431213" w:rsidRPr="00A01F66" w:rsidRDefault="00431213" w:rsidP="00015E0E">
      <w:pPr>
        <w:pStyle w:val="EndnoteText"/>
        <w:jc w:val="both"/>
        <w:rPr>
          <w:sz w:val="18"/>
          <w:szCs w:val="18"/>
        </w:rPr>
      </w:pPr>
      <w:r w:rsidRPr="00A01F66">
        <w:rPr>
          <w:rStyle w:val="EndnoteReference"/>
          <w:sz w:val="18"/>
          <w:szCs w:val="18"/>
        </w:rPr>
        <w:endnoteRef/>
      </w:r>
      <w:r w:rsidRPr="00A01F66">
        <w:rPr>
          <w:sz w:val="18"/>
          <w:szCs w:val="18"/>
        </w:rPr>
        <w:t xml:space="preserve"> Following Administrative Order No. 119 (29 March 1989), DBM was directed to promulgate rules, regulations, or circulars for strengthening the internal control systems. Memorandum Order No. 277 (19 January 1990) specified that this was not to be interpreted so as to diminish the powers and functions of Commission on Audit.</w:t>
      </w:r>
    </w:p>
  </w:endnote>
  <w:endnote w:id="3">
    <w:p w14:paraId="43A60419" w14:textId="0A725870" w:rsidR="00431213" w:rsidRPr="00A01F66" w:rsidRDefault="00431213" w:rsidP="00015E0E">
      <w:pPr>
        <w:pStyle w:val="EndnoteText"/>
        <w:jc w:val="both"/>
        <w:rPr>
          <w:sz w:val="18"/>
          <w:szCs w:val="18"/>
        </w:rPr>
      </w:pPr>
      <w:r w:rsidRPr="00A01F66">
        <w:rPr>
          <w:rStyle w:val="EndnoteReference"/>
          <w:sz w:val="18"/>
          <w:szCs w:val="18"/>
        </w:rPr>
        <w:endnoteRef/>
      </w:r>
      <w:r w:rsidRPr="00A01F66">
        <w:rPr>
          <w:sz w:val="18"/>
          <w:szCs w:val="18"/>
        </w:rPr>
        <w:t xml:space="preserve"> Commission on Audit is authorized to promulgate accounting (and auditing) rules and regulations based on the Constitution (Article IX, Part D, Section 2, para 2).</w:t>
      </w:r>
    </w:p>
  </w:endnote>
  <w:endnote w:id="4">
    <w:p w14:paraId="56487DDE" w14:textId="6EBC4487" w:rsidR="00431213" w:rsidRPr="00A01F66" w:rsidRDefault="00431213" w:rsidP="00015E0E">
      <w:pPr>
        <w:pStyle w:val="EndnoteText"/>
        <w:jc w:val="both"/>
        <w:rPr>
          <w:sz w:val="18"/>
          <w:szCs w:val="18"/>
        </w:rPr>
      </w:pPr>
      <w:r w:rsidRPr="00A01F66">
        <w:rPr>
          <w:rStyle w:val="EndnoteReference"/>
          <w:sz w:val="18"/>
          <w:szCs w:val="18"/>
        </w:rPr>
        <w:endnoteRef/>
      </w:r>
      <w:r w:rsidRPr="00A01F66">
        <w:rPr>
          <w:sz w:val="18"/>
          <w:szCs w:val="18"/>
        </w:rPr>
        <w:t xml:space="preserve"> Provided for under Constitution Article IX, Part D, the Commission on Audit is charged with carrying out external audit of LGUs and GOCCs (Book V, Subtitle B, Chapter 3, Section 7, para 5b) as well as formulating accounting rules and regulations for LGUs (para 10a). The Commission is likewise charged with preparing the Annual Financial Report for GOCCs (para 9f) and LGUs (para 10f).</w:t>
      </w:r>
    </w:p>
  </w:endnote>
  <w:endnote w:id="5">
    <w:p w14:paraId="38B25575" w14:textId="77777777" w:rsidR="00431213" w:rsidRPr="00A01F66" w:rsidRDefault="00431213" w:rsidP="00015E0E">
      <w:pPr>
        <w:pStyle w:val="EndnoteText"/>
        <w:jc w:val="both"/>
        <w:rPr>
          <w:sz w:val="18"/>
          <w:szCs w:val="18"/>
        </w:rPr>
      </w:pPr>
      <w:r w:rsidRPr="00A01F66">
        <w:rPr>
          <w:rStyle w:val="EndnoteReference"/>
          <w:sz w:val="18"/>
          <w:szCs w:val="18"/>
        </w:rPr>
        <w:endnoteRef/>
      </w:r>
      <w:r w:rsidRPr="00A01F66">
        <w:rPr>
          <w:sz w:val="18"/>
          <w:szCs w:val="18"/>
        </w:rPr>
        <w:t xml:space="preserve"> The Supreme Court ruling from July 2014 made it clear though that this needs to be based on law.</w:t>
      </w:r>
    </w:p>
  </w:endnote>
  <w:endnote w:id="6">
    <w:p w14:paraId="2C854DFC" w14:textId="77777777" w:rsidR="00431213" w:rsidRPr="00A01F66" w:rsidRDefault="00431213" w:rsidP="00015E0E">
      <w:pPr>
        <w:pStyle w:val="EndnoteText"/>
        <w:jc w:val="both"/>
        <w:rPr>
          <w:sz w:val="18"/>
          <w:szCs w:val="18"/>
        </w:rPr>
      </w:pPr>
      <w:r w:rsidRPr="00A01F66">
        <w:rPr>
          <w:rStyle w:val="EndnoteReference"/>
          <w:sz w:val="18"/>
          <w:szCs w:val="18"/>
        </w:rPr>
        <w:endnoteRef/>
      </w:r>
      <w:r w:rsidRPr="00A01F66">
        <w:rPr>
          <w:sz w:val="18"/>
          <w:szCs w:val="18"/>
        </w:rPr>
        <w:t xml:space="preserve"> Less than one quarter of the 2015 National Government budget was subject to direct legislative approval since about 33% of the total was automatic appropriations (interest payment, internal revenue allotments and special accounts), 17% was for SPFs and unprogrammed funds, and 29% were for personnel expenditure.</w:t>
      </w:r>
    </w:p>
  </w:endnote>
  <w:endnote w:id="7">
    <w:p w14:paraId="00B36571" w14:textId="10C3975E" w:rsidR="00431213" w:rsidRPr="00A01F66" w:rsidRDefault="00431213" w:rsidP="00835656">
      <w:pPr>
        <w:pStyle w:val="EndnoteText"/>
        <w:jc w:val="both"/>
        <w:rPr>
          <w:sz w:val="18"/>
          <w:szCs w:val="18"/>
        </w:rPr>
      </w:pPr>
      <w:r w:rsidRPr="00A01F66">
        <w:rPr>
          <w:rStyle w:val="EndnoteReference"/>
          <w:rFonts w:eastAsia="Calibri"/>
          <w:sz w:val="18"/>
          <w:szCs w:val="18"/>
        </w:rPr>
        <w:endnoteRef/>
      </w:r>
      <w:r w:rsidRPr="00A01F66">
        <w:rPr>
          <w:sz w:val="18"/>
          <w:szCs w:val="18"/>
        </w:rPr>
        <w:t xml:space="preserve"> To ensure continuity in government operations, the Philippine Constitution [Section 25 (7) of Article VI] provides that the General Appropriations Act for the preceding fiscal year shall be deemed re-enacted for the ensuing fiscal year if Congress fails to pass the General Appropriations Bill and shall remain in force and effect until a General Appropriations Act is passed by Congress.</w:t>
      </w:r>
    </w:p>
  </w:endnote>
  <w:endnote w:id="8">
    <w:p w14:paraId="31E98FE9" w14:textId="629CBC31" w:rsidR="00431213" w:rsidRPr="00A01F66" w:rsidRDefault="00431213" w:rsidP="00835656">
      <w:pPr>
        <w:pStyle w:val="EndnoteText"/>
        <w:jc w:val="both"/>
        <w:rPr>
          <w:sz w:val="18"/>
          <w:szCs w:val="18"/>
        </w:rPr>
      </w:pPr>
      <w:r w:rsidRPr="00A01F66">
        <w:rPr>
          <w:rStyle w:val="EndnoteReference"/>
          <w:rFonts w:eastAsia="Calibri"/>
          <w:sz w:val="18"/>
          <w:szCs w:val="18"/>
        </w:rPr>
        <w:endnoteRef/>
      </w:r>
      <w:r w:rsidRPr="00A01F66">
        <w:rPr>
          <w:sz w:val="18"/>
          <w:szCs w:val="18"/>
        </w:rPr>
        <w:t xml:space="preserve"> Development Budget Coordination Committee comprises the DBM Secretary (Chairman), DoF Secretary, NEDA Director-General, BSP Governor, and a representative from the Office of the President. Its tasks include establishing the level of the annual government expenditure programs; determining expenditure allocations; allocating funds for each development activity; assessing the reliability of revenue estimates; recommending tax or other revenue measures as well as the extent and type of borrowings; and conducting periodic reviews of costs, accomplishments, and performance standards. The regulative basis of the DBCC is Section 7 (1) Chapter 2 (NEDA Board), Title II (Other Bodies) in </w:t>
      </w:r>
      <w:r w:rsidRPr="00A01F66">
        <w:rPr>
          <w:iCs/>
          <w:sz w:val="18"/>
          <w:szCs w:val="18"/>
        </w:rPr>
        <w:t>Book V (Office of the President) of the EO No. 292 Instituting the Administrative Code of 1987</w:t>
      </w:r>
      <w:r w:rsidRPr="00A01F66">
        <w:rPr>
          <w:sz w:val="18"/>
          <w:szCs w:val="18"/>
        </w:rPr>
        <w:t xml:space="preserve">. </w:t>
      </w:r>
    </w:p>
  </w:endnote>
  <w:endnote w:id="9">
    <w:p w14:paraId="6842AC3E" w14:textId="54D10D94" w:rsidR="00431213" w:rsidRPr="00A01F66" w:rsidRDefault="00431213" w:rsidP="00835656">
      <w:pPr>
        <w:pStyle w:val="EndnoteText"/>
        <w:jc w:val="both"/>
        <w:rPr>
          <w:sz w:val="18"/>
          <w:szCs w:val="18"/>
        </w:rPr>
      </w:pPr>
      <w:r w:rsidRPr="00A01F66">
        <w:rPr>
          <w:rStyle w:val="EndnoteReference"/>
          <w:sz w:val="18"/>
          <w:szCs w:val="18"/>
        </w:rPr>
        <w:endnoteRef/>
      </w:r>
      <w:r w:rsidRPr="00A01F66">
        <w:rPr>
          <w:sz w:val="18"/>
          <w:szCs w:val="18"/>
        </w:rPr>
        <w:t xml:space="preserve"> The </w:t>
      </w:r>
      <w:r>
        <w:rPr>
          <w:sz w:val="18"/>
          <w:szCs w:val="18"/>
        </w:rPr>
        <w:t>Unified</w:t>
      </w:r>
      <w:r w:rsidRPr="00A01F66">
        <w:rPr>
          <w:sz w:val="18"/>
          <w:szCs w:val="18"/>
        </w:rPr>
        <w:t xml:space="preserve"> Accounts Code Structure is based on DBM</w:t>
      </w:r>
      <w:r>
        <w:rPr>
          <w:sz w:val="18"/>
          <w:szCs w:val="18"/>
        </w:rPr>
        <w:t>/</w:t>
      </w:r>
      <w:r w:rsidRPr="00A01F66">
        <w:rPr>
          <w:sz w:val="18"/>
          <w:szCs w:val="18"/>
        </w:rPr>
        <w:t>CoA</w:t>
      </w:r>
      <w:r>
        <w:rPr>
          <w:sz w:val="18"/>
          <w:szCs w:val="18"/>
        </w:rPr>
        <w:t>/</w:t>
      </w:r>
      <w:r w:rsidRPr="00A01F66">
        <w:rPr>
          <w:sz w:val="18"/>
          <w:szCs w:val="18"/>
        </w:rPr>
        <w:t>DoF Joint Circular No. 2013-1 (UACS adoption and Manual), Joint Circular No. 2014-1 (UACS implementation), and Circular Letter No. 2015-2 (creation of UACS website).</w:t>
      </w:r>
    </w:p>
  </w:endnote>
  <w:endnote w:id="10">
    <w:p w14:paraId="60D6B51E" w14:textId="77777777" w:rsidR="00431213" w:rsidRPr="00A01F66" w:rsidRDefault="00431213" w:rsidP="00835656">
      <w:pPr>
        <w:pStyle w:val="EndnoteText"/>
        <w:jc w:val="both"/>
        <w:rPr>
          <w:sz w:val="18"/>
          <w:szCs w:val="18"/>
        </w:rPr>
      </w:pPr>
      <w:r w:rsidRPr="00A01F66">
        <w:rPr>
          <w:rStyle w:val="EndnoteReference"/>
          <w:sz w:val="18"/>
          <w:szCs w:val="18"/>
        </w:rPr>
        <w:endnoteRef/>
      </w:r>
      <w:r w:rsidRPr="00A01F66">
        <w:rPr>
          <w:sz w:val="18"/>
          <w:szCs w:val="18"/>
        </w:rPr>
        <w:t xml:space="preserve"> The budget preparation and appropriation processes are described under PI-11 and PI-27.</w:t>
      </w:r>
    </w:p>
  </w:endnote>
  <w:endnote w:id="11">
    <w:p w14:paraId="19C7D852" w14:textId="77777777" w:rsidR="00431213" w:rsidRPr="00A01F66" w:rsidRDefault="00431213" w:rsidP="006B175E">
      <w:pPr>
        <w:pStyle w:val="EndnoteText"/>
        <w:jc w:val="both"/>
        <w:rPr>
          <w:sz w:val="18"/>
          <w:szCs w:val="18"/>
        </w:rPr>
      </w:pPr>
      <w:r w:rsidRPr="00A01F66">
        <w:rPr>
          <w:rStyle w:val="EndnoteReference"/>
          <w:sz w:val="18"/>
          <w:szCs w:val="18"/>
        </w:rPr>
        <w:endnoteRef/>
      </w:r>
      <w:r w:rsidRPr="00A01F66">
        <w:rPr>
          <w:sz w:val="18"/>
          <w:szCs w:val="18"/>
        </w:rPr>
        <w:t xml:space="preserve"> Article VII Section 22 (1) of the Constitution of the Republic of the Philippines.</w:t>
      </w:r>
    </w:p>
  </w:endnote>
  <w:endnote w:id="12">
    <w:p w14:paraId="1B50B29C" w14:textId="77777777" w:rsidR="00431213" w:rsidRPr="00A01F66" w:rsidRDefault="00431213" w:rsidP="00835656">
      <w:pPr>
        <w:pStyle w:val="EndnoteText"/>
        <w:jc w:val="both"/>
        <w:rPr>
          <w:sz w:val="18"/>
          <w:szCs w:val="18"/>
        </w:rPr>
      </w:pPr>
      <w:r w:rsidRPr="00A01F66">
        <w:rPr>
          <w:rStyle w:val="EndnoteReference"/>
          <w:sz w:val="18"/>
          <w:szCs w:val="18"/>
        </w:rPr>
        <w:endnoteRef/>
      </w:r>
      <w:r w:rsidRPr="00A01F66">
        <w:rPr>
          <w:sz w:val="18"/>
          <w:szCs w:val="18"/>
        </w:rPr>
        <w:t xml:space="preserve"> </w:t>
      </w:r>
      <w:r w:rsidRPr="00A01F66">
        <w:rPr>
          <w:iCs/>
          <w:sz w:val="18"/>
          <w:szCs w:val="18"/>
        </w:rPr>
        <w:t>Chapter 3 Budget Preparation in Book VI (National Government Budgeting) of the Executive Order No. 292 Instituting the 'Administrative Code of 1987’.</w:t>
      </w:r>
    </w:p>
  </w:endnote>
  <w:endnote w:id="13">
    <w:p w14:paraId="111CB565" w14:textId="77777777" w:rsidR="00431213" w:rsidRPr="00A01F66" w:rsidRDefault="00431213" w:rsidP="007B3334">
      <w:pPr>
        <w:pStyle w:val="EndnoteText"/>
        <w:jc w:val="both"/>
        <w:rPr>
          <w:sz w:val="18"/>
          <w:szCs w:val="18"/>
        </w:rPr>
      </w:pPr>
      <w:r w:rsidRPr="00A01F66">
        <w:rPr>
          <w:rStyle w:val="EndnoteReference"/>
          <w:sz w:val="18"/>
          <w:szCs w:val="18"/>
        </w:rPr>
        <w:endnoteRef/>
      </w:r>
      <w:r w:rsidRPr="00A01F66">
        <w:rPr>
          <w:sz w:val="18"/>
          <w:szCs w:val="18"/>
        </w:rPr>
        <w:t xml:space="preserve"> Section 44, Book VI of EO 292 of 1987.</w:t>
      </w:r>
    </w:p>
  </w:endnote>
  <w:endnote w:id="14">
    <w:p w14:paraId="40DE5391" w14:textId="14EBB2B8" w:rsidR="00431213" w:rsidRPr="00A01F66" w:rsidRDefault="00431213" w:rsidP="007B3334">
      <w:pPr>
        <w:pStyle w:val="EndnoteText"/>
        <w:rPr>
          <w:sz w:val="18"/>
          <w:szCs w:val="18"/>
        </w:rPr>
      </w:pPr>
      <w:r w:rsidRPr="00A01F66">
        <w:rPr>
          <w:rStyle w:val="EndnoteReference"/>
          <w:sz w:val="18"/>
          <w:szCs w:val="18"/>
        </w:rPr>
        <w:endnoteRef/>
      </w:r>
      <w:r w:rsidRPr="00A01F66">
        <w:rPr>
          <w:sz w:val="18"/>
          <w:szCs w:val="18"/>
        </w:rPr>
        <w:t xml:space="preserve"> Section 8 (b) of Republic Act no. 8182 ‘ODA Act’ dated 11 June 1996, as amended by Republic Act no. 8555.</w:t>
      </w:r>
    </w:p>
  </w:endnote>
  <w:endnote w:id="15">
    <w:p w14:paraId="3BB2BA40" w14:textId="78B705F6" w:rsidR="00431213" w:rsidRPr="00A01F66" w:rsidRDefault="00431213" w:rsidP="00835656">
      <w:pPr>
        <w:pStyle w:val="EndnoteText"/>
        <w:jc w:val="both"/>
        <w:rPr>
          <w:sz w:val="18"/>
          <w:szCs w:val="18"/>
        </w:rPr>
      </w:pPr>
      <w:r w:rsidRPr="00A01F66">
        <w:rPr>
          <w:rStyle w:val="EndnoteReference"/>
          <w:sz w:val="18"/>
          <w:szCs w:val="18"/>
        </w:rPr>
        <w:endnoteRef/>
      </w:r>
      <w:r w:rsidRPr="00A01F66">
        <w:rPr>
          <w:sz w:val="18"/>
          <w:szCs w:val="18"/>
        </w:rPr>
        <w:t xml:space="preserve"> Article 409 of the Implementing Rules and Regulations of Republic Act no. 7160 of the Local Government Code.</w:t>
      </w:r>
    </w:p>
  </w:endnote>
  <w:endnote w:id="16">
    <w:p w14:paraId="414A6388" w14:textId="77777777" w:rsidR="00431213" w:rsidRPr="00A01F66" w:rsidRDefault="00431213" w:rsidP="00D801B5">
      <w:pPr>
        <w:pStyle w:val="EndnoteText"/>
        <w:jc w:val="both"/>
        <w:rPr>
          <w:sz w:val="18"/>
          <w:szCs w:val="18"/>
        </w:rPr>
      </w:pPr>
      <w:r w:rsidRPr="00A01F66">
        <w:rPr>
          <w:rStyle w:val="EndnoteReference"/>
          <w:sz w:val="18"/>
          <w:szCs w:val="18"/>
        </w:rPr>
        <w:endnoteRef/>
      </w:r>
      <w:r w:rsidRPr="00A01F66">
        <w:rPr>
          <w:sz w:val="18"/>
          <w:szCs w:val="18"/>
        </w:rPr>
        <w:t xml:space="preserve"> </w:t>
      </w:r>
      <w:hyperlink r:id="rId1" w:history="1">
        <w:r w:rsidRPr="00A01F66">
          <w:rPr>
            <w:rStyle w:val="Hyperlink"/>
            <w:sz w:val="18"/>
            <w:szCs w:val="18"/>
          </w:rPr>
          <w:t>http://www.dbm.gov.ph/wp-content/uploads/Issuances/2014/Local%20Budget%20Memorandum/LBM%20No.68.pdf</w:t>
        </w:r>
      </w:hyperlink>
      <w:r w:rsidRPr="00A01F66">
        <w:rPr>
          <w:sz w:val="18"/>
          <w:szCs w:val="18"/>
        </w:rPr>
        <w:t xml:space="preserve">. </w:t>
      </w:r>
    </w:p>
  </w:endnote>
  <w:endnote w:id="17">
    <w:p w14:paraId="07758E22" w14:textId="5743B309" w:rsidR="00431213" w:rsidRPr="00A01F66" w:rsidRDefault="00431213" w:rsidP="00D801B5">
      <w:pPr>
        <w:pStyle w:val="EndnoteText"/>
        <w:jc w:val="both"/>
        <w:rPr>
          <w:sz w:val="18"/>
          <w:szCs w:val="18"/>
        </w:rPr>
      </w:pPr>
      <w:r w:rsidRPr="00A01F66">
        <w:rPr>
          <w:rStyle w:val="EndnoteReference"/>
          <w:sz w:val="18"/>
          <w:szCs w:val="18"/>
        </w:rPr>
        <w:endnoteRef/>
      </w:r>
      <w:hyperlink r:id="rId2" w:history="1">
        <w:r w:rsidRPr="00A01F66">
          <w:rPr>
            <w:rStyle w:val="Hyperlink"/>
            <w:sz w:val="18"/>
            <w:szCs w:val="18"/>
          </w:rPr>
          <w:t>http://www.dbm.gov.ph/wpcontent/uploads/Issuances/2015/Local%20Budget%20Memorandum/LOCAL%20BUDGET%20MEMORANDUM%20NO.%2070.pdf</w:t>
        </w:r>
      </w:hyperlink>
      <w:r w:rsidRPr="00A01F66">
        <w:rPr>
          <w:sz w:val="18"/>
          <w:szCs w:val="18"/>
        </w:rPr>
        <w:t>.</w:t>
      </w:r>
    </w:p>
  </w:endnote>
  <w:endnote w:id="18">
    <w:p w14:paraId="3A74F985" w14:textId="40C81E9E" w:rsidR="00431213" w:rsidRPr="00A01F66" w:rsidRDefault="00431213" w:rsidP="006F3485">
      <w:pPr>
        <w:pStyle w:val="EndnoteText"/>
        <w:jc w:val="both"/>
        <w:rPr>
          <w:sz w:val="18"/>
          <w:szCs w:val="18"/>
        </w:rPr>
      </w:pPr>
      <w:r w:rsidRPr="00A01F66">
        <w:rPr>
          <w:rStyle w:val="EndnoteReference"/>
          <w:sz w:val="18"/>
          <w:szCs w:val="18"/>
        </w:rPr>
        <w:endnoteRef/>
      </w:r>
      <w:r w:rsidRPr="00A01F66">
        <w:rPr>
          <w:sz w:val="18"/>
          <w:szCs w:val="18"/>
        </w:rPr>
        <w:t xml:space="preserve"> </w:t>
      </w:r>
      <w:hyperlink r:id="rId3" w:history="1">
        <w:r w:rsidRPr="00A01F66">
          <w:rPr>
            <w:rStyle w:val="Hyperlink"/>
            <w:sz w:val="18"/>
            <w:szCs w:val="18"/>
          </w:rPr>
          <w:t>http://www.dbm.gov.ph/wp-content/uploads/Issuances/2014/Local%20Budget%20Circular/LBCNo.104.pdf</w:t>
        </w:r>
      </w:hyperlink>
      <w:r w:rsidRPr="00A01F66">
        <w:rPr>
          <w:sz w:val="18"/>
          <w:szCs w:val="18"/>
        </w:rPr>
        <w:t xml:space="preserve">; </w:t>
      </w:r>
    </w:p>
    <w:p w14:paraId="34953C8F" w14:textId="60E6EC1D" w:rsidR="00431213" w:rsidRPr="00A01F66" w:rsidRDefault="00567312" w:rsidP="00FE3A56">
      <w:pPr>
        <w:pStyle w:val="EndnoteText"/>
        <w:ind w:left="180" w:firstLine="0"/>
        <w:jc w:val="both"/>
        <w:rPr>
          <w:sz w:val="18"/>
          <w:szCs w:val="18"/>
        </w:rPr>
      </w:pPr>
      <w:hyperlink r:id="rId4" w:history="1">
        <w:r w:rsidR="00431213" w:rsidRPr="00A01F66">
          <w:rPr>
            <w:rStyle w:val="Hyperlink"/>
            <w:sz w:val="18"/>
            <w:szCs w:val="18"/>
          </w:rPr>
          <w:t>http://www.dbm.gov.ph/wp-content/uploads/Issuances/2014/Local%20Budget%20Circular/LBCNo105.pdf</w:t>
        </w:r>
      </w:hyperlink>
      <w:r w:rsidR="00431213" w:rsidRPr="00A01F66">
        <w:rPr>
          <w:sz w:val="18"/>
          <w:szCs w:val="18"/>
        </w:rPr>
        <w:t>; and</w:t>
      </w:r>
    </w:p>
    <w:p w14:paraId="5C40FA3C" w14:textId="77777777" w:rsidR="00431213" w:rsidRPr="00A01F66" w:rsidRDefault="00431213" w:rsidP="00FE3A56">
      <w:pPr>
        <w:pStyle w:val="EndnoteText"/>
        <w:ind w:left="180" w:firstLine="0"/>
        <w:jc w:val="both"/>
        <w:rPr>
          <w:sz w:val="18"/>
          <w:szCs w:val="18"/>
        </w:rPr>
      </w:pPr>
      <w:r w:rsidRPr="00A01F66">
        <w:rPr>
          <w:sz w:val="18"/>
          <w:szCs w:val="18"/>
        </w:rPr>
        <w:t>http://www.dbm.gov.ph/wpcontent/uploads/Issuances/2015/Local%20Budget%20Circular/LOCAL%20BUDGET%20CIRCULAR%20No.%20107.pdf</w:t>
      </w:r>
    </w:p>
  </w:endnote>
  <w:endnote w:id="19">
    <w:p w14:paraId="6822CD3F" w14:textId="05801CA2" w:rsidR="00431213" w:rsidRPr="00A01F66" w:rsidRDefault="00431213" w:rsidP="00835656">
      <w:pPr>
        <w:pStyle w:val="EndnoteText"/>
        <w:jc w:val="both"/>
        <w:rPr>
          <w:sz w:val="18"/>
          <w:szCs w:val="18"/>
        </w:rPr>
      </w:pPr>
      <w:r w:rsidRPr="00A01F66">
        <w:rPr>
          <w:rStyle w:val="EndnoteReference"/>
          <w:sz w:val="18"/>
          <w:szCs w:val="18"/>
        </w:rPr>
        <w:endnoteRef/>
      </w:r>
      <w:hyperlink r:id="rId5" w:history="1">
        <w:r w:rsidRPr="00A01F66">
          <w:rPr>
            <w:rStyle w:val="Hyperlink"/>
            <w:sz w:val="18"/>
            <w:szCs w:val="18"/>
          </w:rPr>
          <w:t>http://www.dbm.gov.ph/wpcontent/uploads/Issuances/2015/Local%20Budget%20Memorandum/LBMNo.69_GUIDELINES%20AND%20PROCEDURES%20IN%20THE%20RELEASE%20AND%20UTILIZATION%20OF%20THE%20SHARE%20OF%20PROVINCES%20FROM%20THE%20CY%202012%20COLLECTION%20OF%20BURLEY%20AND%20NATIVE%20TOBACCO%20EXCISE%20TAX%20PURSUANT%20TO%20REPUBLIC%20ACT%20(RA)%20NO.%2082.pdf</w:t>
        </w:r>
      </w:hyperlink>
      <w:r w:rsidRPr="00A01F66">
        <w:rPr>
          <w:sz w:val="18"/>
          <w:szCs w:val="18"/>
        </w:rPr>
        <w:t>; and</w:t>
      </w:r>
    </w:p>
    <w:p w14:paraId="44226F12" w14:textId="7302BB48" w:rsidR="00431213" w:rsidRPr="00A01F66" w:rsidRDefault="00567312" w:rsidP="00FE3A56">
      <w:pPr>
        <w:pStyle w:val="EndnoteText"/>
        <w:ind w:firstLine="36"/>
        <w:jc w:val="both"/>
        <w:rPr>
          <w:sz w:val="18"/>
          <w:szCs w:val="18"/>
        </w:rPr>
      </w:pPr>
      <w:hyperlink r:id="rId6" w:history="1">
        <w:r w:rsidR="00431213" w:rsidRPr="00A01F66">
          <w:rPr>
            <w:rStyle w:val="Hyperlink"/>
            <w:sz w:val="18"/>
            <w:szCs w:val="18"/>
          </w:rPr>
          <w:t>http://www.dbm.gov.ph/wpcontent/uploads/Issuances/2015/Local%20Budget%20Memorandum/LOCAL%20BUDGET%20MEMORAMDUM%20NO.%2071.pdf</w:t>
        </w:r>
      </w:hyperlink>
      <w:r w:rsidR="00431213" w:rsidRPr="00A01F66">
        <w:rPr>
          <w:sz w:val="18"/>
          <w:szCs w:val="18"/>
        </w:rPr>
        <w:t>.</w:t>
      </w:r>
    </w:p>
  </w:endnote>
  <w:endnote w:id="20">
    <w:p w14:paraId="623DD5D3" w14:textId="77777777" w:rsidR="00431213" w:rsidRPr="00A01F66" w:rsidRDefault="00431213" w:rsidP="00E34A49">
      <w:pPr>
        <w:pStyle w:val="EndnoteText"/>
        <w:rPr>
          <w:sz w:val="18"/>
          <w:szCs w:val="18"/>
        </w:rPr>
      </w:pPr>
      <w:r w:rsidRPr="00A01F66">
        <w:rPr>
          <w:rStyle w:val="EndnoteReference"/>
          <w:sz w:val="18"/>
          <w:szCs w:val="18"/>
        </w:rPr>
        <w:endnoteRef/>
      </w:r>
      <w:r w:rsidRPr="00A01F66">
        <w:rPr>
          <w:sz w:val="18"/>
          <w:szCs w:val="18"/>
        </w:rPr>
        <w:t xml:space="preserve"> http://www.dap.edu.ph/rbpms/agency-performance/</w:t>
      </w:r>
    </w:p>
  </w:endnote>
  <w:endnote w:id="21">
    <w:p w14:paraId="25AE5A31" w14:textId="77777777" w:rsidR="00431213" w:rsidRPr="00A01F66" w:rsidRDefault="00431213" w:rsidP="00E34A49">
      <w:pPr>
        <w:pStyle w:val="EndnoteText"/>
        <w:rPr>
          <w:sz w:val="18"/>
          <w:szCs w:val="18"/>
        </w:rPr>
      </w:pPr>
      <w:r w:rsidRPr="00A01F66">
        <w:rPr>
          <w:rStyle w:val="EndnoteReference"/>
          <w:sz w:val="18"/>
          <w:szCs w:val="18"/>
        </w:rPr>
        <w:endnoteRef/>
      </w:r>
      <w:r w:rsidRPr="00A01F66">
        <w:rPr>
          <w:sz w:val="18"/>
          <w:szCs w:val="18"/>
        </w:rPr>
        <w:t xml:space="preserve"> http://www.dbm.gov.ph/?page_id=8766</w:t>
      </w:r>
    </w:p>
  </w:endnote>
  <w:endnote w:id="22">
    <w:p w14:paraId="2CC6C90B" w14:textId="77777777" w:rsidR="00431213" w:rsidRDefault="00431213" w:rsidP="00E34A49">
      <w:pPr>
        <w:pStyle w:val="EndnoteText"/>
      </w:pPr>
      <w:r w:rsidRPr="00A01F66">
        <w:rPr>
          <w:rStyle w:val="EndnoteReference"/>
          <w:sz w:val="18"/>
          <w:szCs w:val="18"/>
        </w:rPr>
        <w:endnoteRef/>
      </w:r>
      <w:r w:rsidRPr="00A01F66">
        <w:rPr>
          <w:sz w:val="18"/>
          <w:szCs w:val="18"/>
        </w:rPr>
        <w:t xml:space="preserve"> http://serp-p.pids.gov.ph/home/index.html#</w:t>
      </w:r>
    </w:p>
  </w:endnote>
  <w:endnote w:id="23">
    <w:p w14:paraId="73AF985E" w14:textId="428FCC4F" w:rsidR="00431213" w:rsidRPr="00A01F66" w:rsidRDefault="00431213" w:rsidP="00835656">
      <w:pPr>
        <w:pStyle w:val="EndnoteText"/>
        <w:jc w:val="both"/>
        <w:rPr>
          <w:sz w:val="18"/>
          <w:szCs w:val="18"/>
        </w:rPr>
      </w:pPr>
      <w:r w:rsidRPr="00835656">
        <w:rPr>
          <w:rStyle w:val="EndnoteReference"/>
          <w:sz w:val="19"/>
          <w:szCs w:val="19"/>
        </w:rPr>
        <w:endnoteRef/>
      </w:r>
      <w:r w:rsidRPr="00835656">
        <w:rPr>
          <w:sz w:val="19"/>
          <w:szCs w:val="19"/>
        </w:rPr>
        <w:t xml:space="preserve"> </w:t>
      </w:r>
      <w:r w:rsidRPr="00A01F66">
        <w:rPr>
          <w:sz w:val="18"/>
          <w:szCs w:val="18"/>
        </w:rPr>
        <w:t>Government Financial Institutions, Government Instrumentalities with Corporate Powers, and Government Corporate Entities differ from GOCCs, but are often referred to as GOCCs as well.</w:t>
      </w:r>
    </w:p>
  </w:endnote>
  <w:endnote w:id="24">
    <w:p w14:paraId="32753D91"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2016 Proposed Budget (August 2015), p. 18: </w:t>
      </w:r>
      <w:hyperlink r:id="rId7" w:history="1">
        <w:r w:rsidRPr="00F043A0">
          <w:rPr>
            <w:rStyle w:val="Hyperlink"/>
            <w:sz w:val="18"/>
            <w:szCs w:val="18"/>
          </w:rPr>
          <w:t>http://www.dbm.gov.ph/?page_id=13550</w:t>
        </w:r>
      </w:hyperlink>
      <w:r w:rsidRPr="00F043A0">
        <w:rPr>
          <w:sz w:val="18"/>
          <w:szCs w:val="18"/>
        </w:rPr>
        <w:t>.</w:t>
      </w:r>
    </w:p>
  </w:endnote>
  <w:endnote w:id="25">
    <w:p w14:paraId="4AF98FB1" w14:textId="77777777" w:rsidR="00431213" w:rsidRPr="00F043A0" w:rsidRDefault="00431213" w:rsidP="00C624B7">
      <w:pPr>
        <w:pStyle w:val="EndnoteText"/>
        <w:rPr>
          <w:sz w:val="18"/>
          <w:szCs w:val="18"/>
        </w:rPr>
      </w:pPr>
      <w:r w:rsidRPr="00F043A0">
        <w:rPr>
          <w:rStyle w:val="EndnoteReference"/>
          <w:sz w:val="18"/>
          <w:szCs w:val="18"/>
        </w:rPr>
        <w:endnoteRef/>
      </w:r>
      <w:r w:rsidRPr="00F043A0">
        <w:rPr>
          <w:sz w:val="18"/>
          <w:szCs w:val="18"/>
        </w:rPr>
        <w:t xml:space="preserve"> </w:t>
      </w:r>
      <w:hyperlink r:id="rId8" w:history="1">
        <w:r w:rsidRPr="00F043A0">
          <w:rPr>
            <w:rStyle w:val="Hyperlink"/>
            <w:sz w:val="18"/>
            <w:szCs w:val="18"/>
          </w:rPr>
          <w:t>http://gcg.gov.ph/site/public_files/Annual%20Reports/The%20First%20200%20Days%20Report.pdf</w:t>
        </w:r>
      </w:hyperlink>
      <w:r w:rsidRPr="00F043A0">
        <w:rPr>
          <w:sz w:val="18"/>
          <w:szCs w:val="18"/>
        </w:rPr>
        <w:t xml:space="preserve">.; and </w:t>
      </w:r>
      <w:hyperlink r:id="rId9" w:history="1">
        <w:r w:rsidRPr="00F043A0">
          <w:rPr>
            <w:rStyle w:val="Hyperlink"/>
            <w:sz w:val="18"/>
            <w:szCs w:val="18"/>
          </w:rPr>
          <w:t>http://gcg.gov.ph/site/public_files/gcg14036673542013%20Annual%20Report%20optimized.pdf</w:t>
        </w:r>
      </w:hyperlink>
      <w:r w:rsidRPr="00F043A0">
        <w:rPr>
          <w:sz w:val="18"/>
          <w:szCs w:val="18"/>
        </w:rPr>
        <w:t>.</w:t>
      </w:r>
    </w:p>
  </w:endnote>
  <w:endnote w:id="26">
    <w:p w14:paraId="01D1E2A8"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Fiscal Risk Statement 2013, op. cit., p. 13.</w:t>
      </w:r>
    </w:p>
  </w:endnote>
  <w:endnote w:id="27">
    <w:p w14:paraId="6BF0EF57" w14:textId="4AD7B52A"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Fiscal Risk Statement 2013, op. cit., p. 23.</w:t>
      </w:r>
    </w:p>
  </w:endnote>
  <w:endnote w:id="28">
    <w:p w14:paraId="2C3823F1" w14:textId="77777777" w:rsidR="00431213" w:rsidRPr="00F043A0" w:rsidRDefault="00431213" w:rsidP="00494398">
      <w:pPr>
        <w:pStyle w:val="EndnoteText"/>
        <w:jc w:val="both"/>
        <w:rPr>
          <w:sz w:val="18"/>
          <w:szCs w:val="18"/>
        </w:rPr>
      </w:pPr>
      <w:r w:rsidRPr="00F043A0">
        <w:rPr>
          <w:rStyle w:val="EndnoteReference"/>
          <w:sz w:val="18"/>
          <w:szCs w:val="18"/>
        </w:rPr>
        <w:endnoteRef/>
      </w:r>
      <w:r w:rsidRPr="00F043A0">
        <w:rPr>
          <w:sz w:val="18"/>
          <w:szCs w:val="18"/>
        </w:rPr>
        <w:t xml:space="preserve"> </w:t>
      </w:r>
      <w:hyperlink r:id="rId10" w:history="1">
        <w:r w:rsidRPr="00F043A0">
          <w:rPr>
            <w:rStyle w:val="Hyperlink"/>
            <w:sz w:val="18"/>
            <w:szCs w:val="18"/>
          </w:rPr>
          <w:t>http://www.dbm.gov.ph/?page_id=9010</w:t>
        </w:r>
      </w:hyperlink>
      <w:r w:rsidRPr="00F043A0">
        <w:rPr>
          <w:sz w:val="18"/>
          <w:szCs w:val="18"/>
        </w:rPr>
        <w:t>.</w:t>
      </w:r>
    </w:p>
  </w:endnote>
  <w:endnote w:id="29">
    <w:p w14:paraId="67C186B0" w14:textId="77777777" w:rsidR="00431213" w:rsidRPr="00F043A0" w:rsidRDefault="00431213" w:rsidP="00EC02AE">
      <w:pPr>
        <w:pStyle w:val="EndnoteText"/>
        <w:rPr>
          <w:sz w:val="18"/>
          <w:szCs w:val="18"/>
        </w:rPr>
      </w:pPr>
      <w:r w:rsidRPr="00F043A0">
        <w:rPr>
          <w:rStyle w:val="EndnoteReference"/>
          <w:sz w:val="18"/>
          <w:szCs w:val="18"/>
        </w:rPr>
        <w:endnoteRef/>
      </w:r>
      <w:r w:rsidRPr="00F043A0">
        <w:rPr>
          <w:sz w:val="18"/>
          <w:szCs w:val="18"/>
        </w:rPr>
        <w:t xml:space="preserve"> Significant in this case is defined as 0.5% of the total national government expenditure.</w:t>
      </w:r>
    </w:p>
  </w:endnote>
  <w:endnote w:id="30">
    <w:p w14:paraId="38D24097" w14:textId="3DAE3C74" w:rsidR="00431213" w:rsidRPr="00F043A0" w:rsidRDefault="00431213" w:rsidP="00FE3A56">
      <w:pPr>
        <w:pStyle w:val="EndnoteText"/>
        <w:ind w:left="180" w:hanging="180"/>
        <w:rPr>
          <w:sz w:val="18"/>
          <w:szCs w:val="18"/>
        </w:rPr>
      </w:pPr>
      <w:r w:rsidRPr="00F043A0">
        <w:rPr>
          <w:rStyle w:val="EndnoteReference"/>
          <w:sz w:val="18"/>
          <w:szCs w:val="18"/>
        </w:rPr>
        <w:endnoteRef/>
      </w:r>
      <w:r w:rsidRPr="00F043A0">
        <w:rPr>
          <w:sz w:val="18"/>
          <w:szCs w:val="18"/>
        </w:rPr>
        <w:t xml:space="preserve"> Detailed engineering studies are considered part of project implementation and require prior ICC approval for funding and project start. The evaluation of the proposal is done on the entire project rather than on the detailed engineering investment alone. </w:t>
      </w:r>
    </w:p>
  </w:endnote>
  <w:endnote w:id="31">
    <w:p w14:paraId="7504A018" w14:textId="77777777" w:rsidR="00431213" w:rsidRPr="00F043A0" w:rsidRDefault="00431213" w:rsidP="0056054D">
      <w:pPr>
        <w:pStyle w:val="EndnoteText"/>
        <w:rPr>
          <w:sz w:val="18"/>
          <w:szCs w:val="18"/>
        </w:rPr>
      </w:pPr>
      <w:r w:rsidRPr="00F043A0">
        <w:rPr>
          <w:rStyle w:val="EndnoteReference"/>
          <w:sz w:val="18"/>
          <w:szCs w:val="18"/>
        </w:rPr>
        <w:endnoteRef/>
      </w:r>
      <w:r w:rsidRPr="00F043A0">
        <w:rPr>
          <w:sz w:val="18"/>
          <w:szCs w:val="18"/>
        </w:rPr>
        <w:t xml:space="preserve"> http://www.neda.gov.ph/wp-content/uploads/2013/10/Revised-ICC-Guidelines-and-Procedures-as-of-4-March-2005.pdf</w:t>
      </w:r>
    </w:p>
  </w:endnote>
  <w:endnote w:id="32">
    <w:p w14:paraId="4D7E9E3F" w14:textId="77777777" w:rsidR="00431213" w:rsidRPr="00F043A0" w:rsidRDefault="00431213" w:rsidP="0056054D">
      <w:pPr>
        <w:pStyle w:val="EndnoteText"/>
        <w:jc w:val="both"/>
        <w:rPr>
          <w:sz w:val="18"/>
          <w:szCs w:val="18"/>
        </w:rPr>
      </w:pPr>
      <w:r w:rsidRPr="00F043A0">
        <w:rPr>
          <w:rStyle w:val="EndnoteReference"/>
          <w:sz w:val="18"/>
          <w:szCs w:val="18"/>
        </w:rPr>
        <w:endnoteRef/>
      </w:r>
      <w:r w:rsidRPr="00F043A0">
        <w:rPr>
          <w:sz w:val="18"/>
          <w:szCs w:val="18"/>
        </w:rPr>
        <w:t xml:space="preserve"> </w:t>
      </w:r>
      <w:hyperlink r:id="rId11" w:history="1">
        <w:r w:rsidRPr="00F043A0">
          <w:rPr>
            <w:rStyle w:val="Hyperlink"/>
            <w:sz w:val="18"/>
            <w:szCs w:val="18"/>
          </w:rPr>
          <w:t>http://www.neda.gov.ph/wp-content/uploads/2013/10/Revisions-on-ICC-Guidelines-and-Procedures_1billion.pdf</w:t>
        </w:r>
      </w:hyperlink>
      <w:r w:rsidRPr="00F043A0">
        <w:rPr>
          <w:sz w:val="18"/>
          <w:szCs w:val="18"/>
        </w:rPr>
        <w:t>.</w:t>
      </w:r>
    </w:p>
  </w:endnote>
  <w:endnote w:id="33">
    <w:p w14:paraId="736F81A2" w14:textId="77777777" w:rsidR="00431213" w:rsidRPr="00F043A0" w:rsidRDefault="00431213" w:rsidP="0056054D">
      <w:pPr>
        <w:pStyle w:val="EndnoteText"/>
        <w:rPr>
          <w:sz w:val="18"/>
          <w:szCs w:val="18"/>
        </w:rPr>
      </w:pPr>
      <w:r w:rsidRPr="00F043A0">
        <w:rPr>
          <w:rStyle w:val="EndnoteReference"/>
          <w:sz w:val="18"/>
          <w:szCs w:val="18"/>
        </w:rPr>
        <w:endnoteRef/>
      </w:r>
      <w:r w:rsidRPr="00F043A0">
        <w:rPr>
          <w:sz w:val="18"/>
          <w:szCs w:val="18"/>
        </w:rPr>
        <w:t xml:space="preserve"> Section 2.6 of the BOT Law, implementing rules and regulations provide that approval of projects shall be approved as follows: (a) for projects of the national line agencies and GOCCs implemented through BOT and its variant schemes; i) those costing up to Php300 million shall be submitted to ICC for its approval; and ii) those costing more than Php300 million shall be submitted to the NEDA Board for its approval, upon recommendation of ICC; and (b) for local BOT projects to be implemented by local government units costing above Php200 million.</w:t>
      </w:r>
    </w:p>
  </w:endnote>
  <w:endnote w:id="34">
    <w:p w14:paraId="17B51FB6" w14:textId="69D23243" w:rsidR="00431213" w:rsidRPr="007E6541" w:rsidRDefault="00431213" w:rsidP="007E6541">
      <w:pPr>
        <w:pStyle w:val="EndnoteText"/>
        <w:rPr>
          <w:rStyle w:val="EndnoteReference"/>
          <w:sz w:val="18"/>
          <w:szCs w:val="18"/>
          <w:vertAlign w:val="baseline"/>
        </w:rPr>
      </w:pPr>
      <w:r w:rsidRPr="00F043A0">
        <w:rPr>
          <w:rStyle w:val="EndnoteReference"/>
          <w:sz w:val="18"/>
          <w:szCs w:val="18"/>
        </w:rPr>
        <w:endnoteRef/>
      </w:r>
      <w:r w:rsidRPr="00F043A0">
        <w:rPr>
          <w:rStyle w:val="EndnoteReference"/>
          <w:sz w:val="18"/>
          <w:szCs w:val="18"/>
        </w:rPr>
        <w:t xml:space="preserve"> </w:t>
      </w:r>
      <w:r w:rsidRPr="007E6541">
        <w:rPr>
          <w:rStyle w:val="EndnoteReference"/>
          <w:sz w:val="18"/>
          <w:szCs w:val="18"/>
          <w:vertAlign w:val="baseline"/>
        </w:rPr>
        <w:t xml:space="preserve">Section 7.2b of the 2013 Revised Joint Venture Guidelines provides that </w:t>
      </w:r>
      <w:r w:rsidRPr="00F043A0">
        <w:rPr>
          <w:rStyle w:val="EndnoteReference"/>
          <w:sz w:val="18"/>
          <w:szCs w:val="18"/>
          <w:vertAlign w:val="baseline"/>
        </w:rPr>
        <w:t>the approving authority shall be the NEDA Board Investment Coordination Committee</w:t>
      </w:r>
      <w:r w:rsidRPr="007E6541">
        <w:rPr>
          <w:rStyle w:val="EndnoteReference"/>
          <w:sz w:val="18"/>
          <w:szCs w:val="18"/>
          <w:vertAlign w:val="baseline"/>
        </w:rPr>
        <w:t xml:space="preserve"> for</w:t>
      </w:r>
      <w:r w:rsidRPr="00F043A0">
        <w:rPr>
          <w:rStyle w:val="EndnoteReference"/>
          <w:sz w:val="18"/>
          <w:szCs w:val="18"/>
          <w:vertAlign w:val="baseline"/>
        </w:rPr>
        <w:t xml:space="preserve"> the following projects: (a) Infrastructure projects as defined under Section 5.9 of these Guidelines with government contribution amounting PhP 150 million and above; (b) Projects that are public utilities as defined under Section 5.11 of these Guidelines with government contribution amounting PhP 150 million and above; (c) Negotiated joint ventures that are initiated by a private sector proponent with government contribution amounting PhP 150 million and above; and (d) Projects that are not related to primary corporate mandate with government contribution amounting PhP 150 million and above.</w:t>
      </w:r>
    </w:p>
  </w:endnote>
  <w:endnote w:id="35">
    <w:p w14:paraId="024987ED" w14:textId="77777777" w:rsidR="00431213" w:rsidRPr="00F043A0" w:rsidRDefault="00431213" w:rsidP="003F7B82">
      <w:pPr>
        <w:pStyle w:val="EndnoteText"/>
        <w:rPr>
          <w:sz w:val="18"/>
          <w:szCs w:val="18"/>
          <w:lang w:val="en-PH"/>
        </w:rPr>
      </w:pPr>
      <w:r w:rsidRPr="00F043A0">
        <w:rPr>
          <w:rStyle w:val="EndnoteReference"/>
          <w:sz w:val="18"/>
          <w:szCs w:val="18"/>
        </w:rPr>
        <w:endnoteRef/>
      </w:r>
      <w:r w:rsidRPr="00F043A0">
        <w:rPr>
          <w:sz w:val="18"/>
          <w:szCs w:val="18"/>
        </w:rPr>
        <w:t>http://www.neda.gov.ph/wp-content/uploads/2013/10/Revised-ICC-Guidelines-and-Procedures-as-of-4-March-2005.pdf</w:t>
      </w:r>
    </w:p>
  </w:endnote>
  <w:endnote w:id="36">
    <w:p w14:paraId="770598F6" w14:textId="3D44D970" w:rsidR="00431213" w:rsidRPr="00F043A0" w:rsidRDefault="00431213" w:rsidP="00F043A0">
      <w:pPr>
        <w:pStyle w:val="EndnoteText"/>
        <w:rPr>
          <w:rStyle w:val="EndnoteReference"/>
          <w:vertAlign w:val="baseline"/>
        </w:rPr>
      </w:pPr>
      <w:r w:rsidRPr="00F043A0">
        <w:rPr>
          <w:rStyle w:val="EndnoteReference"/>
          <w:sz w:val="18"/>
          <w:szCs w:val="18"/>
        </w:rPr>
        <w:endnoteRef/>
      </w:r>
      <w:r w:rsidRPr="00F043A0">
        <w:rPr>
          <w:rStyle w:val="EndnoteReference"/>
        </w:rPr>
        <w:t xml:space="preserve"> </w:t>
      </w:r>
      <w:r w:rsidRPr="00F043A0">
        <w:rPr>
          <w:rStyle w:val="EndnoteReference"/>
          <w:vertAlign w:val="baseline"/>
        </w:rPr>
        <w:t>The ICC Technical Working Group, comprising NEDA Secretariat, DoF, DENR Environmental Management Bureau, and PPP Center, jointly undertakes specific aspects of the appraisal of PPP projects.</w:t>
      </w:r>
    </w:p>
  </w:endnote>
  <w:endnote w:id="37">
    <w:p w14:paraId="2CCA19EB" w14:textId="77777777" w:rsidR="00431213" w:rsidRPr="00F043A0" w:rsidRDefault="00431213" w:rsidP="0043657F">
      <w:pPr>
        <w:pStyle w:val="EndnoteText"/>
        <w:rPr>
          <w:sz w:val="18"/>
          <w:szCs w:val="18"/>
        </w:rPr>
      </w:pPr>
      <w:r w:rsidRPr="00F043A0">
        <w:rPr>
          <w:rStyle w:val="EndnoteReference"/>
          <w:sz w:val="18"/>
          <w:szCs w:val="18"/>
        </w:rPr>
        <w:endnoteRef/>
      </w:r>
      <w:r w:rsidRPr="00F043A0">
        <w:rPr>
          <w:sz w:val="18"/>
          <w:szCs w:val="18"/>
        </w:rPr>
        <w:t xml:space="preserve"> </w:t>
      </w:r>
      <w:hyperlink r:id="rId12" w:history="1">
        <w:r w:rsidRPr="00F043A0">
          <w:rPr>
            <w:rStyle w:val="Hyperlink"/>
            <w:sz w:val="18"/>
            <w:szCs w:val="18"/>
          </w:rPr>
          <w:t>http://www.neda.gov.ph/wp-content/uploads/2013/10/ICC-Project-Evaluation-Procedures-and-Guidelines-as-of-24-June-2004.pdf</w:t>
        </w:r>
      </w:hyperlink>
      <w:r w:rsidRPr="00F043A0">
        <w:rPr>
          <w:sz w:val="18"/>
          <w:szCs w:val="18"/>
        </w:rPr>
        <w:t>.</w:t>
      </w:r>
    </w:p>
  </w:endnote>
  <w:endnote w:id="38">
    <w:p w14:paraId="60510C49" w14:textId="77777777" w:rsidR="00431213" w:rsidRPr="00F043A0" w:rsidRDefault="00431213" w:rsidP="0056054D">
      <w:pPr>
        <w:pStyle w:val="EndnoteText"/>
        <w:rPr>
          <w:sz w:val="18"/>
          <w:szCs w:val="18"/>
        </w:rPr>
      </w:pPr>
      <w:r w:rsidRPr="00F043A0">
        <w:rPr>
          <w:rStyle w:val="EndnoteReference"/>
          <w:sz w:val="18"/>
          <w:szCs w:val="18"/>
        </w:rPr>
        <w:endnoteRef/>
      </w:r>
      <w:r w:rsidRPr="00F043A0">
        <w:rPr>
          <w:sz w:val="18"/>
          <w:szCs w:val="18"/>
        </w:rPr>
        <w:t xml:space="preserve"> http://www.neda.gov.ph/list-neda-board-confirmed-icc-approved-projects/</w:t>
      </w:r>
    </w:p>
  </w:endnote>
  <w:endnote w:id="39">
    <w:p w14:paraId="4F4A7D04" w14:textId="77777777" w:rsidR="00431213" w:rsidRPr="00F043A0" w:rsidRDefault="00431213" w:rsidP="0056054D">
      <w:pPr>
        <w:pStyle w:val="EndnoteText"/>
        <w:jc w:val="both"/>
        <w:rPr>
          <w:sz w:val="18"/>
          <w:szCs w:val="18"/>
        </w:rPr>
      </w:pPr>
      <w:r w:rsidRPr="00F043A0">
        <w:rPr>
          <w:rStyle w:val="EndnoteReference"/>
          <w:sz w:val="18"/>
          <w:szCs w:val="18"/>
        </w:rPr>
        <w:endnoteRef/>
      </w:r>
      <w:r w:rsidRPr="00F043A0">
        <w:rPr>
          <w:sz w:val="18"/>
          <w:szCs w:val="18"/>
        </w:rPr>
        <w:t xml:space="preserve"> </w:t>
      </w:r>
      <w:hyperlink r:id="rId13" w:history="1">
        <w:r w:rsidRPr="00F043A0">
          <w:rPr>
            <w:rStyle w:val="Hyperlink"/>
            <w:sz w:val="18"/>
            <w:szCs w:val="18"/>
          </w:rPr>
          <w:t>http://www.neda.gov.ph/wp-content/uploads/2015/05/Consolidated-CIIP-as-of-15-May-2015.xlsx</w:t>
        </w:r>
      </w:hyperlink>
      <w:r w:rsidRPr="00F043A0">
        <w:rPr>
          <w:sz w:val="18"/>
          <w:szCs w:val="18"/>
        </w:rPr>
        <w:t>.</w:t>
      </w:r>
    </w:p>
  </w:endnote>
  <w:endnote w:id="40">
    <w:p w14:paraId="77AAE402" w14:textId="77777777" w:rsidR="00431213" w:rsidRPr="00F043A0" w:rsidRDefault="00431213" w:rsidP="0056054D">
      <w:pPr>
        <w:pStyle w:val="EndnoteText"/>
        <w:jc w:val="both"/>
        <w:rPr>
          <w:sz w:val="18"/>
          <w:szCs w:val="18"/>
        </w:rPr>
      </w:pPr>
      <w:r w:rsidRPr="00F043A0">
        <w:rPr>
          <w:rStyle w:val="EndnoteReference"/>
          <w:sz w:val="18"/>
          <w:szCs w:val="18"/>
        </w:rPr>
        <w:endnoteRef/>
      </w:r>
      <w:r w:rsidRPr="00F043A0">
        <w:rPr>
          <w:sz w:val="18"/>
          <w:szCs w:val="18"/>
        </w:rPr>
        <w:t xml:space="preserve"> </w:t>
      </w:r>
      <w:hyperlink r:id="rId14" w:history="1">
        <w:r w:rsidRPr="00F043A0">
          <w:rPr>
            <w:rStyle w:val="Hyperlink"/>
            <w:sz w:val="18"/>
            <w:szCs w:val="18"/>
          </w:rPr>
          <w:t>http://www.neda.gov.ph/wp-content/uploads/2013/12/CIIP-Guidelines-as-of-06-March-2015.xlsx</w:t>
        </w:r>
      </w:hyperlink>
      <w:r w:rsidRPr="00F043A0">
        <w:rPr>
          <w:sz w:val="18"/>
          <w:szCs w:val="18"/>
        </w:rPr>
        <w:t>.</w:t>
      </w:r>
    </w:p>
  </w:endnote>
  <w:endnote w:id="41">
    <w:p w14:paraId="47856ECE"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IMF Country Report no. [15/156].</w:t>
      </w:r>
    </w:p>
  </w:endnote>
  <w:endnote w:id="42">
    <w:p w14:paraId="64F8AFB9"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DBM National Budget Memorandum no. 123, 28 January 2015.</w:t>
      </w:r>
    </w:p>
  </w:endnote>
  <w:endnote w:id="43">
    <w:p w14:paraId="7664F2E1" w14:textId="77777777" w:rsidR="00431213" w:rsidRPr="00F043A0" w:rsidRDefault="00431213" w:rsidP="000445BA">
      <w:pPr>
        <w:pStyle w:val="EndnoteText"/>
        <w:jc w:val="both"/>
        <w:rPr>
          <w:sz w:val="18"/>
          <w:szCs w:val="18"/>
        </w:rPr>
      </w:pPr>
      <w:r w:rsidRPr="00F043A0">
        <w:rPr>
          <w:rStyle w:val="EndnoteReference"/>
          <w:sz w:val="18"/>
          <w:szCs w:val="18"/>
        </w:rPr>
        <w:endnoteRef/>
      </w:r>
      <w:r w:rsidRPr="00F043A0">
        <w:rPr>
          <w:sz w:val="18"/>
          <w:szCs w:val="18"/>
        </w:rPr>
        <w:t xml:space="preserve"> The National Project Monitoring Committee is an interagency committee mandated primarily to coordinate and oversee the implementation of the regional project M&amp;E system.</w:t>
      </w:r>
    </w:p>
  </w:endnote>
  <w:endnote w:id="44">
    <w:p w14:paraId="3D3403EC" w14:textId="77777777" w:rsidR="00431213" w:rsidRPr="00F043A0" w:rsidRDefault="00431213" w:rsidP="00465006">
      <w:pPr>
        <w:pStyle w:val="EndnoteText"/>
        <w:rPr>
          <w:sz w:val="18"/>
          <w:szCs w:val="18"/>
        </w:rPr>
      </w:pPr>
      <w:r w:rsidRPr="00F043A0">
        <w:rPr>
          <w:rStyle w:val="EndnoteReference"/>
          <w:sz w:val="18"/>
          <w:szCs w:val="18"/>
        </w:rPr>
        <w:endnoteRef/>
      </w:r>
      <w:r w:rsidRPr="00F043A0">
        <w:rPr>
          <w:sz w:val="18"/>
          <w:szCs w:val="18"/>
        </w:rPr>
        <w:t xml:space="preserve"> NEDA Regional Offices serve as Secretariat to RPMCs.</w:t>
      </w:r>
    </w:p>
  </w:endnote>
  <w:endnote w:id="45">
    <w:p w14:paraId="71F8362C"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15" w:history="1">
        <w:r w:rsidRPr="00F043A0">
          <w:rPr>
            <w:rStyle w:val="Hyperlink"/>
            <w:sz w:val="18"/>
            <w:szCs w:val="18"/>
          </w:rPr>
          <w:t>http://www.dbm.gov.ph/?page_id=4273</w:t>
        </w:r>
      </w:hyperlink>
      <w:r w:rsidRPr="00F043A0">
        <w:rPr>
          <w:sz w:val="18"/>
          <w:szCs w:val="18"/>
        </w:rPr>
        <w:t>.</w:t>
      </w:r>
    </w:p>
  </w:endnote>
  <w:endnote w:id="46">
    <w:p w14:paraId="5A432FD1"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16" w:history="1">
        <w:r w:rsidRPr="00F043A0">
          <w:rPr>
            <w:rStyle w:val="Hyperlink"/>
            <w:sz w:val="18"/>
            <w:szCs w:val="18"/>
          </w:rPr>
          <w:t>http://www.gov.ph/2011/05/13/executive-order-no-43/</w:t>
        </w:r>
      </w:hyperlink>
      <w:r w:rsidRPr="00F043A0">
        <w:rPr>
          <w:sz w:val="18"/>
          <w:szCs w:val="18"/>
        </w:rPr>
        <w:t>.</w:t>
      </w:r>
    </w:p>
  </w:endnote>
  <w:endnote w:id="47">
    <w:p w14:paraId="5E8E4C40" w14:textId="2FD5977E" w:rsidR="00431213" w:rsidRPr="007E6541" w:rsidRDefault="00431213" w:rsidP="007E6541">
      <w:pPr>
        <w:pStyle w:val="EndnoteText"/>
        <w:rPr>
          <w:rStyle w:val="EndnoteReference"/>
          <w:sz w:val="18"/>
          <w:szCs w:val="18"/>
          <w:vertAlign w:val="baseline"/>
        </w:rPr>
      </w:pPr>
      <w:r w:rsidRPr="007E6541">
        <w:rPr>
          <w:rStyle w:val="EndnoteReference"/>
          <w:sz w:val="18"/>
          <w:szCs w:val="18"/>
        </w:rPr>
        <w:endnoteRef/>
      </w:r>
      <w:r w:rsidRPr="007E6541">
        <w:rPr>
          <w:rStyle w:val="EndnoteReference"/>
          <w:sz w:val="18"/>
          <w:szCs w:val="18"/>
        </w:rPr>
        <w:t xml:space="preserve"> </w:t>
      </w:r>
      <w:r w:rsidRPr="007E6541">
        <w:rPr>
          <w:rStyle w:val="EndnoteReference"/>
          <w:sz w:val="18"/>
          <w:szCs w:val="18"/>
          <w:vertAlign w:val="baseline"/>
        </w:rPr>
        <w:t>Registry of Public Infrastructure shall be used to record properties for use by the general public. A separate Registry shall be maintained for each class of property or asset (e.g., Plaza, Parks and Monuments; Roads, Highways and Bridges; Ports, Harbors, Seawalls, River Walls and Others; Runways; Railways; Waterways, Aqueducts, etc.; and Irrigation Canals and Laterals, etc.). For proper costing, the original construction cost and any major repairs undertaken shall be posted in the respective Registry. It shall be maintained by the Accounting Unit of the agency.</w:t>
      </w:r>
    </w:p>
  </w:endnote>
  <w:endnote w:id="48">
    <w:p w14:paraId="14101F99" w14:textId="30219A36" w:rsidR="00431213" w:rsidRPr="007E6541" w:rsidRDefault="00431213" w:rsidP="007E6541">
      <w:pPr>
        <w:pStyle w:val="EndnoteText"/>
        <w:rPr>
          <w:rStyle w:val="EndnoteReference"/>
          <w:sz w:val="18"/>
          <w:szCs w:val="18"/>
        </w:rPr>
      </w:pPr>
      <w:r w:rsidRPr="007E6541">
        <w:rPr>
          <w:rStyle w:val="EndnoteReference"/>
          <w:sz w:val="18"/>
          <w:szCs w:val="18"/>
        </w:rPr>
        <w:endnoteRef/>
      </w:r>
      <w:r w:rsidRPr="007E6541">
        <w:rPr>
          <w:rStyle w:val="EndnoteReference"/>
          <w:sz w:val="18"/>
          <w:szCs w:val="18"/>
        </w:rPr>
        <w:t xml:space="preserve"> </w:t>
      </w:r>
      <w:r w:rsidRPr="007E6541">
        <w:rPr>
          <w:rStyle w:val="EndnoteReference"/>
          <w:sz w:val="18"/>
          <w:szCs w:val="18"/>
          <w:vertAlign w:val="baseline"/>
        </w:rPr>
        <w:t>Registry of Reforestation Projects shall be used to record expenses incurred on reforestation projects. It shall be maintained by the Accounting Unit of the agency implementing reforestation projects.</w:t>
      </w:r>
    </w:p>
  </w:endnote>
  <w:endnote w:id="49">
    <w:p w14:paraId="4998FD15" w14:textId="1425D081" w:rsidR="00431213" w:rsidRPr="007E6541" w:rsidRDefault="00431213" w:rsidP="007E6541">
      <w:pPr>
        <w:pStyle w:val="EndnoteText"/>
        <w:rPr>
          <w:rStyle w:val="EndnoteReference"/>
          <w:sz w:val="18"/>
          <w:szCs w:val="18"/>
        </w:rPr>
      </w:pPr>
      <w:r w:rsidRPr="007E6541">
        <w:rPr>
          <w:rStyle w:val="EndnoteReference"/>
          <w:sz w:val="18"/>
          <w:szCs w:val="18"/>
        </w:rPr>
        <w:endnoteRef/>
      </w:r>
      <w:r w:rsidRPr="007E6541">
        <w:rPr>
          <w:rStyle w:val="EndnoteReference"/>
          <w:sz w:val="18"/>
          <w:szCs w:val="18"/>
        </w:rPr>
        <w:t xml:space="preserve"> </w:t>
      </w:r>
      <w:r w:rsidRPr="007E6541">
        <w:rPr>
          <w:rStyle w:val="EndnoteReference"/>
          <w:sz w:val="18"/>
          <w:szCs w:val="18"/>
          <w:vertAlign w:val="baseline"/>
        </w:rPr>
        <w:t>Registry of Public Infrastructure Summary shall be used to summarize all the public infrastructures of the agency. The total of each registry shall be posted in the summary and the total public infrastructures shall be disclosed in the notes to the financial statements,</w:t>
      </w:r>
    </w:p>
  </w:endnote>
  <w:endnote w:id="50">
    <w:p w14:paraId="51218530" w14:textId="75BD8806"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This is a consolidated report that comprises the general government sector, non-financial public corporations, and financial public corporations. The coverage of the debt data includes the debt of the LGUs because it is part of the general government sector.</w:t>
      </w:r>
    </w:p>
  </w:endnote>
  <w:endnote w:id="51">
    <w:p w14:paraId="49F841AA" w14:textId="77777777" w:rsidR="00431213" w:rsidRPr="00F043A0" w:rsidRDefault="00431213" w:rsidP="00A84EEF">
      <w:pPr>
        <w:pStyle w:val="EndnoteText"/>
        <w:jc w:val="both"/>
        <w:rPr>
          <w:sz w:val="18"/>
          <w:szCs w:val="18"/>
        </w:rPr>
      </w:pPr>
      <w:r w:rsidRPr="00F043A0">
        <w:rPr>
          <w:rStyle w:val="EndnoteReference"/>
          <w:sz w:val="18"/>
          <w:szCs w:val="18"/>
        </w:rPr>
        <w:endnoteRef/>
      </w:r>
      <w:r w:rsidRPr="00F043A0">
        <w:rPr>
          <w:sz w:val="18"/>
          <w:szCs w:val="18"/>
        </w:rPr>
        <w:t xml:space="preserve"> The report is comprised of actual obligations for loans/bonds, both direct and assumed, and securities (domestic and foreign) and contingent obligations in form of national government guarantees. The national government debt report is disclosed two months from reference period. The report is published before the end of March the following year.</w:t>
      </w:r>
    </w:p>
  </w:endnote>
  <w:endnote w:id="52">
    <w:p w14:paraId="1B09AA56" w14:textId="7A4A78AF"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17" w:history="1">
        <w:r w:rsidRPr="00F043A0">
          <w:rPr>
            <w:rStyle w:val="Hyperlink"/>
            <w:sz w:val="18"/>
            <w:szCs w:val="18"/>
          </w:rPr>
          <w:t>http://www.treasury.gov.ph/?page_id=746</w:t>
        </w:r>
      </w:hyperlink>
    </w:p>
  </w:endnote>
  <w:endnote w:id="53">
    <w:p w14:paraId="46FE097F" w14:textId="77777777" w:rsidR="00431213" w:rsidRPr="00F043A0" w:rsidRDefault="00431213" w:rsidP="001A67AA">
      <w:pPr>
        <w:pStyle w:val="EndnoteText"/>
        <w:jc w:val="both"/>
        <w:rPr>
          <w:sz w:val="18"/>
          <w:szCs w:val="18"/>
        </w:rPr>
      </w:pPr>
      <w:r w:rsidRPr="00F043A0">
        <w:rPr>
          <w:rStyle w:val="EndnoteReference"/>
          <w:sz w:val="18"/>
          <w:szCs w:val="18"/>
        </w:rPr>
        <w:endnoteRef/>
      </w:r>
      <w:r w:rsidRPr="00F043A0">
        <w:rPr>
          <w:sz w:val="18"/>
          <w:szCs w:val="18"/>
        </w:rPr>
        <w:t xml:space="preserve"> Under EO 127 (January 1987), 127-A (July 1987) and 292 (July 1987).</w:t>
      </w:r>
    </w:p>
  </w:endnote>
  <w:endnote w:id="54">
    <w:p w14:paraId="1ABF3464" w14:textId="77777777" w:rsidR="00431213" w:rsidRPr="00F043A0" w:rsidRDefault="00431213" w:rsidP="001A67AA">
      <w:pPr>
        <w:pStyle w:val="EndnoteText"/>
        <w:jc w:val="both"/>
        <w:rPr>
          <w:sz w:val="18"/>
          <w:szCs w:val="18"/>
        </w:rPr>
      </w:pPr>
      <w:r w:rsidRPr="00F043A0">
        <w:rPr>
          <w:rStyle w:val="EndnoteReference"/>
          <w:sz w:val="18"/>
          <w:szCs w:val="18"/>
        </w:rPr>
        <w:endnoteRef/>
      </w:r>
      <w:r w:rsidRPr="00F043A0">
        <w:rPr>
          <w:sz w:val="18"/>
          <w:szCs w:val="18"/>
        </w:rPr>
        <w:t xml:space="preserve"> Under EO 449, series 1997 and Republic Act (RA) 1000.</w:t>
      </w:r>
    </w:p>
  </w:endnote>
  <w:endnote w:id="55">
    <w:p w14:paraId="34499F58" w14:textId="77777777" w:rsidR="00431213" w:rsidRPr="00F043A0" w:rsidRDefault="00431213" w:rsidP="001A67AA">
      <w:pPr>
        <w:pStyle w:val="EndnoteText"/>
        <w:jc w:val="both"/>
        <w:rPr>
          <w:sz w:val="18"/>
          <w:szCs w:val="18"/>
        </w:rPr>
      </w:pPr>
      <w:r w:rsidRPr="00F043A0">
        <w:rPr>
          <w:rStyle w:val="EndnoteReference"/>
          <w:sz w:val="18"/>
          <w:szCs w:val="18"/>
        </w:rPr>
        <w:endnoteRef/>
      </w:r>
      <w:r w:rsidRPr="00F043A0">
        <w:rPr>
          <w:sz w:val="18"/>
          <w:szCs w:val="18"/>
        </w:rPr>
        <w:t xml:space="preserve"> Reports on guarantee fees billed and collected and GOCCs that have not been able to service the National government guaranteed borrowings. </w:t>
      </w:r>
    </w:p>
  </w:endnote>
  <w:endnote w:id="56">
    <w:p w14:paraId="4B2EA10B"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Under RA No. 4860 or the Foreign Borrowings Act, RA No. 245 authorizing the Secretary of Finance to borrow to meet public expenditures, and RA. No. 8182 as amended by RA 8555 for contracting Official Development Assistance loans and grants </w:t>
      </w:r>
    </w:p>
  </w:endnote>
  <w:endnote w:id="57">
    <w:p w14:paraId="56E50FB7"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DOF, 2010. Annual Report</w:t>
      </w:r>
    </w:p>
  </w:endnote>
  <w:endnote w:id="58">
    <w:p w14:paraId="2C98CED3"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http://www.dbm.gov.ph/wp-content/uploads/BESF/BESF2016/D.pdf</w:t>
      </w:r>
    </w:p>
  </w:endnote>
  <w:endnote w:id="59">
    <w:p w14:paraId="670F377C" w14:textId="77777777" w:rsidR="00431213" w:rsidRPr="00F043A0" w:rsidRDefault="00431213" w:rsidP="00EA07C9">
      <w:pPr>
        <w:pStyle w:val="EndnoteText"/>
        <w:jc w:val="both"/>
        <w:rPr>
          <w:sz w:val="18"/>
          <w:szCs w:val="18"/>
        </w:rPr>
      </w:pPr>
      <w:r w:rsidRPr="00F043A0">
        <w:rPr>
          <w:rStyle w:val="EndnoteReference"/>
          <w:sz w:val="18"/>
          <w:szCs w:val="18"/>
        </w:rPr>
        <w:endnoteRef/>
      </w:r>
      <w:r w:rsidRPr="00F043A0">
        <w:rPr>
          <w:sz w:val="18"/>
          <w:szCs w:val="18"/>
        </w:rPr>
        <w:t xml:space="preserve"> BESF Table A.2.</w:t>
      </w:r>
    </w:p>
  </w:endnote>
  <w:endnote w:id="60">
    <w:p w14:paraId="17F80F8B" w14:textId="77777777" w:rsidR="00431213" w:rsidRPr="00F043A0" w:rsidRDefault="00431213" w:rsidP="00EA07C9">
      <w:pPr>
        <w:pStyle w:val="EndnoteText"/>
        <w:jc w:val="both"/>
        <w:rPr>
          <w:sz w:val="18"/>
          <w:szCs w:val="18"/>
        </w:rPr>
      </w:pPr>
      <w:r w:rsidRPr="00F043A0">
        <w:rPr>
          <w:rStyle w:val="EndnoteReference"/>
          <w:sz w:val="18"/>
          <w:szCs w:val="18"/>
        </w:rPr>
        <w:endnoteRef/>
      </w:r>
      <w:r w:rsidRPr="00F043A0">
        <w:rPr>
          <w:sz w:val="18"/>
          <w:szCs w:val="18"/>
        </w:rPr>
        <w:t xml:space="preserve"> BESF Table A.1.</w:t>
      </w:r>
    </w:p>
  </w:endnote>
  <w:endnote w:id="61">
    <w:p w14:paraId="577DD048" w14:textId="49348BCF" w:rsidR="00431213" w:rsidRPr="00F043A0" w:rsidRDefault="00431213">
      <w:pPr>
        <w:pStyle w:val="EndnoteText"/>
        <w:rPr>
          <w:sz w:val="18"/>
          <w:szCs w:val="18"/>
        </w:rPr>
      </w:pPr>
      <w:r w:rsidRPr="00F043A0">
        <w:rPr>
          <w:rStyle w:val="EndnoteReference"/>
          <w:sz w:val="18"/>
          <w:szCs w:val="18"/>
        </w:rPr>
        <w:endnoteRef/>
      </w:r>
      <w:r w:rsidRPr="00F043A0">
        <w:rPr>
          <w:sz w:val="18"/>
          <w:szCs w:val="18"/>
        </w:rPr>
        <w:t xml:space="preserve"> BESF Table A.6.</w:t>
      </w:r>
    </w:p>
  </w:endnote>
  <w:endnote w:id="62">
    <w:p w14:paraId="25612D74" w14:textId="77777777" w:rsidR="00431213" w:rsidRPr="00F043A0" w:rsidRDefault="00431213" w:rsidP="004D1329">
      <w:pPr>
        <w:pStyle w:val="EndnoteText"/>
        <w:jc w:val="both"/>
        <w:rPr>
          <w:sz w:val="18"/>
          <w:szCs w:val="18"/>
        </w:rPr>
      </w:pPr>
      <w:r w:rsidRPr="00F043A0">
        <w:rPr>
          <w:rStyle w:val="EndnoteReference"/>
          <w:sz w:val="18"/>
          <w:szCs w:val="18"/>
        </w:rPr>
        <w:endnoteRef/>
      </w:r>
      <w:r w:rsidRPr="00F043A0">
        <w:rPr>
          <w:sz w:val="18"/>
          <w:szCs w:val="18"/>
        </w:rPr>
        <w:t xml:space="preserve"> http://www.dbm.gov.ph/</w:t>
      </w:r>
    </w:p>
  </w:endnote>
  <w:endnote w:id="63">
    <w:p w14:paraId="4F14D465" w14:textId="475B2FEA"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For 2014 (</w:t>
      </w:r>
      <w:hyperlink r:id="rId18" w:history="1">
        <w:r w:rsidRPr="00F043A0">
          <w:rPr>
            <w:rStyle w:val="Hyperlink"/>
            <w:sz w:val="18"/>
            <w:szCs w:val="18"/>
          </w:rPr>
          <w:t>http://budgetngbayan.com/2014-peoples-budget-2857</w:t>
        </w:r>
      </w:hyperlink>
      <w:r w:rsidRPr="00F043A0">
        <w:rPr>
          <w:sz w:val="18"/>
          <w:szCs w:val="18"/>
        </w:rPr>
        <w:t>), 2015 (</w:t>
      </w:r>
      <w:hyperlink r:id="rId19" w:history="1">
        <w:r w:rsidRPr="00F043A0">
          <w:rPr>
            <w:rStyle w:val="Hyperlink"/>
            <w:sz w:val="18"/>
            <w:szCs w:val="18"/>
          </w:rPr>
          <w:t>http://budgetngbayan.com/2015-peoples-proposed-budget-2885</w:t>
        </w:r>
      </w:hyperlink>
      <w:r w:rsidRPr="00F043A0">
        <w:rPr>
          <w:sz w:val="18"/>
          <w:szCs w:val="18"/>
        </w:rPr>
        <w:t xml:space="preserve">), and 2016 </w:t>
      </w:r>
      <w:hyperlink r:id="rId20" w:history="1">
        <w:r w:rsidRPr="00F043A0">
          <w:rPr>
            <w:rStyle w:val="Hyperlink"/>
            <w:sz w:val="18"/>
            <w:szCs w:val="18"/>
          </w:rPr>
          <w:t>http://www.dbm.gov.ph/?page_id=13550</w:t>
        </w:r>
      </w:hyperlink>
      <w:r w:rsidRPr="00F043A0">
        <w:rPr>
          <w:sz w:val="18"/>
          <w:szCs w:val="18"/>
        </w:rPr>
        <w:t>.</w:t>
      </w:r>
    </w:p>
  </w:endnote>
  <w:endnote w:id="64">
    <w:p w14:paraId="3920C789" w14:textId="7D3F558E" w:rsidR="00431213" w:rsidRPr="00F043A0" w:rsidRDefault="00431213" w:rsidP="006E4286">
      <w:pPr>
        <w:pStyle w:val="EndnoteText"/>
        <w:jc w:val="both"/>
        <w:rPr>
          <w:sz w:val="18"/>
          <w:szCs w:val="18"/>
        </w:rPr>
      </w:pPr>
      <w:r w:rsidRPr="00F043A0">
        <w:rPr>
          <w:rStyle w:val="EndnoteReference"/>
          <w:sz w:val="18"/>
          <w:szCs w:val="18"/>
        </w:rPr>
        <w:endnoteRef/>
      </w:r>
      <w:r w:rsidRPr="00F043A0">
        <w:rPr>
          <w:sz w:val="18"/>
          <w:szCs w:val="18"/>
        </w:rPr>
        <w:t xml:space="preserve"> This key areas is organized according to the following thematic clusters; </w:t>
      </w:r>
      <w:r w:rsidRPr="00F043A0">
        <w:rPr>
          <w:color w:val="444444"/>
          <w:sz w:val="18"/>
          <w:szCs w:val="18"/>
          <w:shd w:val="clear" w:color="auto" w:fill="FFFFFF"/>
        </w:rPr>
        <w:t>(a) good governance and anti-corruption; (b) human development and poverty reduction; (c) economic development; (d) security, justice and peace; and (e) climate change adaptation and mitigation</w:t>
      </w:r>
      <w:r w:rsidRPr="00F043A0">
        <w:rPr>
          <w:sz w:val="18"/>
          <w:szCs w:val="18"/>
        </w:rPr>
        <w:t>.</w:t>
      </w:r>
    </w:p>
  </w:endnote>
  <w:endnote w:id="65">
    <w:p w14:paraId="3993AF9B" w14:textId="77777777" w:rsidR="00431213" w:rsidRPr="00F043A0" w:rsidRDefault="00431213" w:rsidP="006E4286">
      <w:pPr>
        <w:pStyle w:val="EndnoteText"/>
        <w:jc w:val="both"/>
        <w:rPr>
          <w:sz w:val="18"/>
          <w:szCs w:val="18"/>
        </w:rPr>
      </w:pPr>
      <w:r w:rsidRPr="00F043A0">
        <w:rPr>
          <w:rStyle w:val="EndnoteReference"/>
          <w:sz w:val="18"/>
          <w:szCs w:val="18"/>
        </w:rPr>
        <w:endnoteRef/>
      </w:r>
      <w:r w:rsidRPr="00F043A0">
        <w:rPr>
          <w:sz w:val="18"/>
          <w:szCs w:val="18"/>
        </w:rPr>
        <w:t xml:space="preserve"> EO No. 43, series of 2011.</w:t>
      </w:r>
    </w:p>
  </w:endnote>
  <w:endnote w:id="66">
    <w:p w14:paraId="71C4A92B" w14:textId="77777777" w:rsidR="00431213" w:rsidRPr="00F043A0" w:rsidRDefault="00431213" w:rsidP="006E4286">
      <w:pPr>
        <w:pStyle w:val="EndnoteText"/>
        <w:jc w:val="both"/>
        <w:rPr>
          <w:sz w:val="18"/>
          <w:szCs w:val="18"/>
        </w:rPr>
      </w:pPr>
      <w:r w:rsidRPr="00F043A0">
        <w:rPr>
          <w:rStyle w:val="EndnoteReference"/>
          <w:sz w:val="18"/>
          <w:szCs w:val="18"/>
        </w:rPr>
        <w:endnoteRef/>
      </w:r>
      <w:r w:rsidRPr="00F043A0">
        <w:rPr>
          <w:sz w:val="18"/>
          <w:szCs w:val="18"/>
        </w:rPr>
        <w:t xml:space="preserve"> This approach was established in 2013 budget preparation in order to focus the budget on identified necessary program and to ensure that the key agencies participating in the program coordinate their targets and activities to facilitate program execution. A matrix of priority program with the corresponding agencies/departments was attached in order to provide proper guidance to the participating agencies and departments.</w:t>
      </w:r>
    </w:p>
  </w:endnote>
  <w:endnote w:id="67">
    <w:p w14:paraId="209ACAFD" w14:textId="09D46E04" w:rsidR="00431213" w:rsidRPr="00F043A0" w:rsidRDefault="00431213" w:rsidP="006E4286">
      <w:pPr>
        <w:pStyle w:val="EndnoteText"/>
        <w:jc w:val="both"/>
        <w:rPr>
          <w:sz w:val="18"/>
          <w:szCs w:val="18"/>
        </w:rPr>
      </w:pPr>
      <w:r w:rsidRPr="00F043A0">
        <w:rPr>
          <w:rStyle w:val="EndnoteReference"/>
          <w:sz w:val="18"/>
          <w:szCs w:val="18"/>
        </w:rPr>
        <w:endnoteRef/>
      </w:r>
      <w:r w:rsidRPr="00F043A0">
        <w:rPr>
          <w:sz w:val="18"/>
          <w:szCs w:val="18"/>
        </w:rPr>
        <w:t xml:space="preserve"> Consist of tourism development program, infrastructure development program, basic education for all, universal health program, agriculture development program, conditional cash transfer program, and climate change adaptation program.</w:t>
      </w:r>
    </w:p>
  </w:endnote>
  <w:endnote w:id="68">
    <w:p w14:paraId="6D6A02D5" w14:textId="77777777" w:rsidR="00431213" w:rsidRPr="00F043A0" w:rsidRDefault="00431213" w:rsidP="006E4286">
      <w:pPr>
        <w:pStyle w:val="EndnoteText"/>
        <w:jc w:val="both"/>
        <w:rPr>
          <w:sz w:val="18"/>
          <w:szCs w:val="18"/>
        </w:rPr>
      </w:pPr>
      <w:r w:rsidRPr="00F043A0">
        <w:rPr>
          <w:rStyle w:val="EndnoteReference"/>
          <w:sz w:val="18"/>
          <w:szCs w:val="18"/>
        </w:rPr>
        <w:endnoteRef/>
      </w:r>
      <w:r w:rsidRPr="00F043A0">
        <w:rPr>
          <w:sz w:val="18"/>
          <w:szCs w:val="18"/>
        </w:rPr>
        <w:t xml:space="preserve"> DBM, April 25, 2013. National Budget Memorandum No. 118.</w:t>
      </w:r>
    </w:p>
  </w:endnote>
  <w:endnote w:id="69">
    <w:p w14:paraId="0F760E5D" w14:textId="37BAE6FF"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This framework is designed especially to link planning (medium-term outlook) with the annual budget and to link the budgetary expenditures with the desired outcome. This framework also facilitates the systematic determination of the fiscal space (available uncommitted funds) available for allocation among the key program, taking account of the future cost of approved and ongoing programs as well as validate commitment under the forward estimate process and the fiscal consolidation strategy of the national government.</w:t>
      </w:r>
    </w:p>
  </w:endnote>
  <w:endnote w:id="70">
    <w:p w14:paraId="4482E724" w14:textId="77777777" w:rsidR="00431213" w:rsidRPr="00F043A0" w:rsidRDefault="00431213" w:rsidP="006E31DC">
      <w:pPr>
        <w:pStyle w:val="EndnoteText"/>
        <w:jc w:val="both"/>
        <w:rPr>
          <w:sz w:val="18"/>
          <w:szCs w:val="18"/>
        </w:rPr>
      </w:pPr>
      <w:r w:rsidRPr="00F043A0">
        <w:rPr>
          <w:rStyle w:val="EndnoteReference"/>
          <w:sz w:val="18"/>
          <w:szCs w:val="18"/>
        </w:rPr>
        <w:endnoteRef/>
      </w:r>
      <w:r w:rsidRPr="00F043A0">
        <w:rPr>
          <w:sz w:val="18"/>
          <w:szCs w:val="18"/>
        </w:rPr>
        <w:t xml:space="preserve"> DBM, 28 January 2015. National Budget Memorandum No. 123.</w:t>
      </w:r>
    </w:p>
  </w:endnote>
  <w:endnote w:id="71">
    <w:p w14:paraId="712C4B0E" w14:textId="3FDF1C5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The two-tier budgeting approach separates the evaluation of agency proposals for on-going and existing programs/projects from new spending proposals and the expansion of on-going and existing programs/projects. Under </w:t>
      </w:r>
      <w:r w:rsidRPr="007E6541">
        <w:rPr>
          <w:sz w:val="18"/>
          <w:szCs w:val="18"/>
        </w:rPr>
        <w:t>Tier1</w:t>
      </w:r>
      <w:r w:rsidRPr="00F043A0">
        <w:rPr>
          <w:sz w:val="18"/>
          <w:szCs w:val="18"/>
        </w:rPr>
        <w:t xml:space="preserve">, the budgetary requirements are determined through the forward estimate process. In Tier 2, the departments/agencies propose their new spending based on the spending areas and strategies identified in the Budget Priorities Framework. </w:t>
      </w:r>
    </w:p>
  </w:endnote>
  <w:endnote w:id="72">
    <w:p w14:paraId="4B4842EF"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National Budget Memorandum no. 124.</w:t>
      </w:r>
    </w:p>
  </w:endnote>
  <w:endnote w:id="73">
    <w:p w14:paraId="2E3CA590"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21" w:history="1">
        <w:r w:rsidRPr="00F043A0">
          <w:rPr>
            <w:rStyle w:val="Hyperlink"/>
            <w:sz w:val="18"/>
            <w:szCs w:val="18"/>
          </w:rPr>
          <w:t>http://www.dbm.gov.ph/?page_id=11897</w:t>
        </w:r>
      </w:hyperlink>
      <w:r w:rsidRPr="00F043A0">
        <w:rPr>
          <w:sz w:val="18"/>
          <w:szCs w:val="18"/>
        </w:rPr>
        <w:t>.</w:t>
      </w:r>
    </w:p>
  </w:endnote>
  <w:endnote w:id="74">
    <w:p w14:paraId="67A85DE0" w14:textId="00207BEF"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The planning-budgeting framework used by the government to provide a three-year forward perspective to the decision-making process during budget preparation. This uses the forward estimate process.</w:t>
      </w:r>
    </w:p>
  </w:endnote>
  <w:endnote w:id="75">
    <w:p w14:paraId="41264F0A"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A budgeting approach that uses performance information to assist in deciding where the government funds will go.</w:t>
      </w:r>
    </w:p>
  </w:endnote>
  <w:endnote w:id="76">
    <w:p w14:paraId="75B3055A"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A program evaluation approach through which every function within an organization is analyzed for its needs and costs.</w:t>
      </w:r>
    </w:p>
  </w:endnote>
  <w:endnote w:id="77">
    <w:p w14:paraId="6FE13BEA"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An approach to facilitate and incentivizes inter-agency collaboration along contract areas to ensure priority programs are planned, budgeted and implemented in a coordinated manner.</w:t>
      </w:r>
    </w:p>
  </w:endnote>
  <w:endnote w:id="78">
    <w:p w14:paraId="2EC46157"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An approach to ensure that the prioritized list of programs is incorporated. It also strengthens the capacity of the LGUs to plan, budget and execute programs.</w:t>
      </w:r>
    </w:p>
  </w:endnote>
  <w:endnote w:id="79">
    <w:p w14:paraId="61DD9A75" w14:textId="793F38EB" w:rsidR="00431213" w:rsidRPr="00F043A0" w:rsidRDefault="00431213" w:rsidP="007173DF">
      <w:pPr>
        <w:pStyle w:val="EndnoteText"/>
        <w:jc w:val="both"/>
        <w:rPr>
          <w:sz w:val="18"/>
          <w:szCs w:val="18"/>
        </w:rPr>
      </w:pPr>
      <w:r w:rsidRPr="00F043A0">
        <w:rPr>
          <w:rStyle w:val="EndnoteReference"/>
          <w:sz w:val="18"/>
          <w:szCs w:val="18"/>
        </w:rPr>
        <w:endnoteRef/>
      </w:r>
      <w:r w:rsidRPr="00F043A0">
        <w:rPr>
          <w:sz w:val="18"/>
          <w:szCs w:val="18"/>
        </w:rPr>
        <w:t xml:space="preserve"> An approach to separate the evaluation of agency proposals for ongoing/existing programs from the new spending/the expansion of the ongoing/existing programs. The objective is to decongest and systematize the decision-making process for these two different types of programs during budget preparation.</w:t>
      </w:r>
    </w:p>
  </w:endnote>
  <w:endnote w:id="80">
    <w:p w14:paraId="7812C155" w14:textId="12AEE3B0" w:rsidR="00431213" w:rsidRPr="00F043A0" w:rsidRDefault="00431213">
      <w:pPr>
        <w:pStyle w:val="EndnoteText"/>
        <w:rPr>
          <w:sz w:val="18"/>
          <w:szCs w:val="18"/>
        </w:rPr>
      </w:pPr>
      <w:r w:rsidRPr="00F043A0">
        <w:rPr>
          <w:rStyle w:val="EndnoteReference"/>
          <w:sz w:val="18"/>
          <w:szCs w:val="18"/>
        </w:rPr>
        <w:endnoteRef/>
      </w:r>
      <w:r w:rsidRPr="00F043A0">
        <w:rPr>
          <w:sz w:val="18"/>
          <w:szCs w:val="18"/>
        </w:rPr>
        <w:t xml:space="preserve"> </w:t>
      </w:r>
      <w:hyperlink r:id="rId22" w:history="1">
        <w:r w:rsidRPr="00F043A0">
          <w:rPr>
            <w:rStyle w:val="Hyperlink"/>
            <w:sz w:val="18"/>
            <w:szCs w:val="18"/>
          </w:rPr>
          <w:t>http://www.dbm.gov.ph/?page_id=9769</w:t>
        </w:r>
      </w:hyperlink>
      <w:r w:rsidRPr="00F043A0">
        <w:rPr>
          <w:sz w:val="18"/>
          <w:szCs w:val="18"/>
        </w:rPr>
        <w:t xml:space="preserve"> </w:t>
      </w:r>
    </w:p>
  </w:endnote>
  <w:endnote w:id="81">
    <w:p w14:paraId="18628D15" w14:textId="77777777" w:rsidR="00431213" w:rsidRPr="00F043A0" w:rsidRDefault="00431213" w:rsidP="006F1DA0">
      <w:pPr>
        <w:pStyle w:val="EndnoteText"/>
        <w:jc w:val="both"/>
        <w:rPr>
          <w:sz w:val="18"/>
          <w:szCs w:val="18"/>
        </w:rPr>
      </w:pPr>
      <w:r w:rsidRPr="00F043A0">
        <w:rPr>
          <w:rStyle w:val="EndnoteReference"/>
          <w:sz w:val="18"/>
          <w:szCs w:val="18"/>
        </w:rPr>
        <w:endnoteRef/>
      </w:r>
      <w:r w:rsidRPr="00F043A0">
        <w:rPr>
          <w:sz w:val="18"/>
          <w:szCs w:val="18"/>
        </w:rPr>
        <w:t xml:space="preserve"> </w:t>
      </w:r>
      <w:hyperlink r:id="rId23" w:history="1">
        <w:r w:rsidRPr="00F043A0">
          <w:rPr>
            <w:rStyle w:val="Hyperlink"/>
            <w:sz w:val="18"/>
            <w:szCs w:val="18"/>
          </w:rPr>
          <w:t>http://www.bir.gov.ph/</w:t>
        </w:r>
      </w:hyperlink>
      <w:r w:rsidRPr="00F043A0">
        <w:rPr>
          <w:sz w:val="18"/>
          <w:szCs w:val="18"/>
        </w:rPr>
        <w:t xml:space="preserve"> .</w:t>
      </w:r>
    </w:p>
  </w:endnote>
  <w:endnote w:id="82">
    <w:p w14:paraId="2CACCE1A" w14:textId="77777777" w:rsidR="00431213" w:rsidRPr="00F043A0" w:rsidRDefault="00431213" w:rsidP="00EF01C1">
      <w:pPr>
        <w:pStyle w:val="EndnoteText"/>
        <w:jc w:val="both"/>
        <w:rPr>
          <w:sz w:val="18"/>
          <w:szCs w:val="18"/>
        </w:rPr>
      </w:pPr>
      <w:r w:rsidRPr="00F043A0">
        <w:rPr>
          <w:rStyle w:val="EndnoteReference"/>
          <w:sz w:val="18"/>
          <w:szCs w:val="18"/>
        </w:rPr>
        <w:endnoteRef/>
      </w:r>
      <w:r w:rsidRPr="00F043A0">
        <w:rPr>
          <w:sz w:val="18"/>
          <w:szCs w:val="18"/>
        </w:rPr>
        <w:t xml:space="preserve"> </w:t>
      </w:r>
      <w:hyperlink r:id="rId24" w:history="1">
        <w:r w:rsidRPr="00F043A0">
          <w:rPr>
            <w:rStyle w:val="Hyperlink"/>
            <w:sz w:val="18"/>
            <w:szCs w:val="18"/>
          </w:rPr>
          <w:t>http://knowyourtaxes.ph/home</w:t>
        </w:r>
      </w:hyperlink>
      <w:r w:rsidRPr="00F043A0">
        <w:rPr>
          <w:sz w:val="18"/>
          <w:szCs w:val="18"/>
        </w:rPr>
        <w:t>.</w:t>
      </w:r>
    </w:p>
  </w:endnote>
  <w:endnote w:id="83">
    <w:p w14:paraId="5837B0EE" w14:textId="727AAA59"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Departmental Order No. 44-2014, 17 June 2014 – post-entry audit guidelines under the Fiscal Intelligence Unit.</w:t>
      </w:r>
    </w:p>
  </w:endnote>
  <w:endnote w:id="84">
    <w:p w14:paraId="6B8B7772"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The scope of post-entry audit has been expanded to cover importers who commit plain and simple errors in the import declaration. Importers must be cognizant of importation laws, rules and regulations so that import entries are accurate and error-free.</w:t>
      </w:r>
    </w:p>
  </w:endnote>
  <w:endnote w:id="85">
    <w:p w14:paraId="60723A36"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RMO No. 19-2015, 15 September 2015.</w:t>
      </w:r>
    </w:p>
  </w:endnote>
  <w:endnote w:id="86">
    <w:p w14:paraId="193015BE" w14:textId="66E61922" w:rsidR="00431213" w:rsidRPr="00F043A0" w:rsidRDefault="00431213" w:rsidP="00FE3A56">
      <w:pPr>
        <w:pStyle w:val="EndnoteText"/>
        <w:ind w:left="180" w:hanging="180"/>
        <w:jc w:val="both"/>
        <w:rPr>
          <w:sz w:val="18"/>
          <w:szCs w:val="18"/>
        </w:rPr>
      </w:pPr>
      <w:r w:rsidRPr="00F043A0">
        <w:rPr>
          <w:rStyle w:val="EndnoteReference"/>
          <w:sz w:val="18"/>
          <w:szCs w:val="18"/>
        </w:rPr>
        <w:endnoteRef/>
      </w:r>
      <w:r w:rsidRPr="00F043A0">
        <w:rPr>
          <w:sz w:val="18"/>
          <w:szCs w:val="18"/>
        </w:rPr>
        <w:t xml:space="preserve"> The </w:t>
      </w:r>
      <w:r w:rsidRPr="001610D9">
        <w:rPr>
          <w:i/>
          <w:sz w:val="18"/>
          <w:szCs w:val="18"/>
        </w:rPr>
        <w:t>e</w:t>
      </w:r>
      <w:r w:rsidRPr="00F043A0">
        <w:rPr>
          <w:sz w:val="18"/>
          <w:szCs w:val="18"/>
        </w:rPr>
        <w:t>LAMS enforces management and control of audit conducts as well as to monitor the workload of concerned case/revenue officer’s audit.</w:t>
      </w:r>
    </w:p>
  </w:endnote>
  <w:endnote w:id="87">
    <w:p w14:paraId="64BED19E"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25" w:history="1">
        <w:r w:rsidRPr="00F043A0">
          <w:rPr>
            <w:rStyle w:val="Hyperlink"/>
            <w:sz w:val="18"/>
            <w:szCs w:val="18"/>
          </w:rPr>
          <w:t>http://www.bir.gov.ph/images/bir_files/annual_reports/annual_report_2014/iacep.html</w:t>
        </w:r>
      </w:hyperlink>
      <w:r w:rsidRPr="00F043A0">
        <w:rPr>
          <w:sz w:val="18"/>
          <w:szCs w:val="18"/>
        </w:rPr>
        <w:t>.</w:t>
      </w:r>
    </w:p>
  </w:endnote>
  <w:endnote w:id="88">
    <w:p w14:paraId="077C9210"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26" w:history="1">
        <w:r w:rsidRPr="00F043A0">
          <w:rPr>
            <w:rStyle w:val="Hyperlink"/>
            <w:sz w:val="18"/>
            <w:szCs w:val="18"/>
          </w:rPr>
          <w:t>http://www.gov.ph/governance/wp-content/uploads/2015/06/Run-After-the-Smugglers-RATS-Program1.pdf</w:t>
        </w:r>
      </w:hyperlink>
      <w:r w:rsidRPr="00F043A0">
        <w:rPr>
          <w:sz w:val="18"/>
          <w:szCs w:val="18"/>
        </w:rPr>
        <w:t>.</w:t>
      </w:r>
    </w:p>
  </w:endnote>
  <w:endnote w:id="89">
    <w:p w14:paraId="50FC265C"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27" w:history="1">
        <w:r w:rsidRPr="00F043A0">
          <w:rPr>
            <w:rStyle w:val="Hyperlink"/>
            <w:sz w:val="18"/>
            <w:szCs w:val="18"/>
          </w:rPr>
          <w:t>http://www.tariffcommission.gov.ph/previous-website/ra9135.html</w:t>
        </w:r>
      </w:hyperlink>
      <w:r w:rsidRPr="00F043A0">
        <w:rPr>
          <w:sz w:val="18"/>
          <w:szCs w:val="18"/>
        </w:rPr>
        <w:t>.</w:t>
      </w:r>
    </w:p>
  </w:endnote>
  <w:endnote w:id="90">
    <w:p w14:paraId="74587A40" w14:textId="245F107C"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Customs Memorandum Circular 83-2014, 19 June 2014 and DoF Department Order No. 44-2014, 17 June 2014.</w:t>
      </w:r>
    </w:p>
  </w:endnote>
  <w:endnote w:id="91">
    <w:p w14:paraId="7686DDAB" w14:textId="0DBCD254" w:rsidR="00431213" w:rsidRPr="00F043A0" w:rsidRDefault="00431213" w:rsidP="00FE3A56">
      <w:pPr>
        <w:pStyle w:val="EndnoteText"/>
        <w:ind w:left="270" w:hanging="270"/>
        <w:jc w:val="both"/>
        <w:rPr>
          <w:sz w:val="18"/>
          <w:szCs w:val="18"/>
        </w:rPr>
      </w:pPr>
      <w:r w:rsidRPr="00F043A0">
        <w:rPr>
          <w:rStyle w:val="EndnoteReference"/>
          <w:sz w:val="18"/>
          <w:szCs w:val="18"/>
        </w:rPr>
        <w:endnoteRef/>
      </w:r>
      <w:r w:rsidRPr="00F043A0">
        <w:rPr>
          <w:sz w:val="18"/>
          <w:szCs w:val="18"/>
        </w:rPr>
        <w:t xml:space="preserve"> BIR Operations Memorandum No. 12-09-001, 5 September 2012, mandating to properly identify the accounts receivable and delinquent accounts cases in the inventory of the concerned BIR offices.</w:t>
      </w:r>
    </w:p>
  </w:endnote>
  <w:endnote w:id="92">
    <w:p w14:paraId="2EF2CE20" w14:textId="77777777" w:rsidR="00431213" w:rsidRPr="00F043A0" w:rsidRDefault="00431213" w:rsidP="006226FC">
      <w:pPr>
        <w:pStyle w:val="EndnoteText"/>
        <w:jc w:val="both"/>
        <w:rPr>
          <w:sz w:val="18"/>
          <w:szCs w:val="18"/>
        </w:rPr>
      </w:pPr>
      <w:r w:rsidRPr="00F043A0">
        <w:rPr>
          <w:rStyle w:val="EndnoteReference"/>
          <w:sz w:val="18"/>
          <w:szCs w:val="18"/>
        </w:rPr>
        <w:endnoteRef/>
      </w:r>
      <w:r w:rsidRPr="00F043A0">
        <w:rPr>
          <w:sz w:val="18"/>
          <w:szCs w:val="18"/>
        </w:rPr>
        <w:t xml:space="preserve"> BIR Revenue Memorandum Order No. 11-2014, 7 February 2014.</w:t>
      </w:r>
    </w:p>
  </w:endnote>
  <w:endnote w:id="93">
    <w:p w14:paraId="33DA75C5" w14:textId="77777777" w:rsidR="00431213" w:rsidRPr="00F043A0" w:rsidRDefault="00431213" w:rsidP="006226FC">
      <w:pPr>
        <w:pStyle w:val="EndnoteText"/>
        <w:jc w:val="both"/>
        <w:rPr>
          <w:sz w:val="18"/>
          <w:szCs w:val="18"/>
        </w:rPr>
      </w:pPr>
      <w:r w:rsidRPr="00F043A0">
        <w:rPr>
          <w:rStyle w:val="EndnoteReference"/>
          <w:sz w:val="18"/>
          <w:szCs w:val="18"/>
        </w:rPr>
        <w:endnoteRef/>
      </w:r>
      <w:r w:rsidRPr="00F043A0">
        <w:rPr>
          <w:sz w:val="18"/>
          <w:szCs w:val="18"/>
        </w:rPr>
        <w:t xml:space="preserve"> BIR Revenue Memorandum Order No. 22-2015, 12 October 2015.</w:t>
      </w:r>
    </w:p>
  </w:endnote>
  <w:endnote w:id="94">
    <w:p w14:paraId="5EE4DFBB" w14:textId="77777777" w:rsidR="00431213" w:rsidRPr="00F043A0" w:rsidRDefault="00431213" w:rsidP="006226FC">
      <w:pPr>
        <w:pStyle w:val="EndnoteText"/>
        <w:jc w:val="both"/>
        <w:rPr>
          <w:sz w:val="18"/>
          <w:szCs w:val="18"/>
        </w:rPr>
      </w:pPr>
      <w:r w:rsidRPr="00F043A0">
        <w:rPr>
          <w:rStyle w:val="EndnoteReference"/>
          <w:sz w:val="18"/>
          <w:szCs w:val="18"/>
        </w:rPr>
        <w:endnoteRef/>
      </w:r>
      <w:r w:rsidRPr="00F043A0">
        <w:rPr>
          <w:sz w:val="18"/>
          <w:szCs w:val="18"/>
        </w:rPr>
        <w:t xml:space="preserve"> </w:t>
      </w:r>
      <w:hyperlink r:id="rId28" w:history="1">
        <w:r w:rsidRPr="00F043A0">
          <w:rPr>
            <w:rStyle w:val="Hyperlink"/>
            <w:sz w:val="18"/>
            <w:szCs w:val="18"/>
          </w:rPr>
          <w:t>http://www.bir.gov.ph/images/bir_files/annual_reports/annual_report_2014/actscg.html</w:t>
        </w:r>
      </w:hyperlink>
      <w:r w:rsidRPr="00F043A0">
        <w:rPr>
          <w:sz w:val="18"/>
          <w:szCs w:val="18"/>
        </w:rPr>
        <w:t>.</w:t>
      </w:r>
    </w:p>
  </w:endnote>
  <w:endnote w:id="95">
    <w:p w14:paraId="0D67E89F" w14:textId="77777777" w:rsidR="00431213" w:rsidRPr="00F043A0" w:rsidRDefault="00431213" w:rsidP="006226FC">
      <w:pPr>
        <w:pStyle w:val="EndnoteText"/>
        <w:jc w:val="both"/>
        <w:rPr>
          <w:sz w:val="18"/>
          <w:szCs w:val="18"/>
        </w:rPr>
      </w:pPr>
      <w:r w:rsidRPr="00F043A0">
        <w:rPr>
          <w:rStyle w:val="EndnoteReference"/>
          <w:sz w:val="18"/>
          <w:szCs w:val="18"/>
        </w:rPr>
        <w:endnoteRef/>
      </w:r>
      <w:r w:rsidRPr="00F043A0">
        <w:rPr>
          <w:sz w:val="18"/>
          <w:szCs w:val="18"/>
        </w:rPr>
        <w:t xml:space="preserve"> BIR internal Operations Memorandum No. 4-2014 and the policy and guidelines through RMO No. 35-2014.</w:t>
      </w:r>
    </w:p>
  </w:endnote>
  <w:endnote w:id="96">
    <w:p w14:paraId="48B2F8CA" w14:textId="77777777" w:rsidR="00431213" w:rsidRPr="00F043A0" w:rsidRDefault="00431213" w:rsidP="00835656">
      <w:pPr>
        <w:pStyle w:val="EndnoteText"/>
        <w:jc w:val="both"/>
        <w:rPr>
          <w:sz w:val="18"/>
          <w:szCs w:val="18"/>
        </w:rPr>
      </w:pPr>
      <w:r w:rsidRPr="00F043A0">
        <w:rPr>
          <w:rStyle w:val="EndnoteReference"/>
          <w:sz w:val="18"/>
          <w:szCs w:val="18"/>
        </w:rPr>
        <w:endnoteRef/>
      </w:r>
      <w:r w:rsidRPr="00F043A0">
        <w:rPr>
          <w:sz w:val="18"/>
          <w:szCs w:val="18"/>
        </w:rPr>
        <w:t xml:space="preserve"> </w:t>
      </w:r>
      <w:hyperlink r:id="rId29" w:history="1">
        <w:r w:rsidRPr="00F043A0">
          <w:rPr>
            <w:rStyle w:val="Hyperlink"/>
            <w:sz w:val="18"/>
            <w:szCs w:val="18"/>
          </w:rPr>
          <w:t>http://www.treasury.gov.ph/wp-content/uploads/2015/10/mo_cor_revenues.pdf</w:t>
        </w:r>
      </w:hyperlink>
      <w:r w:rsidRPr="00F043A0">
        <w:rPr>
          <w:sz w:val="18"/>
          <w:szCs w:val="18"/>
        </w:rPr>
        <w:t>.</w:t>
      </w:r>
    </w:p>
  </w:endnote>
  <w:endnote w:id="97">
    <w:p w14:paraId="3AD3F9E2" w14:textId="40C90DF1" w:rsidR="00431213" w:rsidRPr="00F043A0" w:rsidRDefault="00431213" w:rsidP="00604767">
      <w:pPr>
        <w:pStyle w:val="EndnoteText"/>
        <w:jc w:val="both"/>
        <w:rPr>
          <w:sz w:val="18"/>
          <w:szCs w:val="18"/>
        </w:rPr>
      </w:pPr>
      <w:r w:rsidRPr="00F043A0">
        <w:rPr>
          <w:rStyle w:val="EndnoteReference"/>
          <w:sz w:val="18"/>
          <w:szCs w:val="18"/>
        </w:rPr>
        <w:endnoteRef/>
      </w:r>
      <w:r w:rsidRPr="00F043A0">
        <w:rPr>
          <w:sz w:val="18"/>
          <w:szCs w:val="18"/>
        </w:rPr>
        <w:t xml:space="preserve"> Data includes the consolidated report on daily collection and daily collection summary. The consolidated reports on daily collection are reconciled with BSP’s list of remittances for the respective bureaus while the daily collection summaries are reconciled with the BTr’s summary of collection report. </w:t>
      </w:r>
    </w:p>
  </w:endnote>
  <w:endnote w:id="98">
    <w:p w14:paraId="1CA046C5" w14:textId="36B71C1B" w:rsidR="00431213" w:rsidRPr="00F043A0" w:rsidRDefault="00431213" w:rsidP="00F043A0">
      <w:pPr>
        <w:pStyle w:val="EndnoteText"/>
        <w:jc w:val="both"/>
        <w:rPr>
          <w:rStyle w:val="EndnoteReference"/>
          <w:sz w:val="18"/>
          <w:szCs w:val="18"/>
          <w:vertAlign w:val="baseline"/>
        </w:rPr>
      </w:pPr>
      <w:r w:rsidRPr="00F043A0">
        <w:rPr>
          <w:rStyle w:val="EndnoteReference"/>
          <w:sz w:val="18"/>
          <w:szCs w:val="18"/>
        </w:rPr>
        <w:endnoteRef/>
      </w:r>
      <w:r w:rsidRPr="00F043A0">
        <w:rPr>
          <w:rStyle w:val="EndnoteReference"/>
          <w:sz w:val="18"/>
          <w:szCs w:val="18"/>
        </w:rPr>
        <w:t xml:space="preserve"> </w:t>
      </w:r>
      <w:r w:rsidRPr="00F043A0">
        <w:rPr>
          <w:rStyle w:val="EndnoteReference"/>
          <w:sz w:val="18"/>
          <w:szCs w:val="18"/>
          <w:vertAlign w:val="baseline"/>
        </w:rPr>
        <w:t>The MDS is a procedure whereby disbursements by national government agencies, chargeable against the account of the Treasurer of the Philippines, are effected through the government servicing banks.</w:t>
      </w:r>
    </w:p>
  </w:endnote>
  <w:endnote w:id="99">
    <w:p w14:paraId="4BC7C4A3" w14:textId="77777777" w:rsidR="00431213" w:rsidRPr="00F043A0" w:rsidRDefault="00431213" w:rsidP="00F043A0">
      <w:pPr>
        <w:pStyle w:val="EndnoteText"/>
        <w:jc w:val="both"/>
        <w:rPr>
          <w:rStyle w:val="EndnoteReference"/>
          <w:sz w:val="18"/>
          <w:szCs w:val="18"/>
          <w:vertAlign w:val="baseline"/>
        </w:rPr>
      </w:pPr>
      <w:r w:rsidRPr="00F043A0">
        <w:rPr>
          <w:rStyle w:val="EndnoteReference"/>
          <w:sz w:val="18"/>
          <w:szCs w:val="18"/>
        </w:rPr>
        <w:endnoteRef/>
      </w:r>
      <w:r w:rsidRPr="00F043A0">
        <w:rPr>
          <w:rStyle w:val="EndnoteReference"/>
          <w:sz w:val="18"/>
          <w:szCs w:val="18"/>
        </w:rPr>
        <w:t xml:space="preserve"> </w:t>
      </w:r>
      <w:r w:rsidRPr="00F043A0">
        <w:rPr>
          <w:rStyle w:val="EndnoteReference"/>
          <w:sz w:val="18"/>
          <w:szCs w:val="18"/>
          <w:vertAlign w:val="baseline"/>
        </w:rPr>
        <w:t>Per National Budget Circular Nos. 551 and 556 dated January 2, 2014 and January 5, 2015, respectively.</w:t>
      </w:r>
    </w:p>
  </w:endnote>
  <w:endnote w:id="100">
    <w:p w14:paraId="140B4A9B" w14:textId="6D4F13F0" w:rsidR="00431213" w:rsidRPr="00F043A0" w:rsidRDefault="00431213" w:rsidP="00F043A0">
      <w:pPr>
        <w:pStyle w:val="EndnoteText"/>
        <w:jc w:val="both"/>
        <w:rPr>
          <w:rStyle w:val="EndnoteReference"/>
          <w:sz w:val="18"/>
          <w:szCs w:val="18"/>
          <w:vertAlign w:val="baseline"/>
        </w:rPr>
      </w:pPr>
      <w:r w:rsidRPr="00F043A0">
        <w:rPr>
          <w:rStyle w:val="EndnoteReference"/>
          <w:sz w:val="18"/>
          <w:szCs w:val="18"/>
        </w:rPr>
        <w:endnoteRef/>
      </w:r>
      <w:r w:rsidRPr="00F043A0">
        <w:rPr>
          <w:rStyle w:val="EndnoteReference"/>
          <w:sz w:val="18"/>
          <w:szCs w:val="18"/>
        </w:rPr>
        <w:t xml:space="preserve"> </w:t>
      </w:r>
      <w:r w:rsidRPr="00F043A0">
        <w:rPr>
          <w:rStyle w:val="EndnoteReference"/>
          <w:sz w:val="18"/>
          <w:szCs w:val="18"/>
          <w:vertAlign w:val="baseline"/>
        </w:rPr>
        <w:t>CoA Circular No. 2012-001, June 14, 2012</w:t>
      </w:r>
    </w:p>
  </w:endnote>
  <w:endnote w:id="101">
    <w:p w14:paraId="33219C3E" w14:textId="77777777" w:rsidR="00431213" w:rsidRPr="00F043A0" w:rsidRDefault="00431213" w:rsidP="00F71CA5">
      <w:pPr>
        <w:pStyle w:val="EndnoteText"/>
        <w:rPr>
          <w:sz w:val="18"/>
          <w:szCs w:val="18"/>
        </w:rPr>
      </w:pPr>
      <w:r w:rsidRPr="00F043A0">
        <w:rPr>
          <w:rStyle w:val="EndnoteReference"/>
          <w:sz w:val="18"/>
          <w:szCs w:val="18"/>
        </w:rPr>
        <w:endnoteRef/>
      </w:r>
      <w:r w:rsidRPr="00F043A0">
        <w:rPr>
          <w:sz w:val="18"/>
          <w:szCs w:val="18"/>
        </w:rPr>
        <w:t xml:space="preserve"> </w:t>
      </w:r>
      <w:hyperlink r:id="rId30" w:history="1">
        <w:r w:rsidRPr="00F043A0">
          <w:rPr>
            <w:rStyle w:val="Hyperlink"/>
            <w:sz w:val="18"/>
            <w:szCs w:val="18"/>
          </w:rPr>
          <w:t>http://www.gov.ph/1998/10/30/executive-order-no-38-s-1998/</w:t>
        </w:r>
      </w:hyperlink>
      <w:r w:rsidRPr="00F043A0">
        <w:rPr>
          <w:sz w:val="18"/>
          <w:szCs w:val="18"/>
        </w:rPr>
        <w:t xml:space="preserve"> </w:t>
      </w:r>
    </w:p>
  </w:endnote>
  <w:endnote w:id="102">
    <w:p w14:paraId="485F30B7" w14:textId="77777777" w:rsidR="00431213" w:rsidRPr="00F043A0" w:rsidRDefault="00431213" w:rsidP="00485F66">
      <w:pPr>
        <w:pStyle w:val="EndnoteText"/>
        <w:rPr>
          <w:sz w:val="18"/>
          <w:szCs w:val="18"/>
        </w:rPr>
      </w:pPr>
      <w:r w:rsidRPr="00F043A0">
        <w:rPr>
          <w:rStyle w:val="EndnoteReference"/>
          <w:sz w:val="18"/>
          <w:szCs w:val="18"/>
        </w:rPr>
        <w:endnoteRef/>
      </w:r>
      <w:r w:rsidRPr="00F043A0">
        <w:rPr>
          <w:sz w:val="18"/>
          <w:szCs w:val="18"/>
        </w:rPr>
        <w:t xml:space="preserve"> Financial Control and Accountability in the Philippines, World Bank, June 17, 2011.</w:t>
      </w:r>
    </w:p>
  </w:endnote>
  <w:endnote w:id="103">
    <w:p w14:paraId="38D5792C" w14:textId="5CF48D1A" w:rsidR="00431213" w:rsidRPr="00F043A0" w:rsidRDefault="00431213" w:rsidP="00346486">
      <w:pPr>
        <w:pStyle w:val="EndnoteText"/>
        <w:rPr>
          <w:sz w:val="18"/>
          <w:szCs w:val="18"/>
        </w:rPr>
      </w:pPr>
      <w:r w:rsidRPr="00F043A0">
        <w:rPr>
          <w:rStyle w:val="EndnoteReference"/>
          <w:sz w:val="18"/>
          <w:szCs w:val="18"/>
        </w:rPr>
        <w:endnoteRef/>
      </w:r>
      <w:r w:rsidRPr="00F043A0">
        <w:rPr>
          <w:sz w:val="18"/>
          <w:szCs w:val="18"/>
        </w:rPr>
        <w:t xml:space="preserve"> With the support of IMF, World Bank, and DFAT, the Government initiated the drafting of a PFM Bill to legislate several budget-related matters, prudent fiscal discipline, and financial management. The Bill was filed in Senate as SB 2719 on April 14, 2015, and in the House of Representatives as HB 6117 on September 8, 2015. </w:t>
      </w:r>
    </w:p>
  </w:endnote>
  <w:endnote w:id="104">
    <w:p w14:paraId="70966818" w14:textId="2CD600E7" w:rsidR="00431213" w:rsidRPr="00F043A0" w:rsidRDefault="00431213" w:rsidP="00346486">
      <w:pPr>
        <w:pStyle w:val="EndnoteText"/>
        <w:rPr>
          <w:sz w:val="18"/>
          <w:szCs w:val="18"/>
        </w:rPr>
      </w:pPr>
      <w:r w:rsidRPr="00F043A0">
        <w:rPr>
          <w:rStyle w:val="EndnoteReference"/>
          <w:sz w:val="18"/>
          <w:szCs w:val="18"/>
        </w:rPr>
        <w:endnoteRef/>
      </w:r>
      <w:r w:rsidRPr="00F043A0">
        <w:rPr>
          <w:sz w:val="18"/>
          <w:szCs w:val="18"/>
        </w:rPr>
        <w:t xml:space="preserve"> Ali Hashim, “A Handbook on Financial Management Information Systems for Government: A Practitioners Guide for Setting Reform Priorities, Systems Design, and Implementation”, World Bank, 2014.</w:t>
      </w:r>
    </w:p>
  </w:endnote>
  <w:endnote w:id="105">
    <w:p w14:paraId="49BF5B24" w14:textId="508A32B5" w:rsidR="00431213" w:rsidRPr="00F043A0" w:rsidRDefault="00431213" w:rsidP="001802D0">
      <w:pPr>
        <w:pStyle w:val="EndnoteText"/>
        <w:jc w:val="both"/>
        <w:rPr>
          <w:sz w:val="18"/>
          <w:szCs w:val="18"/>
        </w:rPr>
      </w:pPr>
      <w:r w:rsidRPr="00F043A0">
        <w:rPr>
          <w:rStyle w:val="EndnoteReference"/>
          <w:sz w:val="18"/>
          <w:szCs w:val="18"/>
        </w:rPr>
        <w:endnoteRef/>
      </w:r>
      <w:r w:rsidRPr="00F043A0">
        <w:rPr>
          <w:sz w:val="18"/>
          <w:szCs w:val="18"/>
        </w:rPr>
        <w:t xml:space="preserve"> Philippines PFM Reforms Roadmap – Consolidated Matrix of Identified Gaps, Strategies and Desired Results, as of 13 January [Annex to GIFMIS </w:t>
      </w:r>
      <w:r>
        <w:rPr>
          <w:sz w:val="18"/>
          <w:szCs w:val="18"/>
        </w:rPr>
        <w:t xml:space="preserve">Committee </w:t>
      </w:r>
      <w:r w:rsidRPr="00F043A0">
        <w:rPr>
          <w:sz w:val="18"/>
          <w:szCs w:val="18"/>
        </w:rPr>
        <w:t>Resolution No. 01-2011], GoP, 2011.</w:t>
      </w:r>
    </w:p>
  </w:endnote>
  <w:endnote w:id="106">
    <w:p w14:paraId="465D34CF" w14:textId="77777777" w:rsidR="00431213" w:rsidRPr="00F043A0" w:rsidRDefault="00431213" w:rsidP="004C2FF2">
      <w:pPr>
        <w:pStyle w:val="EndnoteText"/>
        <w:jc w:val="both"/>
        <w:rPr>
          <w:sz w:val="18"/>
          <w:szCs w:val="18"/>
        </w:rPr>
      </w:pPr>
      <w:r w:rsidRPr="00F043A0">
        <w:rPr>
          <w:rStyle w:val="EndnoteReference"/>
          <w:sz w:val="18"/>
          <w:szCs w:val="18"/>
        </w:rPr>
        <w:endnoteRef/>
      </w:r>
      <w:r w:rsidRPr="00F043A0">
        <w:rPr>
          <w:sz w:val="18"/>
          <w:szCs w:val="18"/>
        </w:rPr>
        <w:t xml:space="preserve"> The Updated PFM Reform Roadmap 2015-2016”, GoP, May 2015.</w:t>
      </w:r>
    </w:p>
  </w:endnote>
  <w:endnote w:id="107">
    <w:p w14:paraId="4E145135" w14:textId="6A6A17F6" w:rsidR="00431213" w:rsidRPr="00F043A0" w:rsidRDefault="00431213" w:rsidP="00114F5F">
      <w:pPr>
        <w:pStyle w:val="EndnoteText"/>
        <w:jc w:val="both"/>
        <w:rPr>
          <w:sz w:val="18"/>
          <w:szCs w:val="18"/>
        </w:rPr>
      </w:pPr>
      <w:r w:rsidRPr="00F043A0">
        <w:rPr>
          <w:rStyle w:val="EndnoteReference"/>
          <w:sz w:val="18"/>
          <w:szCs w:val="18"/>
        </w:rPr>
        <w:endnoteRef/>
      </w:r>
      <w:r w:rsidRPr="00F043A0">
        <w:rPr>
          <w:sz w:val="18"/>
          <w:szCs w:val="18"/>
        </w:rPr>
        <w:t xml:space="preserve"> Executive Order No. 55 Directing the Integration and Automation of Government Financial Management Systems, GoP, September 6, 2011. The Executive Order established the PFM Committee, outlined its deliverables, and stated its authority and functions.</w:t>
      </w:r>
    </w:p>
  </w:endnote>
  <w:endnote w:id="108">
    <w:p w14:paraId="7C7C48E0" w14:textId="5B123ED2" w:rsidR="00431213" w:rsidRPr="00F043A0" w:rsidRDefault="00431213" w:rsidP="00114F5F">
      <w:pPr>
        <w:pStyle w:val="EndnoteText"/>
        <w:jc w:val="both"/>
        <w:rPr>
          <w:sz w:val="18"/>
          <w:szCs w:val="18"/>
        </w:rPr>
      </w:pPr>
      <w:r w:rsidRPr="00F043A0">
        <w:rPr>
          <w:rStyle w:val="EndnoteReference"/>
          <w:sz w:val="18"/>
          <w:szCs w:val="18"/>
        </w:rPr>
        <w:endnoteRef/>
      </w:r>
      <w:r w:rsidRPr="00F043A0">
        <w:rPr>
          <w:sz w:val="18"/>
          <w:szCs w:val="18"/>
        </w:rPr>
        <w:t xml:space="preserve"> The PIUs are not dedicated implementation units as the staff have ordinary duties.</w:t>
      </w:r>
    </w:p>
  </w:endnote>
  <w:endnote w:id="109">
    <w:p w14:paraId="4704A56C" w14:textId="62C458B2" w:rsidR="00431213" w:rsidRPr="00F043A0" w:rsidRDefault="00431213" w:rsidP="00114F5F">
      <w:pPr>
        <w:pStyle w:val="EndnoteText"/>
        <w:jc w:val="both"/>
        <w:rPr>
          <w:sz w:val="18"/>
          <w:szCs w:val="18"/>
          <w:lang w:val="en-IN"/>
        </w:rPr>
      </w:pPr>
      <w:r w:rsidRPr="00F043A0">
        <w:rPr>
          <w:rStyle w:val="EndnoteReference"/>
          <w:sz w:val="18"/>
          <w:szCs w:val="18"/>
        </w:rPr>
        <w:endnoteRef/>
      </w:r>
      <w:r w:rsidRPr="00F043A0">
        <w:rPr>
          <w:sz w:val="18"/>
          <w:szCs w:val="18"/>
        </w:rPr>
        <w:t xml:space="preserve"> A total of f</w:t>
      </w:r>
      <w:r w:rsidRPr="00F043A0">
        <w:rPr>
          <w:iCs/>
          <w:sz w:val="18"/>
          <w:szCs w:val="18"/>
        </w:rPr>
        <w:t xml:space="preserve">ive high-level Cabinet Clusters were set up in 2011 with EO No. 43 to advise the President and recommend policy measures and operational matters in their respective areas. </w:t>
      </w:r>
      <w:r w:rsidRPr="00F043A0">
        <w:rPr>
          <w:sz w:val="18"/>
          <w:szCs w:val="18"/>
        </w:rPr>
        <w:t xml:space="preserve">The GGAC </w:t>
      </w:r>
      <w:r w:rsidRPr="00F043A0">
        <w:rPr>
          <w:iCs/>
          <w:sz w:val="18"/>
          <w:szCs w:val="18"/>
        </w:rPr>
        <w:t>Cluster is the only cluster chaired by the President.</w:t>
      </w:r>
    </w:p>
  </w:endnote>
  <w:endnote w:id="110">
    <w:p w14:paraId="184AF761" w14:textId="77777777" w:rsidR="00431213" w:rsidRPr="00F043A0" w:rsidRDefault="00431213" w:rsidP="00114F5F">
      <w:pPr>
        <w:pStyle w:val="EndnoteText"/>
        <w:jc w:val="both"/>
        <w:rPr>
          <w:sz w:val="18"/>
          <w:szCs w:val="18"/>
          <w:lang w:val="en-IN"/>
        </w:rPr>
      </w:pPr>
      <w:r w:rsidRPr="00F043A0">
        <w:rPr>
          <w:rStyle w:val="EndnoteReference"/>
          <w:sz w:val="18"/>
          <w:szCs w:val="18"/>
        </w:rPr>
        <w:endnoteRef/>
      </w:r>
      <w:r w:rsidRPr="00F043A0">
        <w:rPr>
          <w:sz w:val="18"/>
          <w:szCs w:val="18"/>
        </w:rPr>
        <w:t xml:space="preserve"> The GGAC Cluster Plan covered 34 initiatives under transparency, accountability, and citizen engagement.</w:t>
      </w:r>
    </w:p>
  </w:endnote>
  <w:endnote w:id="111">
    <w:p w14:paraId="349908BB" w14:textId="16A0659D" w:rsidR="00431213" w:rsidRPr="00F043A0" w:rsidRDefault="00431213" w:rsidP="00114F5F">
      <w:pPr>
        <w:pStyle w:val="EndnoteText"/>
        <w:jc w:val="both"/>
        <w:rPr>
          <w:sz w:val="18"/>
          <w:szCs w:val="18"/>
        </w:rPr>
      </w:pPr>
      <w:r w:rsidRPr="00F043A0">
        <w:rPr>
          <w:rStyle w:val="EndnoteReference"/>
          <w:sz w:val="18"/>
          <w:szCs w:val="18"/>
        </w:rPr>
        <w:endnoteRef/>
      </w:r>
      <w:r w:rsidRPr="00F043A0">
        <w:rPr>
          <w:sz w:val="18"/>
          <w:szCs w:val="18"/>
        </w:rPr>
        <w:t xml:space="preserve"> Cabinet Cluster on Good Governance and Anti-Corruption – Governance Cluster Initiatives Status Reports (available from </w:t>
      </w:r>
      <w:hyperlink r:id="rId31" w:history="1">
        <w:r w:rsidRPr="00F043A0">
          <w:rPr>
            <w:rStyle w:val="Hyperlink"/>
            <w:sz w:val="18"/>
            <w:szCs w:val="18"/>
          </w:rPr>
          <w:t>http://www.gov.ph/governance/</w:t>
        </w:r>
      </w:hyperlink>
      <w:r w:rsidRPr="00F043A0">
        <w:rPr>
          <w:sz w:val="18"/>
          <w:szCs w:val="18"/>
        </w:rPr>
        <w:t>), GoP. The updated and restructured GGAC Cabinet Cluster Action Plan included 30 initiatives under three areas (transparency and citizens’ empowerment; public sector performance; and, anti-corruption measures) and priority legislation under a fourth area (policy environment for good governance).</w:t>
      </w:r>
    </w:p>
  </w:endnote>
  <w:endnote w:id="112">
    <w:p w14:paraId="3FD1C01F" w14:textId="77777777" w:rsidR="00431213" w:rsidRPr="00F043A0" w:rsidRDefault="00431213" w:rsidP="00EE565E">
      <w:pPr>
        <w:pStyle w:val="EndnoteText"/>
        <w:jc w:val="both"/>
        <w:rPr>
          <w:sz w:val="18"/>
          <w:szCs w:val="18"/>
        </w:rPr>
      </w:pPr>
      <w:r w:rsidRPr="00F043A0">
        <w:rPr>
          <w:rStyle w:val="EndnoteReference"/>
          <w:sz w:val="18"/>
          <w:szCs w:val="18"/>
        </w:rPr>
        <w:endnoteRef/>
      </w:r>
      <w:r w:rsidRPr="00F043A0">
        <w:rPr>
          <w:sz w:val="18"/>
          <w:szCs w:val="18"/>
        </w:rPr>
        <w:t xml:space="preserve"> Track I originally aimed to improve the functionality and interface of existing BTR, CoA, and DBM systems. The change in focus toward a human resource and payroll system took place during 2012.</w:t>
      </w:r>
    </w:p>
  </w:endnote>
  <w:endnote w:id="113">
    <w:p w14:paraId="5EC736E8" w14:textId="77777777" w:rsidR="00431213" w:rsidRPr="00F043A0" w:rsidRDefault="00431213" w:rsidP="00114F5F">
      <w:pPr>
        <w:pStyle w:val="EndnoteText"/>
        <w:rPr>
          <w:sz w:val="18"/>
          <w:szCs w:val="18"/>
        </w:rPr>
      </w:pPr>
      <w:r w:rsidRPr="00F043A0">
        <w:rPr>
          <w:rStyle w:val="EndnoteReference"/>
          <w:sz w:val="18"/>
          <w:szCs w:val="18"/>
        </w:rPr>
        <w:endnoteRef/>
      </w:r>
      <w:r w:rsidRPr="00F043A0">
        <w:rPr>
          <w:sz w:val="18"/>
          <w:szCs w:val="18"/>
        </w:rPr>
        <w:t xml:space="preserve"> http://openbub.gov.ph/wb_gaa_chart</w:t>
      </w:r>
    </w:p>
  </w:endnote>
  <w:endnote w:id="114">
    <w:p w14:paraId="3DEC9A40" w14:textId="5CA76821" w:rsidR="00431213" w:rsidRPr="00F043A0" w:rsidRDefault="00431213">
      <w:pPr>
        <w:pStyle w:val="EndnoteText"/>
        <w:rPr>
          <w:sz w:val="18"/>
          <w:szCs w:val="18"/>
        </w:rPr>
      </w:pPr>
      <w:r w:rsidRPr="00F043A0">
        <w:rPr>
          <w:rStyle w:val="EndnoteReference"/>
          <w:sz w:val="18"/>
          <w:szCs w:val="18"/>
        </w:rPr>
        <w:endnoteRef/>
      </w:r>
      <w:r w:rsidRPr="00F043A0">
        <w:rPr>
          <w:sz w:val="18"/>
          <w:szCs w:val="18"/>
        </w:rPr>
        <w:t xml:space="preserve"> Published audit reports on CAMANAVA flood control, QC garbage collection, and Marikina maternal health component of conditional cash transfer. Ongoing projects being audited are on farm-to-market roads; tourism road; WASH facilities; and DRRM.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6747D" w14:textId="77777777" w:rsidR="00431213" w:rsidRDefault="00431213" w:rsidP="000920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8FA3F9" w14:textId="77777777" w:rsidR="00431213" w:rsidRDefault="00431213" w:rsidP="000920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3C72D" w14:textId="77777777" w:rsidR="00431213" w:rsidRPr="005F0C3D" w:rsidRDefault="00431213" w:rsidP="000920C9">
    <w:pPr>
      <w:pStyle w:val="Footer"/>
      <w:framePr w:wrap="around" w:vAnchor="text" w:hAnchor="margin" w:xAlign="right" w:y="1"/>
      <w:rPr>
        <w:rStyle w:val="PageNumber"/>
        <w:color w:val="000000" w:themeColor="text1"/>
        <w:sz w:val="22"/>
        <w:szCs w:val="22"/>
      </w:rPr>
    </w:pPr>
    <w:r w:rsidRPr="005F0C3D">
      <w:rPr>
        <w:rStyle w:val="PageNumber"/>
        <w:color w:val="000000" w:themeColor="text1"/>
        <w:sz w:val="22"/>
        <w:szCs w:val="22"/>
      </w:rPr>
      <w:fldChar w:fldCharType="begin"/>
    </w:r>
    <w:r w:rsidRPr="005F0C3D">
      <w:rPr>
        <w:rStyle w:val="PageNumber"/>
        <w:color w:val="000000" w:themeColor="text1"/>
        <w:sz w:val="22"/>
        <w:szCs w:val="22"/>
      </w:rPr>
      <w:instrText xml:space="preserve">PAGE  </w:instrText>
    </w:r>
    <w:r w:rsidRPr="005F0C3D">
      <w:rPr>
        <w:rStyle w:val="PageNumber"/>
        <w:color w:val="000000" w:themeColor="text1"/>
        <w:sz w:val="22"/>
        <w:szCs w:val="22"/>
      </w:rPr>
      <w:fldChar w:fldCharType="separate"/>
    </w:r>
    <w:r w:rsidR="00567312">
      <w:rPr>
        <w:rStyle w:val="PageNumber"/>
        <w:noProof/>
        <w:color w:val="000000" w:themeColor="text1"/>
        <w:sz w:val="22"/>
        <w:szCs w:val="22"/>
      </w:rPr>
      <w:t>135</w:t>
    </w:r>
    <w:r w:rsidRPr="005F0C3D">
      <w:rPr>
        <w:rStyle w:val="PageNumber"/>
        <w:color w:val="000000" w:themeColor="text1"/>
        <w:sz w:val="22"/>
        <w:szCs w:val="22"/>
      </w:rPr>
      <w:fldChar w:fldCharType="end"/>
    </w:r>
  </w:p>
  <w:p w14:paraId="0ECCE045" w14:textId="77777777" w:rsidR="00431213" w:rsidRPr="002E2194" w:rsidRDefault="00431213" w:rsidP="000920C9">
    <w:pPr>
      <w:pStyle w:val="Footer"/>
      <w:ind w:right="360"/>
      <w:rPr>
        <w:sz w:val="22"/>
        <w:szCs w:val="22"/>
      </w:rPr>
    </w:pPr>
    <w:r>
      <w:rPr>
        <w:sz w:val="22"/>
        <w:szCs w:val="22"/>
      </w:rPr>
      <w:t>The GoP and Development Partners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212446"/>
      <w:docPartObj>
        <w:docPartGallery w:val="Page Numbers (Bottom of Page)"/>
        <w:docPartUnique/>
      </w:docPartObj>
    </w:sdtPr>
    <w:sdtEndPr>
      <w:rPr>
        <w:noProof/>
      </w:rPr>
    </w:sdtEndPr>
    <w:sdtContent>
      <w:p w14:paraId="6222421B" w14:textId="0BFFE5C7" w:rsidR="00431213" w:rsidRDefault="00431213">
        <w:pPr>
          <w:pStyle w:val="Footer"/>
          <w:jc w:val="right"/>
        </w:pPr>
        <w:r>
          <w:fldChar w:fldCharType="begin"/>
        </w:r>
        <w:r>
          <w:instrText xml:space="preserve"> PAGE   \* MERGEFORMAT </w:instrText>
        </w:r>
        <w:r>
          <w:fldChar w:fldCharType="separate"/>
        </w:r>
        <w:r w:rsidR="00567312">
          <w:rPr>
            <w:noProof/>
          </w:rPr>
          <w:t>119</w:t>
        </w:r>
        <w:r>
          <w:rPr>
            <w:noProof/>
          </w:rPr>
          <w:fldChar w:fldCharType="end"/>
        </w:r>
      </w:p>
    </w:sdtContent>
  </w:sdt>
  <w:p w14:paraId="5C833BD3" w14:textId="2660D161" w:rsidR="00431213" w:rsidRDefault="00431213" w:rsidP="0096547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F0CB9" w14:textId="77777777" w:rsidR="007608B2" w:rsidRDefault="007608B2" w:rsidP="00C54544">
      <w:r>
        <w:separator/>
      </w:r>
    </w:p>
  </w:footnote>
  <w:footnote w:type="continuationSeparator" w:id="0">
    <w:p w14:paraId="571B48AE" w14:textId="77777777" w:rsidR="007608B2" w:rsidRDefault="007608B2">
      <w:r>
        <w:continuationSeparator/>
      </w:r>
    </w:p>
  </w:footnote>
  <w:footnote w:id="1">
    <w:p w14:paraId="0A653D77" w14:textId="77777777" w:rsidR="00431213" w:rsidRPr="004E24D6" w:rsidRDefault="00431213" w:rsidP="00581BD2">
      <w:pPr>
        <w:pStyle w:val="FootnoteText"/>
        <w:jc w:val="both"/>
        <w:rPr>
          <w:lang w:val="en-PH"/>
        </w:rPr>
      </w:pPr>
      <w:r>
        <w:rPr>
          <w:rStyle w:val="FootnoteReference"/>
        </w:rPr>
        <w:footnoteRef/>
      </w:r>
      <w:r>
        <w:t xml:space="preserve"> </w:t>
      </w:r>
      <w:r>
        <w:rPr>
          <w:lang w:val="en-PH"/>
        </w:rPr>
        <w:t>For instance, a proposal increasing the non-taxable ceiling on bonuses from PHP 30,000 to 82,000 was signed into law in the first quarter of 2015.</w:t>
      </w:r>
    </w:p>
  </w:footnote>
  <w:footnote w:id="2">
    <w:p w14:paraId="557FAFAE" w14:textId="77777777" w:rsidR="00431213" w:rsidRPr="004E24D6" w:rsidRDefault="00431213" w:rsidP="00D81D66">
      <w:pPr>
        <w:pStyle w:val="FootnoteText"/>
        <w:rPr>
          <w:lang w:val="en-PH"/>
        </w:rPr>
      </w:pPr>
      <w:r>
        <w:rPr>
          <w:rStyle w:val="FootnoteReference"/>
        </w:rPr>
        <w:footnoteRef/>
      </w:r>
      <w:r>
        <w:t xml:space="preserve"> </w:t>
      </w:r>
      <w:r>
        <w:rPr>
          <w:lang w:val="en-PH"/>
        </w:rPr>
        <w:t>Actual data on infrastructure spending for 2015 has yet to be released.</w:t>
      </w:r>
    </w:p>
  </w:footnote>
  <w:footnote w:id="3">
    <w:p w14:paraId="36F10614" w14:textId="0D90F972" w:rsidR="00431213" w:rsidRDefault="00431213">
      <w:pPr>
        <w:pStyle w:val="FootnoteText"/>
      </w:pPr>
      <w:r>
        <w:rPr>
          <w:rStyle w:val="FootnoteReference"/>
        </w:rPr>
        <w:footnoteRef/>
      </w:r>
      <w:r w:rsidRPr="009B0551">
        <w:t xml:space="preserve"> </w:t>
      </w:r>
      <w:r w:rsidRPr="000D0E8D">
        <w:t>Administrative Order No. 119, s. 1989; Memorandum Order No. 277, s. 1990</w:t>
      </w:r>
    </w:p>
  </w:footnote>
  <w:footnote w:id="4">
    <w:p w14:paraId="3B04E88B" w14:textId="33590152" w:rsidR="00431213" w:rsidRDefault="00431213">
      <w:pPr>
        <w:pStyle w:val="FootnoteText"/>
      </w:pPr>
      <w:r>
        <w:rPr>
          <w:rStyle w:val="FootnoteReference"/>
        </w:rPr>
        <w:footnoteRef/>
      </w:r>
      <w:r>
        <w:t xml:space="preserve"> Several </w:t>
      </w:r>
      <w:r w:rsidRPr="00783B7F">
        <w:t>circulars, memorandum orders and other issuances</w:t>
      </w:r>
      <w:r>
        <w:t xml:space="preserve"> have been issued over the years and this column only includes the main documents.</w:t>
      </w:r>
    </w:p>
  </w:footnote>
  <w:footnote w:id="5">
    <w:p w14:paraId="257FC8D2" w14:textId="10B0BF4B" w:rsidR="00431213" w:rsidRDefault="00431213">
      <w:pPr>
        <w:pStyle w:val="FootnoteText"/>
      </w:pPr>
      <w:r>
        <w:rPr>
          <w:rStyle w:val="FootnoteReference"/>
        </w:rPr>
        <w:footnoteRef/>
      </w:r>
      <w:r>
        <w:t xml:space="preserve"> Administrative Code of 1987 issued as Executive Order 292.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3"/>
    </w:tblGrid>
    <w:tr w:rsidR="00431213" w:rsidRPr="00C64ACC" w14:paraId="38CE12E1" w14:textId="77777777" w:rsidTr="00C64ACC">
      <w:tc>
        <w:tcPr>
          <w:tcW w:w="4803" w:type="dxa"/>
        </w:tcPr>
        <w:p w14:paraId="75DB892E" w14:textId="43325FBC" w:rsidR="00431213" w:rsidRPr="00C64ACC" w:rsidRDefault="00431213" w:rsidP="00E40222">
          <w:pPr>
            <w:pStyle w:val="Header"/>
            <w:rPr>
              <w:sz w:val="20"/>
              <w:szCs w:val="20"/>
              <w:lang w:val="en-IN"/>
            </w:rPr>
          </w:pPr>
          <w:r w:rsidRPr="00C64ACC">
            <w:rPr>
              <w:sz w:val="20"/>
              <w:szCs w:val="20"/>
              <w:lang w:val="en-IN"/>
            </w:rPr>
            <w:t>201</w:t>
          </w:r>
          <w:r>
            <w:rPr>
              <w:sz w:val="20"/>
              <w:szCs w:val="20"/>
              <w:lang w:val="en-IN"/>
            </w:rPr>
            <w:t>6</w:t>
          </w:r>
          <w:r w:rsidRPr="00C64ACC">
            <w:rPr>
              <w:sz w:val="20"/>
              <w:szCs w:val="20"/>
              <w:lang w:val="en-IN"/>
            </w:rPr>
            <w:t xml:space="preserve"> Philippines PEFA Assessment</w:t>
          </w:r>
        </w:p>
      </w:tc>
      <w:tc>
        <w:tcPr>
          <w:tcW w:w="4803" w:type="dxa"/>
        </w:tcPr>
        <w:p w14:paraId="022AA379" w14:textId="078BFD8E" w:rsidR="00431213" w:rsidRPr="00C64ACC" w:rsidRDefault="00431213" w:rsidP="00CE1F67">
          <w:pPr>
            <w:pStyle w:val="Header"/>
            <w:jc w:val="right"/>
            <w:rPr>
              <w:sz w:val="20"/>
              <w:szCs w:val="20"/>
              <w:lang w:val="en-IN"/>
            </w:rPr>
          </w:pPr>
          <w:r>
            <w:rPr>
              <w:sz w:val="20"/>
              <w:szCs w:val="20"/>
              <w:lang w:val="en-IN"/>
            </w:rPr>
            <w:t>30 June 2016</w:t>
          </w:r>
        </w:p>
      </w:tc>
    </w:tr>
  </w:tbl>
  <w:p w14:paraId="54B704E0" w14:textId="77777777" w:rsidR="00431213" w:rsidRDefault="00431213">
    <w:pPr>
      <w:pStyle w:val="Header"/>
      <w:rPr>
        <w:lang w:val="en-IN"/>
      </w:rPr>
    </w:pPr>
  </w:p>
  <w:p w14:paraId="0C42ECA1" w14:textId="77777777" w:rsidR="00431213" w:rsidRPr="00C64ACC" w:rsidRDefault="00431213">
    <w:pPr>
      <w:pStyle w:val="Header"/>
      <w:rPr>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47C90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070D6A0"/>
    <w:lvl w:ilvl="0">
      <w:start w:val="1"/>
      <w:numFmt w:val="decimal"/>
      <w:lvlText w:val="%1."/>
      <w:lvlJc w:val="left"/>
      <w:pPr>
        <w:tabs>
          <w:tab w:val="num" w:pos="360"/>
        </w:tabs>
        <w:ind w:left="360" w:hanging="360"/>
      </w:pPr>
    </w:lvl>
  </w:abstractNum>
  <w:abstractNum w:abstractNumId="2" w15:restartNumberingAfterBreak="0">
    <w:nsid w:val="00000004"/>
    <w:multiLevelType w:val="multilevel"/>
    <w:tmpl w:val="AA98F9E2"/>
    <w:lvl w:ilvl="0">
      <w:start w:val="1"/>
      <w:numFmt w:val="lowerLetter"/>
      <w:lvlText w:val="%1)"/>
      <w:lvlJc w:val="left"/>
      <w:pPr>
        <w:tabs>
          <w:tab w:val="num" w:pos="407"/>
        </w:tabs>
        <w:ind w:left="407" w:firstLine="0"/>
      </w:pPr>
      <w:rPr>
        <w:rFonts w:hint="default"/>
        <w:color w:val="000000"/>
        <w:position w:val="0"/>
        <w:sz w:val="20"/>
      </w:rPr>
    </w:lvl>
    <w:lvl w:ilvl="1">
      <w:start w:val="1"/>
      <w:numFmt w:val="lowerRoman"/>
      <w:suff w:val="nothing"/>
      <w:lvlText w:val="(%2)"/>
      <w:lvlJc w:val="left"/>
      <w:pPr>
        <w:ind w:left="0" w:firstLine="1127"/>
      </w:pPr>
      <w:rPr>
        <w:rFonts w:hint="default"/>
        <w:color w:val="000000"/>
        <w:position w:val="0"/>
        <w:sz w:val="24"/>
      </w:rPr>
    </w:lvl>
    <w:lvl w:ilvl="2">
      <w:start w:val="1"/>
      <w:numFmt w:val="lowerRoman"/>
      <w:suff w:val="nothing"/>
      <w:lvlText w:val="(%3)"/>
      <w:lvlJc w:val="left"/>
      <w:pPr>
        <w:ind w:left="0" w:firstLine="1847"/>
      </w:pPr>
      <w:rPr>
        <w:rFonts w:hint="default"/>
        <w:color w:val="000000"/>
        <w:position w:val="0"/>
        <w:sz w:val="24"/>
      </w:rPr>
    </w:lvl>
    <w:lvl w:ilvl="3">
      <w:start w:val="1"/>
      <w:numFmt w:val="lowerRoman"/>
      <w:suff w:val="nothing"/>
      <w:lvlText w:val="(%4)"/>
      <w:lvlJc w:val="left"/>
      <w:pPr>
        <w:ind w:left="0" w:firstLine="2567"/>
      </w:pPr>
      <w:rPr>
        <w:rFonts w:hint="default"/>
        <w:color w:val="000000"/>
        <w:position w:val="0"/>
        <w:sz w:val="24"/>
      </w:rPr>
    </w:lvl>
    <w:lvl w:ilvl="4">
      <w:start w:val="1"/>
      <w:numFmt w:val="lowerRoman"/>
      <w:suff w:val="nothing"/>
      <w:lvlText w:val="(%5)"/>
      <w:lvlJc w:val="left"/>
      <w:pPr>
        <w:ind w:left="0" w:firstLine="3287"/>
      </w:pPr>
      <w:rPr>
        <w:rFonts w:hint="default"/>
        <w:color w:val="000000"/>
        <w:position w:val="0"/>
        <w:sz w:val="24"/>
      </w:rPr>
    </w:lvl>
    <w:lvl w:ilvl="5">
      <w:start w:val="1"/>
      <w:numFmt w:val="lowerRoman"/>
      <w:suff w:val="nothing"/>
      <w:lvlText w:val="(%6)"/>
      <w:lvlJc w:val="left"/>
      <w:pPr>
        <w:ind w:left="0" w:firstLine="4007"/>
      </w:pPr>
      <w:rPr>
        <w:rFonts w:hint="default"/>
        <w:color w:val="000000"/>
        <w:position w:val="0"/>
        <w:sz w:val="24"/>
      </w:rPr>
    </w:lvl>
    <w:lvl w:ilvl="6">
      <w:start w:val="1"/>
      <w:numFmt w:val="lowerRoman"/>
      <w:suff w:val="nothing"/>
      <w:lvlText w:val="(%7)"/>
      <w:lvlJc w:val="left"/>
      <w:pPr>
        <w:ind w:left="0" w:firstLine="4727"/>
      </w:pPr>
      <w:rPr>
        <w:rFonts w:hint="default"/>
        <w:color w:val="000000"/>
        <w:position w:val="0"/>
        <w:sz w:val="24"/>
      </w:rPr>
    </w:lvl>
    <w:lvl w:ilvl="7">
      <w:start w:val="1"/>
      <w:numFmt w:val="lowerRoman"/>
      <w:suff w:val="nothing"/>
      <w:lvlText w:val="(%8)"/>
      <w:lvlJc w:val="left"/>
      <w:pPr>
        <w:ind w:left="0" w:firstLine="5447"/>
      </w:pPr>
      <w:rPr>
        <w:rFonts w:hint="default"/>
        <w:color w:val="000000"/>
        <w:position w:val="0"/>
        <w:sz w:val="24"/>
      </w:rPr>
    </w:lvl>
    <w:lvl w:ilvl="8">
      <w:start w:val="1"/>
      <w:numFmt w:val="lowerRoman"/>
      <w:suff w:val="nothing"/>
      <w:lvlText w:val="(%9)"/>
      <w:lvlJc w:val="left"/>
      <w:pPr>
        <w:ind w:left="0" w:firstLine="6167"/>
      </w:pPr>
      <w:rPr>
        <w:rFonts w:hint="default"/>
        <w:color w:val="000000"/>
        <w:position w:val="0"/>
        <w:sz w:val="24"/>
      </w:rPr>
    </w:lvl>
  </w:abstractNum>
  <w:abstractNum w:abstractNumId="3" w15:restartNumberingAfterBreak="0">
    <w:nsid w:val="0033625F"/>
    <w:multiLevelType w:val="multilevel"/>
    <w:tmpl w:val="C38C8D12"/>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E61FBD"/>
    <w:multiLevelType w:val="hybridMultilevel"/>
    <w:tmpl w:val="AAF282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0FA1604"/>
    <w:multiLevelType w:val="hybridMultilevel"/>
    <w:tmpl w:val="BAAAA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874C8"/>
    <w:multiLevelType w:val="hybridMultilevel"/>
    <w:tmpl w:val="C38C8D12"/>
    <w:lvl w:ilvl="0" w:tplc="40090017">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E5C73"/>
    <w:multiLevelType w:val="hybridMultilevel"/>
    <w:tmpl w:val="FB409052"/>
    <w:lvl w:ilvl="0" w:tplc="04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15:restartNumberingAfterBreak="0">
    <w:nsid w:val="0ACE2C2B"/>
    <w:multiLevelType w:val="hybridMultilevel"/>
    <w:tmpl w:val="F1202156"/>
    <w:lvl w:ilvl="0" w:tplc="2DFA3060">
      <w:start w:val="1"/>
      <w:numFmt w:val="decimal"/>
      <w:lvlText w:val="%1."/>
      <w:lvlJc w:val="left"/>
      <w:pPr>
        <w:ind w:left="1069" w:hanging="360"/>
      </w:pPr>
      <w:rPr>
        <w:rFonts w:cs="Times New Roman"/>
        <w:lang w:val="en-US"/>
      </w:rPr>
    </w:lvl>
    <w:lvl w:ilvl="1" w:tplc="FC306806">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15:restartNumberingAfterBreak="0">
    <w:nsid w:val="0C3C0914"/>
    <w:multiLevelType w:val="hybridMultilevel"/>
    <w:tmpl w:val="CB58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DD3E5A"/>
    <w:multiLevelType w:val="hybridMultilevel"/>
    <w:tmpl w:val="6D9A3E20"/>
    <w:lvl w:ilvl="0" w:tplc="CEB81AA4">
      <w:start w:val="1"/>
      <w:numFmt w:val="decimal"/>
      <w:lvlText w:val="1.%1."/>
      <w:lvlJc w:val="left"/>
      <w:pPr>
        <w:ind w:left="720" w:hanging="360"/>
      </w:pPr>
      <w:rPr>
        <w:rFonts w:ascii="Times New Roman" w:hAnsi="Times New Roman" w:cs="Times New Roman" w:hint="default"/>
        <w:lang w:val="en-G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F84776B"/>
    <w:multiLevelType w:val="hybridMultilevel"/>
    <w:tmpl w:val="1180A9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31825DA"/>
    <w:multiLevelType w:val="hybridMultilevel"/>
    <w:tmpl w:val="B9687FC2"/>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294570"/>
    <w:multiLevelType w:val="hybridMultilevel"/>
    <w:tmpl w:val="4474781C"/>
    <w:lvl w:ilvl="0" w:tplc="EA9E5534">
      <w:start w:val="1"/>
      <w:numFmt w:val="decimal"/>
      <w:lvlText w:val="3.%1."/>
      <w:lvlJc w:val="left"/>
      <w:pPr>
        <w:ind w:left="2160" w:hanging="360"/>
      </w:pPr>
      <w:rPr>
        <w:rFonts w:ascii="Times New Roman" w:hAnsi="Times New Roman" w:cs="Times New Roman" w:hint="default"/>
        <w:b w:val="0"/>
        <w:i w:val="0"/>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CF52998"/>
    <w:multiLevelType w:val="hybridMultilevel"/>
    <w:tmpl w:val="A79E04E8"/>
    <w:lvl w:ilvl="0" w:tplc="86B0B41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AA4984"/>
    <w:multiLevelType w:val="hybridMultilevel"/>
    <w:tmpl w:val="D688D5E6"/>
    <w:lvl w:ilvl="0" w:tplc="7A86DA86">
      <w:start w:val="1"/>
      <w:numFmt w:val="decimal"/>
      <w:lvlText w:val="5.%1."/>
      <w:lvlJc w:val="left"/>
      <w:pPr>
        <w:ind w:left="36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6AF3098"/>
    <w:multiLevelType w:val="hybridMultilevel"/>
    <w:tmpl w:val="19FC61B6"/>
    <w:lvl w:ilvl="0" w:tplc="86DE7B2E">
      <w:start w:val="1"/>
      <w:numFmt w:val="lowerRoman"/>
      <w:lvlText w:val="%1."/>
      <w:lvlJc w:val="left"/>
      <w:pPr>
        <w:ind w:left="1077" w:hanging="720"/>
      </w:pPr>
      <w:rPr>
        <w:rFonts w:hint="default"/>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17" w15:restartNumberingAfterBreak="0">
    <w:nsid w:val="27FE74C7"/>
    <w:multiLevelType w:val="multilevel"/>
    <w:tmpl w:val="4474781C"/>
    <w:lvl w:ilvl="0">
      <w:start w:val="1"/>
      <w:numFmt w:val="decimal"/>
      <w:lvlText w:val="3.%1."/>
      <w:lvlJc w:val="left"/>
      <w:pPr>
        <w:ind w:left="2160" w:hanging="360"/>
      </w:pPr>
      <w:rPr>
        <w:rFonts w:ascii="Times New Roman" w:hAnsi="Times New Roman" w:cs="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161016"/>
    <w:multiLevelType w:val="hybridMultilevel"/>
    <w:tmpl w:val="A452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3E7F3F"/>
    <w:multiLevelType w:val="hybridMultilevel"/>
    <w:tmpl w:val="8B44438A"/>
    <w:lvl w:ilvl="0" w:tplc="93860590">
      <w:start w:val="1"/>
      <w:numFmt w:val="decimal"/>
      <w:lvlText w:val="%1."/>
      <w:lvlJc w:val="left"/>
      <w:pPr>
        <w:ind w:left="360" w:hanging="360"/>
      </w:pPr>
      <w:rPr>
        <w:rFonts w:cs="Times New Roman"/>
      </w:rPr>
    </w:lvl>
    <w:lvl w:ilvl="1" w:tplc="40090001">
      <w:start w:val="1"/>
      <w:numFmt w:val="bullet"/>
      <w:lvlText w:val=""/>
      <w:lvlJc w:val="left"/>
      <w:pPr>
        <w:ind w:left="1440" w:hanging="360"/>
      </w:pPr>
      <w:rPr>
        <w:rFonts w:ascii="Symbol" w:hAnsi="Symbol" w:hint="default"/>
      </w:rPr>
    </w:lvl>
    <w:lvl w:ilvl="2" w:tplc="9168E6C6">
      <w:start w:val="30"/>
      <w:numFmt w:val="decimal"/>
      <w:lvlText w:val="%3"/>
      <w:lvlJc w:val="left"/>
      <w:pPr>
        <w:ind w:left="2340" w:hanging="360"/>
      </w:pPr>
      <w:rPr>
        <w:rFonts w:hint="default"/>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15:restartNumberingAfterBreak="0">
    <w:nsid w:val="29C351BA"/>
    <w:multiLevelType w:val="hybridMultilevel"/>
    <w:tmpl w:val="6D389B64"/>
    <w:lvl w:ilvl="0" w:tplc="15106F92">
      <w:start w:val="1"/>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D7CD8"/>
    <w:multiLevelType w:val="hybridMultilevel"/>
    <w:tmpl w:val="9CFE3E90"/>
    <w:lvl w:ilvl="0" w:tplc="86B0B41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F270D7"/>
    <w:multiLevelType w:val="hybridMultilevel"/>
    <w:tmpl w:val="93D8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E06E01"/>
    <w:multiLevelType w:val="multilevel"/>
    <w:tmpl w:val="D1BE0EC8"/>
    <w:lvl w:ilvl="0">
      <w:start w:val="1"/>
      <w:numFmt w:val="lowerLetter"/>
      <w:lvlText w:val="%1)"/>
      <w:lvlJc w:val="left"/>
      <w:pPr>
        <w:tabs>
          <w:tab w:val="num" w:pos="353"/>
        </w:tabs>
        <w:ind w:left="353" w:firstLine="0"/>
      </w:pPr>
      <w:rPr>
        <w:rFonts w:hint="default"/>
        <w:color w:val="000000"/>
        <w:position w:val="0"/>
        <w:sz w:val="24"/>
      </w:rPr>
    </w:lvl>
    <w:lvl w:ilvl="1">
      <w:start w:val="1"/>
      <w:numFmt w:val="lowerRoman"/>
      <w:suff w:val="nothing"/>
      <w:lvlText w:val="(%2)"/>
      <w:lvlJc w:val="left"/>
      <w:pPr>
        <w:ind w:left="0" w:firstLine="1073"/>
      </w:pPr>
      <w:rPr>
        <w:rFonts w:hint="default"/>
        <w:color w:val="000000"/>
        <w:position w:val="0"/>
        <w:sz w:val="24"/>
      </w:rPr>
    </w:lvl>
    <w:lvl w:ilvl="2">
      <w:start w:val="1"/>
      <w:numFmt w:val="lowerRoman"/>
      <w:suff w:val="nothing"/>
      <w:lvlText w:val="(%3)"/>
      <w:lvlJc w:val="left"/>
      <w:pPr>
        <w:ind w:left="0" w:firstLine="1793"/>
      </w:pPr>
      <w:rPr>
        <w:rFonts w:hint="default"/>
        <w:color w:val="000000"/>
        <w:position w:val="0"/>
        <w:sz w:val="24"/>
      </w:rPr>
    </w:lvl>
    <w:lvl w:ilvl="3">
      <w:start w:val="1"/>
      <w:numFmt w:val="lowerRoman"/>
      <w:suff w:val="nothing"/>
      <w:lvlText w:val="(%4)"/>
      <w:lvlJc w:val="left"/>
      <w:pPr>
        <w:ind w:left="0" w:firstLine="2513"/>
      </w:pPr>
      <w:rPr>
        <w:rFonts w:hint="default"/>
        <w:color w:val="000000"/>
        <w:position w:val="0"/>
        <w:sz w:val="24"/>
      </w:rPr>
    </w:lvl>
    <w:lvl w:ilvl="4">
      <w:start w:val="1"/>
      <w:numFmt w:val="lowerRoman"/>
      <w:suff w:val="nothing"/>
      <w:lvlText w:val="(%5)"/>
      <w:lvlJc w:val="left"/>
      <w:pPr>
        <w:ind w:left="0" w:firstLine="3233"/>
      </w:pPr>
      <w:rPr>
        <w:rFonts w:hint="default"/>
        <w:color w:val="000000"/>
        <w:position w:val="0"/>
        <w:sz w:val="24"/>
      </w:rPr>
    </w:lvl>
    <w:lvl w:ilvl="5">
      <w:start w:val="1"/>
      <w:numFmt w:val="lowerRoman"/>
      <w:suff w:val="nothing"/>
      <w:lvlText w:val="(%6)"/>
      <w:lvlJc w:val="left"/>
      <w:pPr>
        <w:ind w:left="0" w:firstLine="3953"/>
      </w:pPr>
      <w:rPr>
        <w:rFonts w:hint="default"/>
        <w:color w:val="000000"/>
        <w:position w:val="0"/>
        <w:sz w:val="24"/>
      </w:rPr>
    </w:lvl>
    <w:lvl w:ilvl="6">
      <w:start w:val="1"/>
      <w:numFmt w:val="lowerRoman"/>
      <w:suff w:val="nothing"/>
      <w:lvlText w:val="(%7)"/>
      <w:lvlJc w:val="left"/>
      <w:pPr>
        <w:ind w:left="0" w:firstLine="4673"/>
      </w:pPr>
      <w:rPr>
        <w:rFonts w:hint="default"/>
        <w:color w:val="000000"/>
        <w:position w:val="0"/>
        <w:sz w:val="24"/>
      </w:rPr>
    </w:lvl>
    <w:lvl w:ilvl="7">
      <w:start w:val="1"/>
      <w:numFmt w:val="lowerRoman"/>
      <w:suff w:val="nothing"/>
      <w:lvlText w:val="(%8)"/>
      <w:lvlJc w:val="left"/>
      <w:pPr>
        <w:ind w:left="0" w:firstLine="5393"/>
      </w:pPr>
      <w:rPr>
        <w:rFonts w:hint="default"/>
        <w:color w:val="000000"/>
        <w:position w:val="0"/>
        <w:sz w:val="24"/>
      </w:rPr>
    </w:lvl>
    <w:lvl w:ilvl="8">
      <w:start w:val="1"/>
      <w:numFmt w:val="lowerRoman"/>
      <w:suff w:val="nothing"/>
      <w:lvlText w:val="(%9)"/>
      <w:lvlJc w:val="left"/>
      <w:pPr>
        <w:ind w:left="0" w:firstLine="6113"/>
      </w:pPr>
      <w:rPr>
        <w:rFonts w:hint="default"/>
        <w:color w:val="000000"/>
        <w:position w:val="0"/>
        <w:sz w:val="24"/>
      </w:rPr>
    </w:lvl>
  </w:abstractNum>
  <w:abstractNum w:abstractNumId="24" w15:restartNumberingAfterBreak="0">
    <w:nsid w:val="33417553"/>
    <w:multiLevelType w:val="multilevel"/>
    <w:tmpl w:val="0C7097C2"/>
    <w:lvl w:ilvl="0">
      <w:start w:val="1"/>
      <w:numFmt w:val="lowerLetter"/>
      <w:lvlText w:val="%1)"/>
      <w:lvlJc w:val="left"/>
      <w:pPr>
        <w:tabs>
          <w:tab w:val="num" w:pos="407"/>
        </w:tabs>
        <w:ind w:left="407" w:firstLine="0"/>
      </w:pPr>
      <w:rPr>
        <w:rFonts w:hint="default"/>
        <w:color w:val="000000"/>
        <w:position w:val="0"/>
        <w:sz w:val="20"/>
      </w:rPr>
    </w:lvl>
    <w:lvl w:ilvl="1">
      <w:start w:val="1"/>
      <w:numFmt w:val="lowerRoman"/>
      <w:suff w:val="nothing"/>
      <w:lvlText w:val="(%2)"/>
      <w:lvlJc w:val="left"/>
      <w:pPr>
        <w:ind w:left="0" w:firstLine="1127"/>
      </w:pPr>
      <w:rPr>
        <w:rFonts w:hint="default"/>
        <w:color w:val="000000"/>
        <w:position w:val="0"/>
        <w:sz w:val="24"/>
      </w:rPr>
    </w:lvl>
    <w:lvl w:ilvl="2">
      <w:start w:val="1"/>
      <w:numFmt w:val="lowerRoman"/>
      <w:suff w:val="nothing"/>
      <w:lvlText w:val="(%3)"/>
      <w:lvlJc w:val="left"/>
      <w:pPr>
        <w:ind w:left="0" w:firstLine="1847"/>
      </w:pPr>
      <w:rPr>
        <w:rFonts w:hint="default"/>
        <w:color w:val="000000"/>
        <w:position w:val="0"/>
        <w:sz w:val="24"/>
      </w:rPr>
    </w:lvl>
    <w:lvl w:ilvl="3">
      <w:start w:val="1"/>
      <w:numFmt w:val="lowerRoman"/>
      <w:suff w:val="nothing"/>
      <w:lvlText w:val="(%4)"/>
      <w:lvlJc w:val="left"/>
      <w:pPr>
        <w:ind w:left="0" w:firstLine="2567"/>
      </w:pPr>
      <w:rPr>
        <w:rFonts w:hint="default"/>
        <w:color w:val="000000"/>
        <w:position w:val="0"/>
        <w:sz w:val="24"/>
      </w:rPr>
    </w:lvl>
    <w:lvl w:ilvl="4">
      <w:start w:val="1"/>
      <w:numFmt w:val="lowerRoman"/>
      <w:suff w:val="nothing"/>
      <w:lvlText w:val="(%5)"/>
      <w:lvlJc w:val="left"/>
      <w:pPr>
        <w:ind w:left="0" w:firstLine="3287"/>
      </w:pPr>
      <w:rPr>
        <w:rFonts w:hint="default"/>
        <w:color w:val="000000"/>
        <w:position w:val="0"/>
        <w:sz w:val="24"/>
      </w:rPr>
    </w:lvl>
    <w:lvl w:ilvl="5">
      <w:start w:val="1"/>
      <w:numFmt w:val="lowerRoman"/>
      <w:suff w:val="nothing"/>
      <w:lvlText w:val="(%6)"/>
      <w:lvlJc w:val="left"/>
      <w:pPr>
        <w:ind w:left="0" w:firstLine="4007"/>
      </w:pPr>
      <w:rPr>
        <w:rFonts w:hint="default"/>
        <w:color w:val="000000"/>
        <w:position w:val="0"/>
        <w:sz w:val="24"/>
      </w:rPr>
    </w:lvl>
    <w:lvl w:ilvl="6">
      <w:start w:val="1"/>
      <w:numFmt w:val="lowerRoman"/>
      <w:suff w:val="nothing"/>
      <w:lvlText w:val="(%7)"/>
      <w:lvlJc w:val="left"/>
      <w:pPr>
        <w:ind w:left="0" w:firstLine="4727"/>
      </w:pPr>
      <w:rPr>
        <w:rFonts w:hint="default"/>
        <w:color w:val="000000"/>
        <w:position w:val="0"/>
        <w:sz w:val="24"/>
      </w:rPr>
    </w:lvl>
    <w:lvl w:ilvl="7">
      <w:start w:val="1"/>
      <w:numFmt w:val="lowerRoman"/>
      <w:suff w:val="nothing"/>
      <w:lvlText w:val="(%8)"/>
      <w:lvlJc w:val="left"/>
      <w:pPr>
        <w:ind w:left="0" w:firstLine="5447"/>
      </w:pPr>
      <w:rPr>
        <w:rFonts w:hint="default"/>
        <w:color w:val="000000"/>
        <w:position w:val="0"/>
        <w:sz w:val="24"/>
      </w:rPr>
    </w:lvl>
    <w:lvl w:ilvl="8">
      <w:start w:val="1"/>
      <w:numFmt w:val="lowerRoman"/>
      <w:suff w:val="nothing"/>
      <w:lvlText w:val="(%9)"/>
      <w:lvlJc w:val="left"/>
      <w:pPr>
        <w:ind w:left="0" w:firstLine="6167"/>
      </w:pPr>
      <w:rPr>
        <w:rFonts w:hint="default"/>
        <w:color w:val="000000"/>
        <w:position w:val="0"/>
        <w:sz w:val="24"/>
      </w:rPr>
    </w:lvl>
  </w:abstractNum>
  <w:abstractNum w:abstractNumId="25" w15:restartNumberingAfterBreak="0">
    <w:nsid w:val="35152CED"/>
    <w:multiLevelType w:val="hybridMultilevel"/>
    <w:tmpl w:val="29343820"/>
    <w:lvl w:ilvl="0" w:tplc="03948F70">
      <w:start w:val="1"/>
      <w:numFmt w:val="lowerRoman"/>
      <w:lvlText w:val="%1."/>
      <w:lvlJc w:val="left"/>
      <w:pPr>
        <w:ind w:left="1077" w:hanging="720"/>
      </w:pPr>
      <w:rPr>
        <w:rFonts w:hint="default"/>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26" w15:restartNumberingAfterBreak="0">
    <w:nsid w:val="377C46B1"/>
    <w:multiLevelType w:val="hybridMultilevel"/>
    <w:tmpl w:val="7A1E2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315D1F"/>
    <w:multiLevelType w:val="hybridMultilevel"/>
    <w:tmpl w:val="73C2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86B3D"/>
    <w:multiLevelType w:val="hybridMultilevel"/>
    <w:tmpl w:val="0D5A76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DD456B"/>
    <w:multiLevelType w:val="hybridMultilevel"/>
    <w:tmpl w:val="C6E03BE2"/>
    <w:lvl w:ilvl="0" w:tplc="187A82E4">
      <w:start w:val="1"/>
      <w:numFmt w:val="decimal"/>
      <w:lvlText w:val="1.%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0105F21"/>
    <w:multiLevelType w:val="hybridMultilevel"/>
    <w:tmpl w:val="7D06D2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0D74AD1"/>
    <w:multiLevelType w:val="hybridMultilevel"/>
    <w:tmpl w:val="F2CC4752"/>
    <w:lvl w:ilvl="0" w:tplc="3A66D062">
      <w:start w:val="201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43FE1B23"/>
    <w:multiLevelType w:val="hybridMultilevel"/>
    <w:tmpl w:val="73B09C1C"/>
    <w:lvl w:ilvl="0" w:tplc="D2688554">
      <w:start w:val="1"/>
      <w:numFmt w:val="decimal"/>
      <w:lvlText w:val="2.%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55478B0"/>
    <w:multiLevelType w:val="hybridMultilevel"/>
    <w:tmpl w:val="B4300868"/>
    <w:lvl w:ilvl="0" w:tplc="D67C0446">
      <w:start w:val="1"/>
      <w:numFmt w:val="bullet"/>
      <w:lvlText w:val=""/>
      <w:lvlJc w:val="left"/>
      <w:pPr>
        <w:tabs>
          <w:tab w:val="num" w:pos="720"/>
        </w:tabs>
        <w:ind w:left="720" w:hanging="360"/>
      </w:pPr>
      <w:rPr>
        <w:rFonts w:ascii="Wingdings" w:hAnsi="Wingdings" w:hint="default"/>
      </w:rPr>
    </w:lvl>
    <w:lvl w:ilvl="1" w:tplc="2A347250" w:tentative="1">
      <w:start w:val="1"/>
      <w:numFmt w:val="bullet"/>
      <w:lvlText w:val=""/>
      <w:lvlJc w:val="left"/>
      <w:pPr>
        <w:tabs>
          <w:tab w:val="num" w:pos="1440"/>
        </w:tabs>
        <w:ind w:left="1440" w:hanging="360"/>
      </w:pPr>
      <w:rPr>
        <w:rFonts w:ascii="Wingdings" w:hAnsi="Wingdings" w:hint="default"/>
      </w:rPr>
    </w:lvl>
    <w:lvl w:ilvl="2" w:tplc="C4209D1A" w:tentative="1">
      <w:start w:val="1"/>
      <w:numFmt w:val="bullet"/>
      <w:lvlText w:val=""/>
      <w:lvlJc w:val="left"/>
      <w:pPr>
        <w:tabs>
          <w:tab w:val="num" w:pos="2160"/>
        </w:tabs>
        <w:ind w:left="2160" w:hanging="360"/>
      </w:pPr>
      <w:rPr>
        <w:rFonts w:ascii="Wingdings" w:hAnsi="Wingdings" w:hint="default"/>
      </w:rPr>
    </w:lvl>
    <w:lvl w:ilvl="3" w:tplc="8DEE494A" w:tentative="1">
      <w:start w:val="1"/>
      <w:numFmt w:val="bullet"/>
      <w:lvlText w:val=""/>
      <w:lvlJc w:val="left"/>
      <w:pPr>
        <w:tabs>
          <w:tab w:val="num" w:pos="2880"/>
        </w:tabs>
        <w:ind w:left="2880" w:hanging="360"/>
      </w:pPr>
      <w:rPr>
        <w:rFonts w:ascii="Wingdings" w:hAnsi="Wingdings" w:hint="default"/>
      </w:rPr>
    </w:lvl>
    <w:lvl w:ilvl="4" w:tplc="1BE44A62" w:tentative="1">
      <w:start w:val="1"/>
      <w:numFmt w:val="bullet"/>
      <w:lvlText w:val=""/>
      <w:lvlJc w:val="left"/>
      <w:pPr>
        <w:tabs>
          <w:tab w:val="num" w:pos="3600"/>
        </w:tabs>
        <w:ind w:left="3600" w:hanging="360"/>
      </w:pPr>
      <w:rPr>
        <w:rFonts w:ascii="Wingdings" w:hAnsi="Wingdings" w:hint="default"/>
      </w:rPr>
    </w:lvl>
    <w:lvl w:ilvl="5" w:tplc="25D6E120" w:tentative="1">
      <w:start w:val="1"/>
      <w:numFmt w:val="bullet"/>
      <w:lvlText w:val=""/>
      <w:lvlJc w:val="left"/>
      <w:pPr>
        <w:tabs>
          <w:tab w:val="num" w:pos="4320"/>
        </w:tabs>
        <w:ind w:left="4320" w:hanging="360"/>
      </w:pPr>
      <w:rPr>
        <w:rFonts w:ascii="Wingdings" w:hAnsi="Wingdings" w:hint="default"/>
      </w:rPr>
    </w:lvl>
    <w:lvl w:ilvl="6" w:tplc="105CF94C" w:tentative="1">
      <w:start w:val="1"/>
      <w:numFmt w:val="bullet"/>
      <w:lvlText w:val=""/>
      <w:lvlJc w:val="left"/>
      <w:pPr>
        <w:tabs>
          <w:tab w:val="num" w:pos="5040"/>
        </w:tabs>
        <w:ind w:left="5040" w:hanging="360"/>
      </w:pPr>
      <w:rPr>
        <w:rFonts w:ascii="Wingdings" w:hAnsi="Wingdings" w:hint="default"/>
      </w:rPr>
    </w:lvl>
    <w:lvl w:ilvl="7" w:tplc="78165AF2" w:tentative="1">
      <w:start w:val="1"/>
      <w:numFmt w:val="bullet"/>
      <w:lvlText w:val=""/>
      <w:lvlJc w:val="left"/>
      <w:pPr>
        <w:tabs>
          <w:tab w:val="num" w:pos="5760"/>
        </w:tabs>
        <w:ind w:left="5760" w:hanging="360"/>
      </w:pPr>
      <w:rPr>
        <w:rFonts w:ascii="Wingdings" w:hAnsi="Wingdings" w:hint="default"/>
      </w:rPr>
    </w:lvl>
    <w:lvl w:ilvl="8" w:tplc="7CEC040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663471"/>
    <w:multiLevelType w:val="hybridMultilevel"/>
    <w:tmpl w:val="0B48165C"/>
    <w:lvl w:ilvl="0" w:tplc="04090017">
      <w:start w:val="1"/>
      <w:numFmt w:val="lowerLetter"/>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35" w15:restartNumberingAfterBreak="0">
    <w:nsid w:val="48E0003B"/>
    <w:multiLevelType w:val="hybridMultilevel"/>
    <w:tmpl w:val="20641C6E"/>
    <w:lvl w:ilvl="0" w:tplc="49AEF0BA">
      <w:start w:val="3"/>
      <w:numFmt w:val="low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FC408D"/>
    <w:multiLevelType w:val="hybridMultilevel"/>
    <w:tmpl w:val="1B6AF3F2"/>
    <w:lvl w:ilvl="0" w:tplc="04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7" w15:restartNumberingAfterBreak="0">
    <w:nsid w:val="4E137098"/>
    <w:multiLevelType w:val="hybridMultilevel"/>
    <w:tmpl w:val="8F7890FE"/>
    <w:lvl w:ilvl="0" w:tplc="31C2572C">
      <w:start w:val="1"/>
      <w:numFmt w:val="decimal"/>
      <w:lvlText w:val="4.%1."/>
      <w:lvlJc w:val="left"/>
      <w:pPr>
        <w:ind w:left="720" w:hanging="360"/>
      </w:pPr>
      <w:rPr>
        <w:rFonts w:ascii="Times New Roman" w:hAnsi="Times New Roman" w:cs="Times New Roman"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4A79DB"/>
    <w:multiLevelType w:val="hybridMultilevel"/>
    <w:tmpl w:val="7E60BF46"/>
    <w:lvl w:ilvl="0" w:tplc="BB5667AA">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52F708C4"/>
    <w:multiLevelType w:val="hybridMultilevel"/>
    <w:tmpl w:val="20BE6472"/>
    <w:lvl w:ilvl="0" w:tplc="86B0B41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6E3FBB"/>
    <w:multiLevelType w:val="hybridMultilevel"/>
    <w:tmpl w:val="083EA934"/>
    <w:lvl w:ilvl="0" w:tplc="40090001">
      <w:start w:val="1"/>
      <w:numFmt w:val="bullet"/>
      <w:lvlText w:val=""/>
      <w:lvlJc w:val="left"/>
      <w:pPr>
        <w:ind w:left="2160" w:hanging="360"/>
      </w:pPr>
      <w:rPr>
        <w:rFonts w:ascii="Symbol" w:hAnsi="Symbol" w:hint="default"/>
        <w:b w:val="0"/>
        <w:i w:val="0"/>
        <w:sz w:val="24"/>
      </w:rPr>
    </w:lvl>
    <w:lvl w:ilvl="1" w:tplc="40090017">
      <w:start w:val="1"/>
      <w:numFmt w:val="lowerLetter"/>
      <w:lvlText w:val="%2)"/>
      <w:lvlJc w:val="left"/>
      <w:pPr>
        <w:ind w:left="2880" w:hanging="360"/>
      </w:pPr>
      <w:rPr>
        <w:rFonts w:hint="default"/>
        <w:b w:val="0"/>
        <w:i w:val="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549F1A17"/>
    <w:multiLevelType w:val="hybridMultilevel"/>
    <w:tmpl w:val="58D096A4"/>
    <w:lvl w:ilvl="0" w:tplc="98D49022">
      <w:start w:val="1"/>
      <w:numFmt w:val="decimal"/>
      <w:lvlText w:val="%1."/>
      <w:lvlJc w:val="left"/>
      <w:pPr>
        <w:tabs>
          <w:tab w:val="num" w:pos="720"/>
        </w:tabs>
        <w:ind w:left="720" w:hanging="360"/>
      </w:pPr>
      <w:rPr>
        <w:rFonts w:hint="default"/>
      </w:rPr>
    </w:lvl>
    <w:lvl w:ilvl="1" w:tplc="97F8B054" w:tentative="1">
      <w:start w:val="1"/>
      <w:numFmt w:val="bullet"/>
      <w:lvlText w:val="•"/>
      <w:lvlJc w:val="left"/>
      <w:pPr>
        <w:tabs>
          <w:tab w:val="num" w:pos="1440"/>
        </w:tabs>
        <w:ind w:left="1440" w:hanging="360"/>
      </w:pPr>
      <w:rPr>
        <w:rFonts w:ascii="Arial" w:hAnsi="Arial" w:hint="default"/>
      </w:rPr>
    </w:lvl>
    <w:lvl w:ilvl="2" w:tplc="1FD8F6DC" w:tentative="1">
      <w:start w:val="1"/>
      <w:numFmt w:val="bullet"/>
      <w:lvlText w:val="•"/>
      <w:lvlJc w:val="left"/>
      <w:pPr>
        <w:tabs>
          <w:tab w:val="num" w:pos="2160"/>
        </w:tabs>
        <w:ind w:left="2160" w:hanging="360"/>
      </w:pPr>
      <w:rPr>
        <w:rFonts w:ascii="Arial" w:hAnsi="Arial" w:hint="default"/>
      </w:rPr>
    </w:lvl>
    <w:lvl w:ilvl="3" w:tplc="DBFC14DE" w:tentative="1">
      <w:start w:val="1"/>
      <w:numFmt w:val="bullet"/>
      <w:lvlText w:val="•"/>
      <w:lvlJc w:val="left"/>
      <w:pPr>
        <w:tabs>
          <w:tab w:val="num" w:pos="2880"/>
        </w:tabs>
        <w:ind w:left="2880" w:hanging="360"/>
      </w:pPr>
      <w:rPr>
        <w:rFonts w:ascii="Arial" w:hAnsi="Arial" w:hint="default"/>
      </w:rPr>
    </w:lvl>
    <w:lvl w:ilvl="4" w:tplc="F05CA8F8" w:tentative="1">
      <w:start w:val="1"/>
      <w:numFmt w:val="bullet"/>
      <w:lvlText w:val="•"/>
      <w:lvlJc w:val="left"/>
      <w:pPr>
        <w:tabs>
          <w:tab w:val="num" w:pos="3600"/>
        </w:tabs>
        <w:ind w:left="3600" w:hanging="360"/>
      </w:pPr>
      <w:rPr>
        <w:rFonts w:ascii="Arial" w:hAnsi="Arial" w:hint="default"/>
      </w:rPr>
    </w:lvl>
    <w:lvl w:ilvl="5" w:tplc="DFE87F9E" w:tentative="1">
      <w:start w:val="1"/>
      <w:numFmt w:val="bullet"/>
      <w:lvlText w:val="•"/>
      <w:lvlJc w:val="left"/>
      <w:pPr>
        <w:tabs>
          <w:tab w:val="num" w:pos="4320"/>
        </w:tabs>
        <w:ind w:left="4320" w:hanging="360"/>
      </w:pPr>
      <w:rPr>
        <w:rFonts w:ascii="Arial" w:hAnsi="Arial" w:hint="default"/>
      </w:rPr>
    </w:lvl>
    <w:lvl w:ilvl="6" w:tplc="40905E04" w:tentative="1">
      <w:start w:val="1"/>
      <w:numFmt w:val="bullet"/>
      <w:lvlText w:val="•"/>
      <w:lvlJc w:val="left"/>
      <w:pPr>
        <w:tabs>
          <w:tab w:val="num" w:pos="5040"/>
        </w:tabs>
        <w:ind w:left="5040" w:hanging="360"/>
      </w:pPr>
      <w:rPr>
        <w:rFonts w:ascii="Arial" w:hAnsi="Arial" w:hint="default"/>
      </w:rPr>
    </w:lvl>
    <w:lvl w:ilvl="7" w:tplc="1316B1CA" w:tentative="1">
      <w:start w:val="1"/>
      <w:numFmt w:val="bullet"/>
      <w:lvlText w:val="•"/>
      <w:lvlJc w:val="left"/>
      <w:pPr>
        <w:tabs>
          <w:tab w:val="num" w:pos="5760"/>
        </w:tabs>
        <w:ind w:left="5760" w:hanging="360"/>
      </w:pPr>
      <w:rPr>
        <w:rFonts w:ascii="Arial" w:hAnsi="Arial" w:hint="default"/>
      </w:rPr>
    </w:lvl>
    <w:lvl w:ilvl="8" w:tplc="FF58852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5FA1F20"/>
    <w:multiLevelType w:val="multilevel"/>
    <w:tmpl w:val="69926C7E"/>
    <w:lvl w:ilvl="0">
      <w:start w:val="1"/>
      <w:numFmt w:val="low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9542477"/>
    <w:multiLevelType w:val="hybridMultilevel"/>
    <w:tmpl w:val="27C4DE6E"/>
    <w:lvl w:ilvl="0" w:tplc="B2F4C772">
      <w:start w:val="1"/>
      <w:numFmt w:val="bullet"/>
      <w:lvlText w:val="•"/>
      <w:lvlJc w:val="left"/>
      <w:pPr>
        <w:tabs>
          <w:tab w:val="num" w:pos="720"/>
        </w:tabs>
        <w:ind w:left="720" w:hanging="360"/>
      </w:pPr>
      <w:rPr>
        <w:rFonts w:ascii="Times New Roman" w:hAnsi="Times New Roman" w:hint="default"/>
      </w:rPr>
    </w:lvl>
    <w:lvl w:ilvl="1" w:tplc="E7AA096E" w:tentative="1">
      <w:start w:val="1"/>
      <w:numFmt w:val="bullet"/>
      <w:lvlText w:val="•"/>
      <w:lvlJc w:val="left"/>
      <w:pPr>
        <w:tabs>
          <w:tab w:val="num" w:pos="1440"/>
        </w:tabs>
        <w:ind w:left="1440" w:hanging="360"/>
      </w:pPr>
      <w:rPr>
        <w:rFonts w:ascii="Times New Roman" w:hAnsi="Times New Roman" w:hint="default"/>
      </w:rPr>
    </w:lvl>
    <w:lvl w:ilvl="2" w:tplc="241A8306" w:tentative="1">
      <w:start w:val="1"/>
      <w:numFmt w:val="bullet"/>
      <w:lvlText w:val="•"/>
      <w:lvlJc w:val="left"/>
      <w:pPr>
        <w:tabs>
          <w:tab w:val="num" w:pos="2160"/>
        </w:tabs>
        <w:ind w:left="2160" w:hanging="360"/>
      </w:pPr>
      <w:rPr>
        <w:rFonts w:ascii="Times New Roman" w:hAnsi="Times New Roman" w:hint="default"/>
      </w:rPr>
    </w:lvl>
    <w:lvl w:ilvl="3" w:tplc="1C88F250" w:tentative="1">
      <w:start w:val="1"/>
      <w:numFmt w:val="bullet"/>
      <w:lvlText w:val="•"/>
      <w:lvlJc w:val="left"/>
      <w:pPr>
        <w:tabs>
          <w:tab w:val="num" w:pos="2880"/>
        </w:tabs>
        <w:ind w:left="2880" w:hanging="360"/>
      </w:pPr>
      <w:rPr>
        <w:rFonts w:ascii="Times New Roman" w:hAnsi="Times New Roman" w:hint="default"/>
      </w:rPr>
    </w:lvl>
    <w:lvl w:ilvl="4" w:tplc="9FA65544" w:tentative="1">
      <w:start w:val="1"/>
      <w:numFmt w:val="bullet"/>
      <w:lvlText w:val="•"/>
      <w:lvlJc w:val="left"/>
      <w:pPr>
        <w:tabs>
          <w:tab w:val="num" w:pos="3600"/>
        </w:tabs>
        <w:ind w:left="3600" w:hanging="360"/>
      </w:pPr>
      <w:rPr>
        <w:rFonts w:ascii="Times New Roman" w:hAnsi="Times New Roman" w:hint="default"/>
      </w:rPr>
    </w:lvl>
    <w:lvl w:ilvl="5" w:tplc="81925E48" w:tentative="1">
      <w:start w:val="1"/>
      <w:numFmt w:val="bullet"/>
      <w:lvlText w:val="•"/>
      <w:lvlJc w:val="left"/>
      <w:pPr>
        <w:tabs>
          <w:tab w:val="num" w:pos="4320"/>
        </w:tabs>
        <w:ind w:left="4320" w:hanging="360"/>
      </w:pPr>
      <w:rPr>
        <w:rFonts w:ascii="Times New Roman" w:hAnsi="Times New Roman" w:hint="default"/>
      </w:rPr>
    </w:lvl>
    <w:lvl w:ilvl="6" w:tplc="66C27FF6" w:tentative="1">
      <w:start w:val="1"/>
      <w:numFmt w:val="bullet"/>
      <w:lvlText w:val="•"/>
      <w:lvlJc w:val="left"/>
      <w:pPr>
        <w:tabs>
          <w:tab w:val="num" w:pos="5040"/>
        </w:tabs>
        <w:ind w:left="5040" w:hanging="360"/>
      </w:pPr>
      <w:rPr>
        <w:rFonts w:ascii="Times New Roman" w:hAnsi="Times New Roman" w:hint="default"/>
      </w:rPr>
    </w:lvl>
    <w:lvl w:ilvl="7" w:tplc="958E084C" w:tentative="1">
      <w:start w:val="1"/>
      <w:numFmt w:val="bullet"/>
      <w:lvlText w:val="•"/>
      <w:lvlJc w:val="left"/>
      <w:pPr>
        <w:tabs>
          <w:tab w:val="num" w:pos="5760"/>
        </w:tabs>
        <w:ind w:left="5760" w:hanging="360"/>
      </w:pPr>
      <w:rPr>
        <w:rFonts w:ascii="Times New Roman" w:hAnsi="Times New Roman" w:hint="default"/>
      </w:rPr>
    </w:lvl>
    <w:lvl w:ilvl="8" w:tplc="96A84B8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EEA036F"/>
    <w:multiLevelType w:val="hybridMultilevel"/>
    <w:tmpl w:val="E490EB0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613451FF"/>
    <w:multiLevelType w:val="hybridMultilevel"/>
    <w:tmpl w:val="C96CE23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30A3D96"/>
    <w:multiLevelType w:val="hybridMultilevel"/>
    <w:tmpl w:val="ACD4D35C"/>
    <w:lvl w:ilvl="0" w:tplc="04EAE45C">
      <w:start w:val="1"/>
      <w:numFmt w:val="bullet"/>
      <w:lvlText w:val=""/>
      <w:lvlJc w:val="left"/>
      <w:pPr>
        <w:tabs>
          <w:tab w:val="num" w:pos="720"/>
        </w:tabs>
        <w:ind w:left="720" w:hanging="360"/>
      </w:pPr>
      <w:rPr>
        <w:rFonts w:ascii="Wingdings" w:hAnsi="Wingdings" w:hint="default"/>
      </w:rPr>
    </w:lvl>
    <w:lvl w:ilvl="1" w:tplc="304E9B20" w:tentative="1">
      <w:start w:val="1"/>
      <w:numFmt w:val="bullet"/>
      <w:lvlText w:val=""/>
      <w:lvlJc w:val="left"/>
      <w:pPr>
        <w:tabs>
          <w:tab w:val="num" w:pos="1440"/>
        </w:tabs>
        <w:ind w:left="1440" w:hanging="360"/>
      </w:pPr>
      <w:rPr>
        <w:rFonts w:ascii="Wingdings" w:hAnsi="Wingdings" w:hint="default"/>
      </w:rPr>
    </w:lvl>
    <w:lvl w:ilvl="2" w:tplc="9C748DC4" w:tentative="1">
      <w:start w:val="1"/>
      <w:numFmt w:val="bullet"/>
      <w:lvlText w:val=""/>
      <w:lvlJc w:val="left"/>
      <w:pPr>
        <w:tabs>
          <w:tab w:val="num" w:pos="2160"/>
        </w:tabs>
        <w:ind w:left="2160" w:hanging="360"/>
      </w:pPr>
      <w:rPr>
        <w:rFonts w:ascii="Wingdings" w:hAnsi="Wingdings" w:hint="default"/>
      </w:rPr>
    </w:lvl>
    <w:lvl w:ilvl="3" w:tplc="423E9A4A" w:tentative="1">
      <w:start w:val="1"/>
      <w:numFmt w:val="bullet"/>
      <w:lvlText w:val=""/>
      <w:lvlJc w:val="left"/>
      <w:pPr>
        <w:tabs>
          <w:tab w:val="num" w:pos="2880"/>
        </w:tabs>
        <w:ind w:left="2880" w:hanging="360"/>
      </w:pPr>
      <w:rPr>
        <w:rFonts w:ascii="Wingdings" w:hAnsi="Wingdings" w:hint="default"/>
      </w:rPr>
    </w:lvl>
    <w:lvl w:ilvl="4" w:tplc="B270F9D8" w:tentative="1">
      <w:start w:val="1"/>
      <w:numFmt w:val="bullet"/>
      <w:lvlText w:val=""/>
      <w:lvlJc w:val="left"/>
      <w:pPr>
        <w:tabs>
          <w:tab w:val="num" w:pos="3600"/>
        </w:tabs>
        <w:ind w:left="3600" w:hanging="360"/>
      </w:pPr>
      <w:rPr>
        <w:rFonts w:ascii="Wingdings" w:hAnsi="Wingdings" w:hint="default"/>
      </w:rPr>
    </w:lvl>
    <w:lvl w:ilvl="5" w:tplc="623AB458" w:tentative="1">
      <w:start w:val="1"/>
      <w:numFmt w:val="bullet"/>
      <w:lvlText w:val=""/>
      <w:lvlJc w:val="left"/>
      <w:pPr>
        <w:tabs>
          <w:tab w:val="num" w:pos="4320"/>
        </w:tabs>
        <w:ind w:left="4320" w:hanging="360"/>
      </w:pPr>
      <w:rPr>
        <w:rFonts w:ascii="Wingdings" w:hAnsi="Wingdings" w:hint="default"/>
      </w:rPr>
    </w:lvl>
    <w:lvl w:ilvl="6" w:tplc="02FCB87E" w:tentative="1">
      <w:start w:val="1"/>
      <w:numFmt w:val="bullet"/>
      <w:lvlText w:val=""/>
      <w:lvlJc w:val="left"/>
      <w:pPr>
        <w:tabs>
          <w:tab w:val="num" w:pos="5040"/>
        </w:tabs>
        <w:ind w:left="5040" w:hanging="360"/>
      </w:pPr>
      <w:rPr>
        <w:rFonts w:ascii="Wingdings" w:hAnsi="Wingdings" w:hint="default"/>
      </w:rPr>
    </w:lvl>
    <w:lvl w:ilvl="7" w:tplc="4FFE4C7E" w:tentative="1">
      <w:start w:val="1"/>
      <w:numFmt w:val="bullet"/>
      <w:lvlText w:val=""/>
      <w:lvlJc w:val="left"/>
      <w:pPr>
        <w:tabs>
          <w:tab w:val="num" w:pos="5760"/>
        </w:tabs>
        <w:ind w:left="5760" w:hanging="360"/>
      </w:pPr>
      <w:rPr>
        <w:rFonts w:ascii="Wingdings" w:hAnsi="Wingdings" w:hint="default"/>
      </w:rPr>
    </w:lvl>
    <w:lvl w:ilvl="8" w:tplc="133099A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241065"/>
    <w:multiLevelType w:val="hybridMultilevel"/>
    <w:tmpl w:val="4BA8DE42"/>
    <w:lvl w:ilvl="0" w:tplc="40090001">
      <w:start w:val="1"/>
      <w:numFmt w:val="bullet"/>
      <w:lvlText w:val=""/>
      <w:lvlJc w:val="left"/>
      <w:pPr>
        <w:ind w:left="21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656942"/>
    <w:multiLevelType w:val="hybridMultilevel"/>
    <w:tmpl w:val="8CF4E7BA"/>
    <w:lvl w:ilvl="0" w:tplc="04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9" w15:restartNumberingAfterBreak="0">
    <w:nsid w:val="68AA1B2A"/>
    <w:multiLevelType w:val="hybridMultilevel"/>
    <w:tmpl w:val="8E3630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15:restartNumberingAfterBreak="0">
    <w:nsid w:val="69390356"/>
    <w:multiLevelType w:val="hybridMultilevel"/>
    <w:tmpl w:val="5096D8E4"/>
    <w:lvl w:ilvl="0" w:tplc="CE0672E8">
      <w:start w:val="16"/>
      <w:numFmt w:val="decimal"/>
      <w:lvlText w:val="5.%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15406E"/>
    <w:multiLevelType w:val="hybridMultilevel"/>
    <w:tmpl w:val="962470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F683258"/>
    <w:multiLevelType w:val="hybridMultilevel"/>
    <w:tmpl w:val="125E1E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71701FBE"/>
    <w:multiLevelType w:val="hybridMultilevel"/>
    <w:tmpl w:val="F590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524651"/>
    <w:multiLevelType w:val="hybridMultilevel"/>
    <w:tmpl w:val="BB3A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254BD4"/>
    <w:multiLevelType w:val="hybridMultilevel"/>
    <w:tmpl w:val="8E5C061C"/>
    <w:lvl w:ilvl="0" w:tplc="594050A6">
      <w:start w:val="1"/>
      <w:numFmt w:val="bullet"/>
      <w:lvlText w:val=""/>
      <w:lvlJc w:val="left"/>
      <w:pPr>
        <w:tabs>
          <w:tab w:val="num" w:pos="357"/>
        </w:tabs>
        <w:ind w:left="357" w:hanging="357"/>
      </w:pPr>
      <w:rPr>
        <w:rFonts w:ascii="Symbol" w:hAnsi="Symbol" w:hint="default"/>
      </w:rPr>
    </w:lvl>
    <w:lvl w:ilvl="1" w:tplc="40090003">
      <w:start w:val="1"/>
      <w:numFmt w:val="bullet"/>
      <w:lvlText w:val="o"/>
      <w:lvlJc w:val="left"/>
      <w:pPr>
        <w:tabs>
          <w:tab w:val="num" w:pos="1440"/>
        </w:tabs>
        <w:ind w:left="1440" w:hanging="360"/>
      </w:pPr>
      <w:rPr>
        <w:rFonts w:ascii="Courier New" w:hAnsi="Courier New" w:hint="default"/>
      </w:rPr>
    </w:lvl>
    <w:lvl w:ilvl="2" w:tplc="40090005">
      <w:start w:val="1"/>
      <w:numFmt w:val="bullet"/>
      <w:lvlText w:val=""/>
      <w:lvlJc w:val="left"/>
      <w:pPr>
        <w:tabs>
          <w:tab w:val="num" w:pos="2160"/>
        </w:tabs>
        <w:ind w:left="2160" w:hanging="360"/>
      </w:pPr>
      <w:rPr>
        <w:rFonts w:ascii="Wingdings" w:hAnsi="Wingdings" w:hint="default"/>
      </w:rPr>
    </w:lvl>
    <w:lvl w:ilvl="3" w:tplc="40090001">
      <w:start w:val="1"/>
      <w:numFmt w:val="bullet"/>
      <w:lvlText w:val=""/>
      <w:lvlJc w:val="left"/>
      <w:pPr>
        <w:tabs>
          <w:tab w:val="num" w:pos="2880"/>
        </w:tabs>
        <w:ind w:left="2880" w:hanging="360"/>
      </w:pPr>
      <w:rPr>
        <w:rFonts w:ascii="Symbol" w:hAnsi="Symbol" w:hint="default"/>
      </w:rPr>
    </w:lvl>
    <w:lvl w:ilvl="4" w:tplc="40090003">
      <w:start w:val="1"/>
      <w:numFmt w:val="bullet"/>
      <w:lvlText w:val="o"/>
      <w:lvlJc w:val="left"/>
      <w:pPr>
        <w:tabs>
          <w:tab w:val="num" w:pos="3600"/>
        </w:tabs>
        <w:ind w:left="3600" w:hanging="360"/>
      </w:pPr>
      <w:rPr>
        <w:rFonts w:ascii="Courier New" w:hAnsi="Courier New" w:hint="default"/>
      </w:rPr>
    </w:lvl>
    <w:lvl w:ilvl="5" w:tplc="40090005">
      <w:start w:val="1"/>
      <w:numFmt w:val="bullet"/>
      <w:lvlText w:val=""/>
      <w:lvlJc w:val="left"/>
      <w:pPr>
        <w:tabs>
          <w:tab w:val="num" w:pos="4320"/>
        </w:tabs>
        <w:ind w:left="4320" w:hanging="360"/>
      </w:pPr>
      <w:rPr>
        <w:rFonts w:ascii="Wingdings" w:hAnsi="Wingdings" w:hint="default"/>
      </w:rPr>
    </w:lvl>
    <w:lvl w:ilvl="6" w:tplc="40090001">
      <w:start w:val="1"/>
      <w:numFmt w:val="bullet"/>
      <w:lvlText w:val=""/>
      <w:lvlJc w:val="left"/>
      <w:pPr>
        <w:tabs>
          <w:tab w:val="num" w:pos="5040"/>
        </w:tabs>
        <w:ind w:left="5040" w:hanging="360"/>
      </w:pPr>
      <w:rPr>
        <w:rFonts w:ascii="Symbol" w:hAnsi="Symbol" w:hint="default"/>
      </w:rPr>
    </w:lvl>
    <w:lvl w:ilvl="7" w:tplc="40090003">
      <w:start w:val="1"/>
      <w:numFmt w:val="bullet"/>
      <w:lvlText w:val="o"/>
      <w:lvlJc w:val="left"/>
      <w:pPr>
        <w:tabs>
          <w:tab w:val="num" w:pos="5760"/>
        </w:tabs>
        <w:ind w:left="5760" w:hanging="360"/>
      </w:pPr>
      <w:rPr>
        <w:rFonts w:ascii="Courier New" w:hAnsi="Courier New" w:hint="default"/>
      </w:rPr>
    </w:lvl>
    <w:lvl w:ilvl="8" w:tplc="40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046AB3"/>
    <w:multiLevelType w:val="hybridMultilevel"/>
    <w:tmpl w:val="C1348C9E"/>
    <w:lvl w:ilvl="0" w:tplc="6B46C9CA">
      <w:start w:val="7"/>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7" w15:restartNumberingAfterBreak="0">
    <w:nsid w:val="7D1B5077"/>
    <w:multiLevelType w:val="hybridMultilevel"/>
    <w:tmpl w:val="43047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0"/>
  </w:num>
  <w:num w:numId="3">
    <w:abstractNumId w:val="55"/>
  </w:num>
  <w:num w:numId="4">
    <w:abstractNumId w:val="4"/>
  </w:num>
  <w:num w:numId="5">
    <w:abstractNumId w:val="29"/>
  </w:num>
  <w:num w:numId="6">
    <w:abstractNumId w:val="13"/>
  </w:num>
  <w:num w:numId="7">
    <w:abstractNumId w:val="15"/>
  </w:num>
  <w:num w:numId="8">
    <w:abstractNumId w:val="37"/>
  </w:num>
  <w:num w:numId="9">
    <w:abstractNumId w:val="30"/>
  </w:num>
  <w:num w:numId="10">
    <w:abstractNumId w:val="32"/>
  </w:num>
  <w:num w:numId="11">
    <w:abstractNumId w:val="10"/>
  </w:num>
  <w:num w:numId="12">
    <w:abstractNumId w:val="44"/>
  </w:num>
  <w:num w:numId="13">
    <w:abstractNumId w:val="45"/>
  </w:num>
  <w:num w:numId="14">
    <w:abstractNumId w:val="19"/>
  </w:num>
  <w:num w:numId="15">
    <w:abstractNumId w:val="51"/>
  </w:num>
  <w:num w:numId="16">
    <w:abstractNumId w:val="16"/>
  </w:num>
  <w:num w:numId="17">
    <w:abstractNumId w:val="25"/>
  </w:num>
  <w:num w:numId="18">
    <w:abstractNumId w:val="2"/>
  </w:num>
  <w:num w:numId="19">
    <w:abstractNumId w:val="56"/>
  </w:num>
  <w:num w:numId="20">
    <w:abstractNumId w:val="31"/>
  </w:num>
  <w:num w:numId="21">
    <w:abstractNumId w:val="34"/>
  </w:num>
  <w:num w:numId="22">
    <w:abstractNumId w:val="23"/>
  </w:num>
  <w:num w:numId="23">
    <w:abstractNumId w:val="24"/>
  </w:num>
  <w:num w:numId="24">
    <w:abstractNumId w:val="36"/>
  </w:num>
  <w:num w:numId="25">
    <w:abstractNumId w:val="48"/>
  </w:num>
  <w:num w:numId="26">
    <w:abstractNumId w:val="7"/>
  </w:num>
  <w:num w:numId="27">
    <w:abstractNumId w:val="57"/>
  </w:num>
  <w:num w:numId="28">
    <w:abstractNumId w:val="43"/>
  </w:num>
  <w:num w:numId="29">
    <w:abstractNumId w:val="14"/>
  </w:num>
  <w:num w:numId="30">
    <w:abstractNumId w:val="52"/>
  </w:num>
  <w:num w:numId="31">
    <w:abstractNumId w:val="39"/>
  </w:num>
  <w:num w:numId="32">
    <w:abstractNumId w:val="21"/>
  </w:num>
  <w:num w:numId="33">
    <w:abstractNumId w:val="35"/>
  </w:num>
  <w:num w:numId="34">
    <w:abstractNumId w:val="6"/>
  </w:num>
  <w:num w:numId="35">
    <w:abstractNumId w:val="50"/>
  </w:num>
  <w:num w:numId="36">
    <w:abstractNumId w:val="8"/>
  </w:num>
  <w:num w:numId="37">
    <w:abstractNumId w:val="54"/>
  </w:num>
  <w:num w:numId="38">
    <w:abstractNumId w:val="41"/>
  </w:num>
  <w:num w:numId="39">
    <w:abstractNumId w:val="28"/>
  </w:num>
  <w:num w:numId="40">
    <w:abstractNumId w:val="22"/>
  </w:num>
  <w:num w:numId="41">
    <w:abstractNumId w:val="53"/>
  </w:num>
  <w:num w:numId="42">
    <w:abstractNumId w:val="9"/>
  </w:num>
  <w:num w:numId="43">
    <w:abstractNumId w:val="26"/>
  </w:num>
  <w:num w:numId="44">
    <w:abstractNumId w:val="18"/>
  </w:num>
  <w:num w:numId="45">
    <w:abstractNumId w:val="5"/>
  </w:num>
  <w:num w:numId="46">
    <w:abstractNumId w:val="11"/>
  </w:num>
  <w:num w:numId="47">
    <w:abstractNumId w:val="27"/>
  </w:num>
  <w:num w:numId="48">
    <w:abstractNumId w:val="17"/>
  </w:num>
  <w:num w:numId="49">
    <w:abstractNumId w:val="42"/>
  </w:num>
  <w:num w:numId="50">
    <w:abstractNumId w:val="3"/>
  </w:num>
  <w:num w:numId="51">
    <w:abstractNumId w:val="12"/>
  </w:num>
  <w:num w:numId="52">
    <w:abstractNumId w:val="1"/>
  </w:num>
  <w:num w:numId="53">
    <w:abstractNumId w:val="0"/>
  </w:num>
  <w:num w:numId="54">
    <w:abstractNumId w:val="49"/>
  </w:num>
  <w:num w:numId="55">
    <w:abstractNumId w:val="38"/>
  </w:num>
  <w:num w:numId="56">
    <w:abstractNumId w:val="46"/>
  </w:num>
  <w:num w:numId="57">
    <w:abstractNumId w:val="33"/>
  </w:num>
  <w:num w:numId="58">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20"/>
  <w:displayHorizontalDrawingGridEvery w:val="2"/>
  <w:noPunctuationKerning/>
  <w:characterSpacingControl w:val="doNotCompress"/>
  <w:hdrShapeDefaults>
    <o:shapedefaults v:ext="edit" spidmax="409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21"/>
    <w:rsid w:val="00001246"/>
    <w:rsid w:val="000015F6"/>
    <w:rsid w:val="00001F52"/>
    <w:rsid w:val="00002120"/>
    <w:rsid w:val="00002340"/>
    <w:rsid w:val="00002CA8"/>
    <w:rsid w:val="000035DE"/>
    <w:rsid w:val="00003667"/>
    <w:rsid w:val="0000385E"/>
    <w:rsid w:val="000039CB"/>
    <w:rsid w:val="00003C43"/>
    <w:rsid w:val="000043F2"/>
    <w:rsid w:val="0000486B"/>
    <w:rsid w:val="00005574"/>
    <w:rsid w:val="00005703"/>
    <w:rsid w:val="00006572"/>
    <w:rsid w:val="000068AB"/>
    <w:rsid w:val="00007518"/>
    <w:rsid w:val="00007647"/>
    <w:rsid w:val="000109B9"/>
    <w:rsid w:val="00010B85"/>
    <w:rsid w:val="00010E4F"/>
    <w:rsid w:val="00011907"/>
    <w:rsid w:val="00012A96"/>
    <w:rsid w:val="00012BC1"/>
    <w:rsid w:val="00012E55"/>
    <w:rsid w:val="00013061"/>
    <w:rsid w:val="0001312A"/>
    <w:rsid w:val="00013DD9"/>
    <w:rsid w:val="0001434F"/>
    <w:rsid w:val="00014420"/>
    <w:rsid w:val="00014ADE"/>
    <w:rsid w:val="00014F74"/>
    <w:rsid w:val="0001548B"/>
    <w:rsid w:val="00015E0E"/>
    <w:rsid w:val="000165FB"/>
    <w:rsid w:val="00016930"/>
    <w:rsid w:val="00017206"/>
    <w:rsid w:val="0001740F"/>
    <w:rsid w:val="00017E9C"/>
    <w:rsid w:val="0002028C"/>
    <w:rsid w:val="00020514"/>
    <w:rsid w:val="00020830"/>
    <w:rsid w:val="00020CAA"/>
    <w:rsid w:val="00020CDF"/>
    <w:rsid w:val="000210D7"/>
    <w:rsid w:val="00021D41"/>
    <w:rsid w:val="00021F80"/>
    <w:rsid w:val="00022AEC"/>
    <w:rsid w:val="00022D01"/>
    <w:rsid w:val="00022F0C"/>
    <w:rsid w:val="00022FB3"/>
    <w:rsid w:val="00023EF8"/>
    <w:rsid w:val="000240C8"/>
    <w:rsid w:val="0002485C"/>
    <w:rsid w:val="00024F47"/>
    <w:rsid w:val="00025C83"/>
    <w:rsid w:val="000263C8"/>
    <w:rsid w:val="00026607"/>
    <w:rsid w:val="00026756"/>
    <w:rsid w:val="000269B8"/>
    <w:rsid w:val="00026DCD"/>
    <w:rsid w:val="00026E9A"/>
    <w:rsid w:val="00027A71"/>
    <w:rsid w:val="000307BF"/>
    <w:rsid w:val="00030DB9"/>
    <w:rsid w:val="00032BD9"/>
    <w:rsid w:val="00032E41"/>
    <w:rsid w:val="0003305D"/>
    <w:rsid w:val="000339F4"/>
    <w:rsid w:val="00034481"/>
    <w:rsid w:val="00034F71"/>
    <w:rsid w:val="0003507C"/>
    <w:rsid w:val="00035485"/>
    <w:rsid w:val="0003587B"/>
    <w:rsid w:val="00035994"/>
    <w:rsid w:val="00036436"/>
    <w:rsid w:val="0003646A"/>
    <w:rsid w:val="00036476"/>
    <w:rsid w:val="000364AC"/>
    <w:rsid w:val="0003667A"/>
    <w:rsid w:val="000367B4"/>
    <w:rsid w:val="0003685C"/>
    <w:rsid w:val="00036E2B"/>
    <w:rsid w:val="000370C7"/>
    <w:rsid w:val="0003735F"/>
    <w:rsid w:val="000376AE"/>
    <w:rsid w:val="00037E82"/>
    <w:rsid w:val="000400B0"/>
    <w:rsid w:val="0004016E"/>
    <w:rsid w:val="0004033D"/>
    <w:rsid w:val="00040929"/>
    <w:rsid w:val="00040E35"/>
    <w:rsid w:val="000413F6"/>
    <w:rsid w:val="000421B5"/>
    <w:rsid w:val="000431D1"/>
    <w:rsid w:val="0004320D"/>
    <w:rsid w:val="000433A5"/>
    <w:rsid w:val="0004388D"/>
    <w:rsid w:val="000445BA"/>
    <w:rsid w:val="00044A7E"/>
    <w:rsid w:val="00044CD9"/>
    <w:rsid w:val="00045511"/>
    <w:rsid w:val="00045757"/>
    <w:rsid w:val="00045966"/>
    <w:rsid w:val="00045A4D"/>
    <w:rsid w:val="000461DC"/>
    <w:rsid w:val="0004641A"/>
    <w:rsid w:val="000465B5"/>
    <w:rsid w:val="00047457"/>
    <w:rsid w:val="0004756D"/>
    <w:rsid w:val="00047DEE"/>
    <w:rsid w:val="00047E8C"/>
    <w:rsid w:val="00047F90"/>
    <w:rsid w:val="00050409"/>
    <w:rsid w:val="000508C6"/>
    <w:rsid w:val="00051062"/>
    <w:rsid w:val="0005180E"/>
    <w:rsid w:val="000519DA"/>
    <w:rsid w:val="00052982"/>
    <w:rsid w:val="000529C3"/>
    <w:rsid w:val="00052A1C"/>
    <w:rsid w:val="00052B11"/>
    <w:rsid w:val="00052EC6"/>
    <w:rsid w:val="0005398C"/>
    <w:rsid w:val="000539E4"/>
    <w:rsid w:val="00053C98"/>
    <w:rsid w:val="00054896"/>
    <w:rsid w:val="00055486"/>
    <w:rsid w:val="000558CA"/>
    <w:rsid w:val="00055BA9"/>
    <w:rsid w:val="000561A6"/>
    <w:rsid w:val="00056A23"/>
    <w:rsid w:val="00056AC4"/>
    <w:rsid w:val="00057B1F"/>
    <w:rsid w:val="00057C71"/>
    <w:rsid w:val="00057CB4"/>
    <w:rsid w:val="0006028F"/>
    <w:rsid w:val="0006050A"/>
    <w:rsid w:val="00060567"/>
    <w:rsid w:val="00061337"/>
    <w:rsid w:val="00063B1E"/>
    <w:rsid w:val="00063BFC"/>
    <w:rsid w:val="00063CD4"/>
    <w:rsid w:val="00063FA6"/>
    <w:rsid w:val="00064E01"/>
    <w:rsid w:val="000652D5"/>
    <w:rsid w:val="000656B0"/>
    <w:rsid w:val="000656FB"/>
    <w:rsid w:val="000665B2"/>
    <w:rsid w:val="00070A97"/>
    <w:rsid w:val="00070CD9"/>
    <w:rsid w:val="000711BD"/>
    <w:rsid w:val="000728E2"/>
    <w:rsid w:val="00072D58"/>
    <w:rsid w:val="00072F6D"/>
    <w:rsid w:val="00073472"/>
    <w:rsid w:val="000734FE"/>
    <w:rsid w:val="00073E1D"/>
    <w:rsid w:val="0007418A"/>
    <w:rsid w:val="0007418E"/>
    <w:rsid w:val="000751EA"/>
    <w:rsid w:val="000753BC"/>
    <w:rsid w:val="000754EF"/>
    <w:rsid w:val="0007556E"/>
    <w:rsid w:val="00075EAB"/>
    <w:rsid w:val="000761DF"/>
    <w:rsid w:val="00076B3F"/>
    <w:rsid w:val="00076DD2"/>
    <w:rsid w:val="00077E60"/>
    <w:rsid w:val="0008025C"/>
    <w:rsid w:val="000817BA"/>
    <w:rsid w:val="0008180D"/>
    <w:rsid w:val="00081B70"/>
    <w:rsid w:val="00081F75"/>
    <w:rsid w:val="00081FC7"/>
    <w:rsid w:val="00082144"/>
    <w:rsid w:val="0008268D"/>
    <w:rsid w:val="000826A8"/>
    <w:rsid w:val="0008347A"/>
    <w:rsid w:val="00083BC1"/>
    <w:rsid w:val="00084A4A"/>
    <w:rsid w:val="00085694"/>
    <w:rsid w:val="00085EB0"/>
    <w:rsid w:val="0008691C"/>
    <w:rsid w:val="000869B0"/>
    <w:rsid w:val="000879F9"/>
    <w:rsid w:val="00087E2E"/>
    <w:rsid w:val="0009005F"/>
    <w:rsid w:val="00090319"/>
    <w:rsid w:val="000907A7"/>
    <w:rsid w:val="00090ADE"/>
    <w:rsid w:val="00090B37"/>
    <w:rsid w:val="00090B7A"/>
    <w:rsid w:val="00091EED"/>
    <w:rsid w:val="000920C9"/>
    <w:rsid w:val="000929B1"/>
    <w:rsid w:val="00092B2C"/>
    <w:rsid w:val="00093CB1"/>
    <w:rsid w:val="000944FA"/>
    <w:rsid w:val="000945C9"/>
    <w:rsid w:val="0009479D"/>
    <w:rsid w:val="00094F2A"/>
    <w:rsid w:val="00096712"/>
    <w:rsid w:val="000967D2"/>
    <w:rsid w:val="00096BE6"/>
    <w:rsid w:val="00097C5E"/>
    <w:rsid w:val="000A08CF"/>
    <w:rsid w:val="000A0A98"/>
    <w:rsid w:val="000A1136"/>
    <w:rsid w:val="000A1EFA"/>
    <w:rsid w:val="000A274A"/>
    <w:rsid w:val="000A2AE0"/>
    <w:rsid w:val="000A3A35"/>
    <w:rsid w:val="000A3CE4"/>
    <w:rsid w:val="000A405B"/>
    <w:rsid w:val="000A4582"/>
    <w:rsid w:val="000A4849"/>
    <w:rsid w:val="000A4FD2"/>
    <w:rsid w:val="000A629C"/>
    <w:rsid w:val="000A6EB2"/>
    <w:rsid w:val="000A7230"/>
    <w:rsid w:val="000A766A"/>
    <w:rsid w:val="000A7CBF"/>
    <w:rsid w:val="000B0499"/>
    <w:rsid w:val="000B0D25"/>
    <w:rsid w:val="000B0F5F"/>
    <w:rsid w:val="000B1B37"/>
    <w:rsid w:val="000B3172"/>
    <w:rsid w:val="000B337B"/>
    <w:rsid w:val="000B3452"/>
    <w:rsid w:val="000B3767"/>
    <w:rsid w:val="000B3A7A"/>
    <w:rsid w:val="000B4408"/>
    <w:rsid w:val="000B45B9"/>
    <w:rsid w:val="000B4668"/>
    <w:rsid w:val="000B46B2"/>
    <w:rsid w:val="000B46B5"/>
    <w:rsid w:val="000B5036"/>
    <w:rsid w:val="000B50DE"/>
    <w:rsid w:val="000B59E8"/>
    <w:rsid w:val="000B5F77"/>
    <w:rsid w:val="000B76D2"/>
    <w:rsid w:val="000B7DE7"/>
    <w:rsid w:val="000C32E4"/>
    <w:rsid w:val="000C37A7"/>
    <w:rsid w:val="000C3B16"/>
    <w:rsid w:val="000C3C15"/>
    <w:rsid w:val="000C4232"/>
    <w:rsid w:val="000C4E07"/>
    <w:rsid w:val="000C514C"/>
    <w:rsid w:val="000C56D5"/>
    <w:rsid w:val="000C626F"/>
    <w:rsid w:val="000C6609"/>
    <w:rsid w:val="000C68D1"/>
    <w:rsid w:val="000C6E71"/>
    <w:rsid w:val="000D0E8D"/>
    <w:rsid w:val="000D12C0"/>
    <w:rsid w:val="000D13C5"/>
    <w:rsid w:val="000D191C"/>
    <w:rsid w:val="000D1ECE"/>
    <w:rsid w:val="000D2193"/>
    <w:rsid w:val="000D24CA"/>
    <w:rsid w:val="000D298F"/>
    <w:rsid w:val="000D2D7D"/>
    <w:rsid w:val="000D575F"/>
    <w:rsid w:val="000D6586"/>
    <w:rsid w:val="000D65B2"/>
    <w:rsid w:val="000D762A"/>
    <w:rsid w:val="000D7DAD"/>
    <w:rsid w:val="000E0691"/>
    <w:rsid w:val="000E1177"/>
    <w:rsid w:val="000E1279"/>
    <w:rsid w:val="000E19C8"/>
    <w:rsid w:val="000E19CB"/>
    <w:rsid w:val="000E1A14"/>
    <w:rsid w:val="000E1B39"/>
    <w:rsid w:val="000E1E58"/>
    <w:rsid w:val="000E28A4"/>
    <w:rsid w:val="000E291E"/>
    <w:rsid w:val="000E2C26"/>
    <w:rsid w:val="000E4079"/>
    <w:rsid w:val="000E40D1"/>
    <w:rsid w:val="000E4F0C"/>
    <w:rsid w:val="000E4F40"/>
    <w:rsid w:val="000E507F"/>
    <w:rsid w:val="000E59DA"/>
    <w:rsid w:val="000E5FA4"/>
    <w:rsid w:val="000E6AF5"/>
    <w:rsid w:val="000F0211"/>
    <w:rsid w:val="000F035C"/>
    <w:rsid w:val="000F042E"/>
    <w:rsid w:val="000F082B"/>
    <w:rsid w:val="000F0B7B"/>
    <w:rsid w:val="000F0C36"/>
    <w:rsid w:val="000F0CF6"/>
    <w:rsid w:val="000F0D32"/>
    <w:rsid w:val="000F171F"/>
    <w:rsid w:val="000F1DB1"/>
    <w:rsid w:val="000F1E72"/>
    <w:rsid w:val="000F2B5D"/>
    <w:rsid w:val="000F356B"/>
    <w:rsid w:val="000F3963"/>
    <w:rsid w:val="000F3CAA"/>
    <w:rsid w:val="000F4500"/>
    <w:rsid w:val="000F469A"/>
    <w:rsid w:val="000F49ED"/>
    <w:rsid w:val="000F4FAB"/>
    <w:rsid w:val="000F58B8"/>
    <w:rsid w:val="000F5C1A"/>
    <w:rsid w:val="000F6023"/>
    <w:rsid w:val="000F65EF"/>
    <w:rsid w:val="000F7B30"/>
    <w:rsid w:val="000F7F1F"/>
    <w:rsid w:val="001010B8"/>
    <w:rsid w:val="00101B88"/>
    <w:rsid w:val="00101F1F"/>
    <w:rsid w:val="0010283C"/>
    <w:rsid w:val="00102867"/>
    <w:rsid w:val="001028C9"/>
    <w:rsid w:val="0010374F"/>
    <w:rsid w:val="001048F4"/>
    <w:rsid w:val="00104DB2"/>
    <w:rsid w:val="00104EEE"/>
    <w:rsid w:val="001057FB"/>
    <w:rsid w:val="00105D25"/>
    <w:rsid w:val="0010678E"/>
    <w:rsid w:val="001068A3"/>
    <w:rsid w:val="00106B7F"/>
    <w:rsid w:val="00106DEC"/>
    <w:rsid w:val="00106DFB"/>
    <w:rsid w:val="0010741E"/>
    <w:rsid w:val="00107BF5"/>
    <w:rsid w:val="00107CF8"/>
    <w:rsid w:val="0011019E"/>
    <w:rsid w:val="00110372"/>
    <w:rsid w:val="0011055B"/>
    <w:rsid w:val="00111282"/>
    <w:rsid w:val="001112A1"/>
    <w:rsid w:val="0011174A"/>
    <w:rsid w:val="00111875"/>
    <w:rsid w:val="00111A43"/>
    <w:rsid w:val="00111BCB"/>
    <w:rsid w:val="00111E6D"/>
    <w:rsid w:val="001123EB"/>
    <w:rsid w:val="0011246C"/>
    <w:rsid w:val="001124E0"/>
    <w:rsid w:val="00112BC0"/>
    <w:rsid w:val="00112E7E"/>
    <w:rsid w:val="001133AC"/>
    <w:rsid w:val="00113994"/>
    <w:rsid w:val="00113DB7"/>
    <w:rsid w:val="00114518"/>
    <w:rsid w:val="00114C15"/>
    <w:rsid w:val="00114C5F"/>
    <w:rsid w:val="00114F5F"/>
    <w:rsid w:val="00115A12"/>
    <w:rsid w:val="00115B20"/>
    <w:rsid w:val="00116019"/>
    <w:rsid w:val="0011636F"/>
    <w:rsid w:val="001168C3"/>
    <w:rsid w:val="0011747E"/>
    <w:rsid w:val="001174C0"/>
    <w:rsid w:val="00117BBB"/>
    <w:rsid w:val="00117BCE"/>
    <w:rsid w:val="00117F06"/>
    <w:rsid w:val="0012078E"/>
    <w:rsid w:val="00120DFF"/>
    <w:rsid w:val="0012119C"/>
    <w:rsid w:val="00121F49"/>
    <w:rsid w:val="0012201D"/>
    <w:rsid w:val="0012284C"/>
    <w:rsid w:val="00122FCA"/>
    <w:rsid w:val="00123FDC"/>
    <w:rsid w:val="0012427F"/>
    <w:rsid w:val="0012465F"/>
    <w:rsid w:val="001247D7"/>
    <w:rsid w:val="0012522F"/>
    <w:rsid w:val="0012594F"/>
    <w:rsid w:val="0012618F"/>
    <w:rsid w:val="00126DE2"/>
    <w:rsid w:val="0012738A"/>
    <w:rsid w:val="00130CF7"/>
    <w:rsid w:val="00130FC4"/>
    <w:rsid w:val="0013109B"/>
    <w:rsid w:val="001311D2"/>
    <w:rsid w:val="00131851"/>
    <w:rsid w:val="00133588"/>
    <w:rsid w:val="00133BD2"/>
    <w:rsid w:val="001343E4"/>
    <w:rsid w:val="00134CDF"/>
    <w:rsid w:val="00135117"/>
    <w:rsid w:val="00135245"/>
    <w:rsid w:val="00135A42"/>
    <w:rsid w:val="001369F8"/>
    <w:rsid w:val="00136AAD"/>
    <w:rsid w:val="0013707E"/>
    <w:rsid w:val="0013740F"/>
    <w:rsid w:val="00137487"/>
    <w:rsid w:val="00140110"/>
    <w:rsid w:val="001416FA"/>
    <w:rsid w:val="00141A77"/>
    <w:rsid w:val="00141EB8"/>
    <w:rsid w:val="0014204E"/>
    <w:rsid w:val="0014224F"/>
    <w:rsid w:val="0014298F"/>
    <w:rsid w:val="00142B6C"/>
    <w:rsid w:val="00142DF1"/>
    <w:rsid w:val="00142EF0"/>
    <w:rsid w:val="00142EFA"/>
    <w:rsid w:val="00143952"/>
    <w:rsid w:val="00143A0B"/>
    <w:rsid w:val="0014400A"/>
    <w:rsid w:val="001451AF"/>
    <w:rsid w:val="00145270"/>
    <w:rsid w:val="00145A37"/>
    <w:rsid w:val="00145CF3"/>
    <w:rsid w:val="0014609D"/>
    <w:rsid w:val="00146784"/>
    <w:rsid w:val="00147A15"/>
    <w:rsid w:val="001502D5"/>
    <w:rsid w:val="00150513"/>
    <w:rsid w:val="00150D33"/>
    <w:rsid w:val="00150E24"/>
    <w:rsid w:val="001511C3"/>
    <w:rsid w:val="0015142A"/>
    <w:rsid w:val="00151947"/>
    <w:rsid w:val="00151AE5"/>
    <w:rsid w:val="00151BA0"/>
    <w:rsid w:val="00151C86"/>
    <w:rsid w:val="00152AA1"/>
    <w:rsid w:val="00153BEE"/>
    <w:rsid w:val="00153CAE"/>
    <w:rsid w:val="001543A0"/>
    <w:rsid w:val="00154A3E"/>
    <w:rsid w:val="00155208"/>
    <w:rsid w:val="001563FD"/>
    <w:rsid w:val="00157746"/>
    <w:rsid w:val="00157AB1"/>
    <w:rsid w:val="00157D68"/>
    <w:rsid w:val="00160067"/>
    <w:rsid w:val="00161008"/>
    <w:rsid w:val="001610D9"/>
    <w:rsid w:val="00161E7C"/>
    <w:rsid w:val="0016207F"/>
    <w:rsid w:val="00162F94"/>
    <w:rsid w:val="00164AF3"/>
    <w:rsid w:val="00165C1F"/>
    <w:rsid w:val="00166968"/>
    <w:rsid w:val="001671A6"/>
    <w:rsid w:val="001671E9"/>
    <w:rsid w:val="0016728C"/>
    <w:rsid w:val="001704F3"/>
    <w:rsid w:val="0017067B"/>
    <w:rsid w:val="00171C21"/>
    <w:rsid w:val="0017218A"/>
    <w:rsid w:val="00172927"/>
    <w:rsid w:val="00172A69"/>
    <w:rsid w:val="00172F5E"/>
    <w:rsid w:val="001734C7"/>
    <w:rsid w:val="00173F71"/>
    <w:rsid w:val="001743C2"/>
    <w:rsid w:val="00174609"/>
    <w:rsid w:val="00174781"/>
    <w:rsid w:val="001749EC"/>
    <w:rsid w:val="001756A5"/>
    <w:rsid w:val="001756D4"/>
    <w:rsid w:val="001757B5"/>
    <w:rsid w:val="0017626B"/>
    <w:rsid w:val="001762EE"/>
    <w:rsid w:val="001764EA"/>
    <w:rsid w:val="001769A8"/>
    <w:rsid w:val="00176C40"/>
    <w:rsid w:val="00176DC0"/>
    <w:rsid w:val="00176F1C"/>
    <w:rsid w:val="00177608"/>
    <w:rsid w:val="001802D0"/>
    <w:rsid w:val="00180359"/>
    <w:rsid w:val="001805CA"/>
    <w:rsid w:val="00180B43"/>
    <w:rsid w:val="001815F6"/>
    <w:rsid w:val="00181771"/>
    <w:rsid w:val="0018198E"/>
    <w:rsid w:val="00181A4F"/>
    <w:rsid w:val="00181E94"/>
    <w:rsid w:val="00182771"/>
    <w:rsid w:val="00182F3F"/>
    <w:rsid w:val="00183003"/>
    <w:rsid w:val="0018332E"/>
    <w:rsid w:val="00183383"/>
    <w:rsid w:val="0018356A"/>
    <w:rsid w:val="00183DFB"/>
    <w:rsid w:val="00184094"/>
    <w:rsid w:val="00184462"/>
    <w:rsid w:val="00184641"/>
    <w:rsid w:val="00184987"/>
    <w:rsid w:val="00184F0A"/>
    <w:rsid w:val="001853E7"/>
    <w:rsid w:val="00185A3B"/>
    <w:rsid w:val="00185B60"/>
    <w:rsid w:val="00186817"/>
    <w:rsid w:val="001870FC"/>
    <w:rsid w:val="00187631"/>
    <w:rsid w:val="001876C6"/>
    <w:rsid w:val="001906CF"/>
    <w:rsid w:val="001922BD"/>
    <w:rsid w:val="001932FF"/>
    <w:rsid w:val="001943AD"/>
    <w:rsid w:val="00194AE8"/>
    <w:rsid w:val="00194FFF"/>
    <w:rsid w:val="001954A0"/>
    <w:rsid w:val="00195F68"/>
    <w:rsid w:val="00196AB7"/>
    <w:rsid w:val="00196C76"/>
    <w:rsid w:val="00197DF8"/>
    <w:rsid w:val="001A000F"/>
    <w:rsid w:val="001A0434"/>
    <w:rsid w:val="001A07B6"/>
    <w:rsid w:val="001A0E95"/>
    <w:rsid w:val="001A1141"/>
    <w:rsid w:val="001A1A4E"/>
    <w:rsid w:val="001A1C3C"/>
    <w:rsid w:val="001A218B"/>
    <w:rsid w:val="001A239E"/>
    <w:rsid w:val="001A2861"/>
    <w:rsid w:val="001A34C6"/>
    <w:rsid w:val="001A39BC"/>
    <w:rsid w:val="001A3F8E"/>
    <w:rsid w:val="001A4013"/>
    <w:rsid w:val="001A41D6"/>
    <w:rsid w:val="001A56DA"/>
    <w:rsid w:val="001A5FEA"/>
    <w:rsid w:val="001A6068"/>
    <w:rsid w:val="001A621A"/>
    <w:rsid w:val="001A67AA"/>
    <w:rsid w:val="001A6AB8"/>
    <w:rsid w:val="001B05AC"/>
    <w:rsid w:val="001B0F84"/>
    <w:rsid w:val="001B12FD"/>
    <w:rsid w:val="001B131B"/>
    <w:rsid w:val="001B1C64"/>
    <w:rsid w:val="001B2155"/>
    <w:rsid w:val="001B2A6C"/>
    <w:rsid w:val="001B2BA3"/>
    <w:rsid w:val="001B2BFE"/>
    <w:rsid w:val="001B4745"/>
    <w:rsid w:val="001B4F35"/>
    <w:rsid w:val="001B5076"/>
    <w:rsid w:val="001B5335"/>
    <w:rsid w:val="001B587F"/>
    <w:rsid w:val="001B5B97"/>
    <w:rsid w:val="001B60A3"/>
    <w:rsid w:val="001B7116"/>
    <w:rsid w:val="001B7E04"/>
    <w:rsid w:val="001C072C"/>
    <w:rsid w:val="001C09FD"/>
    <w:rsid w:val="001C0B64"/>
    <w:rsid w:val="001C0CCB"/>
    <w:rsid w:val="001C101E"/>
    <w:rsid w:val="001C17BB"/>
    <w:rsid w:val="001C1D9B"/>
    <w:rsid w:val="001C1FDD"/>
    <w:rsid w:val="001C2B22"/>
    <w:rsid w:val="001C2FEE"/>
    <w:rsid w:val="001C3299"/>
    <w:rsid w:val="001C348B"/>
    <w:rsid w:val="001C48A5"/>
    <w:rsid w:val="001C4DC9"/>
    <w:rsid w:val="001C5218"/>
    <w:rsid w:val="001C61DC"/>
    <w:rsid w:val="001C676F"/>
    <w:rsid w:val="001C6BDA"/>
    <w:rsid w:val="001C6ED4"/>
    <w:rsid w:val="001D071C"/>
    <w:rsid w:val="001D0A6E"/>
    <w:rsid w:val="001D104F"/>
    <w:rsid w:val="001D1362"/>
    <w:rsid w:val="001D16CD"/>
    <w:rsid w:val="001D22EA"/>
    <w:rsid w:val="001D28C5"/>
    <w:rsid w:val="001D2E2B"/>
    <w:rsid w:val="001D2EAC"/>
    <w:rsid w:val="001D34A2"/>
    <w:rsid w:val="001D3923"/>
    <w:rsid w:val="001D3A5C"/>
    <w:rsid w:val="001D3F86"/>
    <w:rsid w:val="001D44FD"/>
    <w:rsid w:val="001D4500"/>
    <w:rsid w:val="001D455F"/>
    <w:rsid w:val="001D4677"/>
    <w:rsid w:val="001D4847"/>
    <w:rsid w:val="001D4ACD"/>
    <w:rsid w:val="001D4E1B"/>
    <w:rsid w:val="001D51B6"/>
    <w:rsid w:val="001D5A53"/>
    <w:rsid w:val="001D6662"/>
    <w:rsid w:val="001D6CB3"/>
    <w:rsid w:val="001D7020"/>
    <w:rsid w:val="001D7523"/>
    <w:rsid w:val="001D7FC7"/>
    <w:rsid w:val="001E1F5B"/>
    <w:rsid w:val="001E1F76"/>
    <w:rsid w:val="001E2100"/>
    <w:rsid w:val="001E212D"/>
    <w:rsid w:val="001E2358"/>
    <w:rsid w:val="001E2431"/>
    <w:rsid w:val="001E247B"/>
    <w:rsid w:val="001E29E5"/>
    <w:rsid w:val="001E2E1F"/>
    <w:rsid w:val="001E3342"/>
    <w:rsid w:val="001E3AA0"/>
    <w:rsid w:val="001E4D33"/>
    <w:rsid w:val="001E4F8B"/>
    <w:rsid w:val="001E51DF"/>
    <w:rsid w:val="001E55CD"/>
    <w:rsid w:val="001E6032"/>
    <w:rsid w:val="001E61AB"/>
    <w:rsid w:val="001E64A7"/>
    <w:rsid w:val="001E79A3"/>
    <w:rsid w:val="001F022E"/>
    <w:rsid w:val="001F0DE6"/>
    <w:rsid w:val="001F105D"/>
    <w:rsid w:val="001F10CD"/>
    <w:rsid w:val="001F1453"/>
    <w:rsid w:val="001F16DD"/>
    <w:rsid w:val="001F2133"/>
    <w:rsid w:val="001F216A"/>
    <w:rsid w:val="001F3D21"/>
    <w:rsid w:val="001F408A"/>
    <w:rsid w:val="001F539B"/>
    <w:rsid w:val="001F5AF8"/>
    <w:rsid w:val="001F5D46"/>
    <w:rsid w:val="001F6090"/>
    <w:rsid w:val="001F6C94"/>
    <w:rsid w:val="001F781B"/>
    <w:rsid w:val="001F7B9D"/>
    <w:rsid w:val="001F7C08"/>
    <w:rsid w:val="00200037"/>
    <w:rsid w:val="002009C0"/>
    <w:rsid w:val="00200A96"/>
    <w:rsid w:val="00200AEC"/>
    <w:rsid w:val="00200D90"/>
    <w:rsid w:val="002019BF"/>
    <w:rsid w:val="00202BCD"/>
    <w:rsid w:val="00202E62"/>
    <w:rsid w:val="002034F7"/>
    <w:rsid w:val="002040FB"/>
    <w:rsid w:val="00204421"/>
    <w:rsid w:val="00204CE6"/>
    <w:rsid w:val="002053F1"/>
    <w:rsid w:val="0020576C"/>
    <w:rsid w:val="00205829"/>
    <w:rsid w:val="00205AF6"/>
    <w:rsid w:val="00205EB6"/>
    <w:rsid w:val="002060DB"/>
    <w:rsid w:val="00207E16"/>
    <w:rsid w:val="002102B9"/>
    <w:rsid w:val="00211580"/>
    <w:rsid w:val="00211604"/>
    <w:rsid w:val="00211FAF"/>
    <w:rsid w:val="002127ED"/>
    <w:rsid w:val="00214920"/>
    <w:rsid w:val="002163C4"/>
    <w:rsid w:val="002167BB"/>
    <w:rsid w:val="0021761E"/>
    <w:rsid w:val="00217A7E"/>
    <w:rsid w:val="00220128"/>
    <w:rsid w:val="002203E3"/>
    <w:rsid w:val="00220CFA"/>
    <w:rsid w:val="00221555"/>
    <w:rsid w:val="00222486"/>
    <w:rsid w:val="002226A2"/>
    <w:rsid w:val="00222C5A"/>
    <w:rsid w:val="00224AC5"/>
    <w:rsid w:val="00224BBF"/>
    <w:rsid w:val="00224D71"/>
    <w:rsid w:val="002253FF"/>
    <w:rsid w:val="00226C7B"/>
    <w:rsid w:val="002275E4"/>
    <w:rsid w:val="00227642"/>
    <w:rsid w:val="00231800"/>
    <w:rsid w:val="002322DE"/>
    <w:rsid w:val="00232559"/>
    <w:rsid w:val="002327D6"/>
    <w:rsid w:val="00232A1F"/>
    <w:rsid w:val="00232DFF"/>
    <w:rsid w:val="00232E15"/>
    <w:rsid w:val="00232E17"/>
    <w:rsid w:val="00233169"/>
    <w:rsid w:val="002334DF"/>
    <w:rsid w:val="00233A9F"/>
    <w:rsid w:val="00233C6E"/>
    <w:rsid w:val="00233EF0"/>
    <w:rsid w:val="002340E4"/>
    <w:rsid w:val="00234310"/>
    <w:rsid w:val="00234576"/>
    <w:rsid w:val="00234CCD"/>
    <w:rsid w:val="00234E21"/>
    <w:rsid w:val="002350D8"/>
    <w:rsid w:val="002361B0"/>
    <w:rsid w:val="0023637A"/>
    <w:rsid w:val="002368FB"/>
    <w:rsid w:val="00236AAF"/>
    <w:rsid w:val="00236B0F"/>
    <w:rsid w:val="00236B41"/>
    <w:rsid w:val="002408DD"/>
    <w:rsid w:val="0024096B"/>
    <w:rsid w:val="00240A53"/>
    <w:rsid w:val="00240C37"/>
    <w:rsid w:val="00240E82"/>
    <w:rsid w:val="00241143"/>
    <w:rsid w:val="00241373"/>
    <w:rsid w:val="002425DA"/>
    <w:rsid w:val="00242E29"/>
    <w:rsid w:val="002436C9"/>
    <w:rsid w:val="00243D35"/>
    <w:rsid w:val="0024529E"/>
    <w:rsid w:val="00245390"/>
    <w:rsid w:val="002453E8"/>
    <w:rsid w:val="00245538"/>
    <w:rsid w:val="00245994"/>
    <w:rsid w:val="00246440"/>
    <w:rsid w:val="00246CAA"/>
    <w:rsid w:val="00246D17"/>
    <w:rsid w:val="0024701F"/>
    <w:rsid w:val="00247049"/>
    <w:rsid w:val="0024712C"/>
    <w:rsid w:val="002477DB"/>
    <w:rsid w:val="0024789B"/>
    <w:rsid w:val="00247947"/>
    <w:rsid w:val="00247CEC"/>
    <w:rsid w:val="00250522"/>
    <w:rsid w:val="00250864"/>
    <w:rsid w:val="0025103B"/>
    <w:rsid w:val="002516E2"/>
    <w:rsid w:val="00251CB1"/>
    <w:rsid w:val="002524A2"/>
    <w:rsid w:val="0025279A"/>
    <w:rsid w:val="00253174"/>
    <w:rsid w:val="00253D65"/>
    <w:rsid w:val="0025475E"/>
    <w:rsid w:val="00254BAD"/>
    <w:rsid w:val="0025502F"/>
    <w:rsid w:val="0025506C"/>
    <w:rsid w:val="00255D02"/>
    <w:rsid w:val="00255EC3"/>
    <w:rsid w:val="00256B9E"/>
    <w:rsid w:val="00257860"/>
    <w:rsid w:val="00257FC6"/>
    <w:rsid w:val="0026017E"/>
    <w:rsid w:val="002601A6"/>
    <w:rsid w:val="00260581"/>
    <w:rsid w:val="00260A14"/>
    <w:rsid w:val="002613F5"/>
    <w:rsid w:val="0026142D"/>
    <w:rsid w:val="0026149E"/>
    <w:rsid w:val="002617BB"/>
    <w:rsid w:val="00261BB1"/>
    <w:rsid w:val="00261D86"/>
    <w:rsid w:val="00261FBE"/>
    <w:rsid w:val="002622FE"/>
    <w:rsid w:val="002636C2"/>
    <w:rsid w:val="0026471E"/>
    <w:rsid w:val="002649DC"/>
    <w:rsid w:val="00264E9B"/>
    <w:rsid w:val="00264EDA"/>
    <w:rsid w:val="00265762"/>
    <w:rsid w:val="002660E5"/>
    <w:rsid w:val="002664C4"/>
    <w:rsid w:val="00266EF0"/>
    <w:rsid w:val="0026748D"/>
    <w:rsid w:val="002674AA"/>
    <w:rsid w:val="002675E2"/>
    <w:rsid w:val="00267F3B"/>
    <w:rsid w:val="002701AC"/>
    <w:rsid w:val="00270322"/>
    <w:rsid w:val="002703B6"/>
    <w:rsid w:val="00270690"/>
    <w:rsid w:val="00270B86"/>
    <w:rsid w:val="002711DF"/>
    <w:rsid w:val="002712F1"/>
    <w:rsid w:val="00271651"/>
    <w:rsid w:val="0027169A"/>
    <w:rsid w:val="00271ACE"/>
    <w:rsid w:val="0027211D"/>
    <w:rsid w:val="002746CA"/>
    <w:rsid w:val="00274A4C"/>
    <w:rsid w:val="00274B75"/>
    <w:rsid w:val="00274C2F"/>
    <w:rsid w:val="002750DD"/>
    <w:rsid w:val="002751A8"/>
    <w:rsid w:val="002751FA"/>
    <w:rsid w:val="00275253"/>
    <w:rsid w:val="0027699A"/>
    <w:rsid w:val="00280707"/>
    <w:rsid w:val="002809D9"/>
    <w:rsid w:val="00280E59"/>
    <w:rsid w:val="002829DE"/>
    <w:rsid w:val="00282A29"/>
    <w:rsid w:val="00282E7C"/>
    <w:rsid w:val="00283109"/>
    <w:rsid w:val="00283600"/>
    <w:rsid w:val="00283A8F"/>
    <w:rsid w:val="00283AE6"/>
    <w:rsid w:val="002855AE"/>
    <w:rsid w:val="00285C42"/>
    <w:rsid w:val="002862F3"/>
    <w:rsid w:val="002865ED"/>
    <w:rsid w:val="00286D3A"/>
    <w:rsid w:val="002905FF"/>
    <w:rsid w:val="0029080A"/>
    <w:rsid w:val="00290C2F"/>
    <w:rsid w:val="00290F6E"/>
    <w:rsid w:val="00291649"/>
    <w:rsid w:val="00291BA6"/>
    <w:rsid w:val="00292B90"/>
    <w:rsid w:val="00292ED8"/>
    <w:rsid w:val="0029376E"/>
    <w:rsid w:val="00294305"/>
    <w:rsid w:val="00294C56"/>
    <w:rsid w:val="002955BA"/>
    <w:rsid w:val="0029580A"/>
    <w:rsid w:val="00295AD7"/>
    <w:rsid w:val="00296314"/>
    <w:rsid w:val="002971CE"/>
    <w:rsid w:val="00297342"/>
    <w:rsid w:val="0029784D"/>
    <w:rsid w:val="00297889"/>
    <w:rsid w:val="002979E5"/>
    <w:rsid w:val="00297A45"/>
    <w:rsid w:val="00297ABD"/>
    <w:rsid w:val="00297CA2"/>
    <w:rsid w:val="002A00A8"/>
    <w:rsid w:val="002A0729"/>
    <w:rsid w:val="002A0904"/>
    <w:rsid w:val="002A09A3"/>
    <w:rsid w:val="002A0E8A"/>
    <w:rsid w:val="002A123D"/>
    <w:rsid w:val="002A15BA"/>
    <w:rsid w:val="002A22A9"/>
    <w:rsid w:val="002A24B2"/>
    <w:rsid w:val="002A272C"/>
    <w:rsid w:val="002A3810"/>
    <w:rsid w:val="002A45AF"/>
    <w:rsid w:val="002A46A3"/>
    <w:rsid w:val="002A5950"/>
    <w:rsid w:val="002A5CAF"/>
    <w:rsid w:val="002A5F97"/>
    <w:rsid w:val="002A6318"/>
    <w:rsid w:val="002A647E"/>
    <w:rsid w:val="002A6781"/>
    <w:rsid w:val="002A68D9"/>
    <w:rsid w:val="002A6B52"/>
    <w:rsid w:val="002A7868"/>
    <w:rsid w:val="002A7DD6"/>
    <w:rsid w:val="002B0165"/>
    <w:rsid w:val="002B020D"/>
    <w:rsid w:val="002B065B"/>
    <w:rsid w:val="002B32B5"/>
    <w:rsid w:val="002B337B"/>
    <w:rsid w:val="002B3604"/>
    <w:rsid w:val="002B36FD"/>
    <w:rsid w:val="002B5A19"/>
    <w:rsid w:val="002B798B"/>
    <w:rsid w:val="002B7CF8"/>
    <w:rsid w:val="002C041A"/>
    <w:rsid w:val="002C054A"/>
    <w:rsid w:val="002C05C6"/>
    <w:rsid w:val="002C075D"/>
    <w:rsid w:val="002C0792"/>
    <w:rsid w:val="002C18AA"/>
    <w:rsid w:val="002C1B8F"/>
    <w:rsid w:val="002C1E4B"/>
    <w:rsid w:val="002C2225"/>
    <w:rsid w:val="002C2BC8"/>
    <w:rsid w:val="002C31E7"/>
    <w:rsid w:val="002C4408"/>
    <w:rsid w:val="002C4614"/>
    <w:rsid w:val="002C55B2"/>
    <w:rsid w:val="002C5B28"/>
    <w:rsid w:val="002C622D"/>
    <w:rsid w:val="002C671C"/>
    <w:rsid w:val="002C7911"/>
    <w:rsid w:val="002D06A3"/>
    <w:rsid w:val="002D1ACD"/>
    <w:rsid w:val="002D3104"/>
    <w:rsid w:val="002D331C"/>
    <w:rsid w:val="002D401E"/>
    <w:rsid w:val="002D502D"/>
    <w:rsid w:val="002D50E5"/>
    <w:rsid w:val="002D5514"/>
    <w:rsid w:val="002D5801"/>
    <w:rsid w:val="002D5F97"/>
    <w:rsid w:val="002D601A"/>
    <w:rsid w:val="002D652E"/>
    <w:rsid w:val="002D6FFE"/>
    <w:rsid w:val="002D7488"/>
    <w:rsid w:val="002D7BF0"/>
    <w:rsid w:val="002E1200"/>
    <w:rsid w:val="002E1644"/>
    <w:rsid w:val="002E1809"/>
    <w:rsid w:val="002E2194"/>
    <w:rsid w:val="002E26A4"/>
    <w:rsid w:val="002E2C9E"/>
    <w:rsid w:val="002E301F"/>
    <w:rsid w:val="002E45F4"/>
    <w:rsid w:val="002E4DA8"/>
    <w:rsid w:val="002E52C3"/>
    <w:rsid w:val="002E53CB"/>
    <w:rsid w:val="002E5442"/>
    <w:rsid w:val="002E56CA"/>
    <w:rsid w:val="002E58FA"/>
    <w:rsid w:val="002E7B49"/>
    <w:rsid w:val="002E7D96"/>
    <w:rsid w:val="002F05C1"/>
    <w:rsid w:val="002F0E94"/>
    <w:rsid w:val="002F130F"/>
    <w:rsid w:val="002F1794"/>
    <w:rsid w:val="002F2276"/>
    <w:rsid w:val="002F29B0"/>
    <w:rsid w:val="002F3921"/>
    <w:rsid w:val="002F3F08"/>
    <w:rsid w:val="002F43FA"/>
    <w:rsid w:val="002F4483"/>
    <w:rsid w:val="002F45D8"/>
    <w:rsid w:val="002F4A53"/>
    <w:rsid w:val="002F502E"/>
    <w:rsid w:val="002F5324"/>
    <w:rsid w:val="002F61F0"/>
    <w:rsid w:val="002F6701"/>
    <w:rsid w:val="002F6D2C"/>
    <w:rsid w:val="002F7048"/>
    <w:rsid w:val="00300280"/>
    <w:rsid w:val="00300569"/>
    <w:rsid w:val="00300C70"/>
    <w:rsid w:val="0030179C"/>
    <w:rsid w:val="00301C04"/>
    <w:rsid w:val="003030DD"/>
    <w:rsid w:val="00303D57"/>
    <w:rsid w:val="00303F56"/>
    <w:rsid w:val="00304476"/>
    <w:rsid w:val="00304966"/>
    <w:rsid w:val="00305011"/>
    <w:rsid w:val="0030546B"/>
    <w:rsid w:val="00306757"/>
    <w:rsid w:val="00306955"/>
    <w:rsid w:val="003071E8"/>
    <w:rsid w:val="00307F1E"/>
    <w:rsid w:val="003102A4"/>
    <w:rsid w:val="00312C9E"/>
    <w:rsid w:val="00312F6E"/>
    <w:rsid w:val="003137EE"/>
    <w:rsid w:val="00313913"/>
    <w:rsid w:val="00313C13"/>
    <w:rsid w:val="00313F52"/>
    <w:rsid w:val="0031426C"/>
    <w:rsid w:val="0031468A"/>
    <w:rsid w:val="00314F46"/>
    <w:rsid w:val="003157CB"/>
    <w:rsid w:val="003157E0"/>
    <w:rsid w:val="00316D78"/>
    <w:rsid w:val="003176F9"/>
    <w:rsid w:val="003200A3"/>
    <w:rsid w:val="003200BA"/>
    <w:rsid w:val="0032029B"/>
    <w:rsid w:val="00320CB1"/>
    <w:rsid w:val="0032110C"/>
    <w:rsid w:val="00321D58"/>
    <w:rsid w:val="00322156"/>
    <w:rsid w:val="0032270A"/>
    <w:rsid w:val="003230A6"/>
    <w:rsid w:val="00323F33"/>
    <w:rsid w:val="00324454"/>
    <w:rsid w:val="00325783"/>
    <w:rsid w:val="00330565"/>
    <w:rsid w:val="0033109E"/>
    <w:rsid w:val="00331A56"/>
    <w:rsid w:val="00331CB5"/>
    <w:rsid w:val="00332FDA"/>
    <w:rsid w:val="00333B5F"/>
    <w:rsid w:val="00333CD4"/>
    <w:rsid w:val="00334077"/>
    <w:rsid w:val="0033512B"/>
    <w:rsid w:val="003354E3"/>
    <w:rsid w:val="003358EB"/>
    <w:rsid w:val="00335A67"/>
    <w:rsid w:val="00336D5B"/>
    <w:rsid w:val="0033709E"/>
    <w:rsid w:val="00340291"/>
    <w:rsid w:val="00340449"/>
    <w:rsid w:val="00340F7B"/>
    <w:rsid w:val="0034187F"/>
    <w:rsid w:val="0034249D"/>
    <w:rsid w:val="00342CC1"/>
    <w:rsid w:val="0034383B"/>
    <w:rsid w:val="00344438"/>
    <w:rsid w:val="00344A53"/>
    <w:rsid w:val="003460D9"/>
    <w:rsid w:val="00346486"/>
    <w:rsid w:val="003467AE"/>
    <w:rsid w:val="003467BC"/>
    <w:rsid w:val="00346985"/>
    <w:rsid w:val="00346EDE"/>
    <w:rsid w:val="00347FF8"/>
    <w:rsid w:val="00350319"/>
    <w:rsid w:val="003505F4"/>
    <w:rsid w:val="003507B8"/>
    <w:rsid w:val="0035081A"/>
    <w:rsid w:val="00350834"/>
    <w:rsid w:val="00350CC2"/>
    <w:rsid w:val="00352313"/>
    <w:rsid w:val="0035390A"/>
    <w:rsid w:val="00353B81"/>
    <w:rsid w:val="003557AA"/>
    <w:rsid w:val="00355F96"/>
    <w:rsid w:val="00355FAA"/>
    <w:rsid w:val="003567C3"/>
    <w:rsid w:val="00356992"/>
    <w:rsid w:val="00357078"/>
    <w:rsid w:val="00357D92"/>
    <w:rsid w:val="00360B29"/>
    <w:rsid w:val="003613A1"/>
    <w:rsid w:val="00361423"/>
    <w:rsid w:val="0036152A"/>
    <w:rsid w:val="00361AF3"/>
    <w:rsid w:val="00361E60"/>
    <w:rsid w:val="00361E8E"/>
    <w:rsid w:val="00362271"/>
    <w:rsid w:val="00362543"/>
    <w:rsid w:val="00362625"/>
    <w:rsid w:val="00363531"/>
    <w:rsid w:val="0036452E"/>
    <w:rsid w:val="00364674"/>
    <w:rsid w:val="0036561E"/>
    <w:rsid w:val="0036568E"/>
    <w:rsid w:val="00365E58"/>
    <w:rsid w:val="0036620C"/>
    <w:rsid w:val="003664CE"/>
    <w:rsid w:val="00367BAC"/>
    <w:rsid w:val="00367EA6"/>
    <w:rsid w:val="00372297"/>
    <w:rsid w:val="003729C8"/>
    <w:rsid w:val="003730E2"/>
    <w:rsid w:val="00373463"/>
    <w:rsid w:val="00373597"/>
    <w:rsid w:val="003745FB"/>
    <w:rsid w:val="00374A17"/>
    <w:rsid w:val="00374CC7"/>
    <w:rsid w:val="00375F6A"/>
    <w:rsid w:val="0037645F"/>
    <w:rsid w:val="003766D6"/>
    <w:rsid w:val="0037756C"/>
    <w:rsid w:val="003805D7"/>
    <w:rsid w:val="003813DC"/>
    <w:rsid w:val="00381640"/>
    <w:rsid w:val="00381BB6"/>
    <w:rsid w:val="00381BEB"/>
    <w:rsid w:val="003827BC"/>
    <w:rsid w:val="00382815"/>
    <w:rsid w:val="00382A5A"/>
    <w:rsid w:val="00382B8E"/>
    <w:rsid w:val="00383543"/>
    <w:rsid w:val="00384AFB"/>
    <w:rsid w:val="003857FC"/>
    <w:rsid w:val="003859E7"/>
    <w:rsid w:val="003859E8"/>
    <w:rsid w:val="00385EC2"/>
    <w:rsid w:val="003868B9"/>
    <w:rsid w:val="00386EDF"/>
    <w:rsid w:val="003871E6"/>
    <w:rsid w:val="0038730D"/>
    <w:rsid w:val="00387DD4"/>
    <w:rsid w:val="00390519"/>
    <w:rsid w:val="00391A25"/>
    <w:rsid w:val="00391D5F"/>
    <w:rsid w:val="00391F3E"/>
    <w:rsid w:val="0039231F"/>
    <w:rsid w:val="00392920"/>
    <w:rsid w:val="00392E57"/>
    <w:rsid w:val="00392E7A"/>
    <w:rsid w:val="00392F3D"/>
    <w:rsid w:val="003930F5"/>
    <w:rsid w:val="00393343"/>
    <w:rsid w:val="00394E6D"/>
    <w:rsid w:val="00395641"/>
    <w:rsid w:val="00395798"/>
    <w:rsid w:val="00395C83"/>
    <w:rsid w:val="00395CB9"/>
    <w:rsid w:val="00396176"/>
    <w:rsid w:val="003963A6"/>
    <w:rsid w:val="003963FA"/>
    <w:rsid w:val="0039648A"/>
    <w:rsid w:val="00396AB7"/>
    <w:rsid w:val="00396C32"/>
    <w:rsid w:val="00397822"/>
    <w:rsid w:val="003978D4"/>
    <w:rsid w:val="003A0665"/>
    <w:rsid w:val="003A2CBF"/>
    <w:rsid w:val="003A338A"/>
    <w:rsid w:val="003A344A"/>
    <w:rsid w:val="003A3AA9"/>
    <w:rsid w:val="003A3EC7"/>
    <w:rsid w:val="003A3F08"/>
    <w:rsid w:val="003A3F47"/>
    <w:rsid w:val="003A443F"/>
    <w:rsid w:val="003A4606"/>
    <w:rsid w:val="003A4BC4"/>
    <w:rsid w:val="003A6292"/>
    <w:rsid w:val="003A66C5"/>
    <w:rsid w:val="003A75C3"/>
    <w:rsid w:val="003B087D"/>
    <w:rsid w:val="003B0F87"/>
    <w:rsid w:val="003B1125"/>
    <w:rsid w:val="003B150E"/>
    <w:rsid w:val="003B1ACC"/>
    <w:rsid w:val="003B302C"/>
    <w:rsid w:val="003B3842"/>
    <w:rsid w:val="003B3DA0"/>
    <w:rsid w:val="003B421D"/>
    <w:rsid w:val="003B504D"/>
    <w:rsid w:val="003B50E6"/>
    <w:rsid w:val="003B574F"/>
    <w:rsid w:val="003B5E5C"/>
    <w:rsid w:val="003B612B"/>
    <w:rsid w:val="003B6265"/>
    <w:rsid w:val="003B6382"/>
    <w:rsid w:val="003B6790"/>
    <w:rsid w:val="003B6FFE"/>
    <w:rsid w:val="003B7174"/>
    <w:rsid w:val="003B77DD"/>
    <w:rsid w:val="003B79A6"/>
    <w:rsid w:val="003C008A"/>
    <w:rsid w:val="003C0732"/>
    <w:rsid w:val="003C133D"/>
    <w:rsid w:val="003C1D4E"/>
    <w:rsid w:val="003C1E92"/>
    <w:rsid w:val="003C3ABC"/>
    <w:rsid w:val="003C5853"/>
    <w:rsid w:val="003C5877"/>
    <w:rsid w:val="003C67A2"/>
    <w:rsid w:val="003C6EC4"/>
    <w:rsid w:val="003C7981"/>
    <w:rsid w:val="003D0DCA"/>
    <w:rsid w:val="003D1CA2"/>
    <w:rsid w:val="003D2763"/>
    <w:rsid w:val="003D2A82"/>
    <w:rsid w:val="003D30F7"/>
    <w:rsid w:val="003D34CB"/>
    <w:rsid w:val="003D389B"/>
    <w:rsid w:val="003D3AA4"/>
    <w:rsid w:val="003D4338"/>
    <w:rsid w:val="003D468B"/>
    <w:rsid w:val="003D4B8B"/>
    <w:rsid w:val="003D50F3"/>
    <w:rsid w:val="003D5345"/>
    <w:rsid w:val="003D62E1"/>
    <w:rsid w:val="003D7E24"/>
    <w:rsid w:val="003D7F6E"/>
    <w:rsid w:val="003E0B64"/>
    <w:rsid w:val="003E0F95"/>
    <w:rsid w:val="003E2584"/>
    <w:rsid w:val="003E2E4B"/>
    <w:rsid w:val="003E3AE0"/>
    <w:rsid w:val="003E5558"/>
    <w:rsid w:val="003E5B97"/>
    <w:rsid w:val="003E62B4"/>
    <w:rsid w:val="003E6B00"/>
    <w:rsid w:val="003E6D84"/>
    <w:rsid w:val="003E7928"/>
    <w:rsid w:val="003F0AF9"/>
    <w:rsid w:val="003F0BA3"/>
    <w:rsid w:val="003F0E05"/>
    <w:rsid w:val="003F1232"/>
    <w:rsid w:val="003F1422"/>
    <w:rsid w:val="003F163E"/>
    <w:rsid w:val="003F199A"/>
    <w:rsid w:val="003F23D9"/>
    <w:rsid w:val="003F2456"/>
    <w:rsid w:val="003F253C"/>
    <w:rsid w:val="003F25C7"/>
    <w:rsid w:val="003F26AE"/>
    <w:rsid w:val="003F3AFC"/>
    <w:rsid w:val="003F4A98"/>
    <w:rsid w:val="003F4FF7"/>
    <w:rsid w:val="003F5B1C"/>
    <w:rsid w:val="003F6194"/>
    <w:rsid w:val="003F6241"/>
    <w:rsid w:val="003F6D6E"/>
    <w:rsid w:val="003F73C5"/>
    <w:rsid w:val="003F7AB6"/>
    <w:rsid w:val="003F7B82"/>
    <w:rsid w:val="003F7ECE"/>
    <w:rsid w:val="0040045C"/>
    <w:rsid w:val="00401133"/>
    <w:rsid w:val="00401174"/>
    <w:rsid w:val="004013F1"/>
    <w:rsid w:val="00402618"/>
    <w:rsid w:val="00402AEF"/>
    <w:rsid w:val="00402C09"/>
    <w:rsid w:val="00403690"/>
    <w:rsid w:val="004039F5"/>
    <w:rsid w:val="00403CCE"/>
    <w:rsid w:val="00403E24"/>
    <w:rsid w:val="00404704"/>
    <w:rsid w:val="00404B10"/>
    <w:rsid w:val="00404B34"/>
    <w:rsid w:val="00404CE9"/>
    <w:rsid w:val="00404E52"/>
    <w:rsid w:val="00404F03"/>
    <w:rsid w:val="004052FF"/>
    <w:rsid w:val="00405402"/>
    <w:rsid w:val="004056C8"/>
    <w:rsid w:val="004072F7"/>
    <w:rsid w:val="00407C5D"/>
    <w:rsid w:val="00410BEF"/>
    <w:rsid w:val="0041111D"/>
    <w:rsid w:val="00411651"/>
    <w:rsid w:val="00412833"/>
    <w:rsid w:val="00413473"/>
    <w:rsid w:val="004136A9"/>
    <w:rsid w:val="004139F3"/>
    <w:rsid w:val="00413C19"/>
    <w:rsid w:val="0041424D"/>
    <w:rsid w:val="00414849"/>
    <w:rsid w:val="00415B91"/>
    <w:rsid w:val="00416DD8"/>
    <w:rsid w:val="0041744B"/>
    <w:rsid w:val="00417AFC"/>
    <w:rsid w:val="00417CF0"/>
    <w:rsid w:val="00417D18"/>
    <w:rsid w:val="00417DBF"/>
    <w:rsid w:val="00417FF5"/>
    <w:rsid w:val="00420427"/>
    <w:rsid w:val="00420477"/>
    <w:rsid w:val="004206A0"/>
    <w:rsid w:val="004212CA"/>
    <w:rsid w:val="004216D4"/>
    <w:rsid w:val="00422788"/>
    <w:rsid w:val="00422CEE"/>
    <w:rsid w:val="004230D5"/>
    <w:rsid w:val="00424B65"/>
    <w:rsid w:val="00424DE9"/>
    <w:rsid w:val="004264CC"/>
    <w:rsid w:val="00427496"/>
    <w:rsid w:val="00430531"/>
    <w:rsid w:val="0043061B"/>
    <w:rsid w:val="00431213"/>
    <w:rsid w:val="0043176B"/>
    <w:rsid w:val="00431D92"/>
    <w:rsid w:val="00431DAC"/>
    <w:rsid w:val="00432830"/>
    <w:rsid w:val="00432C6F"/>
    <w:rsid w:val="00433258"/>
    <w:rsid w:val="00433A21"/>
    <w:rsid w:val="00434AAE"/>
    <w:rsid w:val="00434B48"/>
    <w:rsid w:val="00434C1A"/>
    <w:rsid w:val="00435A50"/>
    <w:rsid w:val="00435B9D"/>
    <w:rsid w:val="0043657F"/>
    <w:rsid w:val="00436AC6"/>
    <w:rsid w:val="00437A1F"/>
    <w:rsid w:val="00437FC1"/>
    <w:rsid w:val="0044011C"/>
    <w:rsid w:val="00440496"/>
    <w:rsid w:val="00441FDA"/>
    <w:rsid w:val="004425F1"/>
    <w:rsid w:val="00443AEA"/>
    <w:rsid w:val="00444C22"/>
    <w:rsid w:val="00444CE4"/>
    <w:rsid w:val="00444F96"/>
    <w:rsid w:val="004450F3"/>
    <w:rsid w:val="004453EB"/>
    <w:rsid w:val="0044603E"/>
    <w:rsid w:val="004462C6"/>
    <w:rsid w:val="0044710B"/>
    <w:rsid w:val="00447893"/>
    <w:rsid w:val="004478B8"/>
    <w:rsid w:val="00447C6D"/>
    <w:rsid w:val="00450DAA"/>
    <w:rsid w:val="00450EDA"/>
    <w:rsid w:val="00450F5A"/>
    <w:rsid w:val="00451229"/>
    <w:rsid w:val="004514FC"/>
    <w:rsid w:val="00451E79"/>
    <w:rsid w:val="00451E94"/>
    <w:rsid w:val="00451F6B"/>
    <w:rsid w:val="004521BD"/>
    <w:rsid w:val="00452BCB"/>
    <w:rsid w:val="00452BD9"/>
    <w:rsid w:val="00452EE1"/>
    <w:rsid w:val="00453103"/>
    <w:rsid w:val="004540B5"/>
    <w:rsid w:val="004550D8"/>
    <w:rsid w:val="004550F4"/>
    <w:rsid w:val="0045514E"/>
    <w:rsid w:val="0045553B"/>
    <w:rsid w:val="00455A05"/>
    <w:rsid w:val="00456720"/>
    <w:rsid w:val="004569B1"/>
    <w:rsid w:val="0045786D"/>
    <w:rsid w:val="00457F01"/>
    <w:rsid w:val="00460063"/>
    <w:rsid w:val="00460DCE"/>
    <w:rsid w:val="00460DFE"/>
    <w:rsid w:val="00460E88"/>
    <w:rsid w:val="00461D02"/>
    <w:rsid w:val="004620AD"/>
    <w:rsid w:val="00462D4C"/>
    <w:rsid w:val="00462E8F"/>
    <w:rsid w:val="00463661"/>
    <w:rsid w:val="00463756"/>
    <w:rsid w:val="00463C5F"/>
    <w:rsid w:val="0046406D"/>
    <w:rsid w:val="004641F8"/>
    <w:rsid w:val="00464512"/>
    <w:rsid w:val="004647BC"/>
    <w:rsid w:val="00465006"/>
    <w:rsid w:val="004656FA"/>
    <w:rsid w:val="00466150"/>
    <w:rsid w:val="0046618D"/>
    <w:rsid w:val="004664F3"/>
    <w:rsid w:val="00466526"/>
    <w:rsid w:val="004668AE"/>
    <w:rsid w:val="00466C14"/>
    <w:rsid w:val="00466C55"/>
    <w:rsid w:val="00466F84"/>
    <w:rsid w:val="00467396"/>
    <w:rsid w:val="00467BA6"/>
    <w:rsid w:val="00467D02"/>
    <w:rsid w:val="00470340"/>
    <w:rsid w:val="004711F9"/>
    <w:rsid w:val="004716D5"/>
    <w:rsid w:val="0047177B"/>
    <w:rsid w:val="00472AF1"/>
    <w:rsid w:val="004732B2"/>
    <w:rsid w:val="004735DA"/>
    <w:rsid w:val="00473647"/>
    <w:rsid w:val="00473693"/>
    <w:rsid w:val="004737BB"/>
    <w:rsid w:val="00473EFD"/>
    <w:rsid w:val="00474299"/>
    <w:rsid w:val="0047434B"/>
    <w:rsid w:val="00474652"/>
    <w:rsid w:val="0047491B"/>
    <w:rsid w:val="00474C29"/>
    <w:rsid w:val="00474D54"/>
    <w:rsid w:val="00475BA2"/>
    <w:rsid w:val="00475F83"/>
    <w:rsid w:val="0047635C"/>
    <w:rsid w:val="004767CA"/>
    <w:rsid w:val="00477662"/>
    <w:rsid w:val="00477959"/>
    <w:rsid w:val="00480AFE"/>
    <w:rsid w:val="00480EEF"/>
    <w:rsid w:val="00481299"/>
    <w:rsid w:val="00481AA0"/>
    <w:rsid w:val="00482523"/>
    <w:rsid w:val="00482559"/>
    <w:rsid w:val="00482E3E"/>
    <w:rsid w:val="0048384A"/>
    <w:rsid w:val="00483F49"/>
    <w:rsid w:val="004842DF"/>
    <w:rsid w:val="004842E9"/>
    <w:rsid w:val="00484840"/>
    <w:rsid w:val="00485D8E"/>
    <w:rsid w:val="00485F66"/>
    <w:rsid w:val="00486726"/>
    <w:rsid w:val="00486892"/>
    <w:rsid w:val="00486C37"/>
    <w:rsid w:val="00486F67"/>
    <w:rsid w:val="0048715D"/>
    <w:rsid w:val="004871D1"/>
    <w:rsid w:val="00487E8A"/>
    <w:rsid w:val="00490298"/>
    <w:rsid w:val="0049083B"/>
    <w:rsid w:val="00491E71"/>
    <w:rsid w:val="004926AB"/>
    <w:rsid w:val="00492CBF"/>
    <w:rsid w:val="004932C7"/>
    <w:rsid w:val="00493520"/>
    <w:rsid w:val="0049408C"/>
    <w:rsid w:val="00494398"/>
    <w:rsid w:val="004955F8"/>
    <w:rsid w:val="00496028"/>
    <w:rsid w:val="004970C2"/>
    <w:rsid w:val="004970F6"/>
    <w:rsid w:val="004974F5"/>
    <w:rsid w:val="004A033F"/>
    <w:rsid w:val="004A07B5"/>
    <w:rsid w:val="004A0CA1"/>
    <w:rsid w:val="004A1584"/>
    <w:rsid w:val="004A15DD"/>
    <w:rsid w:val="004A18D8"/>
    <w:rsid w:val="004A1B2C"/>
    <w:rsid w:val="004A28F0"/>
    <w:rsid w:val="004A29C5"/>
    <w:rsid w:val="004A2F95"/>
    <w:rsid w:val="004A3C94"/>
    <w:rsid w:val="004A3FF4"/>
    <w:rsid w:val="004A4823"/>
    <w:rsid w:val="004A4EF4"/>
    <w:rsid w:val="004A5376"/>
    <w:rsid w:val="004A6522"/>
    <w:rsid w:val="004A770E"/>
    <w:rsid w:val="004A7875"/>
    <w:rsid w:val="004A7BCE"/>
    <w:rsid w:val="004A7F14"/>
    <w:rsid w:val="004B1403"/>
    <w:rsid w:val="004B1D6A"/>
    <w:rsid w:val="004B2AB8"/>
    <w:rsid w:val="004B2DC1"/>
    <w:rsid w:val="004B367B"/>
    <w:rsid w:val="004B47EA"/>
    <w:rsid w:val="004B4C4E"/>
    <w:rsid w:val="004B53E7"/>
    <w:rsid w:val="004B5C79"/>
    <w:rsid w:val="004B702A"/>
    <w:rsid w:val="004B7676"/>
    <w:rsid w:val="004C0CF1"/>
    <w:rsid w:val="004C133E"/>
    <w:rsid w:val="004C15D1"/>
    <w:rsid w:val="004C1C85"/>
    <w:rsid w:val="004C2B16"/>
    <w:rsid w:val="004C2C0A"/>
    <w:rsid w:val="004C2F79"/>
    <w:rsid w:val="004C2FF2"/>
    <w:rsid w:val="004C3578"/>
    <w:rsid w:val="004C4323"/>
    <w:rsid w:val="004C4331"/>
    <w:rsid w:val="004C4B1C"/>
    <w:rsid w:val="004C5169"/>
    <w:rsid w:val="004C6868"/>
    <w:rsid w:val="004C7172"/>
    <w:rsid w:val="004C7CB5"/>
    <w:rsid w:val="004D01F7"/>
    <w:rsid w:val="004D0587"/>
    <w:rsid w:val="004D05AD"/>
    <w:rsid w:val="004D0762"/>
    <w:rsid w:val="004D09A8"/>
    <w:rsid w:val="004D0FC7"/>
    <w:rsid w:val="004D1329"/>
    <w:rsid w:val="004D171F"/>
    <w:rsid w:val="004D1A1A"/>
    <w:rsid w:val="004D1FBE"/>
    <w:rsid w:val="004D216F"/>
    <w:rsid w:val="004D2608"/>
    <w:rsid w:val="004D281F"/>
    <w:rsid w:val="004D394E"/>
    <w:rsid w:val="004D3FA9"/>
    <w:rsid w:val="004D4BDF"/>
    <w:rsid w:val="004D4EE0"/>
    <w:rsid w:val="004D4FD7"/>
    <w:rsid w:val="004D534D"/>
    <w:rsid w:val="004D5722"/>
    <w:rsid w:val="004D597B"/>
    <w:rsid w:val="004D5998"/>
    <w:rsid w:val="004D69B6"/>
    <w:rsid w:val="004D740B"/>
    <w:rsid w:val="004D7B01"/>
    <w:rsid w:val="004E0FB9"/>
    <w:rsid w:val="004E2A03"/>
    <w:rsid w:val="004E37BF"/>
    <w:rsid w:val="004E3DC5"/>
    <w:rsid w:val="004E3E07"/>
    <w:rsid w:val="004E4CCF"/>
    <w:rsid w:val="004E4DA9"/>
    <w:rsid w:val="004E51AC"/>
    <w:rsid w:val="004E5B86"/>
    <w:rsid w:val="004E5CF9"/>
    <w:rsid w:val="004E64D9"/>
    <w:rsid w:val="004E6A0F"/>
    <w:rsid w:val="004E73CC"/>
    <w:rsid w:val="004F0030"/>
    <w:rsid w:val="004F09A0"/>
    <w:rsid w:val="004F0D65"/>
    <w:rsid w:val="004F135B"/>
    <w:rsid w:val="004F2077"/>
    <w:rsid w:val="004F21A2"/>
    <w:rsid w:val="004F268F"/>
    <w:rsid w:val="004F310A"/>
    <w:rsid w:val="004F3596"/>
    <w:rsid w:val="004F3809"/>
    <w:rsid w:val="004F38DC"/>
    <w:rsid w:val="004F4F0E"/>
    <w:rsid w:val="004F4F97"/>
    <w:rsid w:val="004F528F"/>
    <w:rsid w:val="004F5EFF"/>
    <w:rsid w:val="004F6305"/>
    <w:rsid w:val="004F631E"/>
    <w:rsid w:val="004F68FE"/>
    <w:rsid w:val="004F7D57"/>
    <w:rsid w:val="005003F8"/>
    <w:rsid w:val="00500554"/>
    <w:rsid w:val="00500711"/>
    <w:rsid w:val="00501D43"/>
    <w:rsid w:val="00501E85"/>
    <w:rsid w:val="005020B0"/>
    <w:rsid w:val="00502F04"/>
    <w:rsid w:val="00502F46"/>
    <w:rsid w:val="00503249"/>
    <w:rsid w:val="0050433E"/>
    <w:rsid w:val="005046A9"/>
    <w:rsid w:val="0050505B"/>
    <w:rsid w:val="0050571A"/>
    <w:rsid w:val="00505A89"/>
    <w:rsid w:val="00505ACC"/>
    <w:rsid w:val="0050672A"/>
    <w:rsid w:val="00506B44"/>
    <w:rsid w:val="00506C14"/>
    <w:rsid w:val="00506EBE"/>
    <w:rsid w:val="00507CBC"/>
    <w:rsid w:val="0051031A"/>
    <w:rsid w:val="00510374"/>
    <w:rsid w:val="00510887"/>
    <w:rsid w:val="005108BC"/>
    <w:rsid w:val="00511379"/>
    <w:rsid w:val="0051186B"/>
    <w:rsid w:val="00511B4A"/>
    <w:rsid w:val="00512472"/>
    <w:rsid w:val="0051295B"/>
    <w:rsid w:val="005132EB"/>
    <w:rsid w:val="0051452E"/>
    <w:rsid w:val="00514941"/>
    <w:rsid w:val="00514B4B"/>
    <w:rsid w:val="00514F9E"/>
    <w:rsid w:val="00515E18"/>
    <w:rsid w:val="00516109"/>
    <w:rsid w:val="00516384"/>
    <w:rsid w:val="005168C5"/>
    <w:rsid w:val="00517605"/>
    <w:rsid w:val="005213C2"/>
    <w:rsid w:val="005214D5"/>
    <w:rsid w:val="005227FE"/>
    <w:rsid w:val="00522D61"/>
    <w:rsid w:val="005233F3"/>
    <w:rsid w:val="00523553"/>
    <w:rsid w:val="00523BF4"/>
    <w:rsid w:val="0052496D"/>
    <w:rsid w:val="00524F63"/>
    <w:rsid w:val="00525462"/>
    <w:rsid w:val="00525588"/>
    <w:rsid w:val="00525938"/>
    <w:rsid w:val="00527855"/>
    <w:rsid w:val="00527A8C"/>
    <w:rsid w:val="00527FD1"/>
    <w:rsid w:val="00530154"/>
    <w:rsid w:val="00530777"/>
    <w:rsid w:val="00530C4C"/>
    <w:rsid w:val="00530D65"/>
    <w:rsid w:val="00531549"/>
    <w:rsid w:val="00531860"/>
    <w:rsid w:val="00531B41"/>
    <w:rsid w:val="005323C0"/>
    <w:rsid w:val="0053277A"/>
    <w:rsid w:val="00532BE0"/>
    <w:rsid w:val="00532DB7"/>
    <w:rsid w:val="00533054"/>
    <w:rsid w:val="005337FF"/>
    <w:rsid w:val="00534679"/>
    <w:rsid w:val="00534A48"/>
    <w:rsid w:val="00534A62"/>
    <w:rsid w:val="0053536B"/>
    <w:rsid w:val="005357EA"/>
    <w:rsid w:val="00535801"/>
    <w:rsid w:val="00535F14"/>
    <w:rsid w:val="00536614"/>
    <w:rsid w:val="005368F7"/>
    <w:rsid w:val="00536ACD"/>
    <w:rsid w:val="0053769C"/>
    <w:rsid w:val="005428F9"/>
    <w:rsid w:val="00543119"/>
    <w:rsid w:val="00543414"/>
    <w:rsid w:val="005437C6"/>
    <w:rsid w:val="00543FCF"/>
    <w:rsid w:val="0054486B"/>
    <w:rsid w:val="0054568D"/>
    <w:rsid w:val="005458EA"/>
    <w:rsid w:val="00545BAE"/>
    <w:rsid w:val="00545C94"/>
    <w:rsid w:val="00546B91"/>
    <w:rsid w:val="00550C74"/>
    <w:rsid w:val="00550E1A"/>
    <w:rsid w:val="00551F3C"/>
    <w:rsid w:val="0055249B"/>
    <w:rsid w:val="0055313A"/>
    <w:rsid w:val="005531E2"/>
    <w:rsid w:val="00553ECD"/>
    <w:rsid w:val="005552A6"/>
    <w:rsid w:val="00555FAA"/>
    <w:rsid w:val="0055640B"/>
    <w:rsid w:val="005572F2"/>
    <w:rsid w:val="00557688"/>
    <w:rsid w:val="00557DA2"/>
    <w:rsid w:val="0056054D"/>
    <w:rsid w:val="00561140"/>
    <w:rsid w:val="005612A8"/>
    <w:rsid w:val="00562009"/>
    <w:rsid w:val="005620F5"/>
    <w:rsid w:val="00562148"/>
    <w:rsid w:val="005623F6"/>
    <w:rsid w:val="00562AC5"/>
    <w:rsid w:val="00563824"/>
    <w:rsid w:val="00563F6E"/>
    <w:rsid w:val="00564230"/>
    <w:rsid w:val="005642A7"/>
    <w:rsid w:val="00564CA2"/>
    <w:rsid w:val="00565F6B"/>
    <w:rsid w:val="0056615F"/>
    <w:rsid w:val="00566AC5"/>
    <w:rsid w:val="00566AF5"/>
    <w:rsid w:val="00567312"/>
    <w:rsid w:val="005677E0"/>
    <w:rsid w:val="0057067B"/>
    <w:rsid w:val="005707E5"/>
    <w:rsid w:val="005709AF"/>
    <w:rsid w:val="005709E3"/>
    <w:rsid w:val="00570F43"/>
    <w:rsid w:val="00571A20"/>
    <w:rsid w:val="00571AE3"/>
    <w:rsid w:val="00572CD9"/>
    <w:rsid w:val="00572E74"/>
    <w:rsid w:val="00574658"/>
    <w:rsid w:val="00575190"/>
    <w:rsid w:val="0057612E"/>
    <w:rsid w:val="00576980"/>
    <w:rsid w:val="00577670"/>
    <w:rsid w:val="0057787D"/>
    <w:rsid w:val="005779E9"/>
    <w:rsid w:val="00580D89"/>
    <w:rsid w:val="00580F7C"/>
    <w:rsid w:val="00581BD2"/>
    <w:rsid w:val="00581DD1"/>
    <w:rsid w:val="00581E30"/>
    <w:rsid w:val="005820BB"/>
    <w:rsid w:val="0058212E"/>
    <w:rsid w:val="00582AB1"/>
    <w:rsid w:val="00584AF9"/>
    <w:rsid w:val="00584BE7"/>
    <w:rsid w:val="00585580"/>
    <w:rsid w:val="00585D51"/>
    <w:rsid w:val="00585F41"/>
    <w:rsid w:val="00586003"/>
    <w:rsid w:val="00586116"/>
    <w:rsid w:val="005864DD"/>
    <w:rsid w:val="00586A69"/>
    <w:rsid w:val="005874A2"/>
    <w:rsid w:val="00587542"/>
    <w:rsid w:val="00590108"/>
    <w:rsid w:val="0059016D"/>
    <w:rsid w:val="00590C08"/>
    <w:rsid w:val="00590E54"/>
    <w:rsid w:val="00591EDD"/>
    <w:rsid w:val="00592398"/>
    <w:rsid w:val="005924EB"/>
    <w:rsid w:val="00593903"/>
    <w:rsid w:val="00593920"/>
    <w:rsid w:val="00593B00"/>
    <w:rsid w:val="005940BE"/>
    <w:rsid w:val="005947E6"/>
    <w:rsid w:val="00594B03"/>
    <w:rsid w:val="00594BD5"/>
    <w:rsid w:val="00594C74"/>
    <w:rsid w:val="0059525C"/>
    <w:rsid w:val="00595532"/>
    <w:rsid w:val="00595633"/>
    <w:rsid w:val="00595E6C"/>
    <w:rsid w:val="00595EB6"/>
    <w:rsid w:val="00596557"/>
    <w:rsid w:val="005966FE"/>
    <w:rsid w:val="00596C30"/>
    <w:rsid w:val="00597143"/>
    <w:rsid w:val="0059739E"/>
    <w:rsid w:val="00597950"/>
    <w:rsid w:val="005A0099"/>
    <w:rsid w:val="005A03CD"/>
    <w:rsid w:val="005A0876"/>
    <w:rsid w:val="005A0A7B"/>
    <w:rsid w:val="005A0BA7"/>
    <w:rsid w:val="005A14D0"/>
    <w:rsid w:val="005A17B5"/>
    <w:rsid w:val="005A21BF"/>
    <w:rsid w:val="005A2721"/>
    <w:rsid w:val="005A3194"/>
    <w:rsid w:val="005A3839"/>
    <w:rsid w:val="005A4361"/>
    <w:rsid w:val="005A47E6"/>
    <w:rsid w:val="005A497D"/>
    <w:rsid w:val="005A5137"/>
    <w:rsid w:val="005A5A15"/>
    <w:rsid w:val="005A6405"/>
    <w:rsid w:val="005A64FA"/>
    <w:rsid w:val="005A687A"/>
    <w:rsid w:val="005A688A"/>
    <w:rsid w:val="005A73E4"/>
    <w:rsid w:val="005A783D"/>
    <w:rsid w:val="005A7F1E"/>
    <w:rsid w:val="005B01CC"/>
    <w:rsid w:val="005B04BF"/>
    <w:rsid w:val="005B05AF"/>
    <w:rsid w:val="005B0AA3"/>
    <w:rsid w:val="005B0C8D"/>
    <w:rsid w:val="005B30DD"/>
    <w:rsid w:val="005B326B"/>
    <w:rsid w:val="005B3751"/>
    <w:rsid w:val="005B41E7"/>
    <w:rsid w:val="005B43D0"/>
    <w:rsid w:val="005B5FBB"/>
    <w:rsid w:val="005B6119"/>
    <w:rsid w:val="005B6341"/>
    <w:rsid w:val="005B6359"/>
    <w:rsid w:val="005B657A"/>
    <w:rsid w:val="005B6F46"/>
    <w:rsid w:val="005B72ED"/>
    <w:rsid w:val="005B78C8"/>
    <w:rsid w:val="005B7991"/>
    <w:rsid w:val="005B7AE5"/>
    <w:rsid w:val="005C02BC"/>
    <w:rsid w:val="005C17DE"/>
    <w:rsid w:val="005C17E2"/>
    <w:rsid w:val="005C25A3"/>
    <w:rsid w:val="005C2A6A"/>
    <w:rsid w:val="005C32F5"/>
    <w:rsid w:val="005C35E4"/>
    <w:rsid w:val="005C3B73"/>
    <w:rsid w:val="005C3EBB"/>
    <w:rsid w:val="005C3F57"/>
    <w:rsid w:val="005C4440"/>
    <w:rsid w:val="005C4704"/>
    <w:rsid w:val="005C5D50"/>
    <w:rsid w:val="005C60D3"/>
    <w:rsid w:val="005C6A20"/>
    <w:rsid w:val="005C79FA"/>
    <w:rsid w:val="005D0326"/>
    <w:rsid w:val="005D04E5"/>
    <w:rsid w:val="005D0A15"/>
    <w:rsid w:val="005D1471"/>
    <w:rsid w:val="005D147F"/>
    <w:rsid w:val="005D2D66"/>
    <w:rsid w:val="005D2FF3"/>
    <w:rsid w:val="005D4D09"/>
    <w:rsid w:val="005D5C04"/>
    <w:rsid w:val="005D5CEE"/>
    <w:rsid w:val="005D5F78"/>
    <w:rsid w:val="005D769C"/>
    <w:rsid w:val="005D79E2"/>
    <w:rsid w:val="005E0A00"/>
    <w:rsid w:val="005E0A81"/>
    <w:rsid w:val="005E1F3A"/>
    <w:rsid w:val="005E354F"/>
    <w:rsid w:val="005E3CB9"/>
    <w:rsid w:val="005E46DB"/>
    <w:rsid w:val="005E499F"/>
    <w:rsid w:val="005E4B3A"/>
    <w:rsid w:val="005E4BB7"/>
    <w:rsid w:val="005E53AE"/>
    <w:rsid w:val="005E59D6"/>
    <w:rsid w:val="005E5ACB"/>
    <w:rsid w:val="005E5BDD"/>
    <w:rsid w:val="005E6688"/>
    <w:rsid w:val="005E684D"/>
    <w:rsid w:val="005E7131"/>
    <w:rsid w:val="005E71A3"/>
    <w:rsid w:val="005E7812"/>
    <w:rsid w:val="005E7B5F"/>
    <w:rsid w:val="005E7F65"/>
    <w:rsid w:val="005F0431"/>
    <w:rsid w:val="005F053C"/>
    <w:rsid w:val="005F06FA"/>
    <w:rsid w:val="005F0C3D"/>
    <w:rsid w:val="005F104B"/>
    <w:rsid w:val="005F1B09"/>
    <w:rsid w:val="005F1D2D"/>
    <w:rsid w:val="005F23F3"/>
    <w:rsid w:val="005F29E7"/>
    <w:rsid w:val="005F2E63"/>
    <w:rsid w:val="005F300B"/>
    <w:rsid w:val="005F3A9C"/>
    <w:rsid w:val="005F3F37"/>
    <w:rsid w:val="005F3FE2"/>
    <w:rsid w:val="005F4387"/>
    <w:rsid w:val="005F484B"/>
    <w:rsid w:val="005F5031"/>
    <w:rsid w:val="005F50AE"/>
    <w:rsid w:val="005F5D9F"/>
    <w:rsid w:val="005F5DC1"/>
    <w:rsid w:val="005F717F"/>
    <w:rsid w:val="005F7328"/>
    <w:rsid w:val="005F768F"/>
    <w:rsid w:val="005F79A5"/>
    <w:rsid w:val="005F7E6B"/>
    <w:rsid w:val="006003A2"/>
    <w:rsid w:val="006003F9"/>
    <w:rsid w:val="00601553"/>
    <w:rsid w:val="00601922"/>
    <w:rsid w:val="00601BDE"/>
    <w:rsid w:val="00602654"/>
    <w:rsid w:val="0060267E"/>
    <w:rsid w:val="006028D2"/>
    <w:rsid w:val="006032CA"/>
    <w:rsid w:val="00603947"/>
    <w:rsid w:val="00603C10"/>
    <w:rsid w:val="00603DD6"/>
    <w:rsid w:val="00604767"/>
    <w:rsid w:val="0060496E"/>
    <w:rsid w:val="006053AC"/>
    <w:rsid w:val="00605484"/>
    <w:rsid w:val="00605537"/>
    <w:rsid w:val="00605A55"/>
    <w:rsid w:val="00605B60"/>
    <w:rsid w:val="0060644B"/>
    <w:rsid w:val="00606691"/>
    <w:rsid w:val="00607155"/>
    <w:rsid w:val="00607506"/>
    <w:rsid w:val="00610604"/>
    <w:rsid w:val="00610BCD"/>
    <w:rsid w:val="00610E57"/>
    <w:rsid w:val="006110D8"/>
    <w:rsid w:val="00611F27"/>
    <w:rsid w:val="00612ADC"/>
    <w:rsid w:val="00612DAA"/>
    <w:rsid w:val="00612F15"/>
    <w:rsid w:val="0061385A"/>
    <w:rsid w:val="006138A8"/>
    <w:rsid w:val="00615225"/>
    <w:rsid w:val="006152AB"/>
    <w:rsid w:val="006154D7"/>
    <w:rsid w:val="00615C92"/>
    <w:rsid w:val="006163DB"/>
    <w:rsid w:val="00616687"/>
    <w:rsid w:val="00616804"/>
    <w:rsid w:val="00616983"/>
    <w:rsid w:val="006169D9"/>
    <w:rsid w:val="00616B97"/>
    <w:rsid w:val="00616CFC"/>
    <w:rsid w:val="00617721"/>
    <w:rsid w:val="00617A54"/>
    <w:rsid w:val="0062000D"/>
    <w:rsid w:val="006203A2"/>
    <w:rsid w:val="006212DA"/>
    <w:rsid w:val="00622056"/>
    <w:rsid w:val="0062221F"/>
    <w:rsid w:val="006226FC"/>
    <w:rsid w:val="00622899"/>
    <w:rsid w:val="00622E4C"/>
    <w:rsid w:val="0062307B"/>
    <w:rsid w:val="006232F7"/>
    <w:rsid w:val="00623647"/>
    <w:rsid w:val="00623764"/>
    <w:rsid w:val="00623829"/>
    <w:rsid w:val="00623C07"/>
    <w:rsid w:val="00624446"/>
    <w:rsid w:val="00625388"/>
    <w:rsid w:val="0062605E"/>
    <w:rsid w:val="00626DB4"/>
    <w:rsid w:val="0062703A"/>
    <w:rsid w:val="0062715B"/>
    <w:rsid w:val="0063061C"/>
    <w:rsid w:val="00630690"/>
    <w:rsid w:val="006306B2"/>
    <w:rsid w:val="00630879"/>
    <w:rsid w:val="0063167C"/>
    <w:rsid w:val="00631D6A"/>
    <w:rsid w:val="006325A9"/>
    <w:rsid w:val="00632A9A"/>
    <w:rsid w:val="00632B1D"/>
    <w:rsid w:val="00632D05"/>
    <w:rsid w:val="0063343B"/>
    <w:rsid w:val="00633F73"/>
    <w:rsid w:val="006342C5"/>
    <w:rsid w:val="006349A0"/>
    <w:rsid w:val="006355CC"/>
    <w:rsid w:val="0063572B"/>
    <w:rsid w:val="00636243"/>
    <w:rsid w:val="00636775"/>
    <w:rsid w:val="006368D7"/>
    <w:rsid w:val="00636A11"/>
    <w:rsid w:val="006370E3"/>
    <w:rsid w:val="00637872"/>
    <w:rsid w:val="00637B64"/>
    <w:rsid w:val="0064009B"/>
    <w:rsid w:val="00640EAC"/>
    <w:rsid w:val="006417DC"/>
    <w:rsid w:val="00641C08"/>
    <w:rsid w:val="006420C5"/>
    <w:rsid w:val="006424DC"/>
    <w:rsid w:val="00642BCF"/>
    <w:rsid w:val="00642C7D"/>
    <w:rsid w:val="00643C90"/>
    <w:rsid w:val="00643E39"/>
    <w:rsid w:val="00644016"/>
    <w:rsid w:val="006440A4"/>
    <w:rsid w:val="006442F7"/>
    <w:rsid w:val="00644622"/>
    <w:rsid w:val="00645256"/>
    <w:rsid w:val="006454E1"/>
    <w:rsid w:val="0064630F"/>
    <w:rsid w:val="00646B8E"/>
    <w:rsid w:val="006471BF"/>
    <w:rsid w:val="00647300"/>
    <w:rsid w:val="0064736D"/>
    <w:rsid w:val="006475C5"/>
    <w:rsid w:val="00647682"/>
    <w:rsid w:val="0064791B"/>
    <w:rsid w:val="00647922"/>
    <w:rsid w:val="00651DD4"/>
    <w:rsid w:val="006525E4"/>
    <w:rsid w:val="00652620"/>
    <w:rsid w:val="006529DF"/>
    <w:rsid w:val="00653136"/>
    <w:rsid w:val="006532BA"/>
    <w:rsid w:val="0065336C"/>
    <w:rsid w:val="006538EF"/>
    <w:rsid w:val="006541EC"/>
    <w:rsid w:val="00654DB1"/>
    <w:rsid w:val="0065581E"/>
    <w:rsid w:val="00655AA4"/>
    <w:rsid w:val="006567C4"/>
    <w:rsid w:val="006571EC"/>
    <w:rsid w:val="006574D6"/>
    <w:rsid w:val="006576C5"/>
    <w:rsid w:val="006578C9"/>
    <w:rsid w:val="00660EF5"/>
    <w:rsid w:val="00661213"/>
    <w:rsid w:val="00661509"/>
    <w:rsid w:val="006616CA"/>
    <w:rsid w:val="0066274B"/>
    <w:rsid w:val="00662962"/>
    <w:rsid w:val="00662B4E"/>
    <w:rsid w:val="00662C7F"/>
    <w:rsid w:val="00662ECA"/>
    <w:rsid w:val="006631E7"/>
    <w:rsid w:val="00663BD7"/>
    <w:rsid w:val="006650B4"/>
    <w:rsid w:val="006662BB"/>
    <w:rsid w:val="00666A5A"/>
    <w:rsid w:val="00666CD2"/>
    <w:rsid w:val="00666EA1"/>
    <w:rsid w:val="006671CE"/>
    <w:rsid w:val="0066747A"/>
    <w:rsid w:val="00667ECF"/>
    <w:rsid w:val="00670097"/>
    <w:rsid w:val="006704A3"/>
    <w:rsid w:val="00670EBB"/>
    <w:rsid w:val="006710ED"/>
    <w:rsid w:val="006730D2"/>
    <w:rsid w:val="00673E8C"/>
    <w:rsid w:val="0067432A"/>
    <w:rsid w:val="00674571"/>
    <w:rsid w:val="0067537A"/>
    <w:rsid w:val="00675624"/>
    <w:rsid w:val="00675EE0"/>
    <w:rsid w:val="00676A77"/>
    <w:rsid w:val="00677778"/>
    <w:rsid w:val="00680452"/>
    <w:rsid w:val="00680583"/>
    <w:rsid w:val="00681233"/>
    <w:rsid w:val="0068384A"/>
    <w:rsid w:val="0068388B"/>
    <w:rsid w:val="00683B13"/>
    <w:rsid w:val="0068429C"/>
    <w:rsid w:val="006842E8"/>
    <w:rsid w:val="006848B4"/>
    <w:rsid w:val="00685AB6"/>
    <w:rsid w:val="00686211"/>
    <w:rsid w:val="006864F6"/>
    <w:rsid w:val="006865BB"/>
    <w:rsid w:val="00686DE5"/>
    <w:rsid w:val="00687379"/>
    <w:rsid w:val="00687626"/>
    <w:rsid w:val="00687670"/>
    <w:rsid w:val="00687747"/>
    <w:rsid w:val="00687FCB"/>
    <w:rsid w:val="00690913"/>
    <w:rsid w:val="00691DCC"/>
    <w:rsid w:val="00691E0C"/>
    <w:rsid w:val="00691E2B"/>
    <w:rsid w:val="00693688"/>
    <w:rsid w:val="0069381F"/>
    <w:rsid w:val="00693EF4"/>
    <w:rsid w:val="006941F7"/>
    <w:rsid w:val="00694392"/>
    <w:rsid w:val="00694550"/>
    <w:rsid w:val="00694966"/>
    <w:rsid w:val="00695004"/>
    <w:rsid w:val="00697486"/>
    <w:rsid w:val="006A030A"/>
    <w:rsid w:val="006A049A"/>
    <w:rsid w:val="006A0903"/>
    <w:rsid w:val="006A0B08"/>
    <w:rsid w:val="006A0B98"/>
    <w:rsid w:val="006A0F94"/>
    <w:rsid w:val="006A165E"/>
    <w:rsid w:val="006A1AB5"/>
    <w:rsid w:val="006A1D41"/>
    <w:rsid w:val="006A1DEA"/>
    <w:rsid w:val="006A1F18"/>
    <w:rsid w:val="006A27B4"/>
    <w:rsid w:val="006A2CF5"/>
    <w:rsid w:val="006A2D58"/>
    <w:rsid w:val="006A2D5E"/>
    <w:rsid w:val="006A3F01"/>
    <w:rsid w:val="006A47AE"/>
    <w:rsid w:val="006A4878"/>
    <w:rsid w:val="006A4936"/>
    <w:rsid w:val="006A49BD"/>
    <w:rsid w:val="006A4B25"/>
    <w:rsid w:val="006A4BB0"/>
    <w:rsid w:val="006A5159"/>
    <w:rsid w:val="006A599C"/>
    <w:rsid w:val="006A5D0C"/>
    <w:rsid w:val="006A6130"/>
    <w:rsid w:val="006A61A3"/>
    <w:rsid w:val="006A61DA"/>
    <w:rsid w:val="006A66E4"/>
    <w:rsid w:val="006A6E0E"/>
    <w:rsid w:val="006A6F4F"/>
    <w:rsid w:val="006A7310"/>
    <w:rsid w:val="006B026E"/>
    <w:rsid w:val="006B097C"/>
    <w:rsid w:val="006B09AD"/>
    <w:rsid w:val="006B0DB9"/>
    <w:rsid w:val="006B175E"/>
    <w:rsid w:val="006B18D6"/>
    <w:rsid w:val="006B1B07"/>
    <w:rsid w:val="006B1F7D"/>
    <w:rsid w:val="006B2222"/>
    <w:rsid w:val="006B264A"/>
    <w:rsid w:val="006B2837"/>
    <w:rsid w:val="006B32CD"/>
    <w:rsid w:val="006B36BE"/>
    <w:rsid w:val="006B3D3E"/>
    <w:rsid w:val="006B3ECF"/>
    <w:rsid w:val="006B3FA9"/>
    <w:rsid w:val="006B4292"/>
    <w:rsid w:val="006B454E"/>
    <w:rsid w:val="006B4A40"/>
    <w:rsid w:val="006B4FE0"/>
    <w:rsid w:val="006B5C8C"/>
    <w:rsid w:val="006C1414"/>
    <w:rsid w:val="006C1A26"/>
    <w:rsid w:val="006C285D"/>
    <w:rsid w:val="006C2E5C"/>
    <w:rsid w:val="006C326E"/>
    <w:rsid w:val="006C3643"/>
    <w:rsid w:val="006C3C12"/>
    <w:rsid w:val="006C5486"/>
    <w:rsid w:val="006C590D"/>
    <w:rsid w:val="006C6479"/>
    <w:rsid w:val="006C6558"/>
    <w:rsid w:val="006C786F"/>
    <w:rsid w:val="006C7BAF"/>
    <w:rsid w:val="006C7ED3"/>
    <w:rsid w:val="006D141C"/>
    <w:rsid w:val="006D18C0"/>
    <w:rsid w:val="006D1EA0"/>
    <w:rsid w:val="006D2F9E"/>
    <w:rsid w:val="006D34FC"/>
    <w:rsid w:val="006D390B"/>
    <w:rsid w:val="006D3914"/>
    <w:rsid w:val="006D5C80"/>
    <w:rsid w:val="006D646B"/>
    <w:rsid w:val="006D66C3"/>
    <w:rsid w:val="006D6D5E"/>
    <w:rsid w:val="006D7A24"/>
    <w:rsid w:val="006E0DE7"/>
    <w:rsid w:val="006E1E2F"/>
    <w:rsid w:val="006E1EAA"/>
    <w:rsid w:val="006E22AC"/>
    <w:rsid w:val="006E31DC"/>
    <w:rsid w:val="006E3741"/>
    <w:rsid w:val="006E38A9"/>
    <w:rsid w:val="006E3ED5"/>
    <w:rsid w:val="006E3EED"/>
    <w:rsid w:val="006E4286"/>
    <w:rsid w:val="006E5313"/>
    <w:rsid w:val="006E59ED"/>
    <w:rsid w:val="006E6A94"/>
    <w:rsid w:val="006F0072"/>
    <w:rsid w:val="006F05A1"/>
    <w:rsid w:val="006F1244"/>
    <w:rsid w:val="006F1263"/>
    <w:rsid w:val="006F1857"/>
    <w:rsid w:val="006F1AE8"/>
    <w:rsid w:val="006F1DA0"/>
    <w:rsid w:val="006F1E14"/>
    <w:rsid w:val="006F2AC0"/>
    <w:rsid w:val="006F2D18"/>
    <w:rsid w:val="006F2DCF"/>
    <w:rsid w:val="006F3485"/>
    <w:rsid w:val="006F3C55"/>
    <w:rsid w:val="006F434F"/>
    <w:rsid w:val="006F47D3"/>
    <w:rsid w:val="006F480B"/>
    <w:rsid w:val="006F4C3D"/>
    <w:rsid w:val="006F517F"/>
    <w:rsid w:val="006F527F"/>
    <w:rsid w:val="006F5BF0"/>
    <w:rsid w:val="006F7012"/>
    <w:rsid w:val="006F7201"/>
    <w:rsid w:val="006F7284"/>
    <w:rsid w:val="006F7743"/>
    <w:rsid w:val="006F78DF"/>
    <w:rsid w:val="00701241"/>
    <w:rsid w:val="00701C47"/>
    <w:rsid w:val="00701C6C"/>
    <w:rsid w:val="00701FC8"/>
    <w:rsid w:val="007020B3"/>
    <w:rsid w:val="00702751"/>
    <w:rsid w:val="007029EB"/>
    <w:rsid w:val="0070334D"/>
    <w:rsid w:val="00703DF7"/>
    <w:rsid w:val="00704042"/>
    <w:rsid w:val="00704705"/>
    <w:rsid w:val="00705540"/>
    <w:rsid w:val="00707045"/>
    <w:rsid w:val="0070747A"/>
    <w:rsid w:val="007075BA"/>
    <w:rsid w:val="0071046E"/>
    <w:rsid w:val="007106EC"/>
    <w:rsid w:val="00710DF0"/>
    <w:rsid w:val="007112DA"/>
    <w:rsid w:val="00711A2B"/>
    <w:rsid w:val="00711B2F"/>
    <w:rsid w:val="00711B3D"/>
    <w:rsid w:val="00711E4F"/>
    <w:rsid w:val="00712241"/>
    <w:rsid w:val="00712FEF"/>
    <w:rsid w:val="007145B3"/>
    <w:rsid w:val="0071481D"/>
    <w:rsid w:val="00715532"/>
    <w:rsid w:val="0071579F"/>
    <w:rsid w:val="0071597D"/>
    <w:rsid w:val="00715DFF"/>
    <w:rsid w:val="0071683A"/>
    <w:rsid w:val="007168A0"/>
    <w:rsid w:val="0071694C"/>
    <w:rsid w:val="007173DF"/>
    <w:rsid w:val="007178D6"/>
    <w:rsid w:val="00717ADC"/>
    <w:rsid w:val="00717B1A"/>
    <w:rsid w:val="00717D72"/>
    <w:rsid w:val="00720091"/>
    <w:rsid w:val="007209D7"/>
    <w:rsid w:val="00721E01"/>
    <w:rsid w:val="00722ABC"/>
    <w:rsid w:val="00723270"/>
    <w:rsid w:val="00723E85"/>
    <w:rsid w:val="00724795"/>
    <w:rsid w:val="007249BB"/>
    <w:rsid w:val="007252CA"/>
    <w:rsid w:val="00725B56"/>
    <w:rsid w:val="00725DAA"/>
    <w:rsid w:val="00725F48"/>
    <w:rsid w:val="007260B5"/>
    <w:rsid w:val="00726895"/>
    <w:rsid w:val="007276FF"/>
    <w:rsid w:val="00727FBA"/>
    <w:rsid w:val="00731029"/>
    <w:rsid w:val="00731171"/>
    <w:rsid w:val="00731B2C"/>
    <w:rsid w:val="00733244"/>
    <w:rsid w:val="00733C39"/>
    <w:rsid w:val="00733F8D"/>
    <w:rsid w:val="0073584C"/>
    <w:rsid w:val="00735B1C"/>
    <w:rsid w:val="00736878"/>
    <w:rsid w:val="00736C7A"/>
    <w:rsid w:val="007378F0"/>
    <w:rsid w:val="007404C3"/>
    <w:rsid w:val="00740699"/>
    <w:rsid w:val="00740C04"/>
    <w:rsid w:val="00740E19"/>
    <w:rsid w:val="00740FEF"/>
    <w:rsid w:val="00741131"/>
    <w:rsid w:val="007426A1"/>
    <w:rsid w:val="00742A7C"/>
    <w:rsid w:val="00742EAE"/>
    <w:rsid w:val="00742EF8"/>
    <w:rsid w:val="00743181"/>
    <w:rsid w:val="007432E6"/>
    <w:rsid w:val="00743585"/>
    <w:rsid w:val="0074394B"/>
    <w:rsid w:val="00743C05"/>
    <w:rsid w:val="007449B0"/>
    <w:rsid w:val="00744D0E"/>
    <w:rsid w:val="007456F3"/>
    <w:rsid w:val="00745A8A"/>
    <w:rsid w:val="007461B0"/>
    <w:rsid w:val="00747348"/>
    <w:rsid w:val="00747A6C"/>
    <w:rsid w:val="00747EED"/>
    <w:rsid w:val="00750A0F"/>
    <w:rsid w:val="00750ADD"/>
    <w:rsid w:val="00750BDD"/>
    <w:rsid w:val="0075101F"/>
    <w:rsid w:val="00751184"/>
    <w:rsid w:val="007515E3"/>
    <w:rsid w:val="007515FE"/>
    <w:rsid w:val="007536D1"/>
    <w:rsid w:val="00753822"/>
    <w:rsid w:val="00753CCA"/>
    <w:rsid w:val="00753DC0"/>
    <w:rsid w:val="00753F20"/>
    <w:rsid w:val="007540E3"/>
    <w:rsid w:val="0075513D"/>
    <w:rsid w:val="007555D9"/>
    <w:rsid w:val="007555F3"/>
    <w:rsid w:val="007559D3"/>
    <w:rsid w:val="007560BB"/>
    <w:rsid w:val="007561E7"/>
    <w:rsid w:val="00757065"/>
    <w:rsid w:val="0075757A"/>
    <w:rsid w:val="007578FB"/>
    <w:rsid w:val="0075792A"/>
    <w:rsid w:val="00757ECC"/>
    <w:rsid w:val="007607DE"/>
    <w:rsid w:val="007608B2"/>
    <w:rsid w:val="007608D1"/>
    <w:rsid w:val="00760A0A"/>
    <w:rsid w:val="00760C20"/>
    <w:rsid w:val="007619CD"/>
    <w:rsid w:val="00761BDC"/>
    <w:rsid w:val="00761D56"/>
    <w:rsid w:val="0076211E"/>
    <w:rsid w:val="007621CE"/>
    <w:rsid w:val="00762240"/>
    <w:rsid w:val="00762DE4"/>
    <w:rsid w:val="007644A9"/>
    <w:rsid w:val="00764BD3"/>
    <w:rsid w:val="0076566B"/>
    <w:rsid w:val="00765707"/>
    <w:rsid w:val="007657A2"/>
    <w:rsid w:val="00765B56"/>
    <w:rsid w:val="00767DF3"/>
    <w:rsid w:val="00771FD4"/>
    <w:rsid w:val="00772147"/>
    <w:rsid w:val="00772CD4"/>
    <w:rsid w:val="00773176"/>
    <w:rsid w:val="00773338"/>
    <w:rsid w:val="0077373C"/>
    <w:rsid w:val="00774AE8"/>
    <w:rsid w:val="00774E22"/>
    <w:rsid w:val="00775465"/>
    <w:rsid w:val="00775A83"/>
    <w:rsid w:val="007766BF"/>
    <w:rsid w:val="007766EB"/>
    <w:rsid w:val="0077682A"/>
    <w:rsid w:val="0077793C"/>
    <w:rsid w:val="0078099D"/>
    <w:rsid w:val="00780C29"/>
    <w:rsid w:val="00780D4C"/>
    <w:rsid w:val="007812DF"/>
    <w:rsid w:val="00781475"/>
    <w:rsid w:val="00781497"/>
    <w:rsid w:val="007830B6"/>
    <w:rsid w:val="00783683"/>
    <w:rsid w:val="00783AF1"/>
    <w:rsid w:val="00783B7F"/>
    <w:rsid w:val="00783F0B"/>
    <w:rsid w:val="00783F8B"/>
    <w:rsid w:val="00784156"/>
    <w:rsid w:val="00784C92"/>
    <w:rsid w:val="00785E5C"/>
    <w:rsid w:val="0078725A"/>
    <w:rsid w:val="00787D3B"/>
    <w:rsid w:val="007904DE"/>
    <w:rsid w:val="00790776"/>
    <w:rsid w:val="007908F0"/>
    <w:rsid w:val="00790AEC"/>
    <w:rsid w:val="00791C94"/>
    <w:rsid w:val="007927BE"/>
    <w:rsid w:val="00793380"/>
    <w:rsid w:val="00793788"/>
    <w:rsid w:val="00793C9D"/>
    <w:rsid w:val="00794592"/>
    <w:rsid w:val="00794846"/>
    <w:rsid w:val="00794933"/>
    <w:rsid w:val="00794C1E"/>
    <w:rsid w:val="00794EC8"/>
    <w:rsid w:val="00796061"/>
    <w:rsid w:val="00796340"/>
    <w:rsid w:val="00796E6E"/>
    <w:rsid w:val="007972C5"/>
    <w:rsid w:val="00797993"/>
    <w:rsid w:val="00797BF5"/>
    <w:rsid w:val="007A01C0"/>
    <w:rsid w:val="007A11E5"/>
    <w:rsid w:val="007A1E73"/>
    <w:rsid w:val="007A23C8"/>
    <w:rsid w:val="007A292C"/>
    <w:rsid w:val="007A3C01"/>
    <w:rsid w:val="007A4329"/>
    <w:rsid w:val="007A454F"/>
    <w:rsid w:val="007A5341"/>
    <w:rsid w:val="007A53B1"/>
    <w:rsid w:val="007A5427"/>
    <w:rsid w:val="007A551C"/>
    <w:rsid w:val="007A608E"/>
    <w:rsid w:val="007A65BC"/>
    <w:rsid w:val="007A6A27"/>
    <w:rsid w:val="007A6B3B"/>
    <w:rsid w:val="007A6CE8"/>
    <w:rsid w:val="007A7624"/>
    <w:rsid w:val="007A772D"/>
    <w:rsid w:val="007B003D"/>
    <w:rsid w:val="007B1074"/>
    <w:rsid w:val="007B10C7"/>
    <w:rsid w:val="007B130C"/>
    <w:rsid w:val="007B1BE9"/>
    <w:rsid w:val="007B1E13"/>
    <w:rsid w:val="007B2806"/>
    <w:rsid w:val="007B2C76"/>
    <w:rsid w:val="007B2DC4"/>
    <w:rsid w:val="007B3334"/>
    <w:rsid w:val="007B33B5"/>
    <w:rsid w:val="007B3639"/>
    <w:rsid w:val="007B3DBA"/>
    <w:rsid w:val="007B4375"/>
    <w:rsid w:val="007B459D"/>
    <w:rsid w:val="007B4E14"/>
    <w:rsid w:val="007B524B"/>
    <w:rsid w:val="007B5F06"/>
    <w:rsid w:val="007B6EB4"/>
    <w:rsid w:val="007B732C"/>
    <w:rsid w:val="007C0D2E"/>
    <w:rsid w:val="007C1C88"/>
    <w:rsid w:val="007C1E8C"/>
    <w:rsid w:val="007C2122"/>
    <w:rsid w:val="007C2F35"/>
    <w:rsid w:val="007C38E6"/>
    <w:rsid w:val="007C3F51"/>
    <w:rsid w:val="007C446A"/>
    <w:rsid w:val="007C4B82"/>
    <w:rsid w:val="007C4C47"/>
    <w:rsid w:val="007C53D9"/>
    <w:rsid w:val="007C6380"/>
    <w:rsid w:val="007C76CC"/>
    <w:rsid w:val="007C785A"/>
    <w:rsid w:val="007C7AD7"/>
    <w:rsid w:val="007C7B85"/>
    <w:rsid w:val="007D0B49"/>
    <w:rsid w:val="007D0C0B"/>
    <w:rsid w:val="007D100B"/>
    <w:rsid w:val="007D1B9F"/>
    <w:rsid w:val="007D30CE"/>
    <w:rsid w:val="007D3233"/>
    <w:rsid w:val="007D36B4"/>
    <w:rsid w:val="007D3C10"/>
    <w:rsid w:val="007D40C6"/>
    <w:rsid w:val="007D4FA5"/>
    <w:rsid w:val="007D5266"/>
    <w:rsid w:val="007D5A8F"/>
    <w:rsid w:val="007D618A"/>
    <w:rsid w:val="007D6872"/>
    <w:rsid w:val="007D69FC"/>
    <w:rsid w:val="007D6B71"/>
    <w:rsid w:val="007D7089"/>
    <w:rsid w:val="007E0F5B"/>
    <w:rsid w:val="007E230B"/>
    <w:rsid w:val="007E27D3"/>
    <w:rsid w:val="007E3584"/>
    <w:rsid w:val="007E4031"/>
    <w:rsid w:val="007E4CDD"/>
    <w:rsid w:val="007E4D1F"/>
    <w:rsid w:val="007E4E1D"/>
    <w:rsid w:val="007E5392"/>
    <w:rsid w:val="007E55BE"/>
    <w:rsid w:val="007E58EB"/>
    <w:rsid w:val="007E6325"/>
    <w:rsid w:val="007E6404"/>
    <w:rsid w:val="007E648F"/>
    <w:rsid w:val="007E6541"/>
    <w:rsid w:val="007E6AAF"/>
    <w:rsid w:val="007E6BBF"/>
    <w:rsid w:val="007E7384"/>
    <w:rsid w:val="007F0E05"/>
    <w:rsid w:val="007F1522"/>
    <w:rsid w:val="007F19A7"/>
    <w:rsid w:val="007F1A0E"/>
    <w:rsid w:val="007F2325"/>
    <w:rsid w:val="007F265C"/>
    <w:rsid w:val="007F270D"/>
    <w:rsid w:val="007F4747"/>
    <w:rsid w:val="007F4E97"/>
    <w:rsid w:val="007F5317"/>
    <w:rsid w:val="007F5337"/>
    <w:rsid w:val="007F534B"/>
    <w:rsid w:val="007F5F33"/>
    <w:rsid w:val="007F6135"/>
    <w:rsid w:val="007F6503"/>
    <w:rsid w:val="007F6CC4"/>
    <w:rsid w:val="007F7645"/>
    <w:rsid w:val="0080043F"/>
    <w:rsid w:val="00800E08"/>
    <w:rsid w:val="0080199C"/>
    <w:rsid w:val="00801BC4"/>
    <w:rsid w:val="00802A1B"/>
    <w:rsid w:val="00802E5C"/>
    <w:rsid w:val="00803D67"/>
    <w:rsid w:val="00803EA1"/>
    <w:rsid w:val="00805410"/>
    <w:rsid w:val="008054A1"/>
    <w:rsid w:val="008058A6"/>
    <w:rsid w:val="00805CF3"/>
    <w:rsid w:val="008060B3"/>
    <w:rsid w:val="008065D9"/>
    <w:rsid w:val="00806A25"/>
    <w:rsid w:val="00806C04"/>
    <w:rsid w:val="0081000B"/>
    <w:rsid w:val="00810059"/>
    <w:rsid w:val="0081051D"/>
    <w:rsid w:val="008107D2"/>
    <w:rsid w:val="00811248"/>
    <w:rsid w:val="00811A05"/>
    <w:rsid w:val="0081247B"/>
    <w:rsid w:val="008124CA"/>
    <w:rsid w:val="008129AE"/>
    <w:rsid w:val="00813585"/>
    <w:rsid w:val="00813B44"/>
    <w:rsid w:val="00813FB4"/>
    <w:rsid w:val="0081452F"/>
    <w:rsid w:val="0081578B"/>
    <w:rsid w:val="008159C0"/>
    <w:rsid w:val="00815B8C"/>
    <w:rsid w:val="00816CED"/>
    <w:rsid w:val="00817054"/>
    <w:rsid w:val="00817721"/>
    <w:rsid w:val="008179E4"/>
    <w:rsid w:val="00817AA1"/>
    <w:rsid w:val="00820202"/>
    <w:rsid w:val="0082052E"/>
    <w:rsid w:val="008206BA"/>
    <w:rsid w:val="00820DDB"/>
    <w:rsid w:val="00820E8B"/>
    <w:rsid w:val="008217A5"/>
    <w:rsid w:val="00821842"/>
    <w:rsid w:val="00821A17"/>
    <w:rsid w:val="00821BC8"/>
    <w:rsid w:val="008222CC"/>
    <w:rsid w:val="0082253A"/>
    <w:rsid w:val="00822DB6"/>
    <w:rsid w:val="008230F2"/>
    <w:rsid w:val="00823CE2"/>
    <w:rsid w:val="0082414F"/>
    <w:rsid w:val="008247AF"/>
    <w:rsid w:val="00824D6B"/>
    <w:rsid w:val="008262F5"/>
    <w:rsid w:val="008265A8"/>
    <w:rsid w:val="00826A09"/>
    <w:rsid w:val="00827D32"/>
    <w:rsid w:val="00830178"/>
    <w:rsid w:val="00830269"/>
    <w:rsid w:val="00830FB1"/>
    <w:rsid w:val="0083135B"/>
    <w:rsid w:val="00831CA6"/>
    <w:rsid w:val="00832419"/>
    <w:rsid w:val="00832E6B"/>
    <w:rsid w:val="008333D8"/>
    <w:rsid w:val="008338D1"/>
    <w:rsid w:val="0083439F"/>
    <w:rsid w:val="00834932"/>
    <w:rsid w:val="008349EE"/>
    <w:rsid w:val="00834B4B"/>
    <w:rsid w:val="0083562A"/>
    <w:rsid w:val="00835656"/>
    <w:rsid w:val="00835ED5"/>
    <w:rsid w:val="008363B6"/>
    <w:rsid w:val="00836B97"/>
    <w:rsid w:val="00837217"/>
    <w:rsid w:val="00837928"/>
    <w:rsid w:val="0084004A"/>
    <w:rsid w:val="0084067B"/>
    <w:rsid w:val="00840874"/>
    <w:rsid w:val="008409BD"/>
    <w:rsid w:val="00840FB6"/>
    <w:rsid w:val="00841251"/>
    <w:rsid w:val="008416A3"/>
    <w:rsid w:val="00842685"/>
    <w:rsid w:val="00843068"/>
    <w:rsid w:val="008442B1"/>
    <w:rsid w:val="008446E3"/>
    <w:rsid w:val="008448D9"/>
    <w:rsid w:val="00844BB5"/>
    <w:rsid w:val="00844D39"/>
    <w:rsid w:val="00845360"/>
    <w:rsid w:val="00845C1B"/>
    <w:rsid w:val="00846270"/>
    <w:rsid w:val="00846485"/>
    <w:rsid w:val="0084649C"/>
    <w:rsid w:val="00846596"/>
    <w:rsid w:val="00846D6A"/>
    <w:rsid w:val="00846DD0"/>
    <w:rsid w:val="00846DEB"/>
    <w:rsid w:val="008470F0"/>
    <w:rsid w:val="00850A11"/>
    <w:rsid w:val="008511B1"/>
    <w:rsid w:val="008524CC"/>
    <w:rsid w:val="008527F8"/>
    <w:rsid w:val="00852EDE"/>
    <w:rsid w:val="0085337A"/>
    <w:rsid w:val="008533C1"/>
    <w:rsid w:val="00853750"/>
    <w:rsid w:val="00854016"/>
    <w:rsid w:val="008551EF"/>
    <w:rsid w:val="00855438"/>
    <w:rsid w:val="0085576A"/>
    <w:rsid w:val="00855B6E"/>
    <w:rsid w:val="00855CA5"/>
    <w:rsid w:val="00855D8D"/>
    <w:rsid w:val="0085654D"/>
    <w:rsid w:val="008568CB"/>
    <w:rsid w:val="00856B3A"/>
    <w:rsid w:val="008571F5"/>
    <w:rsid w:val="008574CF"/>
    <w:rsid w:val="00860766"/>
    <w:rsid w:val="008610C3"/>
    <w:rsid w:val="00861175"/>
    <w:rsid w:val="008616EB"/>
    <w:rsid w:val="00862702"/>
    <w:rsid w:val="00862F89"/>
    <w:rsid w:val="008640BC"/>
    <w:rsid w:val="008643C1"/>
    <w:rsid w:val="008655DC"/>
    <w:rsid w:val="008658F8"/>
    <w:rsid w:val="00866146"/>
    <w:rsid w:val="008672F7"/>
    <w:rsid w:val="00867643"/>
    <w:rsid w:val="0086786E"/>
    <w:rsid w:val="008711E0"/>
    <w:rsid w:val="008716E5"/>
    <w:rsid w:val="00871C31"/>
    <w:rsid w:val="00871FD1"/>
    <w:rsid w:val="00872043"/>
    <w:rsid w:val="00872563"/>
    <w:rsid w:val="008726F1"/>
    <w:rsid w:val="008728EF"/>
    <w:rsid w:val="00873B06"/>
    <w:rsid w:val="008748F5"/>
    <w:rsid w:val="00874BF7"/>
    <w:rsid w:val="008757CC"/>
    <w:rsid w:val="00875CCA"/>
    <w:rsid w:val="00875D40"/>
    <w:rsid w:val="00876DF4"/>
    <w:rsid w:val="0087793B"/>
    <w:rsid w:val="00881BAC"/>
    <w:rsid w:val="00882147"/>
    <w:rsid w:val="008825CC"/>
    <w:rsid w:val="0088276B"/>
    <w:rsid w:val="00882965"/>
    <w:rsid w:val="00882A7B"/>
    <w:rsid w:val="00882C4F"/>
    <w:rsid w:val="0088314D"/>
    <w:rsid w:val="008838A2"/>
    <w:rsid w:val="00883FA1"/>
    <w:rsid w:val="0088499E"/>
    <w:rsid w:val="00884A36"/>
    <w:rsid w:val="00884B94"/>
    <w:rsid w:val="008860C9"/>
    <w:rsid w:val="00887526"/>
    <w:rsid w:val="00887538"/>
    <w:rsid w:val="008876C7"/>
    <w:rsid w:val="008879A9"/>
    <w:rsid w:val="00887AC0"/>
    <w:rsid w:val="00887DA8"/>
    <w:rsid w:val="00887FA3"/>
    <w:rsid w:val="008904A5"/>
    <w:rsid w:val="00890673"/>
    <w:rsid w:val="00890810"/>
    <w:rsid w:val="008908BE"/>
    <w:rsid w:val="008921AD"/>
    <w:rsid w:val="00892459"/>
    <w:rsid w:val="00892810"/>
    <w:rsid w:val="00892DBD"/>
    <w:rsid w:val="00893184"/>
    <w:rsid w:val="00893325"/>
    <w:rsid w:val="008948BB"/>
    <w:rsid w:val="00894E53"/>
    <w:rsid w:val="00895622"/>
    <w:rsid w:val="00897B75"/>
    <w:rsid w:val="00897F89"/>
    <w:rsid w:val="008A0139"/>
    <w:rsid w:val="008A0CDE"/>
    <w:rsid w:val="008A0D07"/>
    <w:rsid w:val="008A11AA"/>
    <w:rsid w:val="008A15A8"/>
    <w:rsid w:val="008A174F"/>
    <w:rsid w:val="008A1AF8"/>
    <w:rsid w:val="008A1D09"/>
    <w:rsid w:val="008A2480"/>
    <w:rsid w:val="008A24B4"/>
    <w:rsid w:val="008A261C"/>
    <w:rsid w:val="008A284F"/>
    <w:rsid w:val="008A2924"/>
    <w:rsid w:val="008A344A"/>
    <w:rsid w:val="008A39FF"/>
    <w:rsid w:val="008A3AEC"/>
    <w:rsid w:val="008A53D7"/>
    <w:rsid w:val="008A57F0"/>
    <w:rsid w:val="008A6209"/>
    <w:rsid w:val="008A640B"/>
    <w:rsid w:val="008A6770"/>
    <w:rsid w:val="008A6867"/>
    <w:rsid w:val="008A6C66"/>
    <w:rsid w:val="008A7804"/>
    <w:rsid w:val="008A7A6D"/>
    <w:rsid w:val="008B0256"/>
    <w:rsid w:val="008B06F1"/>
    <w:rsid w:val="008B109C"/>
    <w:rsid w:val="008B1684"/>
    <w:rsid w:val="008B1E0E"/>
    <w:rsid w:val="008B1E57"/>
    <w:rsid w:val="008B23FE"/>
    <w:rsid w:val="008B26F3"/>
    <w:rsid w:val="008B2F2D"/>
    <w:rsid w:val="008B3C14"/>
    <w:rsid w:val="008B3D8C"/>
    <w:rsid w:val="008B46A5"/>
    <w:rsid w:val="008B493B"/>
    <w:rsid w:val="008B515D"/>
    <w:rsid w:val="008B5256"/>
    <w:rsid w:val="008B596F"/>
    <w:rsid w:val="008B5D3C"/>
    <w:rsid w:val="008B6071"/>
    <w:rsid w:val="008B6D37"/>
    <w:rsid w:val="008B6F05"/>
    <w:rsid w:val="008B718C"/>
    <w:rsid w:val="008B72F6"/>
    <w:rsid w:val="008B74A3"/>
    <w:rsid w:val="008B74AF"/>
    <w:rsid w:val="008B766F"/>
    <w:rsid w:val="008C03E8"/>
    <w:rsid w:val="008C042F"/>
    <w:rsid w:val="008C063C"/>
    <w:rsid w:val="008C0EED"/>
    <w:rsid w:val="008C0EF8"/>
    <w:rsid w:val="008C1DF3"/>
    <w:rsid w:val="008C1EEE"/>
    <w:rsid w:val="008C24B1"/>
    <w:rsid w:val="008C35FC"/>
    <w:rsid w:val="008C386B"/>
    <w:rsid w:val="008C3890"/>
    <w:rsid w:val="008C46E0"/>
    <w:rsid w:val="008C4C2F"/>
    <w:rsid w:val="008C4ED1"/>
    <w:rsid w:val="008C53C9"/>
    <w:rsid w:val="008C557C"/>
    <w:rsid w:val="008C5ADC"/>
    <w:rsid w:val="008C5F6F"/>
    <w:rsid w:val="008C7084"/>
    <w:rsid w:val="008C7F08"/>
    <w:rsid w:val="008D02D1"/>
    <w:rsid w:val="008D080C"/>
    <w:rsid w:val="008D0BED"/>
    <w:rsid w:val="008D1000"/>
    <w:rsid w:val="008D2989"/>
    <w:rsid w:val="008D2A95"/>
    <w:rsid w:val="008D2B91"/>
    <w:rsid w:val="008D35DD"/>
    <w:rsid w:val="008D3AE3"/>
    <w:rsid w:val="008D3DBD"/>
    <w:rsid w:val="008D5312"/>
    <w:rsid w:val="008D5701"/>
    <w:rsid w:val="008D574F"/>
    <w:rsid w:val="008D58C8"/>
    <w:rsid w:val="008D616C"/>
    <w:rsid w:val="008D66DD"/>
    <w:rsid w:val="008D6AA7"/>
    <w:rsid w:val="008D6D8C"/>
    <w:rsid w:val="008D6DD0"/>
    <w:rsid w:val="008D752C"/>
    <w:rsid w:val="008D76A6"/>
    <w:rsid w:val="008D76CF"/>
    <w:rsid w:val="008D7A1F"/>
    <w:rsid w:val="008E0751"/>
    <w:rsid w:val="008E076B"/>
    <w:rsid w:val="008E076D"/>
    <w:rsid w:val="008E09FC"/>
    <w:rsid w:val="008E191A"/>
    <w:rsid w:val="008E19FD"/>
    <w:rsid w:val="008E207F"/>
    <w:rsid w:val="008E22AE"/>
    <w:rsid w:val="008E28D0"/>
    <w:rsid w:val="008E3480"/>
    <w:rsid w:val="008E3C37"/>
    <w:rsid w:val="008E3CB4"/>
    <w:rsid w:val="008E3E02"/>
    <w:rsid w:val="008E4617"/>
    <w:rsid w:val="008E488C"/>
    <w:rsid w:val="008E48B1"/>
    <w:rsid w:val="008E502A"/>
    <w:rsid w:val="008E516E"/>
    <w:rsid w:val="008E5290"/>
    <w:rsid w:val="008E5936"/>
    <w:rsid w:val="008E612F"/>
    <w:rsid w:val="008E668E"/>
    <w:rsid w:val="008E709B"/>
    <w:rsid w:val="008E744B"/>
    <w:rsid w:val="008E76C1"/>
    <w:rsid w:val="008E7766"/>
    <w:rsid w:val="008E777E"/>
    <w:rsid w:val="008F0ACE"/>
    <w:rsid w:val="008F0C99"/>
    <w:rsid w:val="008F0F22"/>
    <w:rsid w:val="008F1091"/>
    <w:rsid w:val="008F153D"/>
    <w:rsid w:val="008F18F8"/>
    <w:rsid w:val="008F254E"/>
    <w:rsid w:val="008F2A72"/>
    <w:rsid w:val="008F2D24"/>
    <w:rsid w:val="008F413F"/>
    <w:rsid w:val="008F52E4"/>
    <w:rsid w:val="008F5561"/>
    <w:rsid w:val="008F58D2"/>
    <w:rsid w:val="008F603C"/>
    <w:rsid w:val="008F63B7"/>
    <w:rsid w:val="008F6993"/>
    <w:rsid w:val="008F708A"/>
    <w:rsid w:val="008F7733"/>
    <w:rsid w:val="008F7840"/>
    <w:rsid w:val="008F7995"/>
    <w:rsid w:val="008F7D16"/>
    <w:rsid w:val="00900246"/>
    <w:rsid w:val="0090044A"/>
    <w:rsid w:val="009007B7"/>
    <w:rsid w:val="009008FE"/>
    <w:rsid w:val="00900E1C"/>
    <w:rsid w:val="00901D1B"/>
    <w:rsid w:val="00901D4B"/>
    <w:rsid w:val="00901E55"/>
    <w:rsid w:val="00901FAB"/>
    <w:rsid w:val="00903194"/>
    <w:rsid w:val="00903C80"/>
    <w:rsid w:val="009043C9"/>
    <w:rsid w:val="00904C39"/>
    <w:rsid w:val="009051FF"/>
    <w:rsid w:val="00905975"/>
    <w:rsid w:val="009061D0"/>
    <w:rsid w:val="00906A21"/>
    <w:rsid w:val="00906F68"/>
    <w:rsid w:val="009076A6"/>
    <w:rsid w:val="00907A60"/>
    <w:rsid w:val="00907DD6"/>
    <w:rsid w:val="00907FA9"/>
    <w:rsid w:val="0091044D"/>
    <w:rsid w:val="00911216"/>
    <w:rsid w:val="009116F1"/>
    <w:rsid w:val="00911A16"/>
    <w:rsid w:val="00912203"/>
    <w:rsid w:val="00912376"/>
    <w:rsid w:val="00912C64"/>
    <w:rsid w:val="00913A31"/>
    <w:rsid w:val="00913C7D"/>
    <w:rsid w:val="00913F4C"/>
    <w:rsid w:val="00914185"/>
    <w:rsid w:val="00914195"/>
    <w:rsid w:val="009142C7"/>
    <w:rsid w:val="009144DE"/>
    <w:rsid w:val="0091479E"/>
    <w:rsid w:val="00914B8C"/>
    <w:rsid w:val="00914C25"/>
    <w:rsid w:val="009154C9"/>
    <w:rsid w:val="0091562E"/>
    <w:rsid w:val="00915746"/>
    <w:rsid w:val="00915820"/>
    <w:rsid w:val="00915827"/>
    <w:rsid w:val="0091588C"/>
    <w:rsid w:val="00915AAD"/>
    <w:rsid w:val="00915AFA"/>
    <w:rsid w:val="009161DE"/>
    <w:rsid w:val="00916904"/>
    <w:rsid w:val="009172AF"/>
    <w:rsid w:val="009177CD"/>
    <w:rsid w:val="00917B48"/>
    <w:rsid w:val="00917C30"/>
    <w:rsid w:val="00917FE5"/>
    <w:rsid w:val="0092046D"/>
    <w:rsid w:val="00920905"/>
    <w:rsid w:val="00920D43"/>
    <w:rsid w:val="00920E8C"/>
    <w:rsid w:val="009214C7"/>
    <w:rsid w:val="00922567"/>
    <w:rsid w:val="00922A4C"/>
    <w:rsid w:val="00924909"/>
    <w:rsid w:val="00924B3B"/>
    <w:rsid w:val="00924CF2"/>
    <w:rsid w:val="0092514B"/>
    <w:rsid w:val="0092587D"/>
    <w:rsid w:val="0092588E"/>
    <w:rsid w:val="00925BFD"/>
    <w:rsid w:val="00925F1B"/>
    <w:rsid w:val="009261DB"/>
    <w:rsid w:val="00926288"/>
    <w:rsid w:val="00930CAF"/>
    <w:rsid w:val="00931DDD"/>
    <w:rsid w:val="00932A53"/>
    <w:rsid w:val="00932B4C"/>
    <w:rsid w:val="00932E46"/>
    <w:rsid w:val="009333CF"/>
    <w:rsid w:val="0093374D"/>
    <w:rsid w:val="00933A97"/>
    <w:rsid w:val="00933F06"/>
    <w:rsid w:val="0093412B"/>
    <w:rsid w:val="00934319"/>
    <w:rsid w:val="009349CF"/>
    <w:rsid w:val="00934F04"/>
    <w:rsid w:val="0093540A"/>
    <w:rsid w:val="00935E0D"/>
    <w:rsid w:val="00936A00"/>
    <w:rsid w:val="00936F62"/>
    <w:rsid w:val="00937B97"/>
    <w:rsid w:val="00940BC1"/>
    <w:rsid w:val="00941C9C"/>
    <w:rsid w:val="009421B6"/>
    <w:rsid w:val="00942304"/>
    <w:rsid w:val="0094283E"/>
    <w:rsid w:val="009430F5"/>
    <w:rsid w:val="00944B18"/>
    <w:rsid w:val="00944B20"/>
    <w:rsid w:val="00944D84"/>
    <w:rsid w:val="0094516E"/>
    <w:rsid w:val="0094673F"/>
    <w:rsid w:val="0094729D"/>
    <w:rsid w:val="0095014A"/>
    <w:rsid w:val="00950970"/>
    <w:rsid w:val="00950B2A"/>
    <w:rsid w:val="00951ECA"/>
    <w:rsid w:val="00952936"/>
    <w:rsid w:val="00952956"/>
    <w:rsid w:val="00952B15"/>
    <w:rsid w:val="0095315B"/>
    <w:rsid w:val="009534CC"/>
    <w:rsid w:val="00953714"/>
    <w:rsid w:val="00953DA3"/>
    <w:rsid w:val="00953F43"/>
    <w:rsid w:val="0095427B"/>
    <w:rsid w:val="00954DEE"/>
    <w:rsid w:val="00954E2E"/>
    <w:rsid w:val="00955155"/>
    <w:rsid w:val="0095665C"/>
    <w:rsid w:val="00956DE8"/>
    <w:rsid w:val="0095717B"/>
    <w:rsid w:val="0095746E"/>
    <w:rsid w:val="009575BA"/>
    <w:rsid w:val="009575E5"/>
    <w:rsid w:val="00957A03"/>
    <w:rsid w:val="00957DBF"/>
    <w:rsid w:val="009601FB"/>
    <w:rsid w:val="0096119D"/>
    <w:rsid w:val="009615DE"/>
    <w:rsid w:val="00961CD0"/>
    <w:rsid w:val="00962036"/>
    <w:rsid w:val="00962D95"/>
    <w:rsid w:val="009637BB"/>
    <w:rsid w:val="00963FAC"/>
    <w:rsid w:val="009646AC"/>
    <w:rsid w:val="0096547C"/>
    <w:rsid w:val="00966543"/>
    <w:rsid w:val="009670B5"/>
    <w:rsid w:val="00967172"/>
    <w:rsid w:val="00967182"/>
    <w:rsid w:val="00967291"/>
    <w:rsid w:val="009673E3"/>
    <w:rsid w:val="00967B9C"/>
    <w:rsid w:val="00967BFE"/>
    <w:rsid w:val="00967FE0"/>
    <w:rsid w:val="009701F8"/>
    <w:rsid w:val="00970CBB"/>
    <w:rsid w:val="00970E54"/>
    <w:rsid w:val="00971092"/>
    <w:rsid w:val="00971373"/>
    <w:rsid w:val="00972361"/>
    <w:rsid w:val="00973722"/>
    <w:rsid w:val="00975BD9"/>
    <w:rsid w:val="00976220"/>
    <w:rsid w:val="00976530"/>
    <w:rsid w:val="00976867"/>
    <w:rsid w:val="0097789C"/>
    <w:rsid w:val="009778DC"/>
    <w:rsid w:val="00977CEA"/>
    <w:rsid w:val="00980187"/>
    <w:rsid w:val="00980717"/>
    <w:rsid w:val="00980F38"/>
    <w:rsid w:val="009816F7"/>
    <w:rsid w:val="00981A53"/>
    <w:rsid w:val="00981C41"/>
    <w:rsid w:val="00981FAE"/>
    <w:rsid w:val="00982E70"/>
    <w:rsid w:val="00983902"/>
    <w:rsid w:val="00983D13"/>
    <w:rsid w:val="00983FEA"/>
    <w:rsid w:val="00984133"/>
    <w:rsid w:val="0098416C"/>
    <w:rsid w:val="0098467E"/>
    <w:rsid w:val="009856C1"/>
    <w:rsid w:val="00986E8C"/>
    <w:rsid w:val="0098770F"/>
    <w:rsid w:val="00987FC5"/>
    <w:rsid w:val="009905AD"/>
    <w:rsid w:val="0099070C"/>
    <w:rsid w:val="00990B9A"/>
    <w:rsid w:val="00991799"/>
    <w:rsid w:val="00991988"/>
    <w:rsid w:val="00991E25"/>
    <w:rsid w:val="009925D8"/>
    <w:rsid w:val="00992B2F"/>
    <w:rsid w:val="0099349D"/>
    <w:rsid w:val="009935E0"/>
    <w:rsid w:val="00993A1E"/>
    <w:rsid w:val="009942A5"/>
    <w:rsid w:val="00995939"/>
    <w:rsid w:val="00995D58"/>
    <w:rsid w:val="009963B7"/>
    <w:rsid w:val="00996745"/>
    <w:rsid w:val="00996F59"/>
    <w:rsid w:val="00997D22"/>
    <w:rsid w:val="009A012D"/>
    <w:rsid w:val="009A01FF"/>
    <w:rsid w:val="009A060F"/>
    <w:rsid w:val="009A0E96"/>
    <w:rsid w:val="009A126B"/>
    <w:rsid w:val="009A1554"/>
    <w:rsid w:val="009A1EBA"/>
    <w:rsid w:val="009A1F7F"/>
    <w:rsid w:val="009A2079"/>
    <w:rsid w:val="009A273D"/>
    <w:rsid w:val="009A27E0"/>
    <w:rsid w:val="009A2863"/>
    <w:rsid w:val="009A2BAD"/>
    <w:rsid w:val="009A325E"/>
    <w:rsid w:val="009A3288"/>
    <w:rsid w:val="009A3D84"/>
    <w:rsid w:val="009A44CA"/>
    <w:rsid w:val="009A4B45"/>
    <w:rsid w:val="009A5278"/>
    <w:rsid w:val="009A5338"/>
    <w:rsid w:val="009A5CC6"/>
    <w:rsid w:val="009A5D1D"/>
    <w:rsid w:val="009A5E44"/>
    <w:rsid w:val="009A6E2C"/>
    <w:rsid w:val="009B01E1"/>
    <w:rsid w:val="009B022E"/>
    <w:rsid w:val="009B0484"/>
    <w:rsid w:val="009B0551"/>
    <w:rsid w:val="009B0B68"/>
    <w:rsid w:val="009B14CF"/>
    <w:rsid w:val="009B171F"/>
    <w:rsid w:val="009B1D93"/>
    <w:rsid w:val="009B2151"/>
    <w:rsid w:val="009B2362"/>
    <w:rsid w:val="009B3609"/>
    <w:rsid w:val="009B40D9"/>
    <w:rsid w:val="009B41C0"/>
    <w:rsid w:val="009B4939"/>
    <w:rsid w:val="009B53E1"/>
    <w:rsid w:val="009B584E"/>
    <w:rsid w:val="009B5952"/>
    <w:rsid w:val="009B6D75"/>
    <w:rsid w:val="009B73D7"/>
    <w:rsid w:val="009C0858"/>
    <w:rsid w:val="009C089C"/>
    <w:rsid w:val="009C097E"/>
    <w:rsid w:val="009C0F17"/>
    <w:rsid w:val="009C10E5"/>
    <w:rsid w:val="009C1822"/>
    <w:rsid w:val="009C19A5"/>
    <w:rsid w:val="009C1A9E"/>
    <w:rsid w:val="009C249B"/>
    <w:rsid w:val="009C342C"/>
    <w:rsid w:val="009C3710"/>
    <w:rsid w:val="009C4CDC"/>
    <w:rsid w:val="009C4F30"/>
    <w:rsid w:val="009C5C57"/>
    <w:rsid w:val="009C5C99"/>
    <w:rsid w:val="009C5CB5"/>
    <w:rsid w:val="009C5E2C"/>
    <w:rsid w:val="009C64D1"/>
    <w:rsid w:val="009C670C"/>
    <w:rsid w:val="009C7569"/>
    <w:rsid w:val="009C78F9"/>
    <w:rsid w:val="009C7A84"/>
    <w:rsid w:val="009C7D05"/>
    <w:rsid w:val="009C7EDE"/>
    <w:rsid w:val="009D0630"/>
    <w:rsid w:val="009D0BB2"/>
    <w:rsid w:val="009D0CBA"/>
    <w:rsid w:val="009D0EEB"/>
    <w:rsid w:val="009D0F5B"/>
    <w:rsid w:val="009D10B8"/>
    <w:rsid w:val="009D1680"/>
    <w:rsid w:val="009D187C"/>
    <w:rsid w:val="009D1F33"/>
    <w:rsid w:val="009D1FB3"/>
    <w:rsid w:val="009D34C7"/>
    <w:rsid w:val="009D390F"/>
    <w:rsid w:val="009D3E07"/>
    <w:rsid w:val="009D4879"/>
    <w:rsid w:val="009D48F5"/>
    <w:rsid w:val="009D53A3"/>
    <w:rsid w:val="009D53BE"/>
    <w:rsid w:val="009D56F5"/>
    <w:rsid w:val="009D6328"/>
    <w:rsid w:val="009D6546"/>
    <w:rsid w:val="009D6C62"/>
    <w:rsid w:val="009D6D97"/>
    <w:rsid w:val="009D72CA"/>
    <w:rsid w:val="009D7483"/>
    <w:rsid w:val="009D76C2"/>
    <w:rsid w:val="009D7846"/>
    <w:rsid w:val="009D7D71"/>
    <w:rsid w:val="009D7ECA"/>
    <w:rsid w:val="009D7F52"/>
    <w:rsid w:val="009E0285"/>
    <w:rsid w:val="009E0893"/>
    <w:rsid w:val="009E0913"/>
    <w:rsid w:val="009E0E65"/>
    <w:rsid w:val="009E1D2B"/>
    <w:rsid w:val="009E248F"/>
    <w:rsid w:val="009E27DD"/>
    <w:rsid w:val="009E288F"/>
    <w:rsid w:val="009E36D3"/>
    <w:rsid w:val="009E3923"/>
    <w:rsid w:val="009E3D19"/>
    <w:rsid w:val="009E4327"/>
    <w:rsid w:val="009E452A"/>
    <w:rsid w:val="009E546C"/>
    <w:rsid w:val="009E55E9"/>
    <w:rsid w:val="009E55FB"/>
    <w:rsid w:val="009E688C"/>
    <w:rsid w:val="009E6EE2"/>
    <w:rsid w:val="009E74C8"/>
    <w:rsid w:val="009E7507"/>
    <w:rsid w:val="009E788D"/>
    <w:rsid w:val="009E7996"/>
    <w:rsid w:val="009E7F58"/>
    <w:rsid w:val="009F01E8"/>
    <w:rsid w:val="009F0DE2"/>
    <w:rsid w:val="009F2554"/>
    <w:rsid w:val="009F2843"/>
    <w:rsid w:val="009F2E8F"/>
    <w:rsid w:val="009F35CD"/>
    <w:rsid w:val="009F49A9"/>
    <w:rsid w:val="009F4D30"/>
    <w:rsid w:val="009F5CB7"/>
    <w:rsid w:val="009F5E1C"/>
    <w:rsid w:val="009F610B"/>
    <w:rsid w:val="009F612E"/>
    <w:rsid w:val="009F657A"/>
    <w:rsid w:val="009F7275"/>
    <w:rsid w:val="009F7659"/>
    <w:rsid w:val="009F769D"/>
    <w:rsid w:val="009F7B11"/>
    <w:rsid w:val="009F7EA7"/>
    <w:rsid w:val="00A0046D"/>
    <w:rsid w:val="00A008FF"/>
    <w:rsid w:val="00A012C8"/>
    <w:rsid w:val="00A01C71"/>
    <w:rsid w:val="00A01E3D"/>
    <w:rsid w:val="00A01F66"/>
    <w:rsid w:val="00A0216D"/>
    <w:rsid w:val="00A023C6"/>
    <w:rsid w:val="00A03198"/>
    <w:rsid w:val="00A0363F"/>
    <w:rsid w:val="00A0440A"/>
    <w:rsid w:val="00A06871"/>
    <w:rsid w:val="00A06AFD"/>
    <w:rsid w:val="00A108C0"/>
    <w:rsid w:val="00A12090"/>
    <w:rsid w:val="00A1251E"/>
    <w:rsid w:val="00A12884"/>
    <w:rsid w:val="00A12CFC"/>
    <w:rsid w:val="00A12DB7"/>
    <w:rsid w:val="00A13281"/>
    <w:rsid w:val="00A13714"/>
    <w:rsid w:val="00A13C10"/>
    <w:rsid w:val="00A15AC1"/>
    <w:rsid w:val="00A1672A"/>
    <w:rsid w:val="00A16972"/>
    <w:rsid w:val="00A16EA7"/>
    <w:rsid w:val="00A177AB"/>
    <w:rsid w:val="00A1799C"/>
    <w:rsid w:val="00A17B2F"/>
    <w:rsid w:val="00A200A5"/>
    <w:rsid w:val="00A20236"/>
    <w:rsid w:val="00A2094F"/>
    <w:rsid w:val="00A20DCC"/>
    <w:rsid w:val="00A211D1"/>
    <w:rsid w:val="00A2185C"/>
    <w:rsid w:val="00A21B5E"/>
    <w:rsid w:val="00A21CA8"/>
    <w:rsid w:val="00A220A1"/>
    <w:rsid w:val="00A231E7"/>
    <w:rsid w:val="00A234A9"/>
    <w:rsid w:val="00A2351B"/>
    <w:rsid w:val="00A237BE"/>
    <w:rsid w:val="00A23950"/>
    <w:rsid w:val="00A239D1"/>
    <w:rsid w:val="00A247B8"/>
    <w:rsid w:val="00A24996"/>
    <w:rsid w:val="00A24A49"/>
    <w:rsid w:val="00A2543F"/>
    <w:rsid w:val="00A25776"/>
    <w:rsid w:val="00A25867"/>
    <w:rsid w:val="00A25A3D"/>
    <w:rsid w:val="00A25CE6"/>
    <w:rsid w:val="00A269DD"/>
    <w:rsid w:val="00A26EC3"/>
    <w:rsid w:val="00A26F73"/>
    <w:rsid w:val="00A27129"/>
    <w:rsid w:val="00A27A29"/>
    <w:rsid w:val="00A27EB9"/>
    <w:rsid w:val="00A30154"/>
    <w:rsid w:val="00A30297"/>
    <w:rsid w:val="00A303D5"/>
    <w:rsid w:val="00A313F3"/>
    <w:rsid w:val="00A31433"/>
    <w:rsid w:val="00A31466"/>
    <w:rsid w:val="00A315F9"/>
    <w:rsid w:val="00A31A65"/>
    <w:rsid w:val="00A31CB4"/>
    <w:rsid w:val="00A32B9D"/>
    <w:rsid w:val="00A32C25"/>
    <w:rsid w:val="00A32D2B"/>
    <w:rsid w:val="00A33158"/>
    <w:rsid w:val="00A337BA"/>
    <w:rsid w:val="00A3386C"/>
    <w:rsid w:val="00A33DBE"/>
    <w:rsid w:val="00A33FCC"/>
    <w:rsid w:val="00A34FE9"/>
    <w:rsid w:val="00A36695"/>
    <w:rsid w:val="00A366D8"/>
    <w:rsid w:val="00A370AD"/>
    <w:rsid w:val="00A3745E"/>
    <w:rsid w:val="00A37591"/>
    <w:rsid w:val="00A37784"/>
    <w:rsid w:val="00A37A17"/>
    <w:rsid w:val="00A4003D"/>
    <w:rsid w:val="00A40049"/>
    <w:rsid w:val="00A400C7"/>
    <w:rsid w:val="00A412BB"/>
    <w:rsid w:val="00A41A9D"/>
    <w:rsid w:val="00A41BB4"/>
    <w:rsid w:val="00A425F4"/>
    <w:rsid w:val="00A42B3F"/>
    <w:rsid w:val="00A4364D"/>
    <w:rsid w:val="00A441B6"/>
    <w:rsid w:val="00A443D3"/>
    <w:rsid w:val="00A4458E"/>
    <w:rsid w:val="00A445AD"/>
    <w:rsid w:val="00A44885"/>
    <w:rsid w:val="00A44ECA"/>
    <w:rsid w:val="00A45C9F"/>
    <w:rsid w:val="00A46CA8"/>
    <w:rsid w:val="00A46CDE"/>
    <w:rsid w:val="00A46E2B"/>
    <w:rsid w:val="00A46F46"/>
    <w:rsid w:val="00A47F94"/>
    <w:rsid w:val="00A5012A"/>
    <w:rsid w:val="00A503E1"/>
    <w:rsid w:val="00A507D9"/>
    <w:rsid w:val="00A51E64"/>
    <w:rsid w:val="00A52FCA"/>
    <w:rsid w:val="00A53013"/>
    <w:rsid w:val="00A53E3B"/>
    <w:rsid w:val="00A54133"/>
    <w:rsid w:val="00A54D30"/>
    <w:rsid w:val="00A54F68"/>
    <w:rsid w:val="00A554DA"/>
    <w:rsid w:val="00A57001"/>
    <w:rsid w:val="00A5790F"/>
    <w:rsid w:val="00A6012D"/>
    <w:rsid w:val="00A61819"/>
    <w:rsid w:val="00A619E5"/>
    <w:rsid w:val="00A62B0C"/>
    <w:rsid w:val="00A63F6B"/>
    <w:rsid w:val="00A640CF"/>
    <w:rsid w:val="00A6420B"/>
    <w:rsid w:val="00A64C92"/>
    <w:rsid w:val="00A6530B"/>
    <w:rsid w:val="00A656B5"/>
    <w:rsid w:val="00A658ED"/>
    <w:rsid w:val="00A660A0"/>
    <w:rsid w:val="00A66A3B"/>
    <w:rsid w:val="00A66DDB"/>
    <w:rsid w:val="00A6742C"/>
    <w:rsid w:val="00A67E3D"/>
    <w:rsid w:val="00A70811"/>
    <w:rsid w:val="00A70C9A"/>
    <w:rsid w:val="00A70F2D"/>
    <w:rsid w:val="00A710D5"/>
    <w:rsid w:val="00A7148A"/>
    <w:rsid w:val="00A71656"/>
    <w:rsid w:val="00A719F0"/>
    <w:rsid w:val="00A71D2F"/>
    <w:rsid w:val="00A72217"/>
    <w:rsid w:val="00A72551"/>
    <w:rsid w:val="00A72B34"/>
    <w:rsid w:val="00A72B40"/>
    <w:rsid w:val="00A72FB9"/>
    <w:rsid w:val="00A737D2"/>
    <w:rsid w:val="00A73851"/>
    <w:rsid w:val="00A73E9B"/>
    <w:rsid w:val="00A740B1"/>
    <w:rsid w:val="00A74704"/>
    <w:rsid w:val="00A75356"/>
    <w:rsid w:val="00A75A1B"/>
    <w:rsid w:val="00A75BEA"/>
    <w:rsid w:val="00A75CE5"/>
    <w:rsid w:val="00A761D8"/>
    <w:rsid w:val="00A770E0"/>
    <w:rsid w:val="00A77369"/>
    <w:rsid w:val="00A77424"/>
    <w:rsid w:val="00A7772D"/>
    <w:rsid w:val="00A77E06"/>
    <w:rsid w:val="00A77FAA"/>
    <w:rsid w:val="00A77FB1"/>
    <w:rsid w:val="00A80896"/>
    <w:rsid w:val="00A81338"/>
    <w:rsid w:val="00A818C9"/>
    <w:rsid w:val="00A82133"/>
    <w:rsid w:val="00A82597"/>
    <w:rsid w:val="00A8266B"/>
    <w:rsid w:val="00A827E5"/>
    <w:rsid w:val="00A82B5D"/>
    <w:rsid w:val="00A8345F"/>
    <w:rsid w:val="00A84342"/>
    <w:rsid w:val="00A84552"/>
    <w:rsid w:val="00A84EEF"/>
    <w:rsid w:val="00A84F9E"/>
    <w:rsid w:val="00A85098"/>
    <w:rsid w:val="00A856DB"/>
    <w:rsid w:val="00A85C58"/>
    <w:rsid w:val="00A865B7"/>
    <w:rsid w:val="00A86D63"/>
    <w:rsid w:val="00A900C4"/>
    <w:rsid w:val="00A905E7"/>
    <w:rsid w:val="00A90722"/>
    <w:rsid w:val="00A912A7"/>
    <w:rsid w:val="00A92157"/>
    <w:rsid w:val="00A9242F"/>
    <w:rsid w:val="00A929F3"/>
    <w:rsid w:val="00A92C65"/>
    <w:rsid w:val="00A93220"/>
    <w:rsid w:val="00A93590"/>
    <w:rsid w:val="00A93D8F"/>
    <w:rsid w:val="00A93E50"/>
    <w:rsid w:val="00A9464C"/>
    <w:rsid w:val="00A948B0"/>
    <w:rsid w:val="00A94968"/>
    <w:rsid w:val="00A94B28"/>
    <w:rsid w:val="00A94FB9"/>
    <w:rsid w:val="00A95398"/>
    <w:rsid w:val="00A9553F"/>
    <w:rsid w:val="00A975C1"/>
    <w:rsid w:val="00A97694"/>
    <w:rsid w:val="00AA04AA"/>
    <w:rsid w:val="00AA05D8"/>
    <w:rsid w:val="00AA05F7"/>
    <w:rsid w:val="00AA1093"/>
    <w:rsid w:val="00AA1B35"/>
    <w:rsid w:val="00AA2679"/>
    <w:rsid w:val="00AA4EEB"/>
    <w:rsid w:val="00AA591D"/>
    <w:rsid w:val="00AA603D"/>
    <w:rsid w:val="00AA64F8"/>
    <w:rsid w:val="00AA6A31"/>
    <w:rsid w:val="00AA6D39"/>
    <w:rsid w:val="00AA7376"/>
    <w:rsid w:val="00AA7DD2"/>
    <w:rsid w:val="00AB07DF"/>
    <w:rsid w:val="00AB1C09"/>
    <w:rsid w:val="00AB3849"/>
    <w:rsid w:val="00AB4536"/>
    <w:rsid w:val="00AB49D6"/>
    <w:rsid w:val="00AB4ACD"/>
    <w:rsid w:val="00AB5384"/>
    <w:rsid w:val="00AB573C"/>
    <w:rsid w:val="00AB5798"/>
    <w:rsid w:val="00AB648B"/>
    <w:rsid w:val="00AB6EC9"/>
    <w:rsid w:val="00AC091D"/>
    <w:rsid w:val="00AC0CBD"/>
    <w:rsid w:val="00AC20DC"/>
    <w:rsid w:val="00AC2A26"/>
    <w:rsid w:val="00AC32DC"/>
    <w:rsid w:val="00AC3656"/>
    <w:rsid w:val="00AC417E"/>
    <w:rsid w:val="00AC529D"/>
    <w:rsid w:val="00AC547A"/>
    <w:rsid w:val="00AC56E9"/>
    <w:rsid w:val="00AC580C"/>
    <w:rsid w:val="00AC6522"/>
    <w:rsid w:val="00AC65CD"/>
    <w:rsid w:val="00AC6682"/>
    <w:rsid w:val="00AC66F9"/>
    <w:rsid w:val="00AC7641"/>
    <w:rsid w:val="00AD0B00"/>
    <w:rsid w:val="00AD0C41"/>
    <w:rsid w:val="00AD0E14"/>
    <w:rsid w:val="00AD1ACD"/>
    <w:rsid w:val="00AD1D03"/>
    <w:rsid w:val="00AD2045"/>
    <w:rsid w:val="00AD23FE"/>
    <w:rsid w:val="00AD32BC"/>
    <w:rsid w:val="00AD3309"/>
    <w:rsid w:val="00AD4689"/>
    <w:rsid w:val="00AD489A"/>
    <w:rsid w:val="00AD4A4D"/>
    <w:rsid w:val="00AD4F83"/>
    <w:rsid w:val="00AD5242"/>
    <w:rsid w:val="00AD7499"/>
    <w:rsid w:val="00AD7BF6"/>
    <w:rsid w:val="00AE0052"/>
    <w:rsid w:val="00AE0362"/>
    <w:rsid w:val="00AE1101"/>
    <w:rsid w:val="00AE1B16"/>
    <w:rsid w:val="00AE1DD7"/>
    <w:rsid w:val="00AE1DFD"/>
    <w:rsid w:val="00AE2230"/>
    <w:rsid w:val="00AE3338"/>
    <w:rsid w:val="00AE33F4"/>
    <w:rsid w:val="00AE44D6"/>
    <w:rsid w:val="00AE5340"/>
    <w:rsid w:val="00AE5374"/>
    <w:rsid w:val="00AE558C"/>
    <w:rsid w:val="00AE562B"/>
    <w:rsid w:val="00AE5C5A"/>
    <w:rsid w:val="00AE5E5E"/>
    <w:rsid w:val="00AE6C56"/>
    <w:rsid w:val="00AF0694"/>
    <w:rsid w:val="00AF08AE"/>
    <w:rsid w:val="00AF0E49"/>
    <w:rsid w:val="00AF0E88"/>
    <w:rsid w:val="00AF13A3"/>
    <w:rsid w:val="00AF246D"/>
    <w:rsid w:val="00AF292F"/>
    <w:rsid w:val="00AF2AED"/>
    <w:rsid w:val="00AF3557"/>
    <w:rsid w:val="00AF3B11"/>
    <w:rsid w:val="00AF3F83"/>
    <w:rsid w:val="00AF474A"/>
    <w:rsid w:val="00AF588B"/>
    <w:rsid w:val="00AF5B4B"/>
    <w:rsid w:val="00AF69AD"/>
    <w:rsid w:val="00AF6A94"/>
    <w:rsid w:val="00AF7A9E"/>
    <w:rsid w:val="00B007F5"/>
    <w:rsid w:val="00B00824"/>
    <w:rsid w:val="00B00B13"/>
    <w:rsid w:val="00B01DE2"/>
    <w:rsid w:val="00B026E1"/>
    <w:rsid w:val="00B03BFF"/>
    <w:rsid w:val="00B0401C"/>
    <w:rsid w:val="00B051D7"/>
    <w:rsid w:val="00B06009"/>
    <w:rsid w:val="00B07C44"/>
    <w:rsid w:val="00B101D6"/>
    <w:rsid w:val="00B119D1"/>
    <w:rsid w:val="00B1254C"/>
    <w:rsid w:val="00B1298F"/>
    <w:rsid w:val="00B12BD7"/>
    <w:rsid w:val="00B12C5E"/>
    <w:rsid w:val="00B12DAD"/>
    <w:rsid w:val="00B13197"/>
    <w:rsid w:val="00B13245"/>
    <w:rsid w:val="00B137C4"/>
    <w:rsid w:val="00B1390F"/>
    <w:rsid w:val="00B13B97"/>
    <w:rsid w:val="00B13BA3"/>
    <w:rsid w:val="00B13F0D"/>
    <w:rsid w:val="00B141F7"/>
    <w:rsid w:val="00B142CD"/>
    <w:rsid w:val="00B14D1C"/>
    <w:rsid w:val="00B15072"/>
    <w:rsid w:val="00B153F8"/>
    <w:rsid w:val="00B15690"/>
    <w:rsid w:val="00B1588C"/>
    <w:rsid w:val="00B165EC"/>
    <w:rsid w:val="00B16687"/>
    <w:rsid w:val="00B16BB4"/>
    <w:rsid w:val="00B17BB0"/>
    <w:rsid w:val="00B20239"/>
    <w:rsid w:val="00B219B6"/>
    <w:rsid w:val="00B2211E"/>
    <w:rsid w:val="00B22496"/>
    <w:rsid w:val="00B22526"/>
    <w:rsid w:val="00B2305C"/>
    <w:rsid w:val="00B231D5"/>
    <w:rsid w:val="00B23832"/>
    <w:rsid w:val="00B24085"/>
    <w:rsid w:val="00B24389"/>
    <w:rsid w:val="00B243F8"/>
    <w:rsid w:val="00B246F0"/>
    <w:rsid w:val="00B24A8A"/>
    <w:rsid w:val="00B2563A"/>
    <w:rsid w:val="00B302A1"/>
    <w:rsid w:val="00B3034D"/>
    <w:rsid w:val="00B317C9"/>
    <w:rsid w:val="00B319F5"/>
    <w:rsid w:val="00B31D34"/>
    <w:rsid w:val="00B32B59"/>
    <w:rsid w:val="00B3361E"/>
    <w:rsid w:val="00B345CA"/>
    <w:rsid w:val="00B34A8E"/>
    <w:rsid w:val="00B35611"/>
    <w:rsid w:val="00B36817"/>
    <w:rsid w:val="00B36F24"/>
    <w:rsid w:val="00B36FCE"/>
    <w:rsid w:val="00B372F3"/>
    <w:rsid w:val="00B37368"/>
    <w:rsid w:val="00B37388"/>
    <w:rsid w:val="00B377A9"/>
    <w:rsid w:val="00B41DF3"/>
    <w:rsid w:val="00B42262"/>
    <w:rsid w:val="00B42347"/>
    <w:rsid w:val="00B423CD"/>
    <w:rsid w:val="00B42507"/>
    <w:rsid w:val="00B42603"/>
    <w:rsid w:val="00B429DF"/>
    <w:rsid w:val="00B42E50"/>
    <w:rsid w:val="00B440F6"/>
    <w:rsid w:val="00B44114"/>
    <w:rsid w:val="00B44376"/>
    <w:rsid w:val="00B4758B"/>
    <w:rsid w:val="00B479AA"/>
    <w:rsid w:val="00B47BE0"/>
    <w:rsid w:val="00B47EB0"/>
    <w:rsid w:val="00B50196"/>
    <w:rsid w:val="00B507A4"/>
    <w:rsid w:val="00B51292"/>
    <w:rsid w:val="00B512CD"/>
    <w:rsid w:val="00B51945"/>
    <w:rsid w:val="00B51E29"/>
    <w:rsid w:val="00B520E9"/>
    <w:rsid w:val="00B526C2"/>
    <w:rsid w:val="00B52A8C"/>
    <w:rsid w:val="00B535E6"/>
    <w:rsid w:val="00B53FAC"/>
    <w:rsid w:val="00B54286"/>
    <w:rsid w:val="00B54A5D"/>
    <w:rsid w:val="00B54E32"/>
    <w:rsid w:val="00B54EAA"/>
    <w:rsid w:val="00B556C7"/>
    <w:rsid w:val="00B55C9B"/>
    <w:rsid w:val="00B56343"/>
    <w:rsid w:val="00B56461"/>
    <w:rsid w:val="00B57457"/>
    <w:rsid w:val="00B57BF3"/>
    <w:rsid w:val="00B603BE"/>
    <w:rsid w:val="00B60C6F"/>
    <w:rsid w:val="00B611BC"/>
    <w:rsid w:val="00B615AF"/>
    <w:rsid w:val="00B61824"/>
    <w:rsid w:val="00B618CE"/>
    <w:rsid w:val="00B63470"/>
    <w:rsid w:val="00B63DC7"/>
    <w:rsid w:val="00B645A0"/>
    <w:rsid w:val="00B6470E"/>
    <w:rsid w:val="00B64C25"/>
    <w:rsid w:val="00B64D48"/>
    <w:rsid w:val="00B6524D"/>
    <w:rsid w:val="00B652B5"/>
    <w:rsid w:val="00B65365"/>
    <w:rsid w:val="00B65A5D"/>
    <w:rsid w:val="00B6718D"/>
    <w:rsid w:val="00B67E40"/>
    <w:rsid w:val="00B7075F"/>
    <w:rsid w:val="00B70C9B"/>
    <w:rsid w:val="00B71497"/>
    <w:rsid w:val="00B71F0D"/>
    <w:rsid w:val="00B72835"/>
    <w:rsid w:val="00B72A27"/>
    <w:rsid w:val="00B73428"/>
    <w:rsid w:val="00B737EA"/>
    <w:rsid w:val="00B73C85"/>
    <w:rsid w:val="00B73EF5"/>
    <w:rsid w:val="00B73F6A"/>
    <w:rsid w:val="00B74EEC"/>
    <w:rsid w:val="00B74F79"/>
    <w:rsid w:val="00B75D9F"/>
    <w:rsid w:val="00B77229"/>
    <w:rsid w:val="00B77FEA"/>
    <w:rsid w:val="00B800D4"/>
    <w:rsid w:val="00B8034C"/>
    <w:rsid w:val="00B81677"/>
    <w:rsid w:val="00B82271"/>
    <w:rsid w:val="00B827A6"/>
    <w:rsid w:val="00B830AD"/>
    <w:rsid w:val="00B83E02"/>
    <w:rsid w:val="00B845C6"/>
    <w:rsid w:val="00B8477D"/>
    <w:rsid w:val="00B84837"/>
    <w:rsid w:val="00B85C76"/>
    <w:rsid w:val="00B85D5D"/>
    <w:rsid w:val="00B86567"/>
    <w:rsid w:val="00B870A7"/>
    <w:rsid w:val="00B90406"/>
    <w:rsid w:val="00B90F56"/>
    <w:rsid w:val="00B90F83"/>
    <w:rsid w:val="00B91369"/>
    <w:rsid w:val="00B9149E"/>
    <w:rsid w:val="00B91AA2"/>
    <w:rsid w:val="00B91ABB"/>
    <w:rsid w:val="00B91C6F"/>
    <w:rsid w:val="00B922DE"/>
    <w:rsid w:val="00B925A5"/>
    <w:rsid w:val="00B931AB"/>
    <w:rsid w:val="00B93BA7"/>
    <w:rsid w:val="00B93F13"/>
    <w:rsid w:val="00B94130"/>
    <w:rsid w:val="00B94157"/>
    <w:rsid w:val="00B944EE"/>
    <w:rsid w:val="00B94F62"/>
    <w:rsid w:val="00B95A0D"/>
    <w:rsid w:val="00B95F07"/>
    <w:rsid w:val="00B9613C"/>
    <w:rsid w:val="00B96DBA"/>
    <w:rsid w:val="00B9778A"/>
    <w:rsid w:val="00B97E18"/>
    <w:rsid w:val="00B97E48"/>
    <w:rsid w:val="00BA0986"/>
    <w:rsid w:val="00BA0BF2"/>
    <w:rsid w:val="00BA1104"/>
    <w:rsid w:val="00BA1B39"/>
    <w:rsid w:val="00BA2851"/>
    <w:rsid w:val="00BA28D1"/>
    <w:rsid w:val="00BA3BB5"/>
    <w:rsid w:val="00BA3CB1"/>
    <w:rsid w:val="00BA4405"/>
    <w:rsid w:val="00BA507A"/>
    <w:rsid w:val="00BA52CA"/>
    <w:rsid w:val="00BA5C23"/>
    <w:rsid w:val="00BA5CC5"/>
    <w:rsid w:val="00BA6150"/>
    <w:rsid w:val="00BA647F"/>
    <w:rsid w:val="00BA686B"/>
    <w:rsid w:val="00BA690A"/>
    <w:rsid w:val="00BA6A14"/>
    <w:rsid w:val="00BA6AC7"/>
    <w:rsid w:val="00BA6C1B"/>
    <w:rsid w:val="00BA6CB7"/>
    <w:rsid w:val="00BA712E"/>
    <w:rsid w:val="00BA7FBC"/>
    <w:rsid w:val="00BB0432"/>
    <w:rsid w:val="00BB0834"/>
    <w:rsid w:val="00BB08F9"/>
    <w:rsid w:val="00BB16FE"/>
    <w:rsid w:val="00BB1EBF"/>
    <w:rsid w:val="00BB1F32"/>
    <w:rsid w:val="00BB24A4"/>
    <w:rsid w:val="00BB26ED"/>
    <w:rsid w:val="00BB3190"/>
    <w:rsid w:val="00BB3352"/>
    <w:rsid w:val="00BB33C7"/>
    <w:rsid w:val="00BB417E"/>
    <w:rsid w:val="00BB4209"/>
    <w:rsid w:val="00BB4F8B"/>
    <w:rsid w:val="00BB63C9"/>
    <w:rsid w:val="00BC06E5"/>
    <w:rsid w:val="00BC0FD8"/>
    <w:rsid w:val="00BC103E"/>
    <w:rsid w:val="00BC13BA"/>
    <w:rsid w:val="00BC1B43"/>
    <w:rsid w:val="00BC1C0A"/>
    <w:rsid w:val="00BC224A"/>
    <w:rsid w:val="00BC2295"/>
    <w:rsid w:val="00BC2CD7"/>
    <w:rsid w:val="00BC3AC6"/>
    <w:rsid w:val="00BC5931"/>
    <w:rsid w:val="00BC6CC8"/>
    <w:rsid w:val="00BC7363"/>
    <w:rsid w:val="00BC74A0"/>
    <w:rsid w:val="00BC765F"/>
    <w:rsid w:val="00BC7904"/>
    <w:rsid w:val="00BC7973"/>
    <w:rsid w:val="00BC7AC0"/>
    <w:rsid w:val="00BC7BB0"/>
    <w:rsid w:val="00BD0E28"/>
    <w:rsid w:val="00BD1117"/>
    <w:rsid w:val="00BD1F11"/>
    <w:rsid w:val="00BD3E6A"/>
    <w:rsid w:val="00BD4241"/>
    <w:rsid w:val="00BD455B"/>
    <w:rsid w:val="00BD50B9"/>
    <w:rsid w:val="00BD5777"/>
    <w:rsid w:val="00BD5B4C"/>
    <w:rsid w:val="00BD6E3D"/>
    <w:rsid w:val="00BD714C"/>
    <w:rsid w:val="00BD7CC4"/>
    <w:rsid w:val="00BE25B0"/>
    <w:rsid w:val="00BE337A"/>
    <w:rsid w:val="00BE34FD"/>
    <w:rsid w:val="00BE3DC2"/>
    <w:rsid w:val="00BE4BA3"/>
    <w:rsid w:val="00BE508F"/>
    <w:rsid w:val="00BE5189"/>
    <w:rsid w:val="00BE5614"/>
    <w:rsid w:val="00BE61BD"/>
    <w:rsid w:val="00BE68F0"/>
    <w:rsid w:val="00BE695D"/>
    <w:rsid w:val="00BE6D0F"/>
    <w:rsid w:val="00BF0312"/>
    <w:rsid w:val="00BF0849"/>
    <w:rsid w:val="00BF11D7"/>
    <w:rsid w:val="00BF1CCD"/>
    <w:rsid w:val="00BF2638"/>
    <w:rsid w:val="00BF2A4F"/>
    <w:rsid w:val="00BF2BF0"/>
    <w:rsid w:val="00BF3049"/>
    <w:rsid w:val="00BF3274"/>
    <w:rsid w:val="00BF3FD9"/>
    <w:rsid w:val="00BF48F6"/>
    <w:rsid w:val="00BF532D"/>
    <w:rsid w:val="00BF5765"/>
    <w:rsid w:val="00BF5985"/>
    <w:rsid w:val="00BF5AE3"/>
    <w:rsid w:val="00BF5E17"/>
    <w:rsid w:val="00BF6347"/>
    <w:rsid w:val="00BF6EAF"/>
    <w:rsid w:val="00BF70DC"/>
    <w:rsid w:val="00BF7638"/>
    <w:rsid w:val="00C01333"/>
    <w:rsid w:val="00C017AD"/>
    <w:rsid w:val="00C025EB"/>
    <w:rsid w:val="00C02ABE"/>
    <w:rsid w:val="00C02EA7"/>
    <w:rsid w:val="00C035F2"/>
    <w:rsid w:val="00C03FC1"/>
    <w:rsid w:val="00C04A04"/>
    <w:rsid w:val="00C04D40"/>
    <w:rsid w:val="00C04E24"/>
    <w:rsid w:val="00C0516C"/>
    <w:rsid w:val="00C05696"/>
    <w:rsid w:val="00C05B46"/>
    <w:rsid w:val="00C05F15"/>
    <w:rsid w:val="00C06157"/>
    <w:rsid w:val="00C06569"/>
    <w:rsid w:val="00C066CE"/>
    <w:rsid w:val="00C06FE3"/>
    <w:rsid w:val="00C07A88"/>
    <w:rsid w:val="00C07B28"/>
    <w:rsid w:val="00C07C86"/>
    <w:rsid w:val="00C1027F"/>
    <w:rsid w:val="00C10646"/>
    <w:rsid w:val="00C11DB2"/>
    <w:rsid w:val="00C126A4"/>
    <w:rsid w:val="00C138FC"/>
    <w:rsid w:val="00C13AA7"/>
    <w:rsid w:val="00C13FE4"/>
    <w:rsid w:val="00C1423F"/>
    <w:rsid w:val="00C14E6C"/>
    <w:rsid w:val="00C15178"/>
    <w:rsid w:val="00C15D28"/>
    <w:rsid w:val="00C163C0"/>
    <w:rsid w:val="00C16A2A"/>
    <w:rsid w:val="00C170FC"/>
    <w:rsid w:val="00C171F7"/>
    <w:rsid w:val="00C177A7"/>
    <w:rsid w:val="00C20356"/>
    <w:rsid w:val="00C20697"/>
    <w:rsid w:val="00C21C77"/>
    <w:rsid w:val="00C22EFB"/>
    <w:rsid w:val="00C22EFD"/>
    <w:rsid w:val="00C23D30"/>
    <w:rsid w:val="00C23D36"/>
    <w:rsid w:val="00C24024"/>
    <w:rsid w:val="00C2446D"/>
    <w:rsid w:val="00C2464A"/>
    <w:rsid w:val="00C247E7"/>
    <w:rsid w:val="00C24AA3"/>
    <w:rsid w:val="00C24AEA"/>
    <w:rsid w:val="00C24BFA"/>
    <w:rsid w:val="00C24F40"/>
    <w:rsid w:val="00C2529E"/>
    <w:rsid w:val="00C26CB5"/>
    <w:rsid w:val="00C27369"/>
    <w:rsid w:val="00C2740E"/>
    <w:rsid w:val="00C27CD9"/>
    <w:rsid w:val="00C30435"/>
    <w:rsid w:val="00C3117F"/>
    <w:rsid w:val="00C322DF"/>
    <w:rsid w:val="00C32F39"/>
    <w:rsid w:val="00C332E7"/>
    <w:rsid w:val="00C337CF"/>
    <w:rsid w:val="00C33965"/>
    <w:rsid w:val="00C33DB6"/>
    <w:rsid w:val="00C34485"/>
    <w:rsid w:val="00C349BA"/>
    <w:rsid w:val="00C34DC2"/>
    <w:rsid w:val="00C35277"/>
    <w:rsid w:val="00C352A6"/>
    <w:rsid w:val="00C36588"/>
    <w:rsid w:val="00C36E43"/>
    <w:rsid w:val="00C37314"/>
    <w:rsid w:val="00C37621"/>
    <w:rsid w:val="00C37C77"/>
    <w:rsid w:val="00C37F09"/>
    <w:rsid w:val="00C416D3"/>
    <w:rsid w:val="00C41EE2"/>
    <w:rsid w:val="00C4236F"/>
    <w:rsid w:val="00C4237C"/>
    <w:rsid w:val="00C42459"/>
    <w:rsid w:val="00C42497"/>
    <w:rsid w:val="00C42C62"/>
    <w:rsid w:val="00C42F64"/>
    <w:rsid w:val="00C4344E"/>
    <w:rsid w:val="00C443FD"/>
    <w:rsid w:val="00C44B9A"/>
    <w:rsid w:val="00C4512C"/>
    <w:rsid w:val="00C453D3"/>
    <w:rsid w:val="00C4574C"/>
    <w:rsid w:val="00C500CB"/>
    <w:rsid w:val="00C51132"/>
    <w:rsid w:val="00C52B40"/>
    <w:rsid w:val="00C53598"/>
    <w:rsid w:val="00C538D9"/>
    <w:rsid w:val="00C53F92"/>
    <w:rsid w:val="00C54544"/>
    <w:rsid w:val="00C54CD5"/>
    <w:rsid w:val="00C551E3"/>
    <w:rsid w:val="00C55349"/>
    <w:rsid w:val="00C553E6"/>
    <w:rsid w:val="00C556A8"/>
    <w:rsid w:val="00C55A2F"/>
    <w:rsid w:val="00C56425"/>
    <w:rsid w:val="00C56987"/>
    <w:rsid w:val="00C570C5"/>
    <w:rsid w:val="00C575C3"/>
    <w:rsid w:val="00C578F2"/>
    <w:rsid w:val="00C57DCC"/>
    <w:rsid w:val="00C617BC"/>
    <w:rsid w:val="00C62204"/>
    <w:rsid w:val="00C624B7"/>
    <w:rsid w:val="00C625D3"/>
    <w:rsid w:val="00C63567"/>
    <w:rsid w:val="00C64ACC"/>
    <w:rsid w:val="00C64BEE"/>
    <w:rsid w:val="00C651AA"/>
    <w:rsid w:val="00C65A75"/>
    <w:rsid w:val="00C65D5C"/>
    <w:rsid w:val="00C67209"/>
    <w:rsid w:val="00C673B5"/>
    <w:rsid w:val="00C706CF"/>
    <w:rsid w:val="00C707A1"/>
    <w:rsid w:val="00C70FCE"/>
    <w:rsid w:val="00C71F9D"/>
    <w:rsid w:val="00C721BB"/>
    <w:rsid w:val="00C72BB7"/>
    <w:rsid w:val="00C72F98"/>
    <w:rsid w:val="00C7433A"/>
    <w:rsid w:val="00C743A7"/>
    <w:rsid w:val="00C7451E"/>
    <w:rsid w:val="00C74811"/>
    <w:rsid w:val="00C74E33"/>
    <w:rsid w:val="00C76524"/>
    <w:rsid w:val="00C767AD"/>
    <w:rsid w:val="00C76B01"/>
    <w:rsid w:val="00C76BB3"/>
    <w:rsid w:val="00C76E3D"/>
    <w:rsid w:val="00C7763F"/>
    <w:rsid w:val="00C77913"/>
    <w:rsid w:val="00C805B5"/>
    <w:rsid w:val="00C814E8"/>
    <w:rsid w:val="00C8175F"/>
    <w:rsid w:val="00C818D8"/>
    <w:rsid w:val="00C81A8B"/>
    <w:rsid w:val="00C823F9"/>
    <w:rsid w:val="00C82CF5"/>
    <w:rsid w:val="00C83167"/>
    <w:rsid w:val="00C83481"/>
    <w:rsid w:val="00C8437D"/>
    <w:rsid w:val="00C84383"/>
    <w:rsid w:val="00C8442C"/>
    <w:rsid w:val="00C84D96"/>
    <w:rsid w:val="00C84FA6"/>
    <w:rsid w:val="00C84FE6"/>
    <w:rsid w:val="00C85134"/>
    <w:rsid w:val="00C852EE"/>
    <w:rsid w:val="00C8558E"/>
    <w:rsid w:val="00C87E52"/>
    <w:rsid w:val="00C90885"/>
    <w:rsid w:val="00C908A1"/>
    <w:rsid w:val="00C908BE"/>
    <w:rsid w:val="00C910CF"/>
    <w:rsid w:val="00C91206"/>
    <w:rsid w:val="00C916CB"/>
    <w:rsid w:val="00C91BF4"/>
    <w:rsid w:val="00C92027"/>
    <w:rsid w:val="00C920DB"/>
    <w:rsid w:val="00C927FD"/>
    <w:rsid w:val="00C92A9F"/>
    <w:rsid w:val="00C92EB0"/>
    <w:rsid w:val="00C93B99"/>
    <w:rsid w:val="00C955BC"/>
    <w:rsid w:val="00C96166"/>
    <w:rsid w:val="00C9680F"/>
    <w:rsid w:val="00C96BE5"/>
    <w:rsid w:val="00C97076"/>
    <w:rsid w:val="00C97A3C"/>
    <w:rsid w:val="00CA07A4"/>
    <w:rsid w:val="00CA0D73"/>
    <w:rsid w:val="00CA0D85"/>
    <w:rsid w:val="00CA0E31"/>
    <w:rsid w:val="00CA15B5"/>
    <w:rsid w:val="00CA1B17"/>
    <w:rsid w:val="00CA1EEC"/>
    <w:rsid w:val="00CA236F"/>
    <w:rsid w:val="00CA2A08"/>
    <w:rsid w:val="00CA2C85"/>
    <w:rsid w:val="00CA59CC"/>
    <w:rsid w:val="00CA59E7"/>
    <w:rsid w:val="00CA5BC3"/>
    <w:rsid w:val="00CA5D3E"/>
    <w:rsid w:val="00CA600F"/>
    <w:rsid w:val="00CA65E0"/>
    <w:rsid w:val="00CA6BA7"/>
    <w:rsid w:val="00CA6F1A"/>
    <w:rsid w:val="00CA71E9"/>
    <w:rsid w:val="00CA760B"/>
    <w:rsid w:val="00CA7E71"/>
    <w:rsid w:val="00CB0AB5"/>
    <w:rsid w:val="00CB0E5E"/>
    <w:rsid w:val="00CB159C"/>
    <w:rsid w:val="00CB177D"/>
    <w:rsid w:val="00CB199C"/>
    <w:rsid w:val="00CB1AEB"/>
    <w:rsid w:val="00CB2486"/>
    <w:rsid w:val="00CB25D5"/>
    <w:rsid w:val="00CB4309"/>
    <w:rsid w:val="00CB48C3"/>
    <w:rsid w:val="00CB4B85"/>
    <w:rsid w:val="00CB4C4D"/>
    <w:rsid w:val="00CB4F2B"/>
    <w:rsid w:val="00CB50FF"/>
    <w:rsid w:val="00CB5402"/>
    <w:rsid w:val="00CB5873"/>
    <w:rsid w:val="00CB60DA"/>
    <w:rsid w:val="00CB6100"/>
    <w:rsid w:val="00CB61BD"/>
    <w:rsid w:val="00CB6967"/>
    <w:rsid w:val="00CC0022"/>
    <w:rsid w:val="00CC045E"/>
    <w:rsid w:val="00CC0731"/>
    <w:rsid w:val="00CC09EA"/>
    <w:rsid w:val="00CC22ED"/>
    <w:rsid w:val="00CC2CB2"/>
    <w:rsid w:val="00CC3C25"/>
    <w:rsid w:val="00CC493F"/>
    <w:rsid w:val="00CC594E"/>
    <w:rsid w:val="00CC5D98"/>
    <w:rsid w:val="00CC6226"/>
    <w:rsid w:val="00CC77F8"/>
    <w:rsid w:val="00CC7D0D"/>
    <w:rsid w:val="00CD0220"/>
    <w:rsid w:val="00CD06FD"/>
    <w:rsid w:val="00CD073E"/>
    <w:rsid w:val="00CD0E6A"/>
    <w:rsid w:val="00CD1079"/>
    <w:rsid w:val="00CD11F2"/>
    <w:rsid w:val="00CD176F"/>
    <w:rsid w:val="00CD247A"/>
    <w:rsid w:val="00CD275C"/>
    <w:rsid w:val="00CD2C02"/>
    <w:rsid w:val="00CD2CEE"/>
    <w:rsid w:val="00CD374D"/>
    <w:rsid w:val="00CD5DF4"/>
    <w:rsid w:val="00CD6692"/>
    <w:rsid w:val="00CD6CC3"/>
    <w:rsid w:val="00CD6E2C"/>
    <w:rsid w:val="00CD7501"/>
    <w:rsid w:val="00CE0041"/>
    <w:rsid w:val="00CE0193"/>
    <w:rsid w:val="00CE025D"/>
    <w:rsid w:val="00CE0855"/>
    <w:rsid w:val="00CE0944"/>
    <w:rsid w:val="00CE19E4"/>
    <w:rsid w:val="00CE1CD6"/>
    <w:rsid w:val="00CE1F67"/>
    <w:rsid w:val="00CE24C1"/>
    <w:rsid w:val="00CE24E1"/>
    <w:rsid w:val="00CE2D66"/>
    <w:rsid w:val="00CE33D5"/>
    <w:rsid w:val="00CE3510"/>
    <w:rsid w:val="00CE3A9F"/>
    <w:rsid w:val="00CE3E28"/>
    <w:rsid w:val="00CE4BBE"/>
    <w:rsid w:val="00CE4EF2"/>
    <w:rsid w:val="00CE517D"/>
    <w:rsid w:val="00CE60C4"/>
    <w:rsid w:val="00CE6102"/>
    <w:rsid w:val="00CE62A0"/>
    <w:rsid w:val="00CE7211"/>
    <w:rsid w:val="00CF05CF"/>
    <w:rsid w:val="00CF082F"/>
    <w:rsid w:val="00CF0D85"/>
    <w:rsid w:val="00CF180F"/>
    <w:rsid w:val="00CF29C4"/>
    <w:rsid w:val="00CF31F4"/>
    <w:rsid w:val="00CF36FF"/>
    <w:rsid w:val="00CF3B39"/>
    <w:rsid w:val="00CF4B7D"/>
    <w:rsid w:val="00CF521B"/>
    <w:rsid w:val="00CF52C7"/>
    <w:rsid w:val="00CF670F"/>
    <w:rsid w:val="00CF67A6"/>
    <w:rsid w:val="00CF68C9"/>
    <w:rsid w:val="00CF732E"/>
    <w:rsid w:val="00CF768E"/>
    <w:rsid w:val="00CF77EB"/>
    <w:rsid w:val="00CF7E3C"/>
    <w:rsid w:val="00D000AD"/>
    <w:rsid w:val="00D018CF"/>
    <w:rsid w:val="00D01A20"/>
    <w:rsid w:val="00D01D50"/>
    <w:rsid w:val="00D02301"/>
    <w:rsid w:val="00D02A5E"/>
    <w:rsid w:val="00D0317F"/>
    <w:rsid w:val="00D0374D"/>
    <w:rsid w:val="00D043C7"/>
    <w:rsid w:val="00D05371"/>
    <w:rsid w:val="00D06076"/>
    <w:rsid w:val="00D0625D"/>
    <w:rsid w:val="00D0667E"/>
    <w:rsid w:val="00D06724"/>
    <w:rsid w:val="00D06749"/>
    <w:rsid w:val="00D06D40"/>
    <w:rsid w:val="00D071F7"/>
    <w:rsid w:val="00D0764B"/>
    <w:rsid w:val="00D0795C"/>
    <w:rsid w:val="00D1044A"/>
    <w:rsid w:val="00D11360"/>
    <w:rsid w:val="00D11C5C"/>
    <w:rsid w:val="00D131CC"/>
    <w:rsid w:val="00D13650"/>
    <w:rsid w:val="00D147E0"/>
    <w:rsid w:val="00D15229"/>
    <w:rsid w:val="00D15590"/>
    <w:rsid w:val="00D155E4"/>
    <w:rsid w:val="00D16090"/>
    <w:rsid w:val="00D16676"/>
    <w:rsid w:val="00D16945"/>
    <w:rsid w:val="00D16C2B"/>
    <w:rsid w:val="00D174FF"/>
    <w:rsid w:val="00D17D2C"/>
    <w:rsid w:val="00D17D87"/>
    <w:rsid w:val="00D2058C"/>
    <w:rsid w:val="00D21000"/>
    <w:rsid w:val="00D2142B"/>
    <w:rsid w:val="00D21592"/>
    <w:rsid w:val="00D216E3"/>
    <w:rsid w:val="00D216F4"/>
    <w:rsid w:val="00D21EC6"/>
    <w:rsid w:val="00D21FD5"/>
    <w:rsid w:val="00D22364"/>
    <w:rsid w:val="00D22B4E"/>
    <w:rsid w:val="00D22E01"/>
    <w:rsid w:val="00D232C4"/>
    <w:rsid w:val="00D23557"/>
    <w:rsid w:val="00D235C7"/>
    <w:rsid w:val="00D238EB"/>
    <w:rsid w:val="00D23924"/>
    <w:rsid w:val="00D24132"/>
    <w:rsid w:val="00D243AA"/>
    <w:rsid w:val="00D246F2"/>
    <w:rsid w:val="00D25771"/>
    <w:rsid w:val="00D26648"/>
    <w:rsid w:val="00D26847"/>
    <w:rsid w:val="00D26BB1"/>
    <w:rsid w:val="00D2730D"/>
    <w:rsid w:val="00D27ABE"/>
    <w:rsid w:val="00D27E27"/>
    <w:rsid w:val="00D27F01"/>
    <w:rsid w:val="00D30B4E"/>
    <w:rsid w:val="00D318D0"/>
    <w:rsid w:val="00D32872"/>
    <w:rsid w:val="00D33D4E"/>
    <w:rsid w:val="00D34754"/>
    <w:rsid w:val="00D34931"/>
    <w:rsid w:val="00D34D30"/>
    <w:rsid w:val="00D34F27"/>
    <w:rsid w:val="00D35EBF"/>
    <w:rsid w:val="00D36511"/>
    <w:rsid w:val="00D37748"/>
    <w:rsid w:val="00D37B99"/>
    <w:rsid w:val="00D37C13"/>
    <w:rsid w:val="00D37F2E"/>
    <w:rsid w:val="00D403FB"/>
    <w:rsid w:val="00D40D39"/>
    <w:rsid w:val="00D412CB"/>
    <w:rsid w:val="00D415E7"/>
    <w:rsid w:val="00D41835"/>
    <w:rsid w:val="00D4359B"/>
    <w:rsid w:val="00D44421"/>
    <w:rsid w:val="00D44D63"/>
    <w:rsid w:val="00D460DD"/>
    <w:rsid w:val="00D46430"/>
    <w:rsid w:val="00D464C7"/>
    <w:rsid w:val="00D46BC5"/>
    <w:rsid w:val="00D47923"/>
    <w:rsid w:val="00D47D7D"/>
    <w:rsid w:val="00D50F55"/>
    <w:rsid w:val="00D512CD"/>
    <w:rsid w:val="00D513C7"/>
    <w:rsid w:val="00D5150E"/>
    <w:rsid w:val="00D51610"/>
    <w:rsid w:val="00D51ED6"/>
    <w:rsid w:val="00D52061"/>
    <w:rsid w:val="00D53B92"/>
    <w:rsid w:val="00D53C5E"/>
    <w:rsid w:val="00D53FE0"/>
    <w:rsid w:val="00D55438"/>
    <w:rsid w:val="00D556BD"/>
    <w:rsid w:val="00D558F6"/>
    <w:rsid w:val="00D55AB9"/>
    <w:rsid w:val="00D56BAF"/>
    <w:rsid w:val="00D57612"/>
    <w:rsid w:val="00D57B2D"/>
    <w:rsid w:val="00D603C2"/>
    <w:rsid w:val="00D60865"/>
    <w:rsid w:val="00D615CB"/>
    <w:rsid w:val="00D61A23"/>
    <w:rsid w:val="00D61A47"/>
    <w:rsid w:val="00D630CE"/>
    <w:rsid w:val="00D635CB"/>
    <w:rsid w:val="00D641E5"/>
    <w:rsid w:val="00D645D3"/>
    <w:rsid w:val="00D64862"/>
    <w:rsid w:val="00D64CD1"/>
    <w:rsid w:val="00D6536F"/>
    <w:rsid w:val="00D65A39"/>
    <w:rsid w:val="00D65E03"/>
    <w:rsid w:val="00D661D7"/>
    <w:rsid w:val="00D66F6E"/>
    <w:rsid w:val="00D707EB"/>
    <w:rsid w:val="00D70E81"/>
    <w:rsid w:val="00D70EBD"/>
    <w:rsid w:val="00D71ABB"/>
    <w:rsid w:val="00D7215C"/>
    <w:rsid w:val="00D729CF"/>
    <w:rsid w:val="00D72DCF"/>
    <w:rsid w:val="00D72E17"/>
    <w:rsid w:val="00D73731"/>
    <w:rsid w:val="00D73BDA"/>
    <w:rsid w:val="00D73BDF"/>
    <w:rsid w:val="00D74CBB"/>
    <w:rsid w:val="00D75474"/>
    <w:rsid w:val="00D75925"/>
    <w:rsid w:val="00D75D55"/>
    <w:rsid w:val="00D77E77"/>
    <w:rsid w:val="00D801B5"/>
    <w:rsid w:val="00D813BF"/>
    <w:rsid w:val="00D81D66"/>
    <w:rsid w:val="00D821F9"/>
    <w:rsid w:val="00D825C4"/>
    <w:rsid w:val="00D829A0"/>
    <w:rsid w:val="00D8310D"/>
    <w:rsid w:val="00D83346"/>
    <w:rsid w:val="00D83349"/>
    <w:rsid w:val="00D83E9A"/>
    <w:rsid w:val="00D8409A"/>
    <w:rsid w:val="00D84192"/>
    <w:rsid w:val="00D84240"/>
    <w:rsid w:val="00D849AE"/>
    <w:rsid w:val="00D84D39"/>
    <w:rsid w:val="00D850E2"/>
    <w:rsid w:val="00D85BCB"/>
    <w:rsid w:val="00D86B87"/>
    <w:rsid w:val="00D86E79"/>
    <w:rsid w:val="00D86FD0"/>
    <w:rsid w:val="00D87F06"/>
    <w:rsid w:val="00D87FAD"/>
    <w:rsid w:val="00D90842"/>
    <w:rsid w:val="00D91936"/>
    <w:rsid w:val="00D91CA9"/>
    <w:rsid w:val="00D924CE"/>
    <w:rsid w:val="00D924F2"/>
    <w:rsid w:val="00D92835"/>
    <w:rsid w:val="00D92EA4"/>
    <w:rsid w:val="00D9341A"/>
    <w:rsid w:val="00D93521"/>
    <w:rsid w:val="00D93F6E"/>
    <w:rsid w:val="00D945F9"/>
    <w:rsid w:val="00D94C6C"/>
    <w:rsid w:val="00D95760"/>
    <w:rsid w:val="00D96044"/>
    <w:rsid w:val="00D960C0"/>
    <w:rsid w:val="00D9691F"/>
    <w:rsid w:val="00D96AE8"/>
    <w:rsid w:val="00D96EBC"/>
    <w:rsid w:val="00D96EE6"/>
    <w:rsid w:val="00D973AD"/>
    <w:rsid w:val="00DA0224"/>
    <w:rsid w:val="00DA11AB"/>
    <w:rsid w:val="00DA1425"/>
    <w:rsid w:val="00DA1F8F"/>
    <w:rsid w:val="00DA2962"/>
    <w:rsid w:val="00DA3417"/>
    <w:rsid w:val="00DA3BA9"/>
    <w:rsid w:val="00DA3C0B"/>
    <w:rsid w:val="00DA4279"/>
    <w:rsid w:val="00DA458A"/>
    <w:rsid w:val="00DA486F"/>
    <w:rsid w:val="00DA4F14"/>
    <w:rsid w:val="00DA5106"/>
    <w:rsid w:val="00DA55EC"/>
    <w:rsid w:val="00DA5D74"/>
    <w:rsid w:val="00DA6138"/>
    <w:rsid w:val="00DA632A"/>
    <w:rsid w:val="00DA6735"/>
    <w:rsid w:val="00DA6E31"/>
    <w:rsid w:val="00DA7284"/>
    <w:rsid w:val="00DA7EB3"/>
    <w:rsid w:val="00DB09D5"/>
    <w:rsid w:val="00DB0B3B"/>
    <w:rsid w:val="00DB109F"/>
    <w:rsid w:val="00DB14EE"/>
    <w:rsid w:val="00DB17B2"/>
    <w:rsid w:val="00DB185C"/>
    <w:rsid w:val="00DB1A8D"/>
    <w:rsid w:val="00DB2A60"/>
    <w:rsid w:val="00DB2D28"/>
    <w:rsid w:val="00DB3532"/>
    <w:rsid w:val="00DB38A8"/>
    <w:rsid w:val="00DB3CCB"/>
    <w:rsid w:val="00DB3EEB"/>
    <w:rsid w:val="00DB43A4"/>
    <w:rsid w:val="00DB4428"/>
    <w:rsid w:val="00DB49FB"/>
    <w:rsid w:val="00DB59D9"/>
    <w:rsid w:val="00DB6523"/>
    <w:rsid w:val="00DB68F5"/>
    <w:rsid w:val="00DB693A"/>
    <w:rsid w:val="00DB6FE8"/>
    <w:rsid w:val="00DB7858"/>
    <w:rsid w:val="00DB7FE1"/>
    <w:rsid w:val="00DC15DE"/>
    <w:rsid w:val="00DC2914"/>
    <w:rsid w:val="00DC2AC5"/>
    <w:rsid w:val="00DC37F8"/>
    <w:rsid w:val="00DC4643"/>
    <w:rsid w:val="00DC47C4"/>
    <w:rsid w:val="00DC49A9"/>
    <w:rsid w:val="00DC5779"/>
    <w:rsid w:val="00DC57EC"/>
    <w:rsid w:val="00DC5866"/>
    <w:rsid w:val="00DC5D71"/>
    <w:rsid w:val="00DC653E"/>
    <w:rsid w:val="00DC66E4"/>
    <w:rsid w:val="00DC7092"/>
    <w:rsid w:val="00DC752D"/>
    <w:rsid w:val="00DC7A34"/>
    <w:rsid w:val="00DC7B0B"/>
    <w:rsid w:val="00DC7B2A"/>
    <w:rsid w:val="00DD0717"/>
    <w:rsid w:val="00DD0BFD"/>
    <w:rsid w:val="00DD0C39"/>
    <w:rsid w:val="00DD0E29"/>
    <w:rsid w:val="00DD12F5"/>
    <w:rsid w:val="00DD1E1D"/>
    <w:rsid w:val="00DD223B"/>
    <w:rsid w:val="00DD28C0"/>
    <w:rsid w:val="00DD2D10"/>
    <w:rsid w:val="00DD43B5"/>
    <w:rsid w:val="00DD4CC3"/>
    <w:rsid w:val="00DD5444"/>
    <w:rsid w:val="00DD5C39"/>
    <w:rsid w:val="00DD5E16"/>
    <w:rsid w:val="00DD5F1E"/>
    <w:rsid w:val="00DD7737"/>
    <w:rsid w:val="00DD7857"/>
    <w:rsid w:val="00DE0340"/>
    <w:rsid w:val="00DE2D23"/>
    <w:rsid w:val="00DE3FD5"/>
    <w:rsid w:val="00DE4C9C"/>
    <w:rsid w:val="00DE5172"/>
    <w:rsid w:val="00DE561B"/>
    <w:rsid w:val="00DE5F9D"/>
    <w:rsid w:val="00DE66F8"/>
    <w:rsid w:val="00DE6C9E"/>
    <w:rsid w:val="00DE6D11"/>
    <w:rsid w:val="00DE703B"/>
    <w:rsid w:val="00DE7B5E"/>
    <w:rsid w:val="00DF0C57"/>
    <w:rsid w:val="00DF0FE9"/>
    <w:rsid w:val="00DF10B7"/>
    <w:rsid w:val="00DF1C46"/>
    <w:rsid w:val="00DF1F83"/>
    <w:rsid w:val="00DF28E6"/>
    <w:rsid w:val="00DF3C89"/>
    <w:rsid w:val="00DF4056"/>
    <w:rsid w:val="00DF43A4"/>
    <w:rsid w:val="00DF4C8A"/>
    <w:rsid w:val="00DF4DD1"/>
    <w:rsid w:val="00DF4ECB"/>
    <w:rsid w:val="00DF5BD8"/>
    <w:rsid w:val="00DF5CEE"/>
    <w:rsid w:val="00DF5D47"/>
    <w:rsid w:val="00DF5FB2"/>
    <w:rsid w:val="00DF6E61"/>
    <w:rsid w:val="00DF751B"/>
    <w:rsid w:val="00DF7C94"/>
    <w:rsid w:val="00E0048E"/>
    <w:rsid w:val="00E0051A"/>
    <w:rsid w:val="00E00667"/>
    <w:rsid w:val="00E00C39"/>
    <w:rsid w:val="00E00EC3"/>
    <w:rsid w:val="00E015AF"/>
    <w:rsid w:val="00E0249B"/>
    <w:rsid w:val="00E029B6"/>
    <w:rsid w:val="00E02E11"/>
    <w:rsid w:val="00E03335"/>
    <w:rsid w:val="00E046DD"/>
    <w:rsid w:val="00E049ED"/>
    <w:rsid w:val="00E04DE4"/>
    <w:rsid w:val="00E052C5"/>
    <w:rsid w:val="00E0678C"/>
    <w:rsid w:val="00E0678F"/>
    <w:rsid w:val="00E1053F"/>
    <w:rsid w:val="00E10633"/>
    <w:rsid w:val="00E106C4"/>
    <w:rsid w:val="00E113BC"/>
    <w:rsid w:val="00E11548"/>
    <w:rsid w:val="00E122AA"/>
    <w:rsid w:val="00E122C7"/>
    <w:rsid w:val="00E1246C"/>
    <w:rsid w:val="00E12A4A"/>
    <w:rsid w:val="00E12CEC"/>
    <w:rsid w:val="00E1353D"/>
    <w:rsid w:val="00E14326"/>
    <w:rsid w:val="00E143A2"/>
    <w:rsid w:val="00E145A4"/>
    <w:rsid w:val="00E147E8"/>
    <w:rsid w:val="00E14A69"/>
    <w:rsid w:val="00E15737"/>
    <w:rsid w:val="00E157D7"/>
    <w:rsid w:val="00E161CA"/>
    <w:rsid w:val="00E16254"/>
    <w:rsid w:val="00E16E21"/>
    <w:rsid w:val="00E17296"/>
    <w:rsid w:val="00E1749F"/>
    <w:rsid w:val="00E17968"/>
    <w:rsid w:val="00E17DF6"/>
    <w:rsid w:val="00E17FFC"/>
    <w:rsid w:val="00E20F27"/>
    <w:rsid w:val="00E2106C"/>
    <w:rsid w:val="00E21511"/>
    <w:rsid w:val="00E21537"/>
    <w:rsid w:val="00E21624"/>
    <w:rsid w:val="00E21E5D"/>
    <w:rsid w:val="00E2224A"/>
    <w:rsid w:val="00E2229B"/>
    <w:rsid w:val="00E2481D"/>
    <w:rsid w:val="00E24D79"/>
    <w:rsid w:val="00E25642"/>
    <w:rsid w:val="00E25B22"/>
    <w:rsid w:val="00E26448"/>
    <w:rsid w:val="00E26844"/>
    <w:rsid w:val="00E26FB5"/>
    <w:rsid w:val="00E270E8"/>
    <w:rsid w:val="00E27851"/>
    <w:rsid w:val="00E27F45"/>
    <w:rsid w:val="00E31A1D"/>
    <w:rsid w:val="00E32154"/>
    <w:rsid w:val="00E326BB"/>
    <w:rsid w:val="00E32894"/>
    <w:rsid w:val="00E32DD7"/>
    <w:rsid w:val="00E330CE"/>
    <w:rsid w:val="00E33188"/>
    <w:rsid w:val="00E339AD"/>
    <w:rsid w:val="00E33BBA"/>
    <w:rsid w:val="00E3437F"/>
    <w:rsid w:val="00E3495C"/>
    <w:rsid w:val="00E34A49"/>
    <w:rsid w:val="00E35056"/>
    <w:rsid w:val="00E35674"/>
    <w:rsid w:val="00E35F02"/>
    <w:rsid w:val="00E362A9"/>
    <w:rsid w:val="00E363F7"/>
    <w:rsid w:val="00E36838"/>
    <w:rsid w:val="00E3731B"/>
    <w:rsid w:val="00E37864"/>
    <w:rsid w:val="00E37E56"/>
    <w:rsid w:val="00E37E92"/>
    <w:rsid w:val="00E40113"/>
    <w:rsid w:val="00E40222"/>
    <w:rsid w:val="00E40915"/>
    <w:rsid w:val="00E40A5B"/>
    <w:rsid w:val="00E41B62"/>
    <w:rsid w:val="00E41C9F"/>
    <w:rsid w:val="00E429D6"/>
    <w:rsid w:val="00E42B2C"/>
    <w:rsid w:val="00E431C3"/>
    <w:rsid w:val="00E43B5D"/>
    <w:rsid w:val="00E43B68"/>
    <w:rsid w:val="00E43B95"/>
    <w:rsid w:val="00E44CDE"/>
    <w:rsid w:val="00E45461"/>
    <w:rsid w:val="00E46019"/>
    <w:rsid w:val="00E464A4"/>
    <w:rsid w:val="00E5044C"/>
    <w:rsid w:val="00E51AD3"/>
    <w:rsid w:val="00E52122"/>
    <w:rsid w:val="00E52712"/>
    <w:rsid w:val="00E528AF"/>
    <w:rsid w:val="00E53164"/>
    <w:rsid w:val="00E532C7"/>
    <w:rsid w:val="00E5350C"/>
    <w:rsid w:val="00E53F73"/>
    <w:rsid w:val="00E54062"/>
    <w:rsid w:val="00E5418B"/>
    <w:rsid w:val="00E55178"/>
    <w:rsid w:val="00E552C0"/>
    <w:rsid w:val="00E56AAB"/>
    <w:rsid w:val="00E56C07"/>
    <w:rsid w:val="00E57A8C"/>
    <w:rsid w:val="00E57DE9"/>
    <w:rsid w:val="00E57FC8"/>
    <w:rsid w:val="00E61666"/>
    <w:rsid w:val="00E616DA"/>
    <w:rsid w:val="00E61ED7"/>
    <w:rsid w:val="00E62138"/>
    <w:rsid w:val="00E629DE"/>
    <w:rsid w:val="00E62B6C"/>
    <w:rsid w:val="00E633EF"/>
    <w:rsid w:val="00E63BD2"/>
    <w:rsid w:val="00E64192"/>
    <w:rsid w:val="00E646DE"/>
    <w:rsid w:val="00E6492E"/>
    <w:rsid w:val="00E64C3E"/>
    <w:rsid w:val="00E6525F"/>
    <w:rsid w:val="00E66491"/>
    <w:rsid w:val="00E66699"/>
    <w:rsid w:val="00E66D38"/>
    <w:rsid w:val="00E66E2B"/>
    <w:rsid w:val="00E6715A"/>
    <w:rsid w:val="00E701EF"/>
    <w:rsid w:val="00E705CD"/>
    <w:rsid w:val="00E71F00"/>
    <w:rsid w:val="00E724BB"/>
    <w:rsid w:val="00E72622"/>
    <w:rsid w:val="00E72E0E"/>
    <w:rsid w:val="00E741E1"/>
    <w:rsid w:val="00E74385"/>
    <w:rsid w:val="00E750FE"/>
    <w:rsid w:val="00E75F2E"/>
    <w:rsid w:val="00E760D2"/>
    <w:rsid w:val="00E762D6"/>
    <w:rsid w:val="00E77A80"/>
    <w:rsid w:val="00E77F9E"/>
    <w:rsid w:val="00E77FDB"/>
    <w:rsid w:val="00E80081"/>
    <w:rsid w:val="00E807A2"/>
    <w:rsid w:val="00E80F68"/>
    <w:rsid w:val="00E812CC"/>
    <w:rsid w:val="00E83808"/>
    <w:rsid w:val="00E83884"/>
    <w:rsid w:val="00E83EB5"/>
    <w:rsid w:val="00E847AF"/>
    <w:rsid w:val="00E856FB"/>
    <w:rsid w:val="00E85714"/>
    <w:rsid w:val="00E85B8D"/>
    <w:rsid w:val="00E86355"/>
    <w:rsid w:val="00E8696B"/>
    <w:rsid w:val="00E873CB"/>
    <w:rsid w:val="00E87A00"/>
    <w:rsid w:val="00E87AE0"/>
    <w:rsid w:val="00E90249"/>
    <w:rsid w:val="00E90461"/>
    <w:rsid w:val="00E90528"/>
    <w:rsid w:val="00E90703"/>
    <w:rsid w:val="00E910D8"/>
    <w:rsid w:val="00E91D03"/>
    <w:rsid w:val="00E91F55"/>
    <w:rsid w:val="00E92061"/>
    <w:rsid w:val="00E9248B"/>
    <w:rsid w:val="00E927DD"/>
    <w:rsid w:val="00E93C4F"/>
    <w:rsid w:val="00E949DD"/>
    <w:rsid w:val="00E951FD"/>
    <w:rsid w:val="00E956BC"/>
    <w:rsid w:val="00E95B45"/>
    <w:rsid w:val="00E95E4C"/>
    <w:rsid w:val="00E9704E"/>
    <w:rsid w:val="00EA0622"/>
    <w:rsid w:val="00EA07C9"/>
    <w:rsid w:val="00EA0964"/>
    <w:rsid w:val="00EA1597"/>
    <w:rsid w:val="00EA19F0"/>
    <w:rsid w:val="00EA2479"/>
    <w:rsid w:val="00EA2508"/>
    <w:rsid w:val="00EA2B12"/>
    <w:rsid w:val="00EA3492"/>
    <w:rsid w:val="00EA34E7"/>
    <w:rsid w:val="00EA3ACC"/>
    <w:rsid w:val="00EA431E"/>
    <w:rsid w:val="00EA45A5"/>
    <w:rsid w:val="00EA468A"/>
    <w:rsid w:val="00EA4AF4"/>
    <w:rsid w:val="00EA4B1D"/>
    <w:rsid w:val="00EA51E3"/>
    <w:rsid w:val="00EA5E0B"/>
    <w:rsid w:val="00EA626B"/>
    <w:rsid w:val="00EA630E"/>
    <w:rsid w:val="00EA6551"/>
    <w:rsid w:val="00EA6821"/>
    <w:rsid w:val="00EA6F50"/>
    <w:rsid w:val="00EA701E"/>
    <w:rsid w:val="00EA74AE"/>
    <w:rsid w:val="00EA796E"/>
    <w:rsid w:val="00EA79F6"/>
    <w:rsid w:val="00EA7E28"/>
    <w:rsid w:val="00EB039B"/>
    <w:rsid w:val="00EB0554"/>
    <w:rsid w:val="00EB0A81"/>
    <w:rsid w:val="00EB1B1D"/>
    <w:rsid w:val="00EB20B8"/>
    <w:rsid w:val="00EB28AC"/>
    <w:rsid w:val="00EB3018"/>
    <w:rsid w:val="00EB3782"/>
    <w:rsid w:val="00EB3785"/>
    <w:rsid w:val="00EB3828"/>
    <w:rsid w:val="00EB38FB"/>
    <w:rsid w:val="00EB39E8"/>
    <w:rsid w:val="00EB3CFA"/>
    <w:rsid w:val="00EB5525"/>
    <w:rsid w:val="00EB6043"/>
    <w:rsid w:val="00EB6872"/>
    <w:rsid w:val="00EB6EBE"/>
    <w:rsid w:val="00EB7291"/>
    <w:rsid w:val="00EB72A4"/>
    <w:rsid w:val="00EB7F60"/>
    <w:rsid w:val="00EC02AE"/>
    <w:rsid w:val="00EC21A9"/>
    <w:rsid w:val="00EC55F6"/>
    <w:rsid w:val="00EC5DCE"/>
    <w:rsid w:val="00EC5DE8"/>
    <w:rsid w:val="00EC6853"/>
    <w:rsid w:val="00EC6985"/>
    <w:rsid w:val="00EC6EA7"/>
    <w:rsid w:val="00EC6EAD"/>
    <w:rsid w:val="00EC713F"/>
    <w:rsid w:val="00EC7C63"/>
    <w:rsid w:val="00EC7F3E"/>
    <w:rsid w:val="00ED0664"/>
    <w:rsid w:val="00ED0FB5"/>
    <w:rsid w:val="00ED11A6"/>
    <w:rsid w:val="00ED1269"/>
    <w:rsid w:val="00ED1292"/>
    <w:rsid w:val="00ED1AAB"/>
    <w:rsid w:val="00ED1CD6"/>
    <w:rsid w:val="00ED21F9"/>
    <w:rsid w:val="00ED2E83"/>
    <w:rsid w:val="00ED2F05"/>
    <w:rsid w:val="00ED3B2A"/>
    <w:rsid w:val="00ED4E0C"/>
    <w:rsid w:val="00ED56E7"/>
    <w:rsid w:val="00ED57E5"/>
    <w:rsid w:val="00ED5C74"/>
    <w:rsid w:val="00ED68D3"/>
    <w:rsid w:val="00ED6A2F"/>
    <w:rsid w:val="00ED6CC6"/>
    <w:rsid w:val="00ED7136"/>
    <w:rsid w:val="00ED71D0"/>
    <w:rsid w:val="00ED7AA6"/>
    <w:rsid w:val="00ED7E87"/>
    <w:rsid w:val="00ED7F42"/>
    <w:rsid w:val="00EE024A"/>
    <w:rsid w:val="00EE0781"/>
    <w:rsid w:val="00EE149C"/>
    <w:rsid w:val="00EE153B"/>
    <w:rsid w:val="00EE1652"/>
    <w:rsid w:val="00EE1A49"/>
    <w:rsid w:val="00EE1B58"/>
    <w:rsid w:val="00EE2BCC"/>
    <w:rsid w:val="00EE2CD7"/>
    <w:rsid w:val="00EE30DD"/>
    <w:rsid w:val="00EE32A0"/>
    <w:rsid w:val="00EE3862"/>
    <w:rsid w:val="00EE3926"/>
    <w:rsid w:val="00EE3D16"/>
    <w:rsid w:val="00EE4209"/>
    <w:rsid w:val="00EE44F4"/>
    <w:rsid w:val="00EE4E0A"/>
    <w:rsid w:val="00EE563D"/>
    <w:rsid w:val="00EE565E"/>
    <w:rsid w:val="00EE56BC"/>
    <w:rsid w:val="00EE6257"/>
    <w:rsid w:val="00EE6CDD"/>
    <w:rsid w:val="00EE6F91"/>
    <w:rsid w:val="00EE70C7"/>
    <w:rsid w:val="00EE7B95"/>
    <w:rsid w:val="00EF01C1"/>
    <w:rsid w:val="00EF0B20"/>
    <w:rsid w:val="00EF0DE6"/>
    <w:rsid w:val="00EF1608"/>
    <w:rsid w:val="00EF17BD"/>
    <w:rsid w:val="00EF1D5C"/>
    <w:rsid w:val="00EF4024"/>
    <w:rsid w:val="00EF5EA8"/>
    <w:rsid w:val="00EF61A2"/>
    <w:rsid w:val="00EF7374"/>
    <w:rsid w:val="00F0071F"/>
    <w:rsid w:val="00F014A8"/>
    <w:rsid w:val="00F016C4"/>
    <w:rsid w:val="00F016DF"/>
    <w:rsid w:val="00F0177C"/>
    <w:rsid w:val="00F019A7"/>
    <w:rsid w:val="00F02A1E"/>
    <w:rsid w:val="00F02D2B"/>
    <w:rsid w:val="00F033EF"/>
    <w:rsid w:val="00F043A0"/>
    <w:rsid w:val="00F04820"/>
    <w:rsid w:val="00F04858"/>
    <w:rsid w:val="00F05022"/>
    <w:rsid w:val="00F0513D"/>
    <w:rsid w:val="00F0548A"/>
    <w:rsid w:val="00F058BA"/>
    <w:rsid w:val="00F06411"/>
    <w:rsid w:val="00F070C1"/>
    <w:rsid w:val="00F07D02"/>
    <w:rsid w:val="00F110F4"/>
    <w:rsid w:val="00F1161F"/>
    <w:rsid w:val="00F11F31"/>
    <w:rsid w:val="00F123DD"/>
    <w:rsid w:val="00F1259E"/>
    <w:rsid w:val="00F1270B"/>
    <w:rsid w:val="00F13672"/>
    <w:rsid w:val="00F14020"/>
    <w:rsid w:val="00F14576"/>
    <w:rsid w:val="00F146EB"/>
    <w:rsid w:val="00F1475E"/>
    <w:rsid w:val="00F14985"/>
    <w:rsid w:val="00F14D46"/>
    <w:rsid w:val="00F16E3D"/>
    <w:rsid w:val="00F16FD4"/>
    <w:rsid w:val="00F170DC"/>
    <w:rsid w:val="00F17F83"/>
    <w:rsid w:val="00F17FB4"/>
    <w:rsid w:val="00F2038B"/>
    <w:rsid w:val="00F2044E"/>
    <w:rsid w:val="00F20A40"/>
    <w:rsid w:val="00F212B3"/>
    <w:rsid w:val="00F216F7"/>
    <w:rsid w:val="00F21B46"/>
    <w:rsid w:val="00F21C3D"/>
    <w:rsid w:val="00F224B2"/>
    <w:rsid w:val="00F22B44"/>
    <w:rsid w:val="00F232E6"/>
    <w:rsid w:val="00F236C8"/>
    <w:rsid w:val="00F23C86"/>
    <w:rsid w:val="00F2406F"/>
    <w:rsid w:val="00F24D74"/>
    <w:rsid w:val="00F252C7"/>
    <w:rsid w:val="00F25420"/>
    <w:rsid w:val="00F25779"/>
    <w:rsid w:val="00F25F4C"/>
    <w:rsid w:val="00F26440"/>
    <w:rsid w:val="00F26E64"/>
    <w:rsid w:val="00F26E7F"/>
    <w:rsid w:val="00F27188"/>
    <w:rsid w:val="00F27EFE"/>
    <w:rsid w:val="00F30584"/>
    <w:rsid w:val="00F30682"/>
    <w:rsid w:val="00F3088A"/>
    <w:rsid w:val="00F30FE7"/>
    <w:rsid w:val="00F31059"/>
    <w:rsid w:val="00F31ABA"/>
    <w:rsid w:val="00F31AC2"/>
    <w:rsid w:val="00F329BA"/>
    <w:rsid w:val="00F33642"/>
    <w:rsid w:val="00F336EF"/>
    <w:rsid w:val="00F33DD0"/>
    <w:rsid w:val="00F3416F"/>
    <w:rsid w:val="00F3468D"/>
    <w:rsid w:val="00F34AC3"/>
    <w:rsid w:val="00F3512F"/>
    <w:rsid w:val="00F35973"/>
    <w:rsid w:val="00F35BF3"/>
    <w:rsid w:val="00F36772"/>
    <w:rsid w:val="00F367CC"/>
    <w:rsid w:val="00F37066"/>
    <w:rsid w:val="00F37094"/>
    <w:rsid w:val="00F37F77"/>
    <w:rsid w:val="00F40B02"/>
    <w:rsid w:val="00F40B98"/>
    <w:rsid w:val="00F4124E"/>
    <w:rsid w:val="00F418C4"/>
    <w:rsid w:val="00F419DA"/>
    <w:rsid w:val="00F41B07"/>
    <w:rsid w:val="00F41D87"/>
    <w:rsid w:val="00F41E84"/>
    <w:rsid w:val="00F41E96"/>
    <w:rsid w:val="00F4206B"/>
    <w:rsid w:val="00F42972"/>
    <w:rsid w:val="00F42E5B"/>
    <w:rsid w:val="00F4310C"/>
    <w:rsid w:val="00F43C06"/>
    <w:rsid w:val="00F43DE4"/>
    <w:rsid w:val="00F443A1"/>
    <w:rsid w:val="00F448CD"/>
    <w:rsid w:val="00F44D35"/>
    <w:rsid w:val="00F451F8"/>
    <w:rsid w:val="00F46552"/>
    <w:rsid w:val="00F469A2"/>
    <w:rsid w:val="00F46B8A"/>
    <w:rsid w:val="00F46B93"/>
    <w:rsid w:val="00F46BF7"/>
    <w:rsid w:val="00F46D32"/>
    <w:rsid w:val="00F47293"/>
    <w:rsid w:val="00F476BA"/>
    <w:rsid w:val="00F50BE5"/>
    <w:rsid w:val="00F522EB"/>
    <w:rsid w:val="00F523B3"/>
    <w:rsid w:val="00F5297A"/>
    <w:rsid w:val="00F53BDB"/>
    <w:rsid w:val="00F542F0"/>
    <w:rsid w:val="00F5451B"/>
    <w:rsid w:val="00F552C0"/>
    <w:rsid w:val="00F55615"/>
    <w:rsid w:val="00F55C78"/>
    <w:rsid w:val="00F55D1A"/>
    <w:rsid w:val="00F56551"/>
    <w:rsid w:val="00F567B4"/>
    <w:rsid w:val="00F570CD"/>
    <w:rsid w:val="00F57150"/>
    <w:rsid w:val="00F6098F"/>
    <w:rsid w:val="00F61AC1"/>
    <w:rsid w:val="00F61AE0"/>
    <w:rsid w:val="00F61B88"/>
    <w:rsid w:val="00F61C73"/>
    <w:rsid w:val="00F61D55"/>
    <w:rsid w:val="00F64633"/>
    <w:rsid w:val="00F6501C"/>
    <w:rsid w:val="00F6556E"/>
    <w:rsid w:val="00F65B6D"/>
    <w:rsid w:val="00F65CFF"/>
    <w:rsid w:val="00F66AF9"/>
    <w:rsid w:val="00F67BDE"/>
    <w:rsid w:val="00F70EF5"/>
    <w:rsid w:val="00F710B5"/>
    <w:rsid w:val="00F716D0"/>
    <w:rsid w:val="00F71AF6"/>
    <w:rsid w:val="00F71CA5"/>
    <w:rsid w:val="00F71E8A"/>
    <w:rsid w:val="00F73832"/>
    <w:rsid w:val="00F74462"/>
    <w:rsid w:val="00F74B7C"/>
    <w:rsid w:val="00F74BE5"/>
    <w:rsid w:val="00F7504B"/>
    <w:rsid w:val="00F750C4"/>
    <w:rsid w:val="00F752F8"/>
    <w:rsid w:val="00F7560A"/>
    <w:rsid w:val="00F7621B"/>
    <w:rsid w:val="00F766D5"/>
    <w:rsid w:val="00F76759"/>
    <w:rsid w:val="00F767FD"/>
    <w:rsid w:val="00F76CC1"/>
    <w:rsid w:val="00F76CF9"/>
    <w:rsid w:val="00F77368"/>
    <w:rsid w:val="00F77FD8"/>
    <w:rsid w:val="00F803A7"/>
    <w:rsid w:val="00F809BB"/>
    <w:rsid w:val="00F80EA9"/>
    <w:rsid w:val="00F80FE3"/>
    <w:rsid w:val="00F81596"/>
    <w:rsid w:val="00F817F6"/>
    <w:rsid w:val="00F81F94"/>
    <w:rsid w:val="00F830F8"/>
    <w:rsid w:val="00F8454C"/>
    <w:rsid w:val="00F85B44"/>
    <w:rsid w:val="00F8635A"/>
    <w:rsid w:val="00F86565"/>
    <w:rsid w:val="00F86853"/>
    <w:rsid w:val="00F877BD"/>
    <w:rsid w:val="00F87F7C"/>
    <w:rsid w:val="00F9066E"/>
    <w:rsid w:val="00F9230D"/>
    <w:rsid w:val="00F929BB"/>
    <w:rsid w:val="00F92A93"/>
    <w:rsid w:val="00F93258"/>
    <w:rsid w:val="00F9338C"/>
    <w:rsid w:val="00F9364D"/>
    <w:rsid w:val="00F93733"/>
    <w:rsid w:val="00F93C6E"/>
    <w:rsid w:val="00F93DC6"/>
    <w:rsid w:val="00F94ADD"/>
    <w:rsid w:val="00F95FA3"/>
    <w:rsid w:val="00F96CB4"/>
    <w:rsid w:val="00F96E23"/>
    <w:rsid w:val="00F96E27"/>
    <w:rsid w:val="00F974CB"/>
    <w:rsid w:val="00FA0596"/>
    <w:rsid w:val="00FA08B9"/>
    <w:rsid w:val="00FA09A4"/>
    <w:rsid w:val="00FA0C61"/>
    <w:rsid w:val="00FA1C9D"/>
    <w:rsid w:val="00FA1D58"/>
    <w:rsid w:val="00FA1E76"/>
    <w:rsid w:val="00FA22FB"/>
    <w:rsid w:val="00FA2CA9"/>
    <w:rsid w:val="00FA453A"/>
    <w:rsid w:val="00FA46E2"/>
    <w:rsid w:val="00FA4C2F"/>
    <w:rsid w:val="00FA4EA8"/>
    <w:rsid w:val="00FA7572"/>
    <w:rsid w:val="00FA76CF"/>
    <w:rsid w:val="00FA77F6"/>
    <w:rsid w:val="00FA7A46"/>
    <w:rsid w:val="00FA7D33"/>
    <w:rsid w:val="00FB023A"/>
    <w:rsid w:val="00FB1755"/>
    <w:rsid w:val="00FB1D8F"/>
    <w:rsid w:val="00FB279C"/>
    <w:rsid w:val="00FB2F8D"/>
    <w:rsid w:val="00FB3B66"/>
    <w:rsid w:val="00FB424B"/>
    <w:rsid w:val="00FB4ABF"/>
    <w:rsid w:val="00FB4C69"/>
    <w:rsid w:val="00FB57C5"/>
    <w:rsid w:val="00FB5B8E"/>
    <w:rsid w:val="00FB6276"/>
    <w:rsid w:val="00FB629B"/>
    <w:rsid w:val="00FB69EE"/>
    <w:rsid w:val="00FB76BB"/>
    <w:rsid w:val="00FB7EEA"/>
    <w:rsid w:val="00FB7F47"/>
    <w:rsid w:val="00FB7F8D"/>
    <w:rsid w:val="00FC04A1"/>
    <w:rsid w:val="00FC148F"/>
    <w:rsid w:val="00FC151F"/>
    <w:rsid w:val="00FC1CAF"/>
    <w:rsid w:val="00FC1FA7"/>
    <w:rsid w:val="00FC31A3"/>
    <w:rsid w:val="00FC341C"/>
    <w:rsid w:val="00FC34B1"/>
    <w:rsid w:val="00FC3522"/>
    <w:rsid w:val="00FC3597"/>
    <w:rsid w:val="00FC37C7"/>
    <w:rsid w:val="00FC3828"/>
    <w:rsid w:val="00FC53A1"/>
    <w:rsid w:val="00FC5B40"/>
    <w:rsid w:val="00FC5D86"/>
    <w:rsid w:val="00FC5FAD"/>
    <w:rsid w:val="00FC6859"/>
    <w:rsid w:val="00FC7145"/>
    <w:rsid w:val="00FC779C"/>
    <w:rsid w:val="00FC77CF"/>
    <w:rsid w:val="00FD05D3"/>
    <w:rsid w:val="00FD1905"/>
    <w:rsid w:val="00FD2F30"/>
    <w:rsid w:val="00FD341F"/>
    <w:rsid w:val="00FD38A6"/>
    <w:rsid w:val="00FD4786"/>
    <w:rsid w:val="00FD49BF"/>
    <w:rsid w:val="00FD4B0A"/>
    <w:rsid w:val="00FD4B7B"/>
    <w:rsid w:val="00FD51AA"/>
    <w:rsid w:val="00FD52BE"/>
    <w:rsid w:val="00FD53CD"/>
    <w:rsid w:val="00FD5CFB"/>
    <w:rsid w:val="00FD6268"/>
    <w:rsid w:val="00FD7149"/>
    <w:rsid w:val="00FD7249"/>
    <w:rsid w:val="00FD75B1"/>
    <w:rsid w:val="00FD7701"/>
    <w:rsid w:val="00FD775F"/>
    <w:rsid w:val="00FE0564"/>
    <w:rsid w:val="00FE0985"/>
    <w:rsid w:val="00FE0CB5"/>
    <w:rsid w:val="00FE1CE7"/>
    <w:rsid w:val="00FE1EE1"/>
    <w:rsid w:val="00FE2DDD"/>
    <w:rsid w:val="00FE3961"/>
    <w:rsid w:val="00FE3A56"/>
    <w:rsid w:val="00FE3BEA"/>
    <w:rsid w:val="00FE4217"/>
    <w:rsid w:val="00FE48C6"/>
    <w:rsid w:val="00FE55CF"/>
    <w:rsid w:val="00FE561C"/>
    <w:rsid w:val="00FE69D0"/>
    <w:rsid w:val="00FE745D"/>
    <w:rsid w:val="00FE747C"/>
    <w:rsid w:val="00FE7787"/>
    <w:rsid w:val="00FE7BB5"/>
    <w:rsid w:val="00FE7F12"/>
    <w:rsid w:val="00FF0559"/>
    <w:rsid w:val="00FF05C2"/>
    <w:rsid w:val="00FF1473"/>
    <w:rsid w:val="00FF18ED"/>
    <w:rsid w:val="00FF2FCE"/>
    <w:rsid w:val="00FF3AA3"/>
    <w:rsid w:val="00FF45EB"/>
    <w:rsid w:val="00FF4F0C"/>
    <w:rsid w:val="00FF601D"/>
    <w:rsid w:val="00FF605C"/>
    <w:rsid w:val="00FF6816"/>
    <w:rsid w:val="00FF6E99"/>
    <w:rsid w:val="00FF7846"/>
    <w:rsid w:val="00FF7FE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212B94B"/>
  <w15:docId w15:val="{61FF983E-FD93-4483-A883-D24B7EDC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A23"/>
    <w:rPr>
      <w:sz w:val="24"/>
      <w:szCs w:val="24"/>
    </w:rPr>
  </w:style>
  <w:style w:type="paragraph" w:styleId="Heading1">
    <w:name w:val="heading 1"/>
    <w:basedOn w:val="Normal"/>
    <w:next w:val="Normal"/>
    <w:link w:val="Heading1Char"/>
    <w:autoRedefine/>
    <w:qFormat/>
    <w:rsid w:val="007426A1"/>
    <w:pPr>
      <w:keepNext/>
      <w:framePr w:hSpace="180" w:wrap="around" w:vAnchor="page" w:hAnchor="page" w:x="3325" w:y="1034"/>
      <w:jc w:val="center"/>
      <w:outlineLvl w:val="0"/>
    </w:pPr>
    <w:rPr>
      <w:b/>
      <w:sz w:val="28"/>
      <w:szCs w:val="16"/>
    </w:rPr>
  </w:style>
  <w:style w:type="paragraph" w:styleId="Heading2">
    <w:name w:val="heading 2"/>
    <w:basedOn w:val="Normal"/>
    <w:next w:val="Normal"/>
    <w:link w:val="Heading2Char"/>
    <w:qFormat/>
    <w:rsid w:val="00B652B5"/>
    <w:pPr>
      <w:keepNext/>
      <w:jc w:val="center"/>
      <w:outlineLvl w:val="1"/>
    </w:pPr>
    <w:rPr>
      <w:rFonts w:ascii="Times New Roman Bold" w:hAnsi="Times New Roman Bold"/>
      <w:b/>
    </w:rPr>
  </w:style>
  <w:style w:type="paragraph" w:styleId="Heading3">
    <w:name w:val="heading 3"/>
    <w:basedOn w:val="Normal"/>
    <w:next w:val="Normal"/>
    <w:link w:val="Heading3Char"/>
    <w:autoRedefine/>
    <w:uiPriority w:val="9"/>
    <w:qFormat/>
    <w:rsid w:val="00411651"/>
    <w:pPr>
      <w:keepNext/>
      <w:jc w:val="both"/>
      <w:outlineLvl w:val="2"/>
    </w:pPr>
    <w:rPr>
      <w:rFonts w:eastAsia="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6A1"/>
    <w:rPr>
      <w:b/>
      <w:sz w:val="28"/>
      <w:szCs w:val="16"/>
    </w:rPr>
  </w:style>
  <w:style w:type="character" w:customStyle="1" w:styleId="Heading2Char">
    <w:name w:val="Heading 2 Char"/>
    <w:basedOn w:val="DefaultParagraphFont"/>
    <w:link w:val="Heading2"/>
    <w:rsid w:val="00EE4209"/>
    <w:rPr>
      <w:rFonts w:ascii="Times New Roman Bold" w:hAnsi="Times New Roman Bold"/>
      <w:b/>
      <w:sz w:val="24"/>
      <w:szCs w:val="24"/>
    </w:rPr>
  </w:style>
  <w:style w:type="character" w:customStyle="1" w:styleId="Heading3Char">
    <w:name w:val="Heading 3 Char"/>
    <w:basedOn w:val="DefaultParagraphFont"/>
    <w:link w:val="Heading3"/>
    <w:uiPriority w:val="9"/>
    <w:rsid w:val="00411651"/>
    <w:rPr>
      <w:rFonts w:eastAsia="Calibri"/>
      <w:b/>
      <w:bCs/>
      <w:sz w:val="24"/>
      <w:szCs w:val="22"/>
    </w:rPr>
  </w:style>
  <w:style w:type="paragraph" w:styleId="FootnoteText">
    <w:name w:val="footnote text"/>
    <w:aliases w:val="single space,footnote text,ft,ft Char,FOOTNOTES,fn,ALTS FOOTNOTE,Footnote Text Char1 Char,ADB,Footnote Text Char1,Footnote Text Char Char,Fußnote, Char Char3, Char Char Char Char Char Char, Char Char Char Char, Char Char2,f,Geneva 9,Char"/>
    <w:basedOn w:val="Normal"/>
    <w:link w:val="FootnoteTextChar"/>
    <w:uiPriority w:val="99"/>
    <w:qFormat/>
    <w:rsid w:val="00B652B5"/>
    <w:rPr>
      <w:sz w:val="20"/>
      <w:szCs w:val="20"/>
    </w:rPr>
  </w:style>
  <w:style w:type="character" w:customStyle="1" w:styleId="FootnoteTextChar">
    <w:name w:val="Footnote Text Char"/>
    <w:aliases w:val="single space Char,footnote text Char,ft Char1,ft Char Char,FOOTNOTES Char,fn Char,ALTS FOOTNOTE Char,Footnote Text Char1 Char Char,ADB Char,Footnote Text Char1 Char1,Footnote Text Char Char Char,Fußnote Char, Char Char3 Char,f Char"/>
    <w:basedOn w:val="DefaultParagraphFont"/>
    <w:link w:val="FootnoteText"/>
    <w:uiPriority w:val="99"/>
    <w:rsid w:val="007A1E73"/>
  </w:style>
  <w:style w:type="character" w:styleId="FootnoteReference">
    <w:name w:val="footnote reference"/>
    <w:aliases w:val="ftref,Carattere Carattere Char Char Char Char Char,ftref Char Char Char Char Char,Char Char Char Char Char Char Char,ftref Char Char,ftref Char,Carattere Carattere Char Char Char Char Char Char,ftref Char Char Char Char Char Char,Ref"/>
    <w:basedOn w:val="DefaultParagraphFont"/>
    <w:link w:val="CarattereCarattereCharCharCharChar"/>
    <w:uiPriority w:val="99"/>
    <w:qFormat/>
    <w:rsid w:val="00B652B5"/>
    <w:rPr>
      <w:vertAlign w:val="superscript"/>
    </w:rPr>
  </w:style>
  <w:style w:type="paragraph" w:customStyle="1" w:styleId="CarattereCarattereCharCharCharChar">
    <w:name w:val="Carattere Carattere Char Char Char Char"/>
    <w:aliases w:val="ftref Char Char Char Char,Char Char Char Char Char Char,Char Char Char1 Car Car Char Char Char Char Char Char Char Char Char Char Char Char Char Char Char Char Char Char Char Char,ftref Char Cha"/>
    <w:basedOn w:val="Normal"/>
    <w:next w:val="Normal"/>
    <w:link w:val="FootnoteReference"/>
    <w:uiPriority w:val="99"/>
    <w:rsid w:val="008574CF"/>
    <w:pPr>
      <w:spacing w:after="160" w:line="240" w:lineRule="exact"/>
    </w:pPr>
    <w:rPr>
      <w:sz w:val="20"/>
      <w:szCs w:val="20"/>
      <w:vertAlign w:val="superscript"/>
    </w:rPr>
  </w:style>
  <w:style w:type="paragraph" w:customStyle="1" w:styleId="QuestionFormat">
    <w:name w:val="Question Format"/>
    <w:basedOn w:val="Normal"/>
    <w:rsid w:val="00B652B5"/>
    <w:pPr>
      <w:tabs>
        <w:tab w:val="num" w:pos="360"/>
      </w:tabs>
      <w:spacing w:before="60" w:after="120"/>
      <w:ind w:left="360" w:hanging="360"/>
      <w:jc w:val="both"/>
    </w:pPr>
    <w:rPr>
      <w:sz w:val="20"/>
      <w:szCs w:val="20"/>
    </w:rPr>
  </w:style>
  <w:style w:type="paragraph" w:styleId="Header">
    <w:name w:val="header"/>
    <w:basedOn w:val="Normal"/>
    <w:link w:val="HeaderChar"/>
    <w:rsid w:val="00B652B5"/>
    <w:pPr>
      <w:tabs>
        <w:tab w:val="center" w:pos="4320"/>
        <w:tab w:val="right" w:pos="8640"/>
      </w:tabs>
    </w:pPr>
  </w:style>
  <w:style w:type="character" w:customStyle="1" w:styleId="HeaderChar">
    <w:name w:val="Header Char"/>
    <w:basedOn w:val="DefaultParagraphFont"/>
    <w:link w:val="Header"/>
    <w:rsid w:val="00EE1B58"/>
    <w:rPr>
      <w:sz w:val="24"/>
      <w:szCs w:val="24"/>
    </w:rPr>
  </w:style>
  <w:style w:type="paragraph" w:styleId="BodyText2">
    <w:name w:val="Body Text 2"/>
    <w:basedOn w:val="Normal"/>
    <w:link w:val="BodyText2Char"/>
    <w:rsid w:val="00B652B5"/>
    <w:pPr>
      <w:ind w:firstLine="720"/>
      <w:jc w:val="both"/>
    </w:pPr>
    <w:rPr>
      <w:sz w:val="22"/>
      <w:szCs w:val="20"/>
    </w:rPr>
  </w:style>
  <w:style w:type="character" w:customStyle="1" w:styleId="BodyText2Char">
    <w:name w:val="Body Text 2 Char"/>
    <w:basedOn w:val="DefaultParagraphFont"/>
    <w:link w:val="BodyText2"/>
    <w:rsid w:val="00EE4209"/>
    <w:rPr>
      <w:sz w:val="22"/>
    </w:rPr>
  </w:style>
  <w:style w:type="paragraph" w:styleId="Footer">
    <w:name w:val="footer"/>
    <w:basedOn w:val="Normal"/>
    <w:link w:val="FooterChar"/>
    <w:uiPriority w:val="99"/>
    <w:rsid w:val="00B652B5"/>
    <w:pPr>
      <w:tabs>
        <w:tab w:val="center" w:pos="4320"/>
        <w:tab w:val="right" w:pos="8640"/>
      </w:tabs>
    </w:pPr>
  </w:style>
  <w:style w:type="character" w:customStyle="1" w:styleId="FooterChar">
    <w:name w:val="Footer Char"/>
    <w:basedOn w:val="DefaultParagraphFont"/>
    <w:link w:val="Footer"/>
    <w:uiPriority w:val="99"/>
    <w:rsid w:val="00EE1B58"/>
    <w:rPr>
      <w:sz w:val="24"/>
      <w:szCs w:val="24"/>
    </w:rPr>
  </w:style>
  <w:style w:type="paragraph" w:styleId="TOC1">
    <w:name w:val="toc 1"/>
    <w:basedOn w:val="Normal"/>
    <w:next w:val="Normal"/>
    <w:autoRedefine/>
    <w:uiPriority w:val="39"/>
    <w:rsid w:val="00E1749F"/>
    <w:pPr>
      <w:tabs>
        <w:tab w:val="left" w:pos="1200"/>
        <w:tab w:val="right" w:leader="dot" w:pos="9360"/>
      </w:tabs>
      <w:spacing w:before="120" w:after="120"/>
      <w:jc w:val="both"/>
    </w:pPr>
    <w:rPr>
      <w:b/>
      <w:bCs/>
      <w:noProof/>
      <w:sz w:val="22"/>
      <w:szCs w:val="22"/>
    </w:rPr>
  </w:style>
  <w:style w:type="paragraph" w:styleId="TOC2">
    <w:name w:val="toc 2"/>
    <w:basedOn w:val="Normal"/>
    <w:next w:val="Normal"/>
    <w:autoRedefine/>
    <w:uiPriority w:val="39"/>
    <w:rsid w:val="00E1749F"/>
    <w:pPr>
      <w:tabs>
        <w:tab w:val="left" w:pos="960"/>
        <w:tab w:val="right" w:leader="dot" w:pos="9360"/>
      </w:tabs>
      <w:spacing w:before="120" w:after="120"/>
    </w:pPr>
    <w:rPr>
      <w:b/>
      <w:bCs/>
      <w:noProof/>
      <w:sz w:val="22"/>
      <w:szCs w:val="22"/>
    </w:rPr>
  </w:style>
  <w:style w:type="paragraph" w:styleId="TOC3">
    <w:name w:val="toc 3"/>
    <w:basedOn w:val="Normal"/>
    <w:next w:val="Normal"/>
    <w:autoRedefine/>
    <w:uiPriority w:val="39"/>
    <w:rsid w:val="00E1749F"/>
    <w:pPr>
      <w:tabs>
        <w:tab w:val="left" w:pos="1260"/>
        <w:tab w:val="right" w:leader="dot" w:pos="9350"/>
      </w:tabs>
      <w:ind w:left="475"/>
    </w:pPr>
    <w:rPr>
      <w:sz w:val="22"/>
      <w:szCs w:val="22"/>
    </w:rPr>
  </w:style>
  <w:style w:type="paragraph" w:styleId="TOC4">
    <w:name w:val="toc 4"/>
    <w:basedOn w:val="Normal"/>
    <w:next w:val="Normal"/>
    <w:autoRedefine/>
    <w:uiPriority w:val="39"/>
    <w:rsid w:val="00B652B5"/>
    <w:pPr>
      <w:ind w:left="720"/>
    </w:pPr>
  </w:style>
  <w:style w:type="paragraph" w:styleId="TOC5">
    <w:name w:val="toc 5"/>
    <w:basedOn w:val="Normal"/>
    <w:next w:val="Normal"/>
    <w:autoRedefine/>
    <w:uiPriority w:val="39"/>
    <w:rsid w:val="00B652B5"/>
    <w:pPr>
      <w:ind w:left="960"/>
    </w:pPr>
  </w:style>
  <w:style w:type="paragraph" w:styleId="TOC6">
    <w:name w:val="toc 6"/>
    <w:basedOn w:val="Normal"/>
    <w:next w:val="Normal"/>
    <w:autoRedefine/>
    <w:uiPriority w:val="39"/>
    <w:rsid w:val="00B652B5"/>
    <w:pPr>
      <w:ind w:left="1200"/>
    </w:pPr>
  </w:style>
  <w:style w:type="paragraph" w:styleId="TOC7">
    <w:name w:val="toc 7"/>
    <w:basedOn w:val="Normal"/>
    <w:next w:val="Normal"/>
    <w:autoRedefine/>
    <w:uiPriority w:val="39"/>
    <w:rsid w:val="00B652B5"/>
    <w:pPr>
      <w:ind w:left="1440"/>
    </w:pPr>
  </w:style>
  <w:style w:type="paragraph" w:styleId="TOC8">
    <w:name w:val="toc 8"/>
    <w:basedOn w:val="Normal"/>
    <w:next w:val="Normal"/>
    <w:autoRedefine/>
    <w:uiPriority w:val="39"/>
    <w:rsid w:val="00B652B5"/>
    <w:pPr>
      <w:ind w:left="1680"/>
    </w:pPr>
  </w:style>
  <w:style w:type="paragraph" w:styleId="TOC9">
    <w:name w:val="toc 9"/>
    <w:basedOn w:val="Normal"/>
    <w:next w:val="Normal"/>
    <w:autoRedefine/>
    <w:uiPriority w:val="39"/>
    <w:rsid w:val="00B652B5"/>
    <w:pPr>
      <w:ind w:left="1920"/>
    </w:pPr>
  </w:style>
  <w:style w:type="character" w:styleId="Hyperlink">
    <w:name w:val="Hyperlink"/>
    <w:basedOn w:val="DefaultParagraphFont"/>
    <w:uiPriority w:val="99"/>
    <w:rsid w:val="00B652B5"/>
    <w:rPr>
      <w:color w:val="0000FF"/>
      <w:u w:val="single"/>
    </w:rPr>
  </w:style>
  <w:style w:type="character" w:styleId="FollowedHyperlink">
    <w:name w:val="FollowedHyperlink"/>
    <w:basedOn w:val="DefaultParagraphFont"/>
    <w:rsid w:val="00B652B5"/>
    <w:rPr>
      <w:color w:val="800080"/>
      <w:u w:val="single"/>
    </w:rPr>
  </w:style>
  <w:style w:type="character" w:styleId="Strong">
    <w:name w:val="Strong"/>
    <w:basedOn w:val="DefaultParagraphFont"/>
    <w:uiPriority w:val="22"/>
    <w:qFormat/>
    <w:rsid w:val="00B652B5"/>
    <w:rPr>
      <w:b/>
      <w:bCs/>
    </w:rPr>
  </w:style>
  <w:style w:type="paragraph" w:customStyle="1" w:styleId="Outline">
    <w:name w:val="Outline"/>
    <w:basedOn w:val="Normal"/>
    <w:rsid w:val="00B652B5"/>
    <w:pPr>
      <w:spacing w:before="240"/>
      <w:jc w:val="both"/>
    </w:pPr>
    <w:rPr>
      <w:kern w:val="28"/>
      <w:szCs w:val="20"/>
    </w:rPr>
  </w:style>
  <w:style w:type="paragraph" w:customStyle="1" w:styleId="MainParawithChapter">
    <w:name w:val="Main Para with Chapter#"/>
    <w:basedOn w:val="Normal"/>
    <w:rsid w:val="00B652B5"/>
    <w:pPr>
      <w:tabs>
        <w:tab w:val="num" w:pos="1080"/>
      </w:tabs>
      <w:spacing w:after="240"/>
      <w:outlineLvl w:val="1"/>
    </w:pPr>
  </w:style>
  <w:style w:type="paragraph" w:customStyle="1" w:styleId="Default">
    <w:name w:val="Default"/>
    <w:rsid w:val="00B652B5"/>
    <w:pPr>
      <w:autoSpaceDE w:val="0"/>
      <w:autoSpaceDN w:val="0"/>
      <w:adjustRightInd w:val="0"/>
    </w:pPr>
    <w:rPr>
      <w:color w:val="000000"/>
      <w:sz w:val="24"/>
      <w:szCs w:val="24"/>
    </w:rPr>
  </w:style>
  <w:style w:type="paragraph" w:customStyle="1" w:styleId="Style1">
    <w:name w:val="Style1"/>
    <w:basedOn w:val="Normal"/>
    <w:rsid w:val="00B652B5"/>
    <w:pPr>
      <w:ind w:left="720" w:hanging="720"/>
      <w:jc w:val="both"/>
    </w:pPr>
    <w:rPr>
      <w:sz w:val="22"/>
      <w:szCs w:val="22"/>
    </w:rPr>
  </w:style>
  <w:style w:type="character" w:styleId="PageNumber">
    <w:name w:val="page number"/>
    <w:basedOn w:val="DefaultParagraphFont"/>
    <w:rsid w:val="00B652B5"/>
  </w:style>
  <w:style w:type="paragraph" w:styleId="DocumentMap">
    <w:name w:val="Document Map"/>
    <w:basedOn w:val="Normal"/>
    <w:link w:val="DocumentMapChar"/>
    <w:semiHidden/>
    <w:rsid w:val="00B652B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A4C2F"/>
    <w:rPr>
      <w:rFonts w:ascii="Tahoma" w:hAnsi="Tahoma" w:cs="Tahoma"/>
      <w:shd w:val="clear" w:color="auto" w:fill="000080"/>
    </w:rPr>
  </w:style>
  <w:style w:type="paragraph" w:styleId="BalloonText">
    <w:name w:val="Balloon Text"/>
    <w:basedOn w:val="Normal"/>
    <w:link w:val="BalloonTextChar"/>
    <w:uiPriority w:val="99"/>
    <w:semiHidden/>
    <w:rsid w:val="00B652B5"/>
    <w:rPr>
      <w:rFonts w:ascii="Tahoma" w:hAnsi="Tahoma" w:cs="Tahoma"/>
      <w:sz w:val="16"/>
      <w:szCs w:val="16"/>
    </w:rPr>
  </w:style>
  <w:style w:type="character" w:customStyle="1" w:styleId="BalloonTextChar">
    <w:name w:val="Balloon Text Char"/>
    <w:basedOn w:val="DefaultParagraphFont"/>
    <w:link w:val="BalloonText"/>
    <w:uiPriority w:val="99"/>
    <w:semiHidden/>
    <w:rsid w:val="00FA4C2F"/>
    <w:rPr>
      <w:rFonts w:ascii="Tahoma" w:hAnsi="Tahoma" w:cs="Tahoma"/>
      <w:sz w:val="16"/>
      <w:szCs w:val="16"/>
    </w:rPr>
  </w:style>
  <w:style w:type="character" w:styleId="CommentReference">
    <w:name w:val="annotation reference"/>
    <w:basedOn w:val="DefaultParagraphFont"/>
    <w:uiPriority w:val="99"/>
    <w:rsid w:val="00EE32A0"/>
    <w:rPr>
      <w:sz w:val="16"/>
      <w:szCs w:val="16"/>
    </w:rPr>
  </w:style>
  <w:style w:type="paragraph" w:styleId="CommentText">
    <w:name w:val="annotation text"/>
    <w:basedOn w:val="Normal"/>
    <w:link w:val="CommentTextChar"/>
    <w:uiPriority w:val="99"/>
    <w:rsid w:val="00EE32A0"/>
    <w:rPr>
      <w:sz w:val="20"/>
      <w:szCs w:val="20"/>
    </w:rPr>
  </w:style>
  <w:style w:type="character" w:customStyle="1" w:styleId="CommentTextChar">
    <w:name w:val="Comment Text Char"/>
    <w:basedOn w:val="DefaultParagraphFont"/>
    <w:link w:val="CommentText"/>
    <w:uiPriority w:val="99"/>
    <w:rsid w:val="00FA4C2F"/>
  </w:style>
  <w:style w:type="paragraph" w:styleId="CommentSubject">
    <w:name w:val="annotation subject"/>
    <w:basedOn w:val="CommentText"/>
    <w:next w:val="CommentText"/>
    <w:link w:val="CommentSubjectChar"/>
    <w:uiPriority w:val="99"/>
    <w:semiHidden/>
    <w:rsid w:val="00EE32A0"/>
    <w:rPr>
      <w:b/>
      <w:bCs/>
    </w:rPr>
  </w:style>
  <w:style w:type="character" w:customStyle="1" w:styleId="CommentSubjectChar">
    <w:name w:val="Comment Subject Char"/>
    <w:basedOn w:val="CommentTextChar"/>
    <w:link w:val="CommentSubject"/>
    <w:uiPriority w:val="99"/>
    <w:semiHidden/>
    <w:rsid w:val="00FA4C2F"/>
    <w:rPr>
      <w:b/>
      <w:bCs/>
    </w:rPr>
  </w:style>
  <w:style w:type="paragraph" w:customStyle="1" w:styleId="ResponseText10points">
    <w:name w:val="Response Text 10 points"/>
    <w:basedOn w:val="Normal"/>
    <w:rsid w:val="006C3643"/>
    <w:pPr>
      <w:jc w:val="both"/>
    </w:pPr>
    <w:rPr>
      <w:i/>
      <w:iCs/>
      <w:color w:val="0000FF"/>
      <w:sz w:val="20"/>
      <w:szCs w:val="20"/>
    </w:rPr>
  </w:style>
  <w:style w:type="table" w:styleId="TableGrid">
    <w:name w:val="Table Grid"/>
    <w:basedOn w:val="TableNormal"/>
    <w:uiPriority w:val="59"/>
    <w:rsid w:val="006C3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spaced,Main numbered paragraph,123 List Paragraph,Numbered Paragraph,References,Numbered List Paragraph,Bullets,List Paragraph (numbered (a)),List Paragraph nowy,Liste 1,List_Paragraph,Multilevel para_II,List Paragraph1"/>
    <w:basedOn w:val="Normal"/>
    <w:link w:val="ListParagraphChar"/>
    <w:uiPriority w:val="34"/>
    <w:qFormat/>
    <w:rsid w:val="0012738A"/>
    <w:pPr>
      <w:spacing w:after="200" w:line="276" w:lineRule="auto"/>
      <w:ind w:left="1080" w:hanging="720"/>
      <w:contextualSpacing/>
    </w:pPr>
    <w:rPr>
      <w:rFonts w:eastAsia="Calibri"/>
    </w:rPr>
  </w:style>
  <w:style w:type="paragraph" w:styleId="NoSpacing">
    <w:name w:val="No Spacing"/>
    <w:uiPriority w:val="1"/>
    <w:qFormat/>
    <w:rsid w:val="007A1E73"/>
    <w:rPr>
      <w:rFonts w:ascii="Calibri" w:eastAsia="Calibri" w:hAnsi="Calibri"/>
      <w:sz w:val="22"/>
      <w:szCs w:val="22"/>
    </w:rPr>
  </w:style>
  <w:style w:type="paragraph" w:styleId="NormalWeb">
    <w:name w:val="Normal (Web)"/>
    <w:basedOn w:val="Normal"/>
    <w:unhideWhenUsed/>
    <w:rsid w:val="007A1E73"/>
    <w:pPr>
      <w:spacing w:before="100" w:beforeAutospacing="1" w:after="100" w:afterAutospacing="1"/>
    </w:pPr>
  </w:style>
  <w:style w:type="paragraph" w:customStyle="1" w:styleId="BodyText1">
    <w:name w:val="Body Text1"/>
    <w:basedOn w:val="Normal"/>
    <w:link w:val="BodytextChar"/>
    <w:qFormat/>
    <w:rsid w:val="008574CF"/>
    <w:pPr>
      <w:jc w:val="both"/>
    </w:pPr>
    <w:rPr>
      <w:rFonts w:ascii="Arial" w:hAnsi="Arial" w:cs="Arial"/>
      <w:lang w:val="en-GB"/>
    </w:rPr>
  </w:style>
  <w:style w:type="character" w:customStyle="1" w:styleId="BodytextChar">
    <w:name w:val="Body text Char"/>
    <w:basedOn w:val="DefaultParagraphFont"/>
    <w:link w:val="BodyText1"/>
    <w:rsid w:val="008574CF"/>
    <w:rPr>
      <w:rFonts w:ascii="Arial" w:hAnsi="Arial" w:cs="Arial"/>
      <w:sz w:val="24"/>
      <w:szCs w:val="24"/>
      <w:lang w:val="en-GB"/>
    </w:rPr>
  </w:style>
  <w:style w:type="paragraph" w:styleId="Title">
    <w:name w:val="Title"/>
    <w:basedOn w:val="Normal"/>
    <w:next w:val="Normal"/>
    <w:link w:val="TitleChar"/>
    <w:uiPriority w:val="10"/>
    <w:qFormat/>
    <w:rsid w:val="008574CF"/>
    <w:rPr>
      <w:rFonts w:ascii="Arial" w:hAnsi="Arial" w:cs="Arial"/>
      <w:b/>
    </w:rPr>
  </w:style>
  <w:style w:type="character" w:customStyle="1" w:styleId="TitleChar">
    <w:name w:val="Title Char"/>
    <w:basedOn w:val="DefaultParagraphFont"/>
    <w:link w:val="Title"/>
    <w:uiPriority w:val="10"/>
    <w:rsid w:val="008574CF"/>
    <w:rPr>
      <w:rFonts w:ascii="Arial" w:hAnsi="Arial" w:cs="Arial"/>
      <w:b/>
      <w:sz w:val="24"/>
      <w:szCs w:val="24"/>
    </w:rPr>
  </w:style>
  <w:style w:type="paragraph" w:customStyle="1" w:styleId="Dimensionbullet">
    <w:name w:val="Dimension bullet"/>
    <w:basedOn w:val="BodyText1"/>
    <w:qFormat/>
    <w:rsid w:val="008574CF"/>
    <w:pPr>
      <w:spacing w:after="120"/>
      <w:ind w:left="720" w:hanging="360"/>
    </w:pPr>
  </w:style>
  <w:style w:type="paragraph" w:styleId="TOCHeading">
    <w:name w:val="TOC Heading"/>
    <w:basedOn w:val="Heading1"/>
    <w:next w:val="Normal"/>
    <w:uiPriority w:val="39"/>
    <w:unhideWhenUsed/>
    <w:qFormat/>
    <w:rsid w:val="00222C5A"/>
    <w:pPr>
      <w:keepLines/>
      <w:framePr w:wrap="around"/>
      <w:spacing w:before="480" w:line="276" w:lineRule="auto"/>
      <w:outlineLvl w:val="9"/>
    </w:pPr>
    <w:rPr>
      <w:rFonts w:ascii="Cambria" w:hAnsi="Cambria"/>
      <w:bCs/>
      <w:color w:val="365F91"/>
    </w:rPr>
  </w:style>
  <w:style w:type="table" w:customStyle="1" w:styleId="TableGrid1">
    <w:name w:val="Table Grid1"/>
    <w:basedOn w:val="TableNormal"/>
    <w:next w:val="TableGrid"/>
    <w:uiPriority w:val="59"/>
    <w:rsid w:val="00871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C500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95515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7C38E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F8685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AC2A26"/>
  </w:style>
  <w:style w:type="table" w:customStyle="1" w:styleId="TableGrid4">
    <w:name w:val="Table Grid4"/>
    <w:basedOn w:val="TableNormal"/>
    <w:next w:val="TableGrid"/>
    <w:uiPriority w:val="59"/>
    <w:rsid w:val="00AC2A2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F4500"/>
    <w:rPr>
      <w:rFonts w:asciiTheme="minorHAnsi" w:eastAsiaTheme="minorHAnsi" w:hAnsiTheme="minorHAnsi" w:cstheme="minorBidi"/>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nhideWhenUsed/>
    <w:qFormat/>
    <w:rsid w:val="00623764"/>
    <w:pPr>
      <w:spacing w:after="200"/>
    </w:pPr>
    <w:rPr>
      <w:b/>
      <w:bCs/>
      <w:color w:val="4F81BD" w:themeColor="accent1"/>
      <w:sz w:val="18"/>
      <w:szCs w:val="18"/>
    </w:rPr>
  </w:style>
  <w:style w:type="paragraph" w:styleId="TableofFigures">
    <w:name w:val="table of figures"/>
    <w:basedOn w:val="Normal"/>
    <w:next w:val="Normal"/>
    <w:uiPriority w:val="99"/>
    <w:rsid w:val="0039648A"/>
  </w:style>
  <w:style w:type="paragraph" w:customStyle="1" w:styleId="Style2">
    <w:name w:val="Style2"/>
    <w:basedOn w:val="Heading3"/>
    <w:link w:val="Style2Char"/>
    <w:qFormat/>
    <w:rsid w:val="00177608"/>
  </w:style>
  <w:style w:type="character" w:customStyle="1" w:styleId="Style2Char">
    <w:name w:val="Style2 Char"/>
    <w:basedOn w:val="Heading3Char"/>
    <w:link w:val="Style2"/>
    <w:rsid w:val="00177608"/>
    <w:rPr>
      <w:rFonts w:ascii="CG Times" w:eastAsia="Calibri" w:hAnsi="CG Times" w:cs="Arial"/>
      <w:b/>
      <w:bCs/>
      <w:sz w:val="22"/>
      <w:szCs w:val="22"/>
      <w:lang w:val="en-GB"/>
    </w:rPr>
  </w:style>
  <w:style w:type="table" w:styleId="TableContemporary">
    <w:name w:val="Table Contemporary"/>
    <w:basedOn w:val="TableNormal"/>
    <w:rsid w:val="00A32D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rsid w:val="00FE3A56"/>
    <w:pPr>
      <w:ind w:left="144" w:hanging="144"/>
    </w:pPr>
    <w:rPr>
      <w:sz w:val="20"/>
      <w:szCs w:val="20"/>
    </w:rPr>
  </w:style>
  <w:style w:type="character" w:customStyle="1" w:styleId="EndnoteTextChar">
    <w:name w:val="Endnote Text Char"/>
    <w:basedOn w:val="DefaultParagraphFont"/>
    <w:link w:val="EndnoteText"/>
    <w:rsid w:val="00FE3A56"/>
  </w:style>
  <w:style w:type="character" w:styleId="EndnoteReference">
    <w:name w:val="endnote reference"/>
    <w:basedOn w:val="DefaultParagraphFont"/>
    <w:rsid w:val="00DA632A"/>
    <w:rPr>
      <w:vertAlign w:val="superscript"/>
    </w:rPr>
  </w:style>
  <w:style w:type="table" w:styleId="TableClassic1">
    <w:name w:val="Table Classic 1"/>
    <w:basedOn w:val="TableNormal"/>
    <w:rsid w:val="00DB0B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Justified">
    <w:name w:val="Normal + Justified"/>
    <w:aliases w:val="Before:  6 pt,After:  12 pt,Norma + Justified Char Char Char,Norma + Justified Char"/>
    <w:basedOn w:val="NormalWeb"/>
    <w:link w:val="NormaJustifiedCharChar"/>
    <w:rsid w:val="000D6586"/>
    <w:pPr>
      <w:autoSpaceDE w:val="0"/>
      <w:autoSpaceDN w:val="0"/>
      <w:spacing w:before="120" w:beforeAutospacing="0" w:after="240" w:afterAutospacing="0"/>
      <w:jc w:val="both"/>
    </w:pPr>
    <w:rPr>
      <w:iCs/>
      <w:lang w:val="en-GB"/>
    </w:rPr>
  </w:style>
  <w:style w:type="character" w:customStyle="1" w:styleId="NormaJustifiedCharChar">
    <w:name w:val="Norma + Justified Char Char"/>
    <w:basedOn w:val="DefaultParagraphFont"/>
    <w:link w:val="NormalJustified"/>
    <w:rsid w:val="000D6586"/>
    <w:rPr>
      <w:iCs/>
      <w:sz w:val="24"/>
      <w:szCs w:val="24"/>
      <w:lang w:val="en-GB"/>
    </w:rPr>
  </w:style>
  <w:style w:type="table" w:customStyle="1" w:styleId="TableGrid11">
    <w:name w:val="Table Grid11"/>
    <w:basedOn w:val="TableNormal"/>
    <w:next w:val="TableGrid"/>
    <w:uiPriority w:val="59"/>
    <w:rsid w:val="008C0EE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11548"/>
    <w:rPr>
      <w:i/>
      <w:iCs/>
    </w:rPr>
  </w:style>
  <w:style w:type="paragraph" w:styleId="Revision">
    <w:name w:val="Revision"/>
    <w:hidden/>
    <w:uiPriority w:val="99"/>
    <w:semiHidden/>
    <w:rsid w:val="004932C7"/>
    <w:rPr>
      <w:sz w:val="24"/>
      <w:szCs w:val="24"/>
    </w:rPr>
  </w:style>
  <w:style w:type="paragraph" w:customStyle="1" w:styleId="PEFATable">
    <w:name w:val="PEFA Table"/>
    <w:basedOn w:val="Caption"/>
    <w:qFormat/>
    <w:rsid w:val="00780C29"/>
    <w:pPr>
      <w:spacing w:after="120"/>
      <w:jc w:val="center"/>
    </w:pPr>
    <w:rPr>
      <w:sz w:val="22"/>
      <w:szCs w:val="22"/>
    </w:rPr>
  </w:style>
  <w:style w:type="paragraph" w:customStyle="1" w:styleId="PEFAFigure">
    <w:name w:val="PEFA Figure"/>
    <w:basedOn w:val="Caption"/>
    <w:qFormat/>
    <w:rsid w:val="003F1422"/>
    <w:pPr>
      <w:keepNext/>
      <w:spacing w:after="120"/>
      <w:jc w:val="center"/>
    </w:pPr>
    <w:rPr>
      <w:sz w:val="22"/>
      <w:szCs w:val="22"/>
    </w:rPr>
  </w:style>
  <w:style w:type="character" w:customStyle="1" w:styleId="ListParagraphChar">
    <w:name w:val="List Paragraph Char"/>
    <w:aliases w:val="Bullet spaced Char,Main numbered paragraph Char,123 List Paragraph Char,Numbered Paragraph Char,References Char,Numbered List Paragraph Char,Bullets Char,List Paragraph (numbered (a)) Char,List Paragraph nowy Char,Liste 1 Char"/>
    <w:basedOn w:val="DefaultParagraphFont"/>
    <w:link w:val="ListParagraph"/>
    <w:uiPriority w:val="34"/>
    <w:locked/>
    <w:rsid w:val="0012738A"/>
    <w:rPr>
      <w:rFonts w:eastAsia="Calibri"/>
      <w:sz w:val="24"/>
      <w:szCs w:val="24"/>
    </w:rPr>
  </w:style>
  <w:style w:type="paragraph" w:customStyle="1" w:styleId="Annexaa">
    <w:name w:val="Annex aa"/>
    <w:basedOn w:val="Normal"/>
    <w:qFormat/>
    <w:rsid w:val="00D238EB"/>
    <w:pPr>
      <w:keepNext/>
      <w:spacing w:after="240"/>
      <w:jc w:val="center"/>
    </w:pPr>
    <w:rPr>
      <w:b/>
      <w:szCs w:val="20"/>
    </w:rPr>
  </w:style>
  <w:style w:type="paragraph" w:customStyle="1" w:styleId="nm">
    <w:name w:val="nm"/>
    <w:basedOn w:val="Normal"/>
    <w:uiPriority w:val="99"/>
    <w:rsid w:val="006A4BB0"/>
    <w:pPr>
      <w:spacing w:after="120"/>
      <w:ind w:left="1701"/>
      <w:jc w:val="both"/>
    </w:pPr>
    <w:rPr>
      <w:rFonts w:ascii="Garamond" w:hAnsi="Garamond"/>
      <w:sz w:val="22"/>
      <w:szCs w:val="22"/>
      <w:lang w:val="en-GB" w:eastAsia="de-DE"/>
    </w:rPr>
  </w:style>
  <w:style w:type="paragraph" w:customStyle="1" w:styleId="TableText">
    <w:name w:val="Table Text"/>
    <w:basedOn w:val="Normal"/>
    <w:rsid w:val="00255EC3"/>
    <w:pPr>
      <w:spacing w:line="120" w:lineRule="atLeast"/>
      <w:ind w:left="238"/>
    </w:pPr>
    <w:rPr>
      <w:rFonts w:ascii="Arial" w:eastAsia="MS Mincho" w:hAnsi="Arial"/>
      <w:sz w:val="16"/>
      <w:szCs w:val="16"/>
      <w:lang w:val="en-GB"/>
    </w:rPr>
  </w:style>
  <w:style w:type="paragraph" w:customStyle="1" w:styleId="Heading2AA">
    <w:name w:val="Heading 2 A A"/>
    <w:next w:val="BodyB"/>
    <w:rsid w:val="00C67209"/>
    <w:pPr>
      <w:keepNext/>
      <w:outlineLvl w:val="1"/>
    </w:pPr>
    <w:rPr>
      <w:rFonts w:ascii="Helvetica" w:eastAsia="ヒラギノ角ゴ Pro W3" w:hAnsi="Helvetica"/>
      <w:b/>
      <w:color w:val="000000"/>
      <w:sz w:val="24"/>
      <w:lang w:eastAsia="en-IN"/>
    </w:rPr>
  </w:style>
  <w:style w:type="paragraph" w:customStyle="1" w:styleId="BodyB">
    <w:name w:val="Body B"/>
    <w:rsid w:val="00C67209"/>
    <w:rPr>
      <w:rFonts w:ascii="Helvetica" w:eastAsia="ヒラギノ角ゴ Pro W3" w:hAnsi="Helvetica"/>
      <w:color w:val="000000"/>
      <w:sz w:val="24"/>
      <w:lang w:eastAsia="en-IN"/>
    </w:rPr>
  </w:style>
  <w:style w:type="paragraph" w:customStyle="1" w:styleId="FreeForm">
    <w:name w:val="Free Form"/>
    <w:rsid w:val="00C67209"/>
    <w:rPr>
      <w:rFonts w:eastAsia="ヒラギノ角ゴ Pro W3"/>
      <w:color w:val="000000"/>
      <w:lang w:val="en-IN" w:eastAsia="en-IN"/>
    </w:rPr>
  </w:style>
  <w:style w:type="paragraph" w:customStyle="1" w:styleId="FreeFormA">
    <w:name w:val="Free Form A"/>
    <w:rsid w:val="00C67209"/>
    <w:rPr>
      <w:rFonts w:eastAsia="ヒラギノ角ゴ Pro W3"/>
      <w:color w:val="000000"/>
      <w:lang w:val="en-IN" w:eastAsia="en-IN"/>
    </w:rPr>
  </w:style>
  <w:style w:type="paragraph" w:customStyle="1" w:styleId="FreeFormAAAA">
    <w:name w:val="Free Form A A A A"/>
    <w:rsid w:val="00BD1F11"/>
    <w:rPr>
      <w:rFonts w:eastAsia="ヒラギノ角ゴ Pro W3"/>
      <w:color w:val="000000"/>
      <w:lang w:val="en-IN" w:eastAsia="en-IN"/>
    </w:rPr>
  </w:style>
  <w:style w:type="paragraph" w:customStyle="1" w:styleId="FreeFormAAAAA">
    <w:name w:val="Free Form A A A A A"/>
    <w:rsid w:val="000656B0"/>
    <w:rPr>
      <w:rFonts w:eastAsia="ヒラギノ角ゴ Pro W3"/>
      <w:color w:val="000000"/>
      <w:lang w:val="en-IN" w:eastAsia="en-IN"/>
    </w:rPr>
  </w:style>
  <w:style w:type="paragraph" w:customStyle="1" w:styleId="FreeFormAA">
    <w:name w:val="Free Form A A"/>
    <w:rsid w:val="00967FE0"/>
    <w:rPr>
      <w:rFonts w:eastAsia="ヒラギノ角ゴ Pro W3"/>
      <w:color w:val="000000"/>
      <w:lang w:val="en-IN" w:eastAsia="en-IN"/>
    </w:rPr>
  </w:style>
  <w:style w:type="paragraph" w:customStyle="1" w:styleId="FreeFormAAA">
    <w:name w:val="Free Form A A A"/>
    <w:rsid w:val="00306955"/>
    <w:rPr>
      <w:rFonts w:ascii="Helvetica" w:eastAsia="ヒラギノ角ゴ Pro W3" w:hAnsi="Helvetica"/>
      <w:color w:val="000000"/>
      <w:sz w:val="24"/>
      <w:lang w:eastAsia="en-IN"/>
    </w:rPr>
  </w:style>
  <w:style w:type="paragraph" w:customStyle="1" w:styleId="FreeFormAAAAAAAA">
    <w:name w:val="Free Form A A A A A A A A"/>
    <w:rsid w:val="00BE3DC2"/>
    <w:rPr>
      <w:rFonts w:eastAsia="ヒラギノ角ゴ Pro W3"/>
      <w:color w:val="000000"/>
      <w:lang w:val="en-IN" w:eastAsia="en-IN"/>
    </w:rPr>
  </w:style>
  <w:style w:type="paragraph" w:customStyle="1" w:styleId="BodyC">
    <w:name w:val="Body C"/>
    <w:rsid w:val="00BE3DC2"/>
    <w:rPr>
      <w:rFonts w:ascii="Helvetica" w:eastAsia="ヒラギノ角ゴ Pro W3" w:hAnsi="Helvetica"/>
      <w:color w:val="000000"/>
      <w:sz w:val="24"/>
      <w:lang w:eastAsia="en-IN"/>
    </w:rPr>
  </w:style>
  <w:style w:type="paragraph" w:customStyle="1" w:styleId="FreeFormAAAAAAAAA">
    <w:name w:val="Free Form A A A A A A A A A"/>
    <w:rsid w:val="00BE3DC2"/>
    <w:rPr>
      <w:rFonts w:eastAsia="ヒラギノ角ゴ Pro W3"/>
      <w:color w:val="000000"/>
      <w:lang w:val="en-IN" w:eastAsia="en-IN"/>
    </w:rPr>
  </w:style>
  <w:style w:type="paragraph" w:customStyle="1" w:styleId="FreeFormAB">
    <w:name w:val="Free Form A B"/>
    <w:rsid w:val="00BE3DC2"/>
    <w:rPr>
      <w:rFonts w:eastAsia="ヒラギノ角ゴ Pro W3"/>
      <w:color w:val="000000"/>
      <w:lang w:val="en-IN" w:eastAsia="en-IN"/>
    </w:rPr>
  </w:style>
  <w:style w:type="paragraph" w:customStyle="1" w:styleId="BodyA">
    <w:name w:val="Body A"/>
    <w:rsid w:val="00D821F9"/>
    <w:rPr>
      <w:rFonts w:ascii="Helvetica" w:eastAsia="ヒラギノ角ゴ Pro W3" w:hAnsi="Helvetica"/>
      <w:color w:val="000000"/>
      <w:sz w:val="24"/>
      <w:lang w:eastAsia="en-IN"/>
    </w:rPr>
  </w:style>
  <w:style w:type="paragraph" w:customStyle="1" w:styleId="FreeFormB">
    <w:name w:val="Free Form B"/>
    <w:rsid w:val="00D821F9"/>
    <w:rPr>
      <w:rFonts w:eastAsia="ヒラギノ角ゴ Pro W3"/>
      <w:color w:val="000000"/>
      <w:lang w:val="en-IN" w:eastAsia="en-IN"/>
    </w:rPr>
  </w:style>
  <w:style w:type="paragraph" w:customStyle="1" w:styleId="FreeFormBA">
    <w:name w:val="Free Form B A"/>
    <w:rsid w:val="00D821F9"/>
    <w:rPr>
      <w:rFonts w:eastAsia="ヒラギノ角ゴ Pro W3"/>
      <w:color w:val="000000"/>
      <w:lang w:val="en-IN" w:eastAsia="en-IN"/>
    </w:rPr>
  </w:style>
  <w:style w:type="paragraph" w:customStyle="1" w:styleId="FreeFormBAA">
    <w:name w:val="Free Form B A A"/>
    <w:rsid w:val="00D821F9"/>
    <w:rPr>
      <w:rFonts w:eastAsia="ヒラギノ角ゴ Pro W3"/>
      <w:color w:val="000000"/>
      <w:lang w:val="en-IN" w:eastAsia="en-IN"/>
    </w:rPr>
  </w:style>
  <w:style w:type="paragraph" w:customStyle="1" w:styleId="BodyBA">
    <w:name w:val="Body B A"/>
    <w:rsid w:val="00B16687"/>
    <w:rPr>
      <w:rFonts w:ascii="Helvetica" w:eastAsia="ヒラギノ角ゴ Pro W3" w:hAnsi="Helvetica"/>
      <w:color w:val="000000"/>
      <w:sz w:val="24"/>
    </w:rPr>
  </w:style>
  <w:style w:type="paragraph" w:customStyle="1" w:styleId="Heading2AB">
    <w:name w:val="Heading 2 A B"/>
    <w:next w:val="BodyB"/>
    <w:rsid w:val="00B16687"/>
    <w:pPr>
      <w:keepNext/>
      <w:outlineLvl w:val="1"/>
    </w:pPr>
    <w:rPr>
      <w:rFonts w:ascii="Helvetica" w:eastAsia="ヒラギノ角ゴ Pro W3" w:hAnsi="Helvetica"/>
      <w:b/>
      <w:color w:val="000000"/>
      <w:sz w:val="24"/>
    </w:rPr>
  </w:style>
  <w:style w:type="paragraph" w:customStyle="1" w:styleId="BodyBB">
    <w:name w:val="Body B B"/>
    <w:rsid w:val="00B16687"/>
    <w:rPr>
      <w:rFonts w:ascii="Helvetica" w:eastAsia="ヒラギノ角ゴ Pro W3" w:hAnsi="Helvetica"/>
      <w:color w:val="000000"/>
      <w:sz w:val="24"/>
    </w:rPr>
  </w:style>
  <w:style w:type="paragraph" w:customStyle="1" w:styleId="BodyD">
    <w:name w:val="Body D"/>
    <w:rsid w:val="00B16687"/>
    <w:rPr>
      <w:rFonts w:ascii="Helvetica" w:eastAsia="ヒラギノ角ゴ Pro W3" w:hAnsi="Helvetica"/>
      <w:color w:val="000000"/>
      <w:sz w:val="24"/>
    </w:rPr>
  </w:style>
  <w:style w:type="paragraph" w:customStyle="1" w:styleId="NormalWeb2">
    <w:name w:val="Normal (Web)2"/>
    <w:rsid w:val="00E25B22"/>
    <w:pPr>
      <w:spacing w:before="100" w:after="100"/>
    </w:pPr>
    <w:rPr>
      <w:rFonts w:eastAsia="ヒラギノ角ゴ Pro W3"/>
      <w:color w:val="000000"/>
      <w:sz w:val="24"/>
    </w:rPr>
  </w:style>
  <w:style w:type="character" w:customStyle="1" w:styleId="FootnoteReference1">
    <w:name w:val="Footnote Reference1"/>
    <w:rsid w:val="003C7981"/>
    <w:rPr>
      <w:color w:val="000000"/>
      <w:sz w:val="20"/>
      <w:vertAlign w:val="superscript"/>
    </w:rPr>
  </w:style>
  <w:style w:type="paragraph" w:customStyle="1" w:styleId="FootnoteText2">
    <w:name w:val="Footnote Text2"/>
    <w:rsid w:val="003C7981"/>
    <w:rPr>
      <w:rFonts w:eastAsia="ヒラギノ角ゴ Pro W3"/>
      <w:color w:val="000000"/>
    </w:rPr>
  </w:style>
  <w:style w:type="character" w:customStyle="1" w:styleId="Hyperlink1">
    <w:name w:val="Hyperlink1"/>
    <w:autoRedefine/>
    <w:rsid w:val="003C7981"/>
    <w:rPr>
      <w:color w:val="0000FF"/>
      <w:sz w:val="20"/>
      <w:u w:val="single"/>
    </w:rPr>
  </w:style>
  <w:style w:type="paragraph" w:customStyle="1" w:styleId="FreeFormAAAAB">
    <w:name w:val="Free Form A A A A B"/>
    <w:autoRedefine/>
    <w:rsid w:val="00340F7B"/>
    <w:rPr>
      <w:rFonts w:eastAsia="ヒラギノ角ゴ Pro W3"/>
      <w:color w:val="000000"/>
    </w:rPr>
  </w:style>
  <w:style w:type="paragraph" w:customStyle="1" w:styleId="NormalWeb1">
    <w:name w:val="Normal (Web)1"/>
    <w:rsid w:val="00A37784"/>
    <w:pPr>
      <w:spacing w:before="100" w:after="100"/>
    </w:pPr>
    <w:rPr>
      <w:rFonts w:eastAsia="ヒラギノ角ゴ Pro W3"/>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2863">
      <w:bodyDiv w:val="1"/>
      <w:marLeft w:val="0"/>
      <w:marRight w:val="0"/>
      <w:marTop w:val="0"/>
      <w:marBottom w:val="0"/>
      <w:divBdr>
        <w:top w:val="none" w:sz="0" w:space="0" w:color="auto"/>
        <w:left w:val="none" w:sz="0" w:space="0" w:color="auto"/>
        <w:bottom w:val="none" w:sz="0" w:space="0" w:color="auto"/>
        <w:right w:val="none" w:sz="0" w:space="0" w:color="auto"/>
      </w:divBdr>
    </w:div>
    <w:div w:id="7950814">
      <w:bodyDiv w:val="1"/>
      <w:marLeft w:val="0"/>
      <w:marRight w:val="0"/>
      <w:marTop w:val="0"/>
      <w:marBottom w:val="0"/>
      <w:divBdr>
        <w:top w:val="none" w:sz="0" w:space="0" w:color="auto"/>
        <w:left w:val="none" w:sz="0" w:space="0" w:color="auto"/>
        <w:bottom w:val="none" w:sz="0" w:space="0" w:color="auto"/>
        <w:right w:val="none" w:sz="0" w:space="0" w:color="auto"/>
      </w:divBdr>
    </w:div>
    <w:div w:id="96877096">
      <w:bodyDiv w:val="1"/>
      <w:marLeft w:val="0"/>
      <w:marRight w:val="0"/>
      <w:marTop w:val="0"/>
      <w:marBottom w:val="0"/>
      <w:divBdr>
        <w:top w:val="none" w:sz="0" w:space="0" w:color="auto"/>
        <w:left w:val="none" w:sz="0" w:space="0" w:color="auto"/>
        <w:bottom w:val="none" w:sz="0" w:space="0" w:color="auto"/>
        <w:right w:val="none" w:sz="0" w:space="0" w:color="auto"/>
      </w:divBdr>
    </w:div>
    <w:div w:id="98718399">
      <w:bodyDiv w:val="1"/>
      <w:marLeft w:val="0"/>
      <w:marRight w:val="0"/>
      <w:marTop w:val="0"/>
      <w:marBottom w:val="0"/>
      <w:divBdr>
        <w:top w:val="none" w:sz="0" w:space="0" w:color="auto"/>
        <w:left w:val="none" w:sz="0" w:space="0" w:color="auto"/>
        <w:bottom w:val="none" w:sz="0" w:space="0" w:color="auto"/>
        <w:right w:val="none" w:sz="0" w:space="0" w:color="auto"/>
      </w:divBdr>
    </w:div>
    <w:div w:id="231694413">
      <w:bodyDiv w:val="1"/>
      <w:marLeft w:val="0"/>
      <w:marRight w:val="0"/>
      <w:marTop w:val="0"/>
      <w:marBottom w:val="0"/>
      <w:divBdr>
        <w:top w:val="none" w:sz="0" w:space="0" w:color="auto"/>
        <w:left w:val="none" w:sz="0" w:space="0" w:color="auto"/>
        <w:bottom w:val="none" w:sz="0" w:space="0" w:color="auto"/>
        <w:right w:val="none" w:sz="0" w:space="0" w:color="auto"/>
      </w:divBdr>
    </w:div>
    <w:div w:id="288825892">
      <w:bodyDiv w:val="1"/>
      <w:marLeft w:val="0"/>
      <w:marRight w:val="0"/>
      <w:marTop w:val="0"/>
      <w:marBottom w:val="0"/>
      <w:divBdr>
        <w:top w:val="none" w:sz="0" w:space="0" w:color="auto"/>
        <w:left w:val="none" w:sz="0" w:space="0" w:color="auto"/>
        <w:bottom w:val="none" w:sz="0" w:space="0" w:color="auto"/>
        <w:right w:val="none" w:sz="0" w:space="0" w:color="auto"/>
      </w:divBdr>
    </w:div>
    <w:div w:id="326715610">
      <w:bodyDiv w:val="1"/>
      <w:marLeft w:val="0"/>
      <w:marRight w:val="0"/>
      <w:marTop w:val="0"/>
      <w:marBottom w:val="0"/>
      <w:divBdr>
        <w:top w:val="none" w:sz="0" w:space="0" w:color="auto"/>
        <w:left w:val="none" w:sz="0" w:space="0" w:color="auto"/>
        <w:bottom w:val="none" w:sz="0" w:space="0" w:color="auto"/>
        <w:right w:val="none" w:sz="0" w:space="0" w:color="auto"/>
      </w:divBdr>
    </w:div>
    <w:div w:id="370616611">
      <w:bodyDiv w:val="1"/>
      <w:marLeft w:val="0"/>
      <w:marRight w:val="0"/>
      <w:marTop w:val="0"/>
      <w:marBottom w:val="0"/>
      <w:divBdr>
        <w:top w:val="none" w:sz="0" w:space="0" w:color="auto"/>
        <w:left w:val="none" w:sz="0" w:space="0" w:color="auto"/>
        <w:bottom w:val="none" w:sz="0" w:space="0" w:color="auto"/>
        <w:right w:val="none" w:sz="0" w:space="0" w:color="auto"/>
      </w:divBdr>
    </w:div>
    <w:div w:id="432213934">
      <w:bodyDiv w:val="1"/>
      <w:marLeft w:val="0"/>
      <w:marRight w:val="0"/>
      <w:marTop w:val="0"/>
      <w:marBottom w:val="0"/>
      <w:divBdr>
        <w:top w:val="none" w:sz="0" w:space="0" w:color="auto"/>
        <w:left w:val="none" w:sz="0" w:space="0" w:color="auto"/>
        <w:bottom w:val="none" w:sz="0" w:space="0" w:color="auto"/>
        <w:right w:val="none" w:sz="0" w:space="0" w:color="auto"/>
      </w:divBdr>
    </w:div>
    <w:div w:id="486553642">
      <w:bodyDiv w:val="1"/>
      <w:marLeft w:val="0"/>
      <w:marRight w:val="0"/>
      <w:marTop w:val="0"/>
      <w:marBottom w:val="0"/>
      <w:divBdr>
        <w:top w:val="none" w:sz="0" w:space="0" w:color="auto"/>
        <w:left w:val="none" w:sz="0" w:space="0" w:color="auto"/>
        <w:bottom w:val="none" w:sz="0" w:space="0" w:color="auto"/>
        <w:right w:val="none" w:sz="0" w:space="0" w:color="auto"/>
      </w:divBdr>
    </w:div>
    <w:div w:id="498498114">
      <w:bodyDiv w:val="1"/>
      <w:marLeft w:val="0"/>
      <w:marRight w:val="0"/>
      <w:marTop w:val="0"/>
      <w:marBottom w:val="0"/>
      <w:divBdr>
        <w:top w:val="none" w:sz="0" w:space="0" w:color="auto"/>
        <w:left w:val="none" w:sz="0" w:space="0" w:color="auto"/>
        <w:bottom w:val="none" w:sz="0" w:space="0" w:color="auto"/>
        <w:right w:val="none" w:sz="0" w:space="0" w:color="auto"/>
      </w:divBdr>
    </w:div>
    <w:div w:id="513110440">
      <w:bodyDiv w:val="1"/>
      <w:marLeft w:val="0"/>
      <w:marRight w:val="0"/>
      <w:marTop w:val="0"/>
      <w:marBottom w:val="0"/>
      <w:divBdr>
        <w:top w:val="none" w:sz="0" w:space="0" w:color="auto"/>
        <w:left w:val="none" w:sz="0" w:space="0" w:color="auto"/>
        <w:bottom w:val="none" w:sz="0" w:space="0" w:color="auto"/>
        <w:right w:val="none" w:sz="0" w:space="0" w:color="auto"/>
      </w:divBdr>
    </w:div>
    <w:div w:id="586622145">
      <w:bodyDiv w:val="1"/>
      <w:marLeft w:val="0"/>
      <w:marRight w:val="0"/>
      <w:marTop w:val="0"/>
      <w:marBottom w:val="0"/>
      <w:divBdr>
        <w:top w:val="none" w:sz="0" w:space="0" w:color="auto"/>
        <w:left w:val="none" w:sz="0" w:space="0" w:color="auto"/>
        <w:bottom w:val="none" w:sz="0" w:space="0" w:color="auto"/>
        <w:right w:val="none" w:sz="0" w:space="0" w:color="auto"/>
      </w:divBdr>
    </w:div>
    <w:div w:id="667446157">
      <w:bodyDiv w:val="1"/>
      <w:marLeft w:val="0"/>
      <w:marRight w:val="0"/>
      <w:marTop w:val="0"/>
      <w:marBottom w:val="0"/>
      <w:divBdr>
        <w:top w:val="none" w:sz="0" w:space="0" w:color="auto"/>
        <w:left w:val="none" w:sz="0" w:space="0" w:color="auto"/>
        <w:bottom w:val="none" w:sz="0" w:space="0" w:color="auto"/>
        <w:right w:val="none" w:sz="0" w:space="0" w:color="auto"/>
      </w:divBdr>
    </w:div>
    <w:div w:id="677579571">
      <w:bodyDiv w:val="1"/>
      <w:marLeft w:val="0"/>
      <w:marRight w:val="0"/>
      <w:marTop w:val="0"/>
      <w:marBottom w:val="0"/>
      <w:divBdr>
        <w:top w:val="none" w:sz="0" w:space="0" w:color="auto"/>
        <w:left w:val="none" w:sz="0" w:space="0" w:color="auto"/>
        <w:bottom w:val="none" w:sz="0" w:space="0" w:color="auto"/>
        <w:right w:val="none" w:sz="0" w:space="0" w:color="auto"/>
      </w:divBdr>
    </w:div>
    <w:div w:id="695614823">
      <w:bodyDiv w:val="1"/>
      <w:marLeft w:val="0"/>
      <w:marRight w:val="0"/>
      <w:marTop w:val="0"/>
      <w:marBottom w:val="0"/>
      <w:divBdr>
        <w:top w:val="none" w:sz="0" w:space="0" w:color="auto"/>
        <w:left w:val="none" w:sz="0" w:space="0" w:color="auto"/>
        <w:bottom w:val="none" w:sz="0" w:space="0" w:color="auto"/>
        <w:right w:val="none" w:sz="0" w:space="0" w:color="auto"/>
      </w:divBdr>
    </w:div>
    <w:div w:id="726757086">
      <w:bodyDiv w:val="1"/>
      <w:marLeft w:val="0"/>
      <w:marRight w:val="0"/>
      <w:marTop w:val="0"/>
      <w:marBottom w:val="0"/>
      <w:divBdr>
        <w:top w:val="none" w:sz="0" w:space="0" w:color="auto"/>
        <w:left w:val="none" w:sz="0" w:space="0" w:color="auto"/>
        <w:bottom w:val="none" w:sz="0" w:space="0" w:color="auto"/>
        <w:right w:val="none" w:sz="0" w:space="0" w:color="auto"/>
      </w:divBdr>
    </w:div>
    <w:div w:id="773987605">
      <w:bodyDiv w:val="1"/>
      <w:marLeft w:val="0"/>
      <w:marRight w:val="0"/>
      <w:marTop w:val="0"/>
      <w:marBottom w:val="0"/>
      <w:divBdr>
        <w:top w:val="none" w:sz="0" w:space="0" w:color="auto"/>
        <w:left w:val="none" w:sz="0" w:space="0" w:color="auto"/>
        <w:bottom w:val="none" w:sz="0" w:space="0" w:color="auto"/>
        <w:right w:val="none" w:sz="0" w:space="0" w:color="auto"/>
      </w:divBdr>
      <w:divsChild>
        <w:div w:id="1601722293">
          <w:marLeft w:val="547"/>
          <w:marRight w:val="0"/>
          <w:marTop w:val="154"/>
          <w:marBottom w:val="0"/>
          <w:divBdr>
            <w:top w:val="none" w:sz="0" w:space="0" w:color="auto"/>
            <w:left w:val="none" w:sz="0" w:space="0" w:color="auto"/>
            <w:bottom w:val="none" w:sz="0" w:space="0" w:color="auto"/>
            <w:right w:val="none" w:sz="0" w:space="0" w:color="auto"/>
          </w:divBdr>
        </w:div>
        <w:div w:id="996305161">
          <w:marLeft w:val="547"/>
          <w:marRight w:val="0"/>
          <w:marTop w:val="154"/>
          <w:marBottom w:val="0"/>
          <w:divBdr>
            <w:top w:val="none" w:sz="0" w:space="0" w:color="auto"/>
            <w:left w:val="none" w:sz="0" w:space="0" w:color="auto"/>
            <w:bottom w:val="none" w:sz="0" w:space="0" w:color="auto"/>
            <w:right w:val="none" w:sz="0" w:space="0" w:color="auto"/>
          </w:divBdr>
        </w:div>
        <w:div w:id="1403527388">
          <w:marLeft w:val="547"/>
          <w:marRight w:val="0"/>
          <w:marTop w:val="154"/>
          <w:marBottom w:val="0"/>
          <w:divBdr>
            <w:top w:val="none" w:sz="0" w:space="0" w:color="auto"/>
            <w:left w:val="none" w:sz="0" w:space="0" w:color="auto"/>
            <w:bottom w:val="none" w:sz="0" w:space="0" w:color="auto"/>
            <w:right w:val="none" w:sz="0" w:space="0" w:color="auto"/>
          </w:divBdr>
        </w:div>
      </w:divsChild>
    </w:div>
    <w:div w:id="837305699">
      <w:bodyDiv w:val="1"/>
      <w:marLeft w:val="0"/>
      <w:marRight w:val="0"/>
      <w:marTop w:val="0"/>
      <w:marBottom w:val="0"/>
      <w:divBdr>
        <w:top w:val="none" w:sz="0" w:space="0" w:color="auto"/>
        <w:left w:val="none" w:sz="0" w:space="0" w:color="auto"/>
        <w:bottom w:val="none" w:sz="0" w:space="0" w:color="auto"/>
        <w:right w:val="none" w:sz="0" w:space="0" w:color="auto"/>
      </w:divBdr>
    </w:div>
    <w:div w:id="866917467">
      <w:bodyDiv w:val="1"/>
      <w:marLeft w:val="0"/>
      <w:marRight w:val="0"/>
      <w:marTop w:val="0"/>
      <w:marBottom w:val="0"/>
      <w:divBdr>
        <w:top w:val="none" w:sz="0" w:space="0" w:color="auto"/>
        <w:left w:val="none" w:sz="0" w:space="0" w:color="auto"/>
        <w:bottom w:val="none" w:sz="0" w:space="0" w:color="auto"/>
        <w:right w:val="none" w:sz="0" w:space="0" w:color="auto"/>
      </w:divBdr>
    </w:div>
    <w:div w:id="1051921412">
      <w:bodyDiv w:val="1"/>
      <w:marLeft w:val="0"/>
      <w:marRight w:val="0"/>
      <w:marTop w:val="0"/>
      <w:marBottom w:val="0"/>
      <w:divBdr>
        <w:top w:val="none" w:sz="0" w:space="0" w:color="auto"/>
        <w:left w:val="none" w:sz="0" w:space="0" w:color="auto"/>
        <w:bottom w:val="none" w:sz="0" w:space="0" w:color="auto"/>
        <w:right w:val="none" w:sz="0" w:space="0" w:color="auto"/>
      </w:divBdr>
    </w:div>
    <w:div w:id="1059746427">
      <w:bodyDiv w:val="1"/>
      <w:marLeft w:val="0"/>
      <w:marRight w:val="0"/>
      <w:marTop w:val="0"/>
      <w:marBottom w:val="0"/>
      <w:divBdr>
        <w:top w:val="none" w:sz="0" w:space="0" w:color="auto"/>
        <w:left w:val="none" w:sz="0" w:space="0" w:color="auto"/>
        <w:bottom w:val="none" w:sz="0" w:space="0" w:color="auto"/>
        <w:right w:val="none" w:sz="0" w:space="0" w:color="auto"/>
      </w:divBdr>
    </w:div>
    <w:div w:id="1079015539">
      <w:bodyDiv w:val="1"/>
      <w:marLeft w:val="0"/>
      <w:marRight w:val="0"/>
      <w:marTop w:val="0"/>
      <w:marBottom w:val="0"/>
      <w:divBdr>
        <w:top w:val="none" w:sz="0" w:space="0" w:color="auto"/>
        <w:left w:val="none" w:sz="0" w:space="0" w:color="auto"/>
        <w:bottom w:val="none" w:sz="0" w:space="0" w:color="auto"/>
        <w:right w:val="none" w:sz="0" w:space="0" w:color="auto"/>
      </w:divBdr>
      <w:divsChild>
        <w:div w:id="316539743">
          <w:marLeft w:val="0"/>
          <w:marRight w:val="0"/>
          <w:marTop w:val="0"/>
          <w:marBottom w:val="0"/>
          <w:divBdr>
            <w:top w:val="none" w:sz="0" w:space="0" w:color="auto"/>
            <w:left w:val="none" w:sz="0" w:space="0" w:color="auto"/>
            <w:bottom w:val="none" w:sz="0" w:space="0" w:color="auto"/>
            <w:right w:val="none" w:sz="0" w:space="0" w:color="auto"/>
          </w:divBdr>
          <w:divsChild>
            <w:div w:id="98188509">
              <w:marLeft w:val="0"/>
              <w:marRight w:val="0"/>
              <w:marTop w:val="0"/>
              <w:marBottom w:val="0"/>
              <w:divBdr>
                <w:top w:val="none" w:sz="0" w:space="0" w:color="auto"/>
                <w:left w:val="none" w:sz="0" w:space="0" w:color="auto"/>
                <w:bottom w:val="none" w:sz="0" w:space="0" w:color="auto"/>
                <w:right w:val="none" w:sz="0" w:space="0" w:color="auto"/>
              </w:divBdr>
              <w:divsChild>
                <w:div w:id="194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2136">
          <w:marLeft w:val="0"/>
          <w:marRight w:val="0"/>
          <w:marTop w:val="0"/>
          <w:marBottom w:val="0"/>
          <w:divBdr>
            <w:top w:val="none" w:sz="0" w:space="0" w:color="auto"/>
            <w:left w:val="none" w:sz="0" w:space="0" w:color="auto"/>
            <w:bottom w:val="none" w:sz="0" w:space="0" w:color="auto"/>
            <w:right w:val="none" w:sz="0" w:space="0" w:color="auto"/>
          </w:divBdr>
        </w:div>
        <w:div w:id="566575690">
          <w:marLeft w:val="0"/>
          <w:marRight w:val="0"/>
          <w:marTop w:val="0"/>
          <w:marBottom w:val="0"/>
          <w:divBdr>
            <w:top w:val="none" w:sz="0" w:space="0" w:color="auto"/>
            <w:left w:val="none" w:sz="0" w:space="0" w:color="auto"/>
            <w:bottom w:val="none" w:sz="0" w:space="0" w:color="auto"/>
            <w:right w:val="none" w:sz="0" w:space="0" w:color="auto"/>
          </w:divBdr>
          <w:divsChild>
            <w:div w:id="1900481060">
              <w:marLeft w:val="0"/>
              <w:marRight w:val="0"/>
              <w:marTop w:val="0"/>
              <w:marBottom w:val="0"/>
              <w:divBdr>
                <w:top w:val="none" w:sz="0" w:space="0" w:color="auto"/>
                <w:left w:val="none" w:sz="0" w:space="0" w:color="auto"/>
                <w:bottom w:val="none" w:sz="0" w:space="0" w:color="auto"/>
                <w:right w:val="none" w:sz="0" w:space="0" w:color="auto"/>
              </w:divBdr>
              <w:divsChild>
                <w:div w:id="10216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01705">
          <w:marLeft w:val="0"/>
          <w:marRight w:val="0"/>
          <w:marTop w:val="0"/>
          <w:marBottom w:val="0"/>
          <w:divBdr>
            <w:top w:val="none" w:sz="0" w:space="0" w:color="auto"/>
            <w:left w:val="none" w:sz="0" w:space="0" w:color="auto"/>
            <w:bottom w:val="none" w:sz="0" w:space="0" w:color="auto"/>
            <w:right w:val="none" w:sz="0" w:space="0" w:color="auto"/>
          </w:divBdr>
        </w:div>
        <w:div w:id="870994014">
          <w:marLeft w:val="0"/>
          <w:marRight w:val="0"/>
          <w:marTop w:val="0"/>
          <w:marBottom w:val="0"/>
          <w:divBdr>
            <w:top w:val="none" w:sz="0" w:space="0" w:color="auto"/>
            <w:left w:val="none" w:sz="0" w:space="0" w:color="auto"/>
            <w:bottom w:val="none" w:sz="0" w:space="0" w:color="auto"/>
            <w:right w:val="none" w:sz="0" w:space="0" w:color="auto"/>
          </w:divBdr>
        </w:div>
        <w:div w:id="889145050">
          <w:marLeft w:val="0"/>
          <w:marRight w:val="0"/>
          <w:marTop w:val="0"/>
          <w:marBottom w:val="0"/>
          <w:divBdr>
            <w:top w:val="none" w:sz="0" w:space="0" w:color="auto"/>
            <w:left w:val="none" w:sz="0" w:space="0" w:color="auto"/>
            <w:bottom w:val="none" w:sz="0" w:space="0" w:color="auto"/>
            <w:right w:val="none" w:sz="0" w:space="0" w:color="auto"/>
          </w:divBdr>
          <w:divsChild>
            <w:div w:id="152375585">
              <w:marLeft w:val="0"/>
              <w:marRight w:val="0"/>
              <w:marTop w:val="0"/>
              <w:marBottom w:val="0"/>
              <w:divBdr>
                <w:top w:val="none" w:sz="0" w:space="0" w:color="auto"/>
                <w:left w:val="none" w:sz="0" w:space="0" w:color="auto"/>
                <w:bottom w:val="none" w:sz="0" w:space="0" w:color="auto"/>
                <w:right w:val="none" w:sz="0" w:space="0" w:color="auto"/>
              </w:divBdr>
              <w:divsChild>
                <w:div w:id="133171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4652">
          <w:marLeft w:val="0"/>
          <w:marRight w:val="0"/>
          <w:marTop w:val="0"/>
          <w:marBottom w:val="0"/>
          <w:divBdr>
            <w:top w:val="none" w:sz="0" w:space="0" w:color="auto"/>
            <w:left w:val="none" w:sz="0" w:space="0" w:color="auto"/>
            <w:bottom w:val="none" w:sz="0" w:space="0" w:color="auto"/>
            <w:right w:val="none" w:sz="0" w:space="0" w:color="auto"/>
          </w:divBdr>
          <w:divsChild>
            <w:div w:id="735593798">
              <w:marLeft w:val="0"/>
              <w:marRight w:val="0"/>
              <w:marTop w:val="0"/>
              <w:marBottom w:val="0"/>
              <w:divBdr>
                <w:top w:val="none" w:sz="0" w:space="0" w:color="auto"/>
                <w:left w:val="none" w:sz="0" w:space="0" w:color="auto"/>
                <w:bottom w:val="none" w:sz="0" w:space="0" w:color="auto"/>
                <w:right w:val="none" w:sz="0" w:space="0" w:color="auto"/>
              </w:divBdr>
              <w:divsChild>
                <w:div w:id="13626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32998">
          <w:marLeft w:val="0"/>
          <w:marRight w:val="0"/>
          <w:marTop w:val="0"/>
          <w:marBottom w:val="0"/>
          <w:divBdr>
            <w:top w:val="none" w:sz="0" w:space="0" w:color="auto"/>
            <w:left w:val="none" w:sz="0" w:space="0" w:color="auto"/>
            <w:bottom w:val="none" w:sz="0" w:space="0" w:color="auto"/>
            <w:right w:val="none" w:sz="0" w:space="0" w:color="auto"/>
          </w:divBdr>
        </w:div>
        <w:div w:id="1091395435">
          <w:marLeft w:val="0"/>
          <w:marRight w:val="0"/>
          <w:marTop w:val="0"/>
          <w:marBottom w:val="0"/>
          <w:divBdr>
            <w:top w:val="none" w:sz="0" w:space="0" w:color="auto"/>
            <w:left w:val="none" w:sz="0" w:space="0" w:color="auto"/>
            <w:bottom w:val="none" w:sz="0" w:space="0" w:color="auto"/>
            <w:right w:val="none" w:sz="0" w:space="0" w:color="auto"/>
          </w:divBdr>
          <w:divsChild>
            <w:div w:id="64762084">
              <w:marLeft w:val="0"/>
              <w:marRight w:val="0"/>
              <w:marTop w:val="0"/>
              <w:marBottom w:val="0"/>
              <w:divBdr>
                <w:top w:val="none" w:sz="0" w:space="0" w:color="auto"/>
                <w:left w:val="none" w:sz="0" w:space="0" w:color="auto"/>
                <w:bottom w:val="none" w:sz="0" w:space="0" w:color="auto"/>
                <w:right w:val="none" w:sz="0" w:space="0" w:color="auto"/>
              </w:divBdr>
              <w:divsChild>
                <w:div w:id="9517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0566">
          <w:marLeft w:val="0"/>
          <w:marRight w:val="0"/>
          <w:marTop w:val="0"/>
          <w:marBottom w:val="0"/>
          <w:divBdr>
            <w:top w:val="none" w:sz="0" w:space="0" w:color="auto"/>
            <w:left w:val="none" w:sz="0" w:space="0" w:color="auto"/>
            <w:bottom w:val="none" w:sz="0" w:space="0" w:color="auto"/>
            <w:right w:val="none" w:sz="0" w:space="0" w:color="auto"/>
          </w:divBdr>
          <w:divsChild>
            <w:div w:id="1447777415">
              <w:marLeft w:val="0"/>
              <w:marRight w:val="0"/>
              <w:marTop w:val="0"/>
              <w:marBottom w:val="0"/>
              <w:divBdr>
                <w:top w:val="none" w:sz="0" w:space="0" w:color="auto"/>
                <w:left w:val="none" w:sz="0" w:space="0" w:color="auto"/>
                <w:bottom w:val="none" w:sz="0" w:space="0" w:color="auto"/>
                <w:right w:val="none" w:sz="0" w:space="0" w:color="auto"/>
              </w:divBdr>
              <w:divsChild>
                <w:div w:id="12014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11518">
      <w:bodyDiv w:val="1"/>
      <w:marLeft w:val="0"/>
      <w:marRight w:val="0"/>
      <w:marTop w:val="0"/>
      <w:marBottom w:val="0"/>
      <w:divBdr>
        <w:top w:val="none" w:sz="0" w:space="0" w:color="auto"/>
        <w:left w:val="none" w:sz="0" w:space="0" w:color="auto"/>
        <w:bottom w:val="none" w:sz="0" w:space="0" w:color="auto"/>
        <w:right w:val="none" w:sz="0" w:space="0" w:color="auto"/>
      </w:divBdr>
    </w:div>
    <w:div w:id="1152873259">
      <w:bodyDiv w:val="1"/>
      <w:marLeft w:val="0"/>
      <w:marRight w:val="0"/>
      <w:marTop w:val="0"/>
      <w:marBottom w:val="0"/>
      <w:divBdr>
        <w:top w:val="none" w:sz="0" w:space="0" w:color="auto"/>
        <w:left w:val="none" w:sz="0" w:space="0" w:color="auto"/>
        <w:bottom w:val="none" w:sz="0" w:space="0" w:color="auto"/>
        <w:right w:val="none" w:sz="0" w:space="0" w:color="auto"/>
      </w:divBdr>
    </w:div>
    <w:div w:id="1239633945">
      <w:bodyDiv w:val="1"/>
      <w:marLeft w:val="0"/>
      <w:marRight w:val="0"/>
      <w:marTop w:val="0"/>
      <w:marBottom w:val="0"/>
      <w:divBdr>
        <w:top w:val="none" w:sz="0" w:space="0" w:color="auto"/>
        <w:left w:val="none" w:sz="0" w:space="0" w:color="auto"/>
        <w:bottom w:val="none" w:sz="0" w:space="0" w:color="auto"/>
        <w:right w:val="none" w:sz="0" w:space="0" w:color="auto"/>
      </w:divBdr>
    </w:div>
    <w:div w:id="1263414180">
      <w:bodyDiv w:val="1"/>
      <w:marLeft w:val="0"/>
      <w:marRight w:val="0"/>
      <w:marTop w:val="0"/>
      <w:marBottom w:val="0"/>
      <w:divBdr>
        <w:top w:val="none" w:sz="0" w:space="0" w:color="auto"/>
        <w:left w:val="none" w:sz="0" w:space="0" w:color="auto"/>
        <w:bottom w:val="none" w:sz="0" w:space="0" w:color="auto"/>
        <w:right w:val="none" w:sz="0" w:space="0" w:color="auto"/>
      </w:divBdr>
    </w:div>
    <w:div w:id="1288780851">
      <w:bodyDiv w:val="1"/>
      <w:marLeft w:val="0"/>
      <w:marRight w:val="0"/>
      <w:marTop w:val="0"/>
      <w:marBottom w:val="0"/>
      <w:divBdr>
        <w:top w:val="none" w:sz="0" w:space="0" w:color="auto"/>
        <w:left w:val="none" w:sz="0" w:space="0" w:color="auto"/>
        <w:bottom w:val="none" w:sz="0" w:space="0" w:color="auto"/>
        <w:right w:val="none" w:sz="0" w:space="0" w:color="auto"/>
      </w:divBdr>
    </w:div>
    <w:div w:id="1302347813">
      <w:bodyDiv w:val="1"/>
      <w:marLeft w:val="0"/>
      <w:marRight w:val="0"/>
      <w:marTop w:val="0"/>
      <w:marBottom w:val="0"/>
      <w:divBdr>
        <w:top w:val="none" w:sz="0" w:space="0" w:color="auto"/>
        <w:left w:val="none" w:sz="0" w:space="0" w:color="auto"/>
        <w:bottom w:val="none" w:sz="0" w:space="0" w:color="auto"/>
        <w:right w:val="none" w:sz="0" w:space="0" w:color="auto"/>
      </w:divBdr>
    </w:div>
    <w:div w:id="1313565553">
      <w:bodyDiv w:val="1"/>
      <w:marLeft w:val="0"/>
      <w:marRight w:val="0"/>
      <w:marTop w:val="0"/>
      <w:marBottom w:val="0"/>
      <w:divBdr>
        <w:top w:val="none" w:sz="0" w:space="0" w:color="auto"/>
        <w:left w:val="none" w:sz="0" w:space="0" w:color="auto"/>
        <w:bottom w:val="none" w:sz="0" w:space="0" w:color="auto"/>
        <w:right w:val="none" w:sz="0" w:space="0" w:color="auto"/>
      </w:divBdr>
    </w:div>
    <w:div w:id="1404644937">
      <w:bodyDiv w:val="1"/>
      <w:marLeft w:val="0"/>
      <w:marRight w:val="0"/>
      <w:marTop w:val="0"/>
      <w:marBottom w:val="0"/>
      <w:divBdr>
        <w:top w:val="none" w:sz="0" w:space="0" w:color="auto"/>
        <w:left w:val="none" w:sz="0" w:space="0" w:color="auto"/>
        <w:bottom w:val="none" w:sz="0" w:space="0" w:color="auto"/>
        <w:right w:val="none" w:sz="0" w:space="0" w:color="auto"/>
      </w:divBdr>
    </w:div>
    <w:div w:id="1532642613">
      <w:bodyDiv w:val="1"/>
      <w:marLeft w:val="0"/>
      <w:marRight w:val="0"/>
      <w:marTop w:val="0"/>
      <w:marBottom w:val="0"/>
      <w:divBdr>
        <w:top w:val="none" w:sz="0" w:space="0" w:color="auto"/>
        <w:left w:val="none" w:sz="0" w:space="0" w:color="auto"/>
        <w:bottom w:val="none" w:sz="0" w:space="0" w:color="auto"/>
        <w:right w:val="none" w:sz="0" w:space="0" w:color="auto"/>
      </w:divBdr>
    </w:div>
    <w:div w:id="1596130270">
      <w:bodyDiv w:val="1"/>
      <w:marLeft w:val="0"/>
      <w:marRight w:val="0"/>
      <w:marTop w:val="0"/>
      <w:marBottom w:val="0"/>
      <w:divBdr>
        <w:top w:val="none" w:sz="0" w:space="0" w:color="auto"/>
        <w:left w:val="none" w:sz="0" w:space="0" w:color="auto"/>
        <w:bottom w:val="none" w:sz="0" w:space="0" w:color="auto"/>
        <w:right w:val="none" w:sz="0" w:space="0" w:color="auto"/>
      </w:divBdr>
    </w:div>
    <w:div w:id="1603220382">
      <w:bodyDiv w:val="1"/>
      <w:marLeft w:val="0"/>
      <w:marRight w:val="0"/>
      <w:marTop w:val="0"/>
      <w:marBottom w:val="0"/>
      <w:divBdr>
        <w:top w:val="none" w:sz="0" w:space="0" w:color="auto"/>
        <w:left w:val="none" w:sz="0" w:space="0" w:color="auto"/>
        <w:bottom w:val="none" w:sz="0" w:space="0" w:color="auto"/>
        <w:right w:val="none" w:sz="0" w:space="0" w:color="auto"/>
      </w:divBdr>
    </w:div>
    <w:div w:id="1705593079">
      <w:bodyDiv w:val="1"/>
      <w:marLeft w:val="0"/>
      <w:marRight w:val="0"/>
      <w:marTop w:val="0"/>
      <w:marBottom w:val="0"/>
      <w:divBdr>
        <w:top w:val="none" w:sz="0" w:space="0" w:color="auto"/>
        <w:left w:val="none" w:sz="0" w:space="0" w:color="auto"/>
        <w:bottom w:val="none" w:sz="0" w:space="0" w:color="auto"/>
        <w:right w:val="none" w:sz="0" w:space="0" w:color="auto"/>
      </w:divBdr>
    </w:div>
    <w:div w:id="1720125262">
      <w:bodyDiv w:val="1"/>
      <w:marLeft w:val="0"/>
      <w:marRight w:val="0"/>
      <w:marTop w:val="0"/>
      <w:marBottom w:val="0"/>
      <w:divBdr>
        <w:top w:val="none" w:sz="0" w:space="0" w:color="auto"/>
        <w:left w:val="none" w:sz="0" w:space="0" w:color="auto"/>
        <w:bottom w:val="none" w:sz="0" w:space="0" w:color="auto"/>
        <w:right w:val="none" w:sz="0" w:space="0" w:color="auto"/>
      </w:divBdr>
    </w:div>
    <w:div w:id="1725982418">
      <w:bodyDiv w:val="1"/>
      <w:marLeft w:val="0"/>
      <w:marRight w:val="0"/>
      <w:marTop w:val="0"/>
      <w:marBottom w:val="0"/>
      <w:divBdr>
        <w:top w:val="none" w:sz="0" w:space="0" w:color="auto"/>
        <w:left w:val="none" w:sz="0" w:space="0" w:color="auto"/>
        <w:bottom w:val="none" w:sz="0" w:space="0" w:color="auto"/>
        <w:right w:val="none" w:sz="0" w:space="0" w:color="auto"/>
      </w:divBdr>
    </w:div>
    <w:div w:id="1774008262">
      <w:bodyDiv w:val="1"/>
      <w:marLeft w:val="0"/>
      <w:marRight w:val="0"/>
      <w:marTop w:val="0"/>
      <w:marBottom w:val="0"/>
      <w:divBdr>
        <w:top w:val="none" w:sz="0" w:space="0" w:color="auto"/>
        <w:left w:val="none" w:sz="0" w:space="0" w:color="auto"/>
        <w:bottom w:val="none" w:sz="0" w:space="0" w:color="auto"/>
        <w:right w:val="none" w:sz="0" w:space="0" w:color="auto"/>
      </w:divBdr>
    </w:div>
    <w:div w:id="1810052514">
      <w:bodyDiv w:val="1"/>
      <w:marLeft w:val="0"/>
      <w:marRight w:val="0"/>
      <w:marTop w:val="0"/>
      <w:marBottom w:val="0"/>
      <w:divBdr>
        <w:top w:val="none" w:sz="0" w:space="0" w:color="auto"/>
        <w:left w:val="none" w:sz="0" w:space="0" w:color="auto"/>
        <w:bottom w:val="none" w:sz="0" w:space="0" w:color="auto"/>
        <w:right w:val="none" w:sz="0" w:space="0" w:color="auto"/>
      </w:divBdr>
      <w:divsChild>
        <w:div w:id="366298133">
          <w:marLeft w:val="0"/>
          <w:marRight w:val="0"/>
          <w:marTop w:val="0"/>
          <w:marBottom w:val="0"/>
          <w:divBdr>
            <w:top w:val="none" w:sz="0" w:space="0" w:color="auto"/>
            <w:left w:val="none" w:sz="0" w:space="0" w:color="auto"/>
            <w:bottom w:val="none" w:sz="0" w:space="0" w:color="auto"/>
            <w:right w:val="none" w:sz="0" w:space="0" w:color="auto"/>
          </w:divBdr>
          <w:divsChild>
            <w:div w:id="40982725">
              <w:marLeft w:val="0"/>
              <w:marRight w:val="0"/>
              <w:marTop w:val="0"/>
              <w:marBottom w:val="0"/>
              <w:divBdr>
                <w:top w:val="none" w:sz="0" w:space="0" w:color="auto"/>
                <w:left w:val="none" w:sz="0" w:space="0" w:color="auto"/>
                <w:bottom w:val="none" w:sz="0" w:space="0" w:color="auto"/>
                <w:right w:val="none" w:sz="0" w:space="0" w:color="auto"/>
              </w:divBdr>
              <w:divsChild>
                <w:div w:id="15504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1541">
          <w:marLeft w:val="0"/>
          <w:marRight w:val="0"/>
          <w:marTop w:val="0"/>
          <w:marBottom w:val="0"/>
          <w:divBdr>
            <w:top w:val="none" w:sz="0" w:space="0" w:color="auto"/>
            <w:left w:val="none" w:sz="0" w:space="0" w:color="auto"/>
            <w:bottom w:val="none" w:sz="0" w:space="0" w:color="auto"/>
            <w:right w:val="none" w:sz="0" w:space="0" w:color="auto"/>
          </w:divBdr>
          <w:divsChild>
            <w:div w:id="399526288">
              <w:marLeft w:val="0"/>
              <w:marRight w:val="0"/>
              <w:marTop w:val="0"/>
              <w:marBottom w:val="0"/>
              <w:divBdr>
                <w:top w:val="none" w:sz="0" w:space="0" w:color="auto"/>
                <w:left w:val="none" w:sz="0" w:space="0" w:color="auto"/>
                <w:bottom w:val="none" w:sz="0" w:space="0" w:color="auto"/>
                <w:right w:val="none" w:sz="0" w:space="0" w:color="auto"/>
              </w:divBdr>
              <w:divsChild>
                <w:div w:id="13531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2902">
          <w:marLeft w:val="0"/>
          <w:marRight w:val="0"/>
          <w:marTop w:val="0"/>
          <w:marBottom w:val="0"/>
          <w:divBdr>
            <w:top w:val="none" w:sz="0" w:space="0" w:color="auto"/>
            <w:left w:val="none" w:sz="0" w:space="0" w:color="auto"/>
            <w:bottom w:val="none" w:sz="0" w:space="0" w:color="auto"/>
            <w:right w:val="none" w:sz="0" w:space="0" w:color="auto"/>
          </w:divBdr>
          <w:divsChild>
            <w:div w:id="2141878122">
              <w:marLeft w:val="0"/>
              <w:marRight w:val="0"/>
              <w:marTop w:val="0"/>
              <w:marBottom w:val="0"/>
              <w:divBdr>
                <w:top w:val="none" w:sz="0" w:space="0" w:color="auto"/>
                <w:left w:val="none" w:sz="0" w:space="0" w:color="auto"/>
                <w:bottom w:val="none" w:sz="0" w:space="0" w:color="auto"/>
                <w:right w:val="none" w:sz="0" w:space="0" w:color="auto"/>
              </w:divBdr>
              <w:divsChild>
                <w:div w:id="17888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7457">
          <w:marLeft w:val="0"/>
          <w:marRight w:val="0"/>
          <w:marTop w:val="0"/>
          <w:marBottom w:val="0"/>
          <w:divBdr>
            <w:top w:val="none" w:sz="0" w:space="0" w:color="auto"/>
            <w:left w:val="none" w:sz="0" w:space="0" w:color="auto"/>
            <w:bottom w:val="none" w:sz="0" w:space="0" w:color="auto"/>
            <w:right w:val="none" w:sz="0" w:space="0" w:color="auto"/>
          </w:divBdr>
        </w:div>
        <w:div w:id="1489860395">
          <w:marLeft w:val="0"/>
          <w:marRight w:val="0"/>
          <w:marTop w:val="0"/>
          <w:marBottom w:val="0"/>
          <w:divBdr>
            <w:top w:val="none" w:sz="0" w:space="0" w:color="auto"/>
            <w:left w:val="none" w:sz="0" w:space="0" w:color="auto"/>
            <w:bottom w:val="none" w:sz="0" w:space="0" w:color="auto"/>
            <w:right w:val="none" w:sz="0" w:space="0" w:color="auto"/>
          </w:divBdr>
          <w:divsChild>
            <w:div w:id="133371177">
              <w:marLeft w:val="0"/>
              <w:marRight w:val="0"/>
              <w:marTop w:val="0"/>
              <w:marBottom w:val="0"/>
              <w:divBdr>
                <w:top w:val="none" w:sz="0" w:space="0" w:color="auto"/>
                <w:left w:val="none" w:sz="0" w:space="0" w:color="auto"/>
                <w:bottom w:val="none" w:sz="0" w:space="0" w:color="auto"/>
                <w:right w:val="none" w:sz="0" w:space="0" w:color="auto"/>
              </w:divBdr>
              <w:divsChild>
                <w:div w:id="19081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3031">
          <w:marLeft w:val="0"/>
          <w:marRight w:val="0"/>
          <w:marTop w:val="0"/>
          <w:marBottom w:val="0"/>
          <w:divBdr>
            <w:top w:val="none" w:sz="0" w:space="0" w:color="auto"/>
            <w:left w:val="none" w:sz="0" w:space="0" w:color="auto"/>
            <w:bottom w:val="none" w:sz="0" w:space="0" w:color="auto"/>
            <w:right w:val="none" w:sz="0" w:space="0" w:color="auto"/>
          </w:divBdr>
        </w:div>
        <w:div w:id="1716537502">
          <w:marLeft w:val="0"/>
          <w:marRight w:val="0"/>
          <w:marTop w:val="0"/>
          <w:marBottom w:val="0"/>
          <w:divBdr>
            <w:top w:val="none" w:sz="0" w:space="0" w:color="auto"/>
            <w:left w:val="none" w:sz="0" w:space="0" w:color="auto"/>
            <w:bottom w:val="none" w:sz="0" w:space="0" w:color="auto"/>
            <w:right w:val="none" w:sz="0" w:space="0" w:color="auto"/>
          </w:divBdr>
        </w:div>
        <w:div w:id="1973972702">
          <w:marLeft w:val="0"/>
          <w:marRight w:val="0"/>
          <w:marTop w:val="0"/>
          <w:marBottom w:val="0"/>
          <w:divBdr>
            <w:top w:val="none" w:sz="0" w:space="0" w:color="auto"/>
            <w:left w:val="none" w:sz="0" w:space="0" w:color="auto"/>
            <w:bottom w:val="none" w:sz="0" w:space="0" w:color="auto"/>
            <w:right w:val="none" w:sz="0" w:space="0" w:color="auto"/>
          </w:divBdr>
        </w:div>
        <w:div w:id="2015454582">
          <w:marLeft w:val="0"/>
          <w:marRight w:val="0"/>
          <w:marTop w:val="0"/>
          <w:marBottom w:val="0"/>
          <w:divBdr>
            <w:top w:val="none" w:sz="0" w:space="0" w:color="auto"/>
            <w:left w:val="none" w:sz="0" w:space="0" w:color="auto"/>
            <w:bottom w:val="none" w:sz="0" w:space="0" w:color="auto"/>
            <w:right w:val="none" w:sz="0" w:space="0" w:color="auto"/>
          </w:divBdr>
          <w:divsChild>
            <w:div w:id="69737881">
              <w:marLeft w:val="0"/>
              <w:marRight w:val="0"/>
              <w:marTop w:val="0"/>
              <w:marBottom w:val="0"/>
              <w:divBdr>
                <w:top w:val="none" w:sz="0" w:space="0" w:color="auto"/>
                <w:left w:val="none" w:sz="0" w:space="0" w:color="auto"/>
                <w:bottom w:val="none" w:sz="0" w:space="0" w:color="auto"/>
                <w:right w:val="none" w:sz="0" w:space="0" w:color="auto"/>
              </w:divBdr>
              <w:divsChild>
                <w:div w:id="3529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1216">
          <w:marLeft w:val="0"/>
          <w:marRight w:val="0"/>
          <w:marTop w:val="0"/>
          <w:marBottom w:val="0"/>
          <w:divBdr>
            <w:top w:val="none" w:sz="0" w:space="0" w:color="auto"/>
            <w:left w:val="none" w:sz="0" w:space="0" w:color="auto"/>
            <w:bottom w:val="none" w:sz="0" w:space="0" w:color="auto"/>
            <w:right w:val="none" w:sz="0" w:space="0" w:color="auto"/>
          </w:divBdr>
          <w:divsChild>
            <w:div w:id="942958639">
              <w:marLeft w:val="0"/>
              <w:marRight w:val="0"/>
              <w:marTop w:val="0"/>
              <w:marBottom w:val="0"/>
              <w:divBdr>
                <w:top w:val="none" w:sz="0" w:space="0" w:color="auto"/>
                <w:left w:val="none" w:sz="0" w:space="0" w:color="auto"/>
                <w:bottom w:val="none" w:sz="0" w:space="0" w:color="auto"/>
                <w:right w:val="none" w:sz="0" w:space="0" w:color="auto"/>
              </w:divBdr>
              <w:divsChild>
                <w:div w:id="17591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55953">
      <w:bodyDiv w:val="1"/>
      <w:marLeft w:val="0"/>
      <w:marRight w:val="0"/>
      <w:marTop w:val="0"/>
      <w:marBottom w:val="0"/>
      <w:divBdr>
        <w:top w:val="none" w:sz="0" w:space="0" w:color="auto"/>
        <w:left w:val="none" w:sz="0" w:space="0" w:color="auto"/>
        <w:bottom w:val="none" w:sz="0" w:space="0" w:color="auto"/>
        <w:right w:val="none" w:sz="0" w:space="0" w:color="auto"/>
      </w:divBdr>
    </w:div>
    <w:div w:id="1835412286">
      <w:bodyDiv w:val="1"/>
      <w:marLeft w:val="0"/>
      <w:marRight w:val="0"/>
      <w:marTop w:val="0"/>
      <w:marBottom w:val="0"/>
      <w:divBdr>
        <w:top w:val="none" w:sz="0" w:space="0" w:color="auto"/>
        <w:left w:val="none" w:sz="0" w:space="0" w:color="auto"/>
        <w:bottom w:val="none" w:sz="0" w:space="0" w:color="auto"/>
        <w:right w:val="none" w:sz="0" w:space="0" w:color="auto"/>
      </w:divBdr>
    </w:div>
    <w:div w:id="1838568496">
      <w:bodyDiv w:val="1"/>
      <w:marLeft w:val="0"/>
      <w:marRight w:val="0"/>
      <w:marTop w:val="0"/>
      <w:marBottom w:val="0"/>
      <w:divBdr>
        <w:top w:val="none" w:sz="0" w:space="0" w:color="auto"/>
        <w:left w:val="none" w:sz="0" w:space="0" w:color="auto"/>
        <w:bottom w:val="none" w:sz="0" w:space="0" w:color="auto"/>
        <w:right w:val="none" w:sz="0" w:space="0" w:color="auto"/>
      </w:divBdr>
    </w:div>
    <w:div w:id="1873494837">
      <w:bodyDiv w:val="1"/>
      <w:marLeft w:val="0"/>
      <w:marRight w:val="0"/>
      <w:marTop w:val="0"/>
      <w:marBottom w:val="0"/>
      <w:divBdr>
        <w:top w:val="none" w:sz="0" w:space="0" w:color="auto"/>
        <w:left w:val="none" w:sz="0" w:space="0" w:color="auto"/>
        <w:bottom w:val="none" w:sz="0" w:space="0" w:color="auto"/>
        <w:right w:val="none" w:sz="0" w:space="0" w:color="auto"/>
      </w:divBdr>
    </w:div>
    <w:div w:id="1881823591">
      <w:bodyDiv w:val="1"/>
      <w:marLeft w:val="0"/>
      <w:marRight w:val="0"/>
      <w:marTop w:val="0"/>
      <w:marBottom w:val="0"/>
      <w:divBdr>
        <w:top w:val="none" w:sz="0" w:space="0" w:color="auto"/>
        <w:left w:val="none" w:sz="0" w:space="0" w:color="auto"/>
        <w:bottom w:val="none" w:sz="0" w:space="0" w:color="auto"/>
        <w:right w:val="none" w:sz="0" w:space="0" w:color="auto"/>
      </w:divBdr>
    </w:div>
    <w:div w:id="1922983659">
      <w:bodyDiv w:val="1"/>
      <w:marLeft w:val="0"/>
      <w:marRight w:val="0"/>
      <w:marTop w:val="0"/>
      <w:marBottom w:val="0"/>
      <w:divBdr>
        <w:top w:val="none" w:sz="0" w:space="0" w:color="auto"/>
        <w:left w:val="none" w:sz="0" w:space="0" w:color="auto"/>
        <w:bottom w:val="none" w:sz="0" w:space="0" w:color="auto"/>
        <w:right w:val="none" w:sz="0" w:space="0" w:color="auto"/>
      </w:divBdr>
    </w:div>
    <w:div w:id="1942103432">
      <w:bodyDiv w:val="1"/>
      <w:marLeft w:val="0"/>
      <w:marRight w:val="0"/>
      <w:marTop w:val="0"/>
      <w:marBottom w:val="0"/>
      <w:divBdr>
        <w:top w:val="none" w:sz="0" w:space="0" w:color="auto"/>
        <w:left w:val="none" w:sz="0" w:space="0" w:color="auto"/>
        <w:bottom w:val="none" w:sz="0" w:space="0" w:color="auto"/>
        <w:right w:val="none" w:sz="0" w:space="0" w:color="auto"/>
      </w:divBdr>
    </w:div>
    <w:div w:id="1969236882">
      <w:bodyDiv w:val="1"/>
      <w:marLeft w:val="0"/>
      <w:marRight w:val="0"/>
      <w:marTop w:val="0"/>
      <w:marBottom w:val="0"/>
      <w:divBdr>
        <w:top w:val="none" w:sz="0" w:space="0" w:color="auto"/>
        <w:left w:val="none" w:sz="0" w:space="0" w:color="auto"/>
        <w:bottom w:val="none" w:sz="0" w:space="0" w:color="auto"/>
        <w:right w:val="none" w:sz="0" w:space="0" w:color="auto"/>
      </w:divBdr>
    </w:div>
    <w:div w:id="2001693921">
      <w:bodyDiv w:val="1"/>
      <w:marLeft w:val="0"/>
      <w:marRight w:val="0"/>
      <w:marTop w:val="0"/>
      <w:marBottom w:val="0"/>
      <w:divBdr>
        <w:top w:val="none" w:sz="0" w:space="0" w:color="auto"/>
        <w:left w:val="none" w:sz="0" w:space="0" w:color="auto"/>
        <w:bottom w:val="none" w:sz="0" w:space="0" w:color="auto"/>
        <w:right w:val="none" w:sz="0" w:space="0" w:color="auto"/>
      </w:divBdr>
    </w:div>
    <w:div w:id="2011638228">
      <w:bodyDiv w:val="1"/>
      <w:marLeft w:val="0"/>
      <w:marRight w:val="0"/>
      <w:marTop w:val="0"/>
      <w:marBottom w:val="0"/>
      <w:divBdr>
        <w:top w:val="none" w:sz="0" w:space="0" w:color="auto"/>
        <w:left w:val="none" w:sz="0" w:space="0" w:color="auto"/>
        <w:bottom w:val="none" w:sz="0" w:space="0" w:color="auto"/>
        <w:right w:val="none" w:sz="0" w:space="0" w:color="auto"/>
      </w:divBdr>
    </w:div>
    <w:div w:id="201295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www.treasury.gov.ph" TargetMode="External"/><Relationship Id="rId39" Type="http://schemas.openxmlformats.org/officeDocument/2006/relationships/hyperlink" Target="http://www.dbm.gov.ph/" TargetMode="Externa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yperlink" Target="http://www.customs.gov.ph" TargetMode="External"/><Relationship Id="rId42" Type="http://schemas.openxmlformats.org/officeDocument/2006/relationships/hyperlink" Target="http://gcg.gov.ph" TargetMode="External"/><Relationship Id="rId47" Type="http://schemas.openxmlformats.org/officeDocument/2006/relationships/hyperlink" Target="http://www.senate.gov.ph" TargetMode="External"/><Relationship Id="rId50" Type="http://schemas.openxmlformats.org/officeDocument/2006/relationships/hyperlink" Target="https://www.imf.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www.dof.gov.ph" TargetMode="External"/><Relationship Id="rId33" Type="http://schemas.openxmlformats.org/officeDocument/2006/relationships/hyperlink" Target="http://www.bsp.gov.ph/" TargetMode="External"/><Relationship Id="rId38" Type="http://schemas.openxmlformats.org/officeDocument/2006/relationships/hyperlink" Target="http://www.coa.gov.ph/" TargetMode="External"/><Relationship Id="rId46" Type="http://schemas.openxmlformats.org/officeDocument/2006/relationships/hyperlink" Target="http://ppp.gov.ph/" TargetMode="External"/><Relationship Id="rId2" Type="http://schemas.openxmlformats.org/officeDocument/2006/relationships/customXml" Target="../customXml/item2.xml"/><Relationship Id="rId16" Type="http://schemas.openxmlformats.org/officeDocument/2006/relationships/hyperlink" Target="mailto:pubrights@worldbank.org" TargetMode="External"/><Relationship Id="rId20" Type="http://schemas.openxmlformats.org/officeDocument/2006/relationships/footer" Target="footer3.xml"/><Relationship Id="rId29" Type="http://schemas.openxmlformats.org/officeDocument/2006/relationships/hyperlink" Target="http://www.dbm.gov.ph" TargetMode="External"/><Relationship Id="rId41" Type="http://schemas.openxmlformats.org/officeDocument/2006/relationships/hyperlink" Target="http://www.gov.ph/governan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bm.gov.ph" TargetMode="External"/><Relationship Id="rId32" Type="http://schemas.openxmlformats.org/officeDocument/2006/relationships/hyperlink" Target="http://www.gov.ph" TargetMode="External"/><Relationship Id="rId37" Type="http://schemas.openxmlformats.org/officeDocument/2006/relationships/hyperlink" Target="http://www.treasury.gov.ph/" TargetMode="External"/><Relationship Id="rId40" Type="http://schemas.openxmlformats.org/officeDocument/2006/relationships/hyperlink" Target="http://www.dof.gov.ph/" TargetMode="External"/><Relationship Id="rId45" Type="http://schemas.openxmlformats.org/officeDocument/2006/relationships/hyperlink" Target="http://www.neda.gov.ph/" TargetMode="External"/><Relationship Id="rId5" Type="http://schemas.openxmlformats.org/officeDocument/2006/relationships/settings" Target="settings.xml"/><Relationship Id="rId15" Type="http://schemas.openxmlformats.org/officeDocument/2006/relationships/hyperlink" Target="http://www.copyright.com" TargetMode="External"/><Relationship Id="rId23" Type="http://schemas.openxmlformats.org/officeDocument/2006/relationships/hyperlink" Target="http://www.dbm.gov.ph/?page_id=9010" TargetMode="External"/><Relationship Id="rId28" Type="http://schemas.openxmlformats.org/officeDocument/2006/relationships/hyperlink" Target="http://www.senate.gov.ph" TargetMode="External"/><Relationship Id="rId36" Type="http://schemas.openxmlformats.org/officeDocument/2006/relationships/hyperlink" Target="http://blgf.gov.ph/" TargetMode="External"/><Relationship Id="rId49" Type="http://schemas.openxmlformats.org/officeDocument/2006/relationships/hyperlink" Target="http://www.internationalbudget.org/" TargetMode="External"/><Relationship Id="rId10" Type="http://schemas.microsoft.com/office/2007/relationships/hdphoto" Target="media/hdphoto1.wdp"/><Relationship Id="rId19" Type="http://schemas.openxmlformats.org/officeDocument/2006/relationships/footer" Target="footer2.xml"/><Relationship Id="rId31" Type="http://schemas.openxmlformats.org/officeDocument/2006/relationships/hyperlink" Target="http://data.gov.ph" TargetMode="External"/><Relationship Id="rId44" Type="http://schemas.openxmlformats.org/officeDocument/2006/relationships/hyperlink" Target="http://www.congress.gov.ph"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www.coa.gov.ph" TargetMode="External"/><Relationship Id="rId30" Type="http://schemas.openxmlformats.org/officeDocument/2006/relationships/image" Target="media/image8.png"/><Relationship Id="rId35" Type="http://schemas.openxmlformats.org/officeDocument/2006/relationships/hyperlink" Target="http://www.bir.gov.ph" TargetMode="External"/><Relationship Id="rId43" Type="http://schemas.openxmlformats.org/officeDocument/2006/relationships/hyperlink" Target="http://www.gppb.gov.ph/" TargetMode="External"/><Relationship Id="rId48" Type="http://schemas.openxmlformats.org/officeDocument/2006/relationships/hyperlink" Target="http://www.uacs.gov.ph" TargetMode="External"/><Relationship Id="rId8" Type="http://schemas.openxmlformats.org/officeDocument/2006/relationships/endnotes" Target="endnote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gcg.gov.ph/site/public_files/Annual%20Reports/The%20First%20200%20Days%20Report.pdf" TargetMode="External"/><Relationship Id="rId13" Type="http://schemas.openxmlformats.org/officeDocument/2006/relationships/hyperlink" Target="http://www.neda.gov.ph/wp-content/uploads/2015/05/Consolidated-CIIP-as-of-15-May-2015.xlsx" TargetMode="External"/><Relationship Id="rId18" Type="http://schemas.openxmlformats.org/officeDocument/2006/relationships/hyperlink" Target="http://budgetngbayan.com/2014-peoples-budget-2857" TargetMode="External"/><Relationship Id="rId26" Type="http://schemas.openxmlformats.org/officeDocument/2006/relationships/hyperlink" Target="http://www.gov.ph/governance/wp-content/uploads/2015/06/Run-After-the-Smugglers-RATS-Program1.pdf" TargetMode="External"/><Relationship Id="rId3" Type="http://schemas.openxmlformats.org/officeDocument/2006/relationships/hyperlink" Target="http://www.dbm.gov.ph/wp-content/uploads/Issuances/2014/Local%20Budget%20Circular/LBCNo.104.pdf" TargetMode="External"/><Relationship Id="rId21" Type="http://schemas.openxmlformats.org/officeDocument/2006/relationships/hyperlink" Target="http://www.dbm.gov.ph/?page_id=11897" TargetMode="External"/><Relationship Id="rId7" Type="http://schemas.openxmlformats.org/officeDocument/2006/relationships/hyperlink" Target="http://www.dbm.gov.ph/?page_id=13550" TargetMode="External"/><Relationship Id="rId12" Type="http://schemas.openxmlformats.org/officeDocument/2006/relationships/hyperlink" Target="http://www.neda.gov.ph/wp-content/uploads/2013/10/ICC-Project-Evaluation-Procedures-and-Guidelines-as-of-24-June-2004.pdf" TargetMode="External"/><Relationship Id="rId17" Type="http://schemas.openxmlformats.org/officeDocument/2006/relationships/hyperlink" Target="http://www.treasury.gov.ph/?page_id=746" TargetMode="External"/><Relationship Id="rId25" Type="http://schemas.openxmlformats.org/officeDocument/2006/relationships/hyperlink" Target="http://www.bir.gov.ph/images/bir_files/annual_reports/annual_report_2014/iacep.html" TargetMode="External"/><Relationship Id="rId2" Type="http://schemas.openxmlformats.org/officeDocument/2006/relationships/hyperlink" Target="http://www.dbm.gov.ph/wpcontent/uploads/Issuances/2015/Local%20Budget%20Memorandum/LOCAL%20BUDGET%20MEMORANDUM%20NO.%2070.pdf" TargetMode="External"/><Relationship Id="rId16" Type="http://schemas.openxmlformats.org/officeDocument/2006/relationships/hyperlink" Target="http://www.gov.ph/2011/05/13/executive-order-no-43/" TargetMode="External"/><Relationship Id="rId20" Type="http://schemas.openxmlformats.org/officeDocument/2006/relationships/hyperlink" Target="http://www.dbm.gov.ph/?page_id=13550" TargetMode="External"/><Relationship Id="rId29" Type="http://schemas.openxmlformats.org/officeDocument/2006/relationships/hyperlink" Target="http://www.treasury.gov.ph/wp-content/uploads/2015/10/mo_cor_revenues.pdf" TargetMode="External"/><Relationship Id="rId1" Type="http://schemas.openxmlformats.org/officeDocument/2006/relationships/hyperlink" Target="http://www.dbm.gov.ph/wp-content/uploads/Issuances/2014/Local%20Budget%20Memorandum/LBM%20No.68.pdf" TargetMode="External"/><Relationship Id="rId6" Type="http://schemas.openxmlformats.org/officeDocument/2006/relationships/hyperlink" Target="http://www.dbm.gov.ph/wp-content/uploads/Issuances/2015/Local%20Budget%20Memorandum/LOCAL%20BUDGET%20MEMORAMDUM%20NO.%2071.pdf" TargetMode="External"/><Relationship Id="rId11" Type="http://schemas.openxmlformats.org/officeDocument/2006/relationships/hyperlink" Target="http://www.neda.gov.ph/wp-content/uploads/2013/10/Revisions-on-ICC-Guidelines-and-Procedures_1billion.pdf" TargetMode="External"/><Relationship Id="rId24" Type="http://schemas.openxmlformats.org/officeDocument/2006/relationships/hyperlink" Target="http://knowyourtaxes.ph/home" TargetMode="External"/><Relationship Id="rId5" Type="http://schemas.openxmlformats.org/officeDocument/2006/relationships/hyperlink" Target="http://www.dbm.gov.ph/wp-content/uploads/Issuances/2015/Local%20Budget%20Memorandum/LBMNo.69_GUIDELINES%20AND%20PROCEDURES%20IN%20THE%20RELEASE%20AND%20UTILIZATION%20OF%20THE%20SHARE%20OF%20PROVINCES%20FROM%20THE%20CY%202012%20COLLECTION%20OF%20BURLEY%20AND%20NATIVE%20TOBACCO%20EXCISE%20TAX%20PURSUANT%20TO%20REPUBLIC%20ACT%20(RA)%20NO.%2082.pdf" TargetMode="External"/><Relationship Id="rId15" Type="http://schemas.openxmlformats.org/officeDocument/2006/relationships/hyperlink" Target="http://www.dbm.gov.ph/?page_id=4273" TargetMode="External"/><Relationship Id="rId23" Type="http://schemas.openxmlformats.org/officeDocument/2006/relationships/hyperlink" Target="http://www.bir.gov.ph/index.php/tax-information.html" TargetMode="External"/><Relationship Id="rId28" Type="http://schemas.openxmlformats.org/officeDocument/2006/relationships/hyperlink" Target="http://www.bir.gov.ph/images/bir_files/annual_reports/annual_report_2014/actscg.html" TargetMode="External"/><Relationship Id="rId10" Type="http://schemas.openxmlformats.org/officeDocument/2006/relationships/hyperlink" Target="http://www.dbm.gov.ph/?page_id=9010" TargetMode="External"/><Relationship Id="rId19" Type="http://schemas.openxmlformats.org/officeDocument/2006/relationships/hyperlink" Target="http://budgetngbayan.com/2015-peoples-proposed-budget-2885" TargetMode="External"/><Relationship Id="rId31" Type="http://schemas.openxmlformats.org/officeDocument/2006/relationships/hyperlink" Target="http://www.gov.ph/governance/" TargetMode="External"/><Relationship Id="rId4" Type="http://schemas.openxmlformats.org/officeDocument/2006/relationships/hyperlink" Target="http://www.dbm.gov.ph/wp-content/uploads/Issuances/2014/Local%20Budget%20Circular/LBCNo105.pdf" TargetMode="External"/><Relationship Id="rId9" Type="http://schemas.openxmlformats.org/officeDocument/2006/relationships/hyperlink" Target="http://gcg.gov.ph/site/public_files/gcg14036673542013%20Annual%20Report%20optimized.pdf" TargetMode="External"/><Relationship Id="rId14" Type="http://schemas.openxmlformats.org/officeDocument/2006/relationships/hyperlink" Target="http://www.neda.gov.ph/wp-content/uploads/2013/12/CIIP-Guidelines-as-of-06-March-2015.xlsx" TargetMode="External"/><Relationship Id="rId22" Type="http://schemas.openxmlformats.org/officeDocument/2006/relationships/hyperlink" Target="http://www.dbm.gov.ph/?page_id=9769" TargetMode="External"/><Relationship Id="rId27" Type="http://schemas.openxmlformats.org/officeDocument/2006/relationships/hyperlink" Target="http://www.tariffcommission.gov.ph/previous-website/ra9135.html" TargetMode="External"/><Relationship Id="rId30" Type="http://schemas.openxmlformats.org/officeDocument/2006/relationships/hyperlink" Target="http://www.gov.ph/1998/10/30/executive-order-no-38-s-19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E3F5B8-D6C2-42F8-AB8F-030531BAB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174</Pages>
  <Words>63270</Words>
  <Characters>374613</Characters>
  <Application>Microsoft Office Word</Application>
  <DocSecurity>0</DocSecurity>
  <Lines>3121</Lines>
  <Paragraphs>874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437009</CharactersWithSpaces>
  <SharedDoc>false</SharedDoc>
  <HLinks>
    <vt:vector size="264" baseType="variant">
      <vt:variant>
        <vt:i4>2424921</vt:i4>
      </vt:variant>
      <vt:variant>
        <vt:i4>246</vt:i4>
      </vt:variant>
      <vt:variant>
        <vt:i4>0</vt:i4>
      </vt:variant>
      <vt:variant>
        <vt:i4>5</vt:i4>
      </vt:variant>
      <vt:variant>
        <vt:lpwstr>http://en.wikipedia.org/wiki/Food_processing</vt:lpwstr>
      </vt:variant>
      <vt:variant>
        <vt:lpwstr/>
      </vt:variant>
      <vt:variant>
        <vt:i4>6422591</vt:i4>
      </vt:variant>
      <vt:variant>
        <vt:i4>243</vt:i4>
      </vt:variant>
      <vt:variant>
        <vt:i4>0</vt:i4>
      </vt:variant>
      <vt:variant>
        <vt:i4>5</vt:i4>
      </vt:variant>
      <vt:variant>
        <vt:lpwstr>http://en.wikipedia.org/wiki/Chemicals</vt:lpwstr>
      </vt:variant>
      <vt:variant>
        <vt:lpwstr/>
      </vt:variant>
      <vt:variant>
        <vt:i4>1441865</vt:i4>
      </vt:variant>
      <vt:variant>
        <vt:i4>240</vt:i4>
      </vt:variant>
      <vt:variant>
        <vt:i4>0</vt:i4>
      </vt:variant>
      <vt:variant>
        <vt:i4>5</vt:i4>
      </vt:variant>
      <vt:variant>
        <vt:lpwstr>http://en.wikipedia.org/wiki/Pakistan</vt:lpwstr>
      </vt:variant>
      <vt:variant>
        <vt:lpwstr/>
      </vt:variant>
      <vt:variant>
        <vt:i4>1245263</vt:i4>
      </vt:variant>
      <vt:variant>
        <vt:i4>237</vt:i4>
      </vt:variant>
      <vt:variant>
        <vt:i4>0</vt:i4>
      </vt:variant>
      <vt:variant>
        <vt:i4>5</vt:i4>
      </vt:variant>
      <vt:variant>
        <vt:lpwstr>http://en.wikipedia.org/wiki/Purchasing_power_parity</vt:lpwstr>
      </vt:variant>
      <vt:variant>
        <vt:lpwstr/>
      </vt:variant>
      <vt:variant>
        <vt:i4>4653159</vt:i4>
      </vt:variant>
      <vt:variant>
        <vt:i4>234</vt:i4>
      </vt:variant>
      <vt:variant>
        <vt:i4>0</vt:i4>
      </vt:variant>
      <vt:variant>
        <vt:i4>5</vt:i4>
      </vt:variant>
      <vt:variant>
        <vt:lpwstr>http://en.wikipedia.org/wiki/List_of_countries_by_GDP_(PPP)</vt:lpwstr>
      </vt:variant>
      <vt:variant>
        <vt:lpwstr/>
      </vt:variant>
      <vt:variant>
        <vt:i4>4587632</vt:i4>
      </vt:variant>
      <vt:variant>
        <vt:i4>231</vt:i4>
      </vt:variant>
      <vt:variant>
        <vt:i4>0</vt:i4>
      </vt:variant>
      <vt:variant>
        <vt:i4>5</vt:i4>
      </vt:variant>
      <vt:variant>
        <vt:lpwstr>http://en.wikipedia.org/wiki/List_of_countries_by_GDP_(nominal)</vt:lpwstr>
      </vt:variant>
      <vt:variant>
        <vt:lpwstr/>
      </vt:variant>
      <vt:variant>
        <vt:i4>1638459</vt:i4>
      </vt:variant>
      <vt:variant>
        <vt:i4>224</vt:i4>
      </vt:variant>
      <vt:variant>
        <vt:i4>0</vt:i4>
      </vt:variant>
      <vt:variant>
        <vt:i4>5</vt:i4>
      </vt:variant>
      <vt:variant>
        <vt:lpwstr/>
      </vt:variant>
      <vt:variant>
        <vt:lpwstr>_Toc318378740</vt:lpwstr>
      </vt:variant>
      <vt:variant>
        <vt:i4>1966139</vt:i4>
      </vt:variant>
      <vt:variant>
        <vt:i4>218</vt:i4>
      </vt:variant>
      <vt:variant>
        <vt:i4>0</vt:i4>
      </vt:variant>
      <vt:variant>
        <vt:i4>5</vt:i4>
      </vt:variant>
      <vt:variant>
        <vt:lpwstr/>
      </vt:variant>
      <vt:variant>
        <vt:lpwstr>_Toc318378739</vt:lpwstr>
      </vt:variant>
      <vt:variant>
        <vt:i4>1966139</vt:i4>
      </vt:variant>
      <vt:variant>
        <vt:i4>212</vt:i4>
      </vt:variant>
      <vt:variant>
        <vt:i4>0</vt:i4>
      </vt:variant>
      <vt:variant>
        <vt:i4>5</vt:i4>
      </vt:variant>
      <vt:variant>
        <vt:lpwstr/>
      </vt:variant>
      <vt:variant>
        <vt:lpwstr>_Toc318378738</vt:lpwstr>
      </vt:variant>
      <vt:variant>
        <vt:i4>1966139</vt:i4>
      </vt:variant>
      <vt:variant>
        <vt:i4>206</vt:i4>
      </vt:variant>
      <vt:variant>
        <vt:i4>0</vt:i4>
      </vt:variant>
      <vt:variant>
        <vt:i4>5</vt:i4>
      </vt:variant>
      <vt:variant>
        <vt:lpwstr/>
      </vt:variant>
      <vt:variant>
        <vt:lpwstr>_Toc318378737</vt:lpwstr>
      </vt:variant>
      <vt:variant>
        <vt:i4>1966139</vt:i4>
      </vt:variant>
      <vt:variant>
        <vt:i4>200</vt:i4>
      </vt:variant>
      <vt:variant>
        <vt:i4>0</vt:i4>
      </vt:variant>
      <vt:variant>
        <vt:i4>5</vt:i4>
      </vt:variant>
      <vt:variant>
        <vt:lpwstr/>
      </vt:variant>
      <vt:variant>
        <vt:lpwstr>_Toc318378736</vt:lpwstr>
      </vt:variant>
      <vt:variant>
        <vt:i4>1966139</vt:i4>
      </vt:variant>
      <vt:variant>
        <vt:i4>194</vt:i4>
      </vt:variant>
      <vt:variant>
        <vt:i4>0</vt:i4>
      </vt:variant>
      <vt:variant>
        <vt:i4>5</vt:i4>
      </vt:variant>
      <vt:variant>
        <vt:lpwstr/>
      </vt:variant>
      <vt:variant>
        <vt:lpwstr>_Toc318378735</vt:lpwstr>
      </vt:variant>
      <vt:variant>
        <vt:i4>1966139</vt:i4>
      </vt:variant>
      <vt:variant>
        <vt:i4>188</vt:i4>
      </vt:variant>
      <vt:variant>
        <vt:i4>0</vt:i4>
      </vt:variant>
      <vt:variant>
        <vt:i4>5</vt:i4>
      </vt:variant>
      <vt:variant>
        <vt:lpwstr/>
      </vt:variant>
      <vt:variant>
        <vt:lpwstr>_Toc318378734</vt:lpwstr>
      </vt:variant>
      <vt:variant>
        <vt:i4>1966139</vt:i4>
      </vt:variant>
      <vt:variant>
        <vt:i4>182</vt:i4>
      </vt:variant>
      <vt:variant>
        <vt:i4>0</vt:i4>
      </vt:variant>
      <vt:variant>
        <vt:i4>5</vt:i4>
      </vt:variant>
      <vt:variant>
        <vt:lpwstr/>
      </vt:variant>
      <vt:variant>
        <vt:lpwstr>_Toc318378733</vt:lpwstr>
      </vt:variant>
      <vt:variant>
        <vt:i4>1966139</vt:i4>
      </vt:variant>
      <vt:variant>
        <vt:i4>176</vt:i4>
      </vt:variant>
      <vt:variant>
        <vt:i4>0</vt:i4>
      </vt:variant>
      <vt:variant>
        <vt:i4>5</vt:i4>
      </vt:variant>
      <vt:variant>
        <vt:lpwstr/>
      </vt:variant>
      <vt:variant>
        <vt:lpwstr>_Toc318378732</vt:lpwstr>
      </vt:variant>
      <vt:variant>
        <vt:i4>1966139</vt:i4>
      </vt:variant>
      <vt:variant>
        <vt:i4>170</vt:i4>
      </vt:variant>
      <vt:variant>
        <vt:i4>0</vt:i4>
      </vt:variant>
      <vt:variant>
        <vt:i4>5</vt:i4>
      </vt:variant>
      <vt:variant>
        <vt:lpwstr/>
      </vt:variant>
      <vt:variant>
        <vt:lpwstr>_Toc318378731</vt:lpwstr>
      </vt:variant>
      <vt:variant>
        <vt:i4>1966139</vt:i4>
      </vt:variant>
      <vt:variant>
        <vt:i4>164</vt:i4>
      </vt:variant>
      <vt:variant>
        <vt:i4>0</vt:i4>
      </vt:variant>
      <vt:variant>
        <vt:i4>5</vt:i4>
      </vt:variant>
      <vt:variant>
        <vt:lpwstr/>
      </vt:variant>
      <vt:variant>
        <vt:lpwstr>_Toc318378730</vt:lpwstr>
      </vt:variant>
      <vt:variant>
        <vt:i4>2031675</vt:i4>
      </vt:variant>
      <vt:variant>
        <vt:i4>158</vt:i4>
      </vt:variant>
      <vt:variant>
        <vt:i4>0</vt:i4>
      </vt:variant>
      <vt:variant>
        <vt:i4>5</vt:i4>
      </vt:variant>
      <vt:variant>
        <vt:lpwstr/>
      </vt:variant>
      <vt:variant>
        <vt:lpwstr>_Toc318378729</vt:lpwstr>
      </vt:variant>
      <vt:variant>
        <vt:i4>2031675</vt:i4>
      </vt:variant>
      <vt:variant>
        <vt:i4>152</vt:i4>
      </vt:variant>
      <vt:variant>
        <vt:i4>0</vt:i4>
      </vt:variant>
      <vt:variant>
        <vt:i4>5</vt:i4>
      </vt:variant>
      <vt:variant>
        <vt:lpwstr/>
      </vt:variant>
      <vt:variant>
        <vt:lpwstr>_Toc318378728</vt:lpwstr>
      </vt:variant>
      <vt:variant>
        <vt:i4>2031675</vt:i4>
      </vt:variant>
      <vt:variant>
        <vt:i4>146</vt:i4>
      </vt:variant>
      <vt:variant>
        <vt:i4>0</vt:i4>
      </vt:variant>
      <vt:variant>
        <vt:i4>5</vt:i4>
      </vt:variant>
      <vt:variant>
        <vt:lpwstr/>
      </vt:variant>
      <vt:variant>
        <vt:lpwstr>_Toc318378727</vt:lpwstr>
      </vt:variant>
      <vt:variant>
        <vt:i4>2031675</vt:i4>
      </vt:variant>
      <vt:variant>
        <vt:i4>140</vt:i4>
      </vt:variant>
      <vt:variant>
        <vt:i4>0</vt:i4>
      </vt:variant>
      <vt:variant>
        <vt:i4>5</vt:i4>
      </vt:variant>
      <vt:variant>
        <vt:lpwstr/>
      </vt:variant>
      <vt:variant>
        <vt:lpwstr>_Toc318378726</vt:lpwstr>
      </vt:variant>
      <vt:variant>
        <vt:i4>2031675</vt:i4>
      </vt:variant>
      <vt:variant>
        <vt:i4>134</vt:i4>
      </vt:variant>
      <vt:variant>
        <vt:i4>0</vt:i4>
      </vt:variant>
      <vt:variant>
        <vt:i4>5</vt:i4>
      </vt:variant>
      <vt:variant>
        <vt:lpwstr/>
      </vt:variant>
      <vt:variant>
        <vt:lpwstr>_Toc318378725</vt:lpwstr>
      </vt:variant>
      <vt:variant>
        <vt:i4>2031675</vt:i4>
      </vt:variant>
      <vt:variant>
        <vt:i4>128</vt:i4>
      </vt:variant>
      <vt:variant>
        <vt:i4>0</vt:i4>
      </vt:variant>
      <vt:variant>
        <vt:i4>5</vt:i4>
      </vt:variant>
      <vt:variant>
        <vt:lpwstr/>
      </vt:variant>
      <vt:variant>
        <vt:lpwstr>_Toc318378724</vt:lpwstr>
      </vt:variant>
      <vt:variant>
        <vt:i4>2031675</vt:i4>
      </vt:variant>
      <vt:variant>
        <vt:i4>122</vt:i4>
      </vt:variant>
      <vt:variant>
        <vt:i4>0</vt:i4>
      </vt:variant>
      <vt:variant>
        <vt:i4>5</vt:i4>
      </vt:variant>
      <vt:variant>
        <vt:lpwstr/>
      </vt:variant>
      <vt:variant>
        <vt:lpwstr>_Toc318378723</vt:lpwstr>
      </vt:variant>
      <vt:variant>
        <vt:i4>2031675</vt:i4>
      </vt:variant>
      <vt:variant>
        <vt:i4>116</vt:i4>
      </vt:variant>
      <vt:variant>
        <vt:i4>0</vt:i4>
      </vt:variant>
      <vt:variant>
        <vt:i4>5</vt:i4>
      </vt:variant>
      <vt:variant>
        <vt:lpwstr/>
      </vt:variant>
      <vt:variant>
        <vt:lpwstr>_Toc318378722</vt:lpwstr>
      </vt:variant>
      <vt:variant>
        <vt:i4>2031675</vt:i4>
      </vt:variant>
      <vt:variant>
        <vt:i4>110</vt:i4>
      </vt:variant>
      <vt:variant>
        <vt:i4>0</vt:i4>
      </vt:variant>
      <vt:variant>
        <vt:i4>5</vt:i4>
      </vt:variant>
      <vt:variant>
        <vt:lpwstr/>
      </vt:variant>
      <vt:variant>
        <vt:lpwstr>_Toc318378721</vt:lpwstr>
      </vt:variant>
      <vt:variant>
        <vt:i4>2031675</vt:i4>
      </vt:variant>
      <vt:variant>
        <vt:i4>104</vt:i4>
      </vt:variant>
      <vt:variant>
        <vt:i4>0</vt:i4>
      </vt:variant>
      <vt:variant>
        <vt:i4>5</vt:i4>
      </vt:variant>
      <vt:variant>
        <vt:lpwstr/>
      </vt:variant>
      <vt:variant>
        <vt:lpwstr>_Toc318378720</vt:lpwstr>
      </vt:variant>
      <vt:variant>
        <vt:i4>1835067</vt:i4>
      </vt:variant>
      <vt:variant>
        <vt:i4>98</vt:i4>
      </vt:variant>
      <vt:variant>
        <vt:i4>0</vt:i4>
      </vt:variant>
      <vt:variant>
        <vt:i4>5</vt:i4>
      </vt:variant>
      <vt:variant>
        <vt:lpwstr/>
      </vt:variant>
      <vt:variant>
        <vt:lpwstr>_Toc318378719</vt:lpwstr>
      </vt:variant>
      <vt:variant>
        <vt:i4>1835067</vt:i4>
      </vt:variant>
      <vt:variant>
        <vt:i4>92</vt:i4>
      </vt:variant>
      <vt:variant>
        <vt:i4>0</vt:i4>
      </vt:variant>
      <vt:variant>
        <vt:i4>5</vt:i4>
      </vt:variant>
      <vt:variant>
        <vt:lpwstr/>
      </vt:variant>
      <vt:variant>
        <vt:lpwstr>_Toc318378718</vt:lpwstr>
      </vt:variant>
      <vt:variant>
        <vt:i4>1835067</vt:i4>
      </vt:variant>
      <vt:variant>
        <vt:i4>86</vt:i4>
      </vt:variant>
      <vt:variant>
        <vt:i4>0</vt:i4>
      </vt:variant>
      <vt:variant>
        <vt:i4>5</vt:i4>
      </vt:variant>
      <vt:variant>
        <vt:lpwstr/>
      </vt:variant>
      <vt:variant>
        <vt:lpwstr>_Toc318378717</vt:lpwstr>
      </vt:variant>
      <vt:variant>
        <vt:i4>1835067</vt:i4>
      </vt:variant>
      <vt:variant>
        <vt:i4>80</vt:i4>
      </vt:variant>
      <vt:variant>
        <vt:i4>0</vt:i4>
      </vt:variant>
      <vt:variant>
        <vt:i4>5</vt:i4>
      </vt:variant>
      <vt:variant>
        <vt:lpwstr/>
      </vt:variant>
      <vt:variant>
        <vt:lpwstr>_Toc318378716</vt:lpwstr>
      </vt:variant>
      <vt:variant>
        <vt:i4>1835067</vt:i4>
      </vt:variant>
      <vt:variant>
        <vt:i4>74</vt:i4>
      </vt:variant>
      <vt:variant>
        <vt:i4>0</vt:i4>
      </vt:variant>
      <vt:variant>
        <vt:i4>5</vt:i4>
      </vt:variant>
      <vt:variant>
        <vt:lpwstr/>
      </vt:variant>
      <vt:variant>
        <vt:lpwstr>_Toc318378715</vt:lpwstr>
      </vt:variant>
      <vt:variant>
        <vt:i4>1835067</vt:i4>
      </vt:variant>
      <vt:variant>
        <vt:i4>68</vt:i4>
      </vt:variant>
      <vt:variant>
        <vt:i4>0</vt:i4>
      </vt:variant>
      <vt:variant>
        <vt:i4>5</vt:i4>
      </vt:variant>
      <vt:variant>
        <vt:lpwstr/>
      </vt:variant>
      <vt:variant>
        <vt:lpwstr>_Toc318378714</vt:lpwstr>
      </vt:variant>
      <vt:variant>
        <vt:i4>1835067</vt:i4>
      </vt:variant>
      <vt:variant>
        <vt:i4>62</vt:i4>
      </vt:variant>
      <vt:variant>
        <vt:i4>0</vt:i4>
      </vt:variant>
      <vt:variant>
        <vt:i4>5</vt:i4>
      </vt:variant>
      <vt:variant>
        <vt:lpwstr/>
      </vt:variant>
      <vt:variant>
        <vt:lpwstr>_Toc318378713</vt:lpwstr>
      </vt:variant>
      <vt:variant>
        <vt:i4>1835067</vt:i4>
      </vt:variant>
      <vt:variant>
        <vt:i4>56</vt:i4>
      </vt:variant>
      <vt:variant>
        <vt:i4>0</vt:i4>
      </vt:variant>
      <vt:variant>
        <vt:i4>5</vt:i4>
      </vt:variant>
      <vt:variant>
        <vt:lpwstr/>
      </vt:variant>
      <vt:variant>
        <vt:lpwstr>_Toc318378712</vt:lpwstr>
      </vt:variant>
      <vt:variant>
        <vt:i4>1835067</vt:i4>
      </vt:variant>
      <vt:variant>
        <vt:i4>50</vt:i4>
      </vt:variant>
      <vt:variant>
        <vt:i4>0</vt:i4>
      </vt:variant>
      <vt:variant>
        <vt:i4>5</vt:i4>
      </vt:variant>
      <vt:variant>
        <vt:lpwstr/>
      </vt:variant>
      <vt:variant>
        <vt:lpwstr>_Toc318378711</vt:lpwstr>
      </vt:variant>
      <vt:variant>
        <vt:i4>1835067</vt:i4>
      </vt:variant>
      <vt:variant>
        <vt:i4>44</vt:i4>
      </vt:variant>
      <vt:variant>
        <vt:i4>0</vt:i4>
      </vt:variant>
      <vt:variant>
        <vt:i4>5</vt:i4>
      </vt:variant>
      <vt:variant>
        <vt:lpwstr/>
      </vt:variant>
      <vt:variant>
        <vt:lpwstr>_Toc318378710</vt:lpwstr>
      </vt:variant>
      <vt:variant>
        <vt:i4>1900603</vt:i4>
      </vt:variant>
      <vt:variant>
        <vt:i4>38</vt:i4>
      </vt:variant>
      <vt:variant>
        <vt:i4>0</vt:i4>
      </vt:variant>
      <vt:variant>
        <vt:i4>5</vt:i4>
      </vt:variant>
      <vt:variant>
        <vt:lpwstr/>
      </vt:variant>
      <vt:variant>
        <vt:lpwstr>_Toc318378709</vt:lpwstr>
      </vt:variant>
      <vt:variant>
        <vt:i4>1900603</vt:i4>
      </vt:variant>
      <vt:variant>
        <vt:i4>32</vt:i4>
      </vt:variant>
      <vt:variant>
        <vt:i4>0</vt:i4>
      </vt:variant>
      <vt:variant>
        <vt:i4>5</vt:i4>
      </vt:variant>
      <vt:variant>
        <vt:lpwstr/>
      </vt:variant>
      <vt:variant>
        <vt:lpwstr>_Toc318378708</vt:lpwstr>
      </vt:variant>
      <vt:variant>
        <vt:i4>1900603</vt:i4>
      </vt:variant>
      <vt:variant>
        <vt:i4>26</vt:i4>
      </vt:variant>
      <vt:variant>
        <vt:i4>0</vt:i4>
      </vt:variant>
      <vt:variant>
        <vt:i4>5</vt:i4>
      </vt:variant>
      <vt:variant>
        <vt:lpwstr/>
      </vt:variant>
      <vt:variant>
        <vt:lpwstr>_Toc318378707</vt:lpwstr>
      </vt:variant>
      <vt:variant>
        <vt:i4>1900603</vt:i4>
      </vt:variant>
      <vt:variant>
        <vt:i4>20</vt:i4>
      </vt:variant>
      <vt:variant>
        <vt:i4>0</vt:i4>
      </vt:variant>
      <vt:variant>
        <vt:i4>5</vt:i4>
      </vt:variant>
      <vt:variant>
        <vt:lpwstr/>
      </vt:variant>
      <vt:variant>
        <vt:lpwstr>_Toc318378706</vt:lpwstr>
      </vt:variant>
      <vt:variant>
        <vt:i4>1900603</vt:i4>
      </vt:variant>
      <vt:variant>
        <vt:i4>14</vt:i4>
      </vt:variant>
      <vt:variant>
        <vt:i4>0</vt:i4>
      </vt:variant>
      <vt:variant>
        <vt:i4>5</vt:i4>
      </vt:variant>
      <vt:variant>
        <vt:lpwstr/>
      </vt:variant>
      <vt:variant>
        <vt:lpwstr>_Toc318378705</vt:lpwstr>
      </vt:variant>
      <vt:variant>
        <vt:i4>1900603</vt:i4>
      </vt:variant>
      <vt:variant>
        <vt:i4>8</vt:i4>
      </vt:variant>
      <vt:variant>
        <vt:i4>0</vt:i4>
      </vt:variant>
      <vt:variant>
        <vt:i4>5</vt:i4>
      </vt:variant>
      <vt:variant>
        <vt:lpwstr/>
      </vt:variant>
      <vt:variant>
        <vt:lpwstr>_Toc318378704</vt:lpwstr>
      </vt:variant>
      <vt:variant>
        <vt:i4>1900603</vt:i4>
      </vt:variant>
      <vt:variant>
        <vt:i4>2</vt:i4>
      </vt:variant>
      <vt:variant>
        <vt:i4>0</vt:i4>
      </vt:variant>
      <vt:variant>
        <vt:i4>5</vt:i4>
      </vt:variant>
      <vt:variant>
        <vt:lpwstr/>
      </vt:variant>
      <vt:variant>
        <vt:lpwstr>_Toc318378703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Jensen</dc:creator>
  <cp:lastModifiedBy>Saeeda Sabah Rashid</cp:lastModifiedBy>
  <cp:revision>13</cp:revision>
  <cp:lastPrinted>2016-06-27T11:29:00Z</cp:lastPrinted>
  <dcterms:created xsi:type="dcterms:W3CDTF">2016-06-28T06:48:00Z</dcterms:created>
  <dcterms:modified xsi:type="dcterms:W3CDTF">2016-06-30T03:52:00Z</dcterms:modified>
</cp:coreProperties>
</file>